
<file path=[Content_Types].xml><?xml version="1.0" encoding="utf-8"?>
<Types xmlns="http://schemas.openxmlformats.org/package/2006/content-types">
  <Default Extension="png" ContentType="image/png"/>
  <Default Extension="svg" ContentType="image/svg+xml"/>
  <Default Extension="jpeg" ContentType="image/jpe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B107B4B" w14:textId="64F82403" w:rsidR="0088366A" w:rsidRDefault="00E10C27" w:rsidP="006777D9">
      <w:pPr>
        <w:pStyle w:val="BodyText"/>
        <w:ind w:right="-711"/>
        <w:jc w:val="right"/>
      </w:pPr>
      <w:r>
        <w:rPr>
          <w:noProof/>
          <w:lang w:eastAsia="en-AU"/>
        </w:rPr>
        <w:drawing>
          <wp:inline distT="0" distB="0" distL="0" distR="0" wp14:anchorId="6385FA74" wp14:editId="245D521B">
            <wp:extent cx="2259965" cy="803998"/>
            <wp:effectExtent l="0" t="0" r="6985" b="0"/>
            <wp:docPr id="273" name="Picture 273" descr="Frontier Economics logo and company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Picture 273" descr="Frontier Economics logo and company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01658" cy="818831"/>
                    </a:xfrm>
                    <a:prstGeom prst="rect">
                      <a:avLst/>
                    </a:prstGeom>
                  </pic:spPr>
                </pic:pic>
              </a:graphicData>
            </a:graphic>
          </wp:inline>
        </w:drawing>
      </w:r>
      <w:r>
        <w:br w:type="textWrapping" w:clear="all"/>
      </w:r>
    </w:p>
    <w:p w14:paraId="0B803CEE" w14:textId="1058FF33" w:rsidR="0088366A" w:rsidRDefault="003A3A16" w:rsidP="00C80B93">
      <w:pPr>
        <w:pStyle w:val="Heading1"/>
        <w:spacing w:before="6840"/>
        <w:rPr>
          <w:color w:val="37424A" w:themeColor="text1"/>
        </w:rPr>
      </w:pPr>
      <w:r>
        <w:rPr>
          <w:color w:val="37424A" w:themeColor="text1"/>
        </w:rPr>
        <w:t>The e</w:t>
      </w:r>
      <w:r w:rsidR="00B54612" w:rsidRPr="00B54612">
        <w:rPr>
          <w:color w:val="37424A" w:themeColor="text1"/>
        </w:rPr>
        <w:t>c</w:t>
      </w:r>
      <w:r w:rsidR="00B54612">
        <w:rPr>
          <w:color w:val="37424A" w:themeColor="text1"/>
        </w:rPr>
        <w:t>onomic impa</w:t>
      </w:r>
      <w:r w:rsidR="009E72EB">
        <w:rPr>
          <w:color w:val="37424A" w:themeColor="text1"/>
        </w:rPr>
        <w:t xml:space="preserve">cts of new NBN </w:t>
      </w:r>
      <w:proofErr w:type="gramStart"/>
      <w:r w:rsidR="009E72EB">
        <w:rPr>
          <w:color w:val="37424A" w:themeColor="text1"/>
        </w:rPr>
        <w:t>investments</w:t>
      </w:r>
      <w:proofErr w:type="gramEnd"/>
      <w:r w:rsidR="009E72EB">
        <w:rPr>
          <w:color w:val="37424A" w:themeColor="text1"/>
        </w:rPr>
        <w:t xml:space="preserve"> on business</w:t>
      </w:r>
    </w:p>
    <w:p w14:paraId="4142FBFA" w14:textId="4B170948" w:rsidR="009E72EB" w:rsidRDefault="009E2C34" w:rsidP="009E72EB">
      <w:pPr>
        <w:pStyle w:val="BodyText"/>
      </w:pPr>
      <w:r>
        <w:rPr>
          <w:noProof/>
          <w:lang w:eastAsia="en-AU"/>
        </w:rPr>
        <w:drawing>
          <wp:inline distT="0" distB="0" distL="0" distR="0" wp14:anchorId="41D8BE18" wp14:editId="26AFA5B8">
            <wp:extent cx="752475" cy="126237"/>
            <wp:effectExtent l="0" t="0" r="0" b="7620"/>
            <wp:docPr id="272" name="Picture 272" descr="Decorative">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Picture 272">
                      <a:extLst>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dec="http://schemas.microsoft.com/office/drawing/2017/decorative" val="1"/>
                        </a:ext>
                      </a:extLst>
                    </pic:cNvP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66695" cy="128623"/>
                    </a:xfrm>
                    <a:prstGeom prst="rect">
                      <a:avLst/>
                    </a:prstGeom>
                  </pic:spPr>
                </pic:pic>
              </a:graphicData>
            </a:graphic>
          </wp:inline>
        </w:drawing>
      </w:r>
    </w:p>
    <w:p w14:paraId="4DCBE9F8" w14:textId="702CC8C0" w:rsidR="009E2C34" w:rsidRPr="009E72EB" w:rsidRDefault="009E2C34" w:rsidP="008F5C86">
      <w:pPr>
        <w:pStyle w:val="Heading5"/>
      </w:pPr>
      <w:r>
        <w:t>Prepared for the Department of Infrastructure, Transport, Regional Development and Communications</w:t>
      </w:r>
      <w:r w:rsidR="005A4AFA">
        <w:t xml:space="preserve"> | July 2021</w:t>
      </w:r>
    </w:p>
    <w:p w14:paraId="226EC3A5" w14:textId="69B3F282" w:rsidR="00D93F4E" w:rsidRDefault="00D93F4E" w:rsidP="003F2F16">
      <w:pPr>
        <w:pStyle w:val="Heading1"/>
        <w:rPr>
          <w:rFonts w:cs="Open Sans"/>
        </w:rPr>
      </w:pPr>
      <w:r>
        <w:br w:type="page"/>
      </w:r>
    </w:p>
    <w:p w14:paraId="645B36BD" w14:textId="77777777" w:rsidR="00D93F4E" w:rsidRDefault="00D93F4E" w:rsidP="00C02423">
      <w:pPr>
        <w:pStyle w:val="BodyText"/>
      </w:pPr>
    </w:p>
    <w:p w14:paraId="1AAB24B2" w14:textId="77777777" w:rsidR="004C0FA1" w:rsidRPr="0049590D" w:rsidRDefault="004C0FA1" w:rsidP="00C80B93">
      <w:pPr>
        <w:pStyle w:val="BodyText"/>
        <w:spacing w:before="8040" w:after="360"/>
      </w:pPr>
      <w:r w:rsidRPr="0049590D">
        <w:t>Frontier Economics Pty Ltd is a member of the Frontier Economics network, and is headquartered in Australia with a subsidiary company, Frontier Economics Pte Ltd in Singapore. Our fellow network member, Frontier Economics Ltd, is headquartered in the United Kingdom. The companies are independently owned, and legal commitments entered into by any one company do not impose any obligations on other companies in the network. All views expressed in this document are the views of Frontier Economics Pty Ltd.</w:t>
      </w:r>
    </w:p>
    <w:p w14:paraId="75C4640F" w14:textId="77777777" w:rsidR="004C0FA1" w:rsidRPr="00BB23D5" w:rsidRDefault="004C0FA1" w:rsidP="00D31AC9">
      <w:pPr>
        <w:pStyle w:val="Heading4"/>
      </w:pPr>
      <w:r w:rsidRPr="00BB23D5">
        <w:t>Disclaimer</w:t>
      </w:r>
    </w:p>
    <w:p w14:paraId="1D0B0171" w14:textId="7F826E95" w:rsidR="00212D06" w:rsidRPr="00B1786B" w:rsidRDefault="004C0FA1" w:rsidP="00C12D24">
      <w:pPr>
        <w:pStyle w:val="BodyText"/>
        <w:sectPr w:rsidR="00212D06" w:rsidRPr="00B1786B" w:rsidSect="006777D9">
          <w:headerReference w:type="default" r:id="rId14"/>
          <w:footerReference w:type="default" r:id="rId15"/>
          <w:headerReference w:type="first" r:id="rId16"/>
          <w:footerReference w:type="first" r:id="rId17"/>
          <w:type w:val="continuous"/>
          <w:pgSz w:w="11906" w:h="16838" w:code="9"/>
          <w:pgMar w:top="1134" w:right="1418" w:bottom="1134" w:left="1418" w:header="567" w:footer="567" w:gutter="0"/>
          <w:cols w:space="708"/>
          <w:titlePg/>
          <w:docGrid w:linePitch="360"/>
        </w:sectPr>
      </w:pPr>
      <w:r w:rsidRPr="0049590D">
        <w:t xml:space="preserve">None of Frontier Economics Pty Ltd (including the directors and employees) make any representation or warranty as to the accuracy or completeness of this report. Nor shall they have any liability (whether arising from negligence or otherwise) for any representations (express or implied) or information contained in, or for any omissions from, the report or any written or oral communications transmitted in the course of the </w:t>
      </w:r>
      <w:r w:rsidRPr="00C12D24">
        <w:t>project</w:t>
      </w:r>
      <w:r w:rsidRPr="0049590D">
        <w:t>.</w:t>
      </w:r>
    </w:p>
    <w:p w14:paraId="4A430CF0" w14:textId="77777777" w:rsidR="00533848" w:rsidRPr="00942A46" w:rsidRDefault="00866906" w:rsidP="003E42AA">
      <w:pPr>
        <w:pStyle w:val="Heading2N"/>
      </w:pPr>
      <w:bookmarkStart w:id="0" w:name="_Toc46764207"/>
      <w:bookmarkStart w:id="1" w:name="BMTOC"/>
      <w:r w:rsidRPr="00942A46">
        <w:lastRenderedPageBreak/>
        <w:t>C</w:t>
      </w:r>
      <w:bookmarkEnd w:id="0"/>
      <w:r w:rsidR="001150E7" w:rsidRPr="00942A46">
        <w:t>ontents</w:t>
      </w:r>
    </w:p>
    <w:bookmarkStart w:id="2" w:name="BMTOT"/>
    <w:bookmarkEnd w:id="1"/>
    <w:p w14:paraId="64263814" w14:textId="76FF4DF0" w:rsidR="00D021FD" w:rsidRDefault="00A64492">
      <w:pPr>
        <w:pStyle w:val="TOC1"/>
        <w:rPr>
          <w:rFonts w:asciiTheme="minorHAnsi" w:eastAsiaTheme="minorEastAsia" w:hAnsiTheme="minorHAnsi"/>
          <w:color w:val="auto"/>
          <w:sz w:val="22"/>
          <w:szCs w:val="22"/>
          <w:lang w:eastAsia="en-AU"/>
        </w:rPr>
      </w:pPr>
      <w:r>
        <w:fldChar w:fldCharType="begin"/>
      </w:r>
      <w:r>
        <w:instrText xml:space="preserve"> TOC \h \z \t "Heading 2,1,Heading 3,2,Appendix 1,1,Title,1,TOC Heading,1,Heading 2 (numbered),1,Heading 3 (numbered),2,CV Heading,1,CV Subhead 2,1,Executive Summary Heading,1,Executive Summary Sub Heading,2,AppendixHead,1,AppendixSubHead,3,AppendixMinorSubHead,3" </w:instrText>
      </w:r>
      <w:r>
        <w:fldChar w:fldCharType="separate"/>
      </w:r>
      <w:hyperlink w:anchor="_Toc79671796" w:history="1">
        <w:r w:rsidR="00D021FD" w:rsidRPr="00CB0D85">
          <w:rPr>
            <w:rStyle w:val="Hyperlink"/>
          </w:rPr>
          <w:t>Summary</w:t>
        </w:r>
        <w:r w:rsidR="00D021FD">
          <w:rPr>
            <w:webHidden/>
          </w:rPr>
          <w:tab/>
        </w:r>
        <w:r w:rsidR="00D021FD">
          <w:rPr>
            <w:webHidden/>
          </w:rPr>
          <w:fldChar w:fldCharType="begin"/>
        </w:r>
        <w:r w:rsidR="00D021FD">
          <w:rPr>
            <w:webHidden/>
          </w:rPr>
          <w:instrText xml:space="preserve"> PAGEREF _Toc79671796 \h </w:instrText>
        </w:r>
        <w:r w:rsidR="00D021FD">
          <w:rPr>
            <w:webHidden/>
          </w:rPr>
        </w:r>
        <w:r w:rsidR="00D021FD">
          <w:rPr>
            <w:webHidden/>
          </w:rPr>
          <w:fldChar w:fldCharType="separate"/>
        </w:r>
        <w:r w:rsidR="00DD5715">
          <w:rPr>
            <w:webHidden/>
          </w:rPr>
          <w:t>7</w:t>
        </w:r>
        <w:r w:rsidR="00D021FD">
          <w:rPr>
            <w:webHidden/>
          </w:rPr>
          <w:fldChar w:fldCharType="end"/>
        </w:r>
      </w:hyperlink>
    </w:p>
    <w:p w14:paraId="29425572" w14:textId="44FB3DE9" w:rsidR="00D021FD" w:rsidRDefault="00E031EF">
      <w:pPr>
        <w:pStyle w:val="TOC2"/>
        <w:rPr>
          <w:rFonts w:asciiTheme="minorHAnsi" w:eastAsiaTheme="minorEastAsia" w:hAnsiTheme="minorHAnsi"/>
          <w:color w:val="auto"/>
          <w:sz w:val="22"/>
          <w:szCs w:val="22"/>
          <w:lang w:eastAsia="en-AU"/>
        </w:rPr>
      </w:pPr>
      <w:hyperlink w:anchor="_Toc79671797" w:history="1">
        <w:r w:rsidR="00D021FD" w:rsidRPr="00CB0D85">
          <w:rPr>
            <w:rStyle w:val="Hyperlink"/>
          </w:rPr>
          <w:t>Key points</w:t>
        </w:r>
        <w:r w:rsidR="00D021FD">
          <w:rPr>
            <w:webHidden/>
          </w:rPr>
          <w:tab/>
        </w:r>
        <w:r w:rsidR="00D021FD">
          <w:rPr>
            <w:webHidden/>
          </w:rPr>
          <w:fldChar w:fldCharType="begin"/>
        </w:r>
        <w:r w:rsidR="00D021FD">
          <w:rPr>
            <w:webHidden/>
          </w:rPr>
          <w:instrText xml:space="preserve"> PAGEREF _Toc79671797 \h </w:instrText>
        </w:r>
        <w:r w:rsidR="00D021FD">
          <w:rPr>
            <w:webHidden/>
          </w:rPr>
        </w:r>
        <w:r w:rsidR="00D021FD">
          <w:rPr>
            <w:webHidden/>
          </w:rPr>
          <w:fldChar w:fldCharType="separate"/>
        </w:r>
        <w:r w:rsidR="00DD5715">
          <w:rPr>
            <w:webHidden/>
          </w:rPr>
          <w:t>7</w:t>
        </w:r>
        <w:r w:rsidR="00D021FD">
          <w:rPr>
            <w:webHidden/>
          </w:rPr>
          <w:fldChar w:fldCharType="end"/>
        </w:r>
      </w:hyperlink>
    </w:p>
    <w:p w14:paraId="70D4CBC1" w14:textId="393132FD" w:rsidR="00D021FD" w:rsidRDefault="00E031EF">
      <w:pPr>
        <w:pStyle w:val="TOC2"/>
        <w:rPr>
          <w:rFonts w:asciiTheme="minorHAnsi" w:eastAsiaTheme="minorEastAsia" w:hAnsiTheme="minorHAnsi"/>
          <w:color w:val="auto"/>
          <w:sz w:val="22"/>
          <w:szCs w:val="22"/>
          <w:lang w:eastAsia="en-AU"/>
        </w:rPr>
      </w:pPr>
      <w:hyperlink w:anchor="_Toc79671798" w:history="1">
        <w:r w:rsidR="00D021FD" w:rsidRPr="00CB0D85">
          <w:rPr>
            <w:rStyle w:val="Hyperlink"/>
          </w:rPr>
          <w:t>Business fibre and other business broadband initiatives</w:t>
        </w:r>
        <w:r w:rsidR="00D021FD">
          <w:rPr>
            <w:webHidden/>
          </w:rPr>
          <w:tab/>
        </w:r>
        <w:r w:rsidR="00D021FD">
          <w:rPr>
            <w:webHidden/>
          </w:rPr>
          <w:fldChar w:fldCharType="begin"/>
        </w:r>
        <w:r w:rsidR="00D021FD">
          <w:rPr>
            <w:webHidden/>
          </w:rPr>
          <w:instrText xml:space="preserve"> PAGEREF _Toc79671798 \h </w:instrText>
        </w:r>
        <w:r w:rsidR="00D021FD">
          <w:rPr>
            <w:webHidden/>
          </w:rPr>
        </w:r>
        <w:r w:rsidR="00D021FD">
          <w:rPr>
            <w:webHidden/>
          </w:rPr>
          <w:fldChar w:fldCharType="separate"/>
        </w:r>
        <w:r w:rsidR="00DD5715">
          <w:rPr>
            <w:webHidden/>
          </w:rPr>
          <w:t>7</w:t>
        </w:r>
        <w:r w:rsidR="00D021FD">
          <w:rPr>
            <w:webHidden/>
          </w:rPr>
          <w:fldChar w:fldCharType="end"/>
        </w:r>
      </w:hyperlink>
    </w:p>
    <w:p w14:paraId="2E99A70C" w14:textId="0D10F0AF" w:rsidR="00D021FD" w:rsidRDefault="00E031EF">
      <w:pPr>
        <w:pStyle w:val="TOC2"/>
        <w:rPr>
          <w:rFonts w:asciiTheme="minorHAnsi" w:eastAsiaTheme="minorEastAsia" w:hAnsiTheme="minorHAnsi"/>
          <w:color w:val="auto"/>
          <w:sz w:val="22"/>
          <w:szCs w:val="22"/>
          <w:lang w:eastAsia="en-AU"/>
        </w:rPr>
      </w:pPr>
      <w:hyperlink w:anchor="_Toc79671799" w:history="1">
        <w:r w:rsidR="00D021FD" w:rsidRPr="00CB0D85">
          <w:rPr>
            <w:rStyle w:val="Hyperlink"/>
          </w:rPr>
          <w:t>What are the key benefits of better broadband for businesses?</w:t>
        </w:r>
        <w:r w:rsidR="00D021FD">
          <w:rPr>
            <w:webHidden/>
          </w:rPr>
          <w:tab/>
        </w:r>
        <w:r w:rsidR="00D021FD">
          <w:rPr>
            <w:webHidden/>
          </w:rPr>
          <w:fldChar w:fldCharType="begin"/>
        </w:r>
        <w:r w:rsidR="00D021FD">
          <w:rPr>
            <w:webHidden/>
          </w:rPr>
          <w:instrText xml:space="preserve"> PAGEREF _Toc79671799 \h </w:instrText>
        </w:r>
        <w:r w:rsidR="00D021FD">
          <w:rPr>
            <w:webHidden/>
          </w:rPr>
        </w:r>
        <w:r w:rsidR="00D021FD">
          <w:rPr>
            <w:webHidden/>
          </w:rPr>
          <w:fldChar w:fldCharType="separate"/>
        </w:r>
        <w:r w:rsidR="00DD5715">
          <w:rPr>
            <w:webHidden/>
          </w:rPr>
          <w:t>8</w:t>
        </w:r>
        <w:r w:rsidR="00D021FD">
          <w:rPr>
            <w:webHidden/>
          </w:rPr>
          <w:fldChar w:fldCharType="end"/>
        </w:r>
      </w:hyperlink>
    </w:p>
    <w:p w14:paraId="57AA3B9E" w14:textId="14083FF3" w:rsidR="00D021FD" w:rsidRDefault="00E031EF">
      <w:pPr>
        <w:pStyle w:val="TOC2"/>
        <w:rPr>
          <w:rFonts w:asciiTheme="minorHAnsi" w:eastAsiaTheme="minorEastAsia" w:hAnsiTheme="minorHAnsi"/>
          <w:color w:val="auto"/>
          <w:sz w:val="22"/>
          <w:szCs w:val="22"/>
          <w:lang w:eastAsia="en-AU"/>
        </w:rPr>
      </w:pPr>
      <w:hyperlink w:anchor="_Toc79671800" w:history="1">
        <w:r w:rsidR="00D021FD" w:rsidRPr="00CB0D85">
          <w:rPr>
            <w:rStyle w:val="Hyperlink"/>
          </w:rPr>
          <w:t>Estimation of economic benefits</w:t>
        </w:r>
        <w:r w:rsidR="00D021FD">
          <w:rPr>
            <w:webHidden/>
          </w:rPr>
          <w:tab/>
        </w:r>
        <w:r w:rsidR="00D021FD">
          <w:rPr>
            <w:webHidden/>
          </w:rPr>
          <w:fldChar w:fldCharType="begin"/>
        </w:r>
        <w:r w:rsidR="00D021FD">
          <w:rPr>
            <w:webHidden/>
          </w:rPr>
          <w:instrText xml:space="preserve"> PAGEREF _Toc79671800 \h </w:instrText>
        </w:r>
        <w:r w:rsidR="00D021FD">
          <w:rPr>
            <w:webHidden/>
          </w:rPr>
        </w:r>
        <w:r w:rsidR="00D021FD">
          <w:rPr>
            <w:webHidden/>
          </w:rPr>
          <w:fldChar w:fldCharType="separate"/>
        </w:r>
        <w:r w:rsidR="00DD5715">
          <w:rPr>
            <w:webHidden/>
          </w:rPr>
          <w:t>9</w:t>
        </w:r>
        <w:r w:rsidR="00D021FD">
          <w:rPr>
            <w:webHidden/>
          </w:rPr>
          <w:fldChar w:fldCharType="end"/>
        </w:r>
      </w:hyperlink>
    </w:p>
    <w:p w14:paraId="38BE0872" w14:textId="173D89F2" w:rsidR="00D021FD" w:rsidRDefault="00E031EF">
      <w:pPr>
        <w:pStyle w:val="TOC2"/>
        <w:rPr>
          <w:rFonts w:asciiTheme="minorHAnsi" w:eastAsiaTheme="minorEastAsia" w:hAnsiTheme="minorHAnsi"/>
          <w:color w:val="auto"/>
          <w:sz w:val="22"/>
          <w:szCs w:val="22"/>
          <w:lang w:eastAsia="en-AU"/>
        </w:rPr>
      </w:pPr>
      <w:hyperlink w:anchor="_Toc79671801" w:history="1">
        <w:r w:rsidR="00D021FD" w:rsidRPr="00CB0D85">
          <w:rPr>
            <w:rStyle w:val="Hyperlink"/>
          </w:rPr>
          <w:t>Direct effects on the value of output</w:t>
        </w:r>
        <w:r w:rsidR="00D021FD">
          <w:rPr>
            <w:webHidden/>
          </w:rPr>
          <w:tab/>
        </w:r>
        <w:r w:rsidR="00D021FD">
          <w:rPr>
            <w:webHidden/>
          </w:rPr>
          <w:fldChar w:fldCharType="begin"/>
        </w:r>
        <w:r w:rsidR="00D021FD">
          <w:rPr>
            <w:webHidden/>
          </w:rPr>
          <w:instrText xml:space="preserve"> PAGEREF _Toc79671801 \h </w:instrText>
        </w:r>
        <w:r w:rsidR="00D021FD">
          <w:rPr>
            <w:webHidden/>
          </w:rPr>
        </w:r>
        <w:r w:rsidR="00D021FD">
          <w:rPr>
            <w:webHidden/>
          </w:rPr>
          <w:fldChar w:fldCharType="separate"/>
        </w:r>
        <w:r w:rsidR="00DD5715">
          <w:rPr>
            <w:webHidden/>
          </w:rPr>
          <w:t>9</w:t>
        </w:r>
        <w:r w:rsidR="00D021FD">
          <w:rPr>
            <w:webHidden/>
          </w:rPr>
          <w:fldChar w:fldCharType="end"/>
        </w:r>
      </w:hyperlink>
    </w:p>
    <w:p w14:paraId="6D56D467" w14:textId="25839450" w:rsidR="00D021FD" w:rsidRDefault="00E031EF">
      <w:pPr>
        <w:pStyle w:val="TOC2"/>
        <w:rPr>
          <w:rFonts w:asciiTheme="minorHAnsi" w:eastAsiaTheme="minorEastAsia" w:hAnsiTheme="minorHAnsi"/>
          <w:color w:val="auto"/>
          <w:sz w:val="22"/>
          <w:szCs w:val="22"/>
          <w:lang w:eastAsia="en-AU"/>
        </w:rPr>
      </w:pPr>
      <w:hyperlink w:anchor="_Toc79671802" w:history="1">
        <w:r w:rsidR="00D021FD" w:rsidRPr="00CB0D85">
          <w:rPr>
            <w:rStyle w:val="Hyperlink"/>
          </w:rPr>
          <w:t>Forecast firm productivity benefits</w:t>
        </w:r>
        <w:r w:rsidR="00D021FD">
          <w:rPr>
            <w:webHidden/>
          </w:rPr>
          <w:tab/>
        </w:r>
        <w:r w:rsidR="00D021FD">
          <w:rPr>
            <w:webHidden/>
          </w:rPr>
          <w:fldChar w:fldCharType="begin"/>
        </w:r>
        <w:r w:rsidR="00D021FD">
          <w:rPr>
            <w:webHidden/>
          </w:rPr>
          <w:instrText xml:space="preserve"> PAGEREF _Toc79671802 \h </w:instrText>
        </w:r>
        <w:r w:rsidR="00D021FD">
          <w:rPr>
            <w:webHidden/>
          </w:rPr>
        </w:r>
        <w:r w:rsidR="00D021FD">
          <w:rPr>
            <w:webHidden/>
          </w:rPr>
          <w:fldChar w:fldCharType="separate"/>
        </w:r>
        <w:r w:rsidR="00DD5715">
          <w:rPr>
            <w:webHidden/>
          </w:rPr>
          <w:t>10</w:t>
        </w:r>
        <w:r w:rsidR="00D021FD">
          <w:rPr>
            <w:webHidden/>
          </w:rPr>
          <w:fldChar w:fldCharType="end"/>
        </w:r>
      </w:hyperlink>
    </w:p>
    <w:p w14:paraId="371F6F33" w14:textId="234DD27A" w:rsidR="00D021FD" w:rsidRDefault="00E031EF">
      <w:pPr>
        <w:pStyle w:val="TOC2"/>
        <w:rPr>
          <w:rFonts w:asciiTheme="minorHAnsi" w:eastAsiaTheme="minorEastAsia" w:hAnsiTheme="minorHAnsi"/>
          <w:color w:val="auto"/>
          <w:sz w:val="22"/>
          <w:szCs w:val="22"/>
          <w:lang w:eastAsia="en-AU"/>
        </w:rPr>
      </w:pPr>
      <w:hyperlink w:anchor="_Toc79671803" w:history="1">
        <w:r w:rsidR="00D021FD" w:rsidRPr="00CB0D85">
          <w:rPr>
            <w:rStyle w:val="Hyperlink"/>
          </w:rPr>
          <w:t>Expected benefits vary by location</w:t>
        </w:r>
        <w:r w:rsidR="00D021FD">
          <w:rPr>
            <w:webHidden/>
          </w:rPr>
          <w:tab/>
        </w:r>
        <w:r w:rsidR="00D021FD">
          <w:rPr>
            <w:webHidden/>
          </w:rPr>
          <w:fldChar w:fldCharType="begin"/>
        </w:r>
        <w:r w:rsidR="00D021FD">
          <w:rPr>
            <w:webHidden/>
          </w:rPr>
          <w:instrText xml:space="preserve"> PAGEREF _Toc79671803 \h </w:instrText>
        </w:r>
        <w:r w:rsidR="00D021FD">
          <w:rPr>
            <w:webHidden/>
          </w:rPr>
        </w:r>
        <w:r w:rsidR="00D021FD">
          <w:rPr>
            <w:webHidden/>
          </w:rPr>
          <w:fldChar w:fldCharType="separate"/>
        </w:r>
        <w:r w:rsidR="00DD5715">
          <w:rPr>
            <w:webHidden/>
          </w:rPr>
          <w:t>11</w:t>
        </w:r>
        <w:r w:rsidR="00D021FD">
          <w:rPr>
            <w:webHidden/>
          </w:rPr>
          <w:fldChar w:fldCharType="end"/>
        </w:r>
      </w:hyperlink>
    </w:p>
    <w:p w14:paraId="4BF9D410" w14:textId="6C3C4D77" w:rsidR="00D021FD" w:rsidRDefault="00E031EF">
      <w:pPr>
        <w:pStyle w:val="TOC2"/>
        <w:rPr>
          <w:rFonts w:asciiTheme="minorHAnsi" w:eastAsiaTheme="minorEastAsia" w:hAnsiTheme="minorHAnsi"/>
          <w:color w:val="auto"/>
          <w:sz w:val="22"/>
          <w:szCs w:val="22"/>
          <w:lang w:eastAsia="en-AU"/>
        </w:rPr>
      </w:pPr>
      <w:hyperlink w:anchor="_Toc79671804" w:history="1">
        <w:r w:rsidR="00D021FD" w:rsidRPr="00CB0D85">
          <w:rPr>
            <w:rStyle w:val="Hyperlink"/>
          </w:rPr>
          <w:t>The nature and scope of competition benefits</w:t>
        </w:r>
        <w:r w:rsidR="00D021FD">
          <w:rPr>
            <w:webHidden/>
          </w:rPr>
          <w:tab/>
        </w:r>
        <w:r w:rsidR="00D021FD">
          <w:rPr>
            <w:webHidden/>
          </w:rPr>
          <w:fldChar w:fldCharType="begin"/>
        </w:r>
        <w:r w:rsidR="00D021FD">
          <w:rPr>
            <w:webHidden/>
          </w:rPr>
          <w:instrText xml:space="preserve"> PAGEREF _Toc79671804 \h </w:instrText>
        </w:r>
        <w:r w:rsidR="00D021FD">
          <w:rPr>
            <w:webHidden/>
          </w:rPr>
        </w:r>
        <w:r w:rsidR="00D021FD">
          <w:rPr>
            <w:webHidden/>
          </w:rPr>
          <w:fldChar w:fldCharType="separate"/>
        </w:r>
        <w:r w:rsidR="00DD5715">
          <w:rPr>
            <w:webHidden/>
          </w:rPr>
          <w:t>12</w:t>
        </w:r>
        <w:r w:rsidR="00D021FD">
          <w:rPr>
            <w:webHidden/>
          </w:rPr>
          <w:fldChar w:fldCharType="end"/>
        </w:r>
      </w:hyperlink>
    </w:p>
    <w:p w14:paraId="4A49502A" w14:textId="784EF60A" w:rsidR="00D021FD" w:rsidRDefault="00E031EF">
      <w:pPr>
        <w:pStyle w:val="TOC1"/>
        <w:rPr>
          <w:rFonts w:asciiTheme="minorHAnsi" w:eastAsiaTheme="minorEastAsia" w:hAnsiTheme="minorHAnsi"/>
          <w:color w:val="auto"/>
          <w:sz w:val="22"/>
          <w:szCs w:val="22"/>
          <w:lang w:eastAsia="en-AU"/>
        </w:rPr>
      </w:pPr>
      <w:hyperlink w:anchor="_Toc79671805" w:history="1">
        <w:r w:rsidR="00D021FD" w:rsidRPr="00CB0D85">
          <w:rPr>
            <w:rStyle w:val="Hyperlink"/>
          </w:rPr>
          <w:t>1. Introduction</w:t>
        </w:r>
        <w:r w:rsidR="00D021FD">
          <w:rPr>
            <w:webHidden/>
          </w:rPr>
          <w:tab/>
        </w:r>
        <w:r w:rsidR="00D021FD">
          <w:rPr>
            <w:webHidden/>
          </w:rPr>
          <w:fldChar w:fldCharType="begin"/>
        </w:r>
        <w:r w:rsidR="00D021FD">
          <w:rPr>
            <w:webHidden/>
          </w:rPr>
          <w:instrText xml:space="preserve"> PAGEREF _Toc79671805 \h </w:instrText>
        </w:r>
        <w:r w:rsidR="00D021FD">
          <w:rPr>
            <w:webHidden/>
          </w:rPr>
        </w:r>
        <w:r w:rsidR="00D021FD">
          <w:rPr>
            <w:webHidden/>
          </w:rPr>
          <w:fldChar w:fldCharType="separate"/>
        </w:r>
        <w:r w:rsidR="00DD5715">
          <w:rPr>
            <w:webHidden/>
          </w:rPr>
          <w:t>16</w:t>
        </w:r>
        <w:r w:rsidR="00D021FD">
          <w:rPr>
            <w:webHidden/>
          </w:rPr>
          <w:fldChar w:fldCharType="end"/>
        </w:r>
      </w:hyperlink>
    </w:p>
    <w:p w14:paraId="799539BD" w14:textId="6024E0DE" w:rsidR="00D021FD" w:rsidRDefault="00E031EF">
      <w:pPr>
        <w:pStyle w:val="TOC2"/>
        <w:rPr>
          <w:rFonts w:asciiTheme="minorHAnsi" w:eastAsiaTheme="minorEastAsia" w:hAnsiTheme="minorHAnsi"/>
          <w:color w:val="auto"/>
          <w:sz w:val="22"/>
          <w:szCs w:val="22"/>
          <w:lang w:eastAsia="en-AU"/>
        </w:rPr>
      </w:pPr>
      <w:hyperlink w:anchor="_Toc79671806" w:history="1">
        <w:r w:rsidR="00D021FD" w:rsidRPr="00CB0D85">
          <w:rPr>
            <w:rStyle w:val="Hyperlink"/>
          </w:rPr>
          <w:t>Background: network upgrades and fibre initiatives</w:t>
        </w:r>
        <w:r w:rsidR="00D021FD">
          <w:rPr>
            <w:webHidden/>
          </w:rPr>
          <w:tab/>
        </w:r>
        <w:r w:rsidR="00D021FD">
          <w:rPr>
            <w:webHidden/>
          </w:rPr>
          <w:fldChar w:fldCharType="begin"/>
        </w:r>
        <w:r w:rsidR="00D021FD">
          <w:rPr>
            <w:webHidden/>
          </w:rPr>
          <w:instrText xml:space="preserve"> PAGEREF _Toc79671806 \h </w:instrText>
        </w:r>
        <w:r w:rsidR="00D021FD">
          <w:rPr>
            <w:webHidden/>
          </w:rPr>
        </w:r>
        <w:r w:rsidR="00D021FD">
          <w:rPr>
            <w:webHidden/>
          </w:rPr>
          <w:fldChar w:fldCharType="separate"/>
        </w:r>
        <w:r w:rsidR="00DD5715">
          <w:rPr>
            <w:webHidden/>
          </w:rPr>
          <w:t>16</w:t>
        </w:r>
        <w:r w:rsidR="00D021FD">
          <w:rPr>
            <w:webHidden/>
          </w:rPr>
          <w:fldChar w:fldCharType="end"/>
        </w:r>
      </w:hyperlink>
    </w:p>
    <w:p w14:paraId="6CD509BC" w14:textId="2AE764BA" w:rsidR="00D021FD" w:rsidRDefault="00E031EF">
      <w:pPr>
        <w:pStyle w:val="TOC2"/>
        <w:rPr>
          <w:rFonts w:asciiTheme="minorHAnsi" w:eastAsiaTheme="minorEastAsia" w:hAnsiTheme="minorHAnsi"/>
          <w:color w:val="auto"/>
          <w:sz w:val="22"/>
          <w:szCs w:val="22"/>
          <w:lang w:eastAsia="en-AU"/>
        </w:rPr>
      </w:pPr>
      <w:hyperlink w:anchor="_Toc79671807" w:history="1">
        <w:r w:rsidR="00D021FD" w:rsidRPr="00CB0D85">
          <w:rPr>
            <w:rStyle w:val="Hyperlink"/>
          </w:rPr>
          <w:t>The research tasks</w:t>
        </w:r>
        <w:r w:rsidR="00D021FD">
          <w:rPr>
            <w:webHidden/>
          </w:rPr>
          <w:tab/>
        </w:r>
        <w:r w:rsidR="00D021FD">
          <w:rPr>
            <w:webHidden/>
          </w:rPr>
          <w:fldChar w:fldCharType="begin"/>
        </w:r>
        <w:r w:rsidR="00D021FD">
          <w:rPr>
            <w:webHidden/>
          </w:rPr>
          <w:instrText xml:space="preserve"> PAGEREF _Toc79671807 \h </w:instrText>
        </w:r>
        <w:r w:rsidR="00D021FD">
          <w:rPr>
            <w:webHidden/>
          </w:rPr>
        </w:r>
        <w:r w:rsidR="00D021FD">
          <w:rPr>
            <w:webHidden/>
          </w:rPr>
          <w:fldChar w:fldCharType="separate"/>
        </w:r>
        <w:r w:rsidR="00DD5715">
          <w:rPr>
            <w:webHidden/>
          </w:rPr>
          <w:t>20</w:t>
        </w:r>
        <w:r w:rsidR="00D021FD">
          <w:rPr>
            <w:webHidden/>
          </w:rPr>
          <w:fldChar w:fldCharType="end"/>
        </w:r>
      </w:hyperlink>
    </w:p>
    <w:p w14:paraId="43E357B9" w14:textId="253E398E" w:rsidR="00D021FD" w:rsidRDefault="00E031EF">
      <w:pPr>
        <w:pStyle w:val="TOC2"/>
        <w:rPr>
          <w:rFonts w:asciiTheme="minorHAnsi" w:eastAsiaTheme="minorEastAsia" w:hAnsiTheme="minorHAnsi"/>
          <w:color w:val="auto"/>
          <w:sz w:val="22"/>
          <w:szCs w:val="22"/>
          <w:lang w:eastAsia="en-AU"/>
        </w:rPr>
      </w:pPr>
      <w:hyperlink w:anchor="_Toc79671808" w:history="1">
        <w:r w:rsidR="00D021FD" w:rsidRPr="00CB0D85">
          <w:rPr>
            <w:rStyle w:val="Hyperlink"/>
          </w:rPr>
          <w:t>About this report</w:t>
        </w:r>
        <w:r w:rsidR="00D021FD">
          <w:rPr>
            <w:webHidden/>
          </w:rPr>
          <w:tab/>
        </w:r>
        <w:r w:rsidR="00D021FD">
          <w:rPr>
            <w:webHidden/>
          </w:rPr>
          <w:fldChar w:fldCharType="begin"/>
        </w:r>
        <w:r w:rsidR="00D021FD">
          <w:rPr>
            <w:webHidden/>
          </w:rPr>
          <w:instrText xml:space="preserve"> PAGEREF _Toc79671808 \h </w:instrText>
        </w:r>
        <w:r w:rsidR="00D021FD">
          <w:rPr>
            <w:webHidden/>
          </w:rPr>
        </w:r>
        <w:r w:rsidR="00D021FD">
          <w:rPr>
            <w:webHidden/>
          </w:rPr>
          <w:fldChar w:fldCharType="separate"/>
        </w:r>
        <w:r w:rsidR="00DD5715">
          <w:rPr>
            <w:webHidden/>
          </w:rPr>
          <w:t>21</w:t>
        </w:r>
        <w:r w:rsidR="00D021FD">
          <w:rPr>
            <w:webHidden/>
          </w:rPr>
          <w:fldChar w:fldCharType="end"/>
        </w:r>
      </w:hyperlink>
    </w:p>
    <w:p w14:paraId="03A939BD" w14:textId="37C9D9C7" w:rsidR="00D021FD" w:rsidRDefault="00E031EF">
      <w:pPr>
        <w:pStyle w:val="TOC1"/>
        <w:rPr>
          <w:rFonts w:asciiTheme="minorHAnsi" w:eastAsiaTheme="minorEastAsia" w:hAnsiTheme="minorHAnsi"/>
          <w:color w:val="auto"/>
          <w:sz w:val="22"/>
          <w:szCs w:val="22"/>
          <w:lang w:eastAsia="en-AU"/>
        </w:rPr>
      </w:pPr>
      <w:hyperlink w:anchor="_Toc79671809" w:history="1">
        <w:r w:rsidR="00D021FD" w:rsidRPr="00CB0D85">
          <w:rPr>
            <w:rStyle w:val="Hyperlink"/>
          </w:rPr>
          <w:t>2. The economic impact of the business initiatives</w:t>
        </w:r>
        <w:r w:rsidR="00D021FD">
          <w:rPr>
            <w:webHidden/>
          </w:rPr>
          <w:tab/>
        </w:r>
        <w:r w:rsidR="00D021FD">
          <w:rPr>
            <w:webHidden/>
          </w:rPr>
          <w:fldChar w:fldCharType="begin"/>
        </w:r>
        <w:r w:rsidR="00D021FD">
          <w:rPr>
            <w:webHidden/>
          </w:rPr>
          <w:instrText xml:space="preserve"> PAGEREF _Toc79671809 \h </w:instrText>
        </w:r>
        <w:r w:rsidR="00D021FD">
          <w:rPr>
            <w:webHidden/>
          </w:rPr>
        </w:r>
        <w:r w:rsidR="00D021FD">
          <w:rPr>
            <w:webHidden/>
          </w:rPr>
          <w:fldChar w:fldCharType="separate"/>
        </w:r>
        <w:r w:rsidR="00DD5715">
          <w:rPr>
            <w:webHidden/>
          </w:rPr>
          <w:t>22</w:t>
        </w:r>
        <w:r w:rsidR="00D021FD">
          <w:rPr>
            <w:webHidden/>
          </w:rPr>
          <w:fldChar w:fldCharType="end"/>
        </w:r>
      </w:hyperlink>
    </w:p>
    <w:p w14:paraId="0E18BFDC" w14:textId="06806169" w:rsidR="00D021FD" w:rsidRDefault="00E031EF">
      <w:pPr>
        <w:pStyle w:val="TOC2"/>
        <w:rPr>
          <w:rFonts w:asciiTheme="minorHAnsi" w:eastAsiaTheme="minorEastAsia" w:hAnsiTheme="minorHAnsi"/>
          <w:color w:val="auto"/>
          <w:sz w:val="22"/>
          <w:szCs w:val="22"/>
          <w:lang w:eastAsia="en-AU"/>
        </w:rPr>
      </w:pPr>
      <w:hyperlink w:anchor="_Toc79671810" w:history="1">
        <w:r w:rsidR="00D021FD" w:rsidRPr="00CB0D85">
          <w:rPr>
            <w:rStyle w:val="Hyperlink"/>
          </w:rPr>
          <w:t>Introduction</w:t>
        </w:r>
        <w:r w:rsidR="00D021FD">
          <w:rPr>
            <w:webHidden/>
          </w:rPr>
          <w:tab/>
        </w:r>
        <w:r w:rsidR="00D021FD">
          <w:rPr>
            <w:webHidden/>
          </w:rPr>
          <w:fldChar w:fldCharType="begin"/>
        </w:r>
        <w:r w:rsidR="00D021FD">
          <w:rPr>
            <w:webHidden/>
          </w:rPr>
          <w:instrText xml:space="preserve"> PAGEREF _Toc79671810 \h </w:instrText>
        </w:r>
        <w:r w:rsidR="00D021FD">
          <w:rPr>
            <w:webHidden/>
          </w:rPr>
        </w:r>
        <w:r w:rsidR="00D021FD">
          <w:rPr>
            <w:webHidden/>
          </w:rPr>
          <w:fldChar w:fldCharType="separate"/>
        </w:r>
        <w:r w:rsidR="00DD5715">
          <w:rPr>
            <w:webHidden/>
          </w:rPr>
          <w:t>22</w:t>
        </w:r>
        <w:r w:rsidR="00D021FD">
          <w:rPr>
            <w:webHidden/>
          </w:rPr>
          <w:fldChar w:fldCharType="end"/>
        </w:r>
      </w:hyperlink>
    </w:p>
    <w:p w14:paraId="6685173D" w14:textId="6DCC67E6" w:rsidR="00D021FD" w:rsidRDefault="00E031EF">
      <w:pPr>
        <w:pStyle w:val="TOC2"/>
        <w:rPr>
          <w:rFonts w:asciiTheme="minorHAnsi" w:eastAsiaTheme="minorEastAsia" w:hAnsiTheme="minorHAnsi"/>
          <w:color w:val="auto"/>
          <w:sz w:val="22"/>
          <w:szCs w:val="22"/>
          <w:lang w:eastAsia="en-AU"/>
        </w:rPr>
      </w:pPr>
      <w:hyperlink w:anchor="_Toc79671811" w:history="1">
        <w:r w:rsidR="00D021FD" w:rsidRPr="00CB0D85">
          <w:rPr>
            <w:rStyle w:val="Hyperlink"/>
          </w:rPr>
          <w:t>Methodology for assessing economic impacts</w:t>
        </w:r>
        <w:r w:rsidR="00D021FD">
          <w:rPr>
            <w:webHidden/>
          </w:rPr>
          <w:tab/>
        </w:r>
        <w:r w:rsidR="00D021FD">
          <w:rPr>
            <w:webHidden/>
          </w:rPr>
          <w:fldChar w:fldCharType="begin"/>
        </w:r>
        <w:r w:rsidR="00D021FD">
          <w:rPr>
            <w:webHidden/>
          </w:rPr>
          <w:instrText xml:space="preserve"> PAGEREF _Toc79671811 \h </w:instrText>
        </w:r>
        <w:r w:rsidR="00D021FD">
          <w:rPr>
            <w:webHidden/>
          </w:rPr>
        </w:r>
        <w:r w:rsidR="00D021FD">
          <w:rPr>
            <w:webHidden/>
          </w:rPr>
          <w:fldChar w:fldCharType="separate"/>
        </w:r>
        <w:r w:rsidR="00DD5715">
          <w:rPr>
            <w:webHidden/>
          </w:rPr>
          <w:t>22</w:t>
        </w:r>
        <w:r w:rsidR="00D021FD">
          <w:rPr>
            <w:webHidden/>
          </w:rPr>
          <w:fldChar w:fldCharType="end"/>
        </w:r>
      </w:hyperlink>
    </w:p>
    <w:p w14:paraId="1AD96178" w14:textId="79EB28A4" w:rsidR="00D021FD" w:rsidRDefault="00E031EF">
      <w:pPr>
        <w:pStyle w:val="TOC2"/>
        <w:rPr>
          <w:rFonts w:asciiTheme="minorHAnsi" w:eastAsiaTheme="minorEastAsia" w:hAnsiTheme="minorHAnsi"/>
          <w:color w:val="auto"/>
          <w:sz w:val="22"/>
          <w:szCs w:val="22"/>
          <w:lang w:eastAsia="en-AU"/>
        </w:rPr>
      </w:pPr>
      <w:hyperlink w:anchor="_Toc79671812" w:history="1">
        <w:r w:rsidR="00D021FD" w:rsidRPr="00CB0D85">
          <w:rPr>
            <w:rStyle w:val="Hyperlink"/>
          </w:rPr>
          <w:t>Benefits for firm productivity</w:t>
        </w:r>
        <w:r w:rsidR="00D021FD">
          <w:rPr>
            <w:webHidden/>
          </w:rPr>
          <w:tab/>
        </w:r>
        <w:r w:rsidR="00D021FD">
          <w:rPr>
            <w:webHidden/>
          </w:rPr>
          <w:fldChar w:fldCharType="begin"/>
        </w:r>
        <w:r w:rsidR="00D021FD">
          <w:rPr>
            <w:webHidden/>
          </w:rPr>
          <w:instrText xml:space="preserve"> PAGEREF _Toc79671812 \h </w:instrText>
        </w:r>
        <w:r w:rsidR="00D021FD">
          <w:rPr>
            <w:webHidden/>
          </w:rPr>
        </w:r>
        <w:r w:rsidR="00D021FD">
          <w:rPr>
            <w:webHidden/>
          </w:rPr>
          <w:fldChar w:fldCharType="separate"/>
        </w:r>
        <w:r w:rsidR="00DD5715">
          <w:rPr>
            <w:webHidden/>
          </w:rPr>
          <w:t>35</w:t>
        </w:r>
        <w:r w:rsidR="00D021FD">
          <w:rPr>
            <w:webHidden/>
          </w:rPr>
          <w:fldChar w:fldCharType="end"/>
        </w:r>
      </w:hyperlink>
    </w:p>
    <w:p w14:paraId="207CF80F" w14:textId="3660E0EC" w:rsidR="00D021FD" w:rsidRDefault="00E031EF">
      <w:pPr>
        <w:pStyle w:val="TOC2"/>
        <w:rPr>
          <w:rFonts w:asciiTheme="minorHAnsi" w:eastAsiaTheme="minorEastAsia" w:hAnsiTheme="minorHAnsi"/>
          <w:color w:val="auto"/>
          <w:sz w:val="22"/>
          <w:szCs w:val="22"/>
          <w:lang w:eastAsia="en-AU"/>
        </w:rPr>
      </w:pPr>
      <w:hyperlink w:anchor="_Toc79671813" w:history="1">
        <w:r w:rsidR="00D021FD" w:rsidRPr="00CB0D85">
          <w:rPr>
            <w:rStyle w:val="Hyperlink"/>
          </w:rPr>
          <w:t>Key results</w:t>
        </w:r>
        <w:r w:rsidR="00D021FD">
          <w:rPr>
            <w:webHidden/>
          </w:rPr>
          <w:tab/>
        </w:r>
        <w:r w:rsidR="00D021FD">
          <w:rPr>
            <w:webHidden/>
          </w:rPr>
          <w:fldChar w:fldCharType="begin"/>
        </w:r>
        <w:r w:rsidR="00D021FD">
          <w:rPr>
            <w:webHidden/>
          </w:rPr>
          <w:instrText xml:space="preserve"> PAGEREF _Toc79671813 \h </w:instrText>
        </w:r>
        <w:r w:rsidR="00D021FD">
          <w:rPr>
            <w:webHidden/>
          </w:rPr>
        </w:r>
        <w:r w:rsidR="00D021FD">
          <w:rPr>
            <w:webHidden/>
          </w:rPr>
          <w:fldChar w:fldCharType="separate"/>
        </w:r>
        <w:r w:rsidR="00DD5715">
          <w:rPr>
            <w:webHidden/>
          </w:rPr>
          <w:t>39</w:t>
        </w:r>
        <w:r w:rsidR="00D021FD">
          <w:rPr>
            <w:webHidden/>
          </w:rPr>
          <w:fldChar w:fldCharType="end"/>
        </w:r>
      </w:hyperlink>
    </w:p>
    <w:p w14:paraId="75452B84" w14:textId="7BEA4C71" w:rsidR="00D021FD" w:rsidRDefault="00E031EF">
      <w:pPr>
        <w:pStyle w:val="TOC2"/>
        <w:rPr>
          <w:rFonts w:asciiTheme="minorHAnsi" w:eastAsiaTheme="minorEastAsia" w:hAnsiTheme="minorHAnsi"/>
          <w:color w:val="auto"/>
          <w:sz w:val="22"/>
          <w:szCs w:val="22"/>
          <w:lang w:eastAsia="en-AU"/>
        </w:rPr>
      </w:pPr>
      <w:hyperlink w:anchor="_Toc79671814" w:history="1">
        <w:r w:rsidR="00D021FD" w:rsidRPr="00CB0D85">
          <w:rPr>
            <w:rStyle w:val="Hyperlink"/>
          </w:rPr>
          <w:t>Business satellite services</w:t>
        </w:r>
        <w:r w:rsidR="00D021FD">
          <w:rPr>
            <w:webHidden/>
          </w:rPr>
          <w:tab/>
        </w:r>
        <w:r w:rsidR="00D021FD">
          <w:rPr>
            <w:webHidden/>
          </w:rPr>
          <w:fldChar w:fldCharType="begin"/>
        </w:r>
        <w:r w:rsidR="00D021FD">
          <w:rPr>
            <w:webHidden/>
          </w:rPr>
          <w:instrText xml:space="preserve"> PAGEREF _Toc79671814 \h </w:instrText>
        </w:r>
        <w:r w:rsidR="00D021FD">
          <w:rPr>
            <w:webHidden/>
          </w:rPr>
        </w:r>
        <w:r w:rsidR="00D021FD">
          <w:rPr>
            <w:webHidden/>
          </w:rPr>
          <w:fldChar w:fldCharType="separate"/>
        </w:r>
        <w:r w:rsidR="00DD5715">
          <w:rPr>
            <w:webHidden/>
          </w:rPr>
          <w:t>48</w:t>
        </w:r>
        <w:r w:rsidR="00D021FD">
          <w:rPr>
            <w:webHidden/>
          </w:rPr>
          <w:fldChar w:fldCharType="end"/>
        </w:r>
      </w:hyperlink>
    </w:p>
    <w:p w14:paraId="79A35F82" w14:textId="5D7F856F" w:rsidR="00D021FD" w:rsidRDefault="00E031EF">
      <w:pPr>
        <w:pStyle w:val="TOC1"/>
        <w:rPr>
          <w:rFonts w:asciiTheme="minorHAnsi" w:eastAsiaTheme="minorEastAsia" w:hAnsiTheme="minorHAnsi"/>
          <w:color w:val="auto"/>
          <w:sz w:val="22"/>
          <w:szCs w:val="22"/>
          <w:lang w:eastAsia="en-AU"/>
        </w:rPr>
      </w:pPr>
      <w:hyperlink w:anchor="_Toc79671815" w:history="1">
        <w:r w:rsidR="00D021FD" w:rsidRPr="00CB0D85">
          <w:rPr>
            <w:rStyle w:val="Hyperlink"/>
          </w:rPr>
          <w:t>3. Competition impacts in markets for business broadband services</w:t>
        </w:r>
        <w:r w:rsidR="00D021FD">
          <w:rPr>
            <w:webHidden/>
          </w:rPr>
          <w:tab/>
        </w:r>
        <w:r w:rsidR="00D021FD">
          <w:rPr>
            <w:webHidden/>
          </w:rPr>
          <w:fldChar w:fldCharType="begin"/>
        </w:r>
        <w:r w:rsidR="00D021FD">
          <w:rPr>
            <w:webHidden/>
          </w:rPr>
          <w:instrText xml:space="preserve"> PAGEREF _Toc79671815 \h </w:instrText>
        </w:r>
        <w:r w:rsidR="00D021FD">
          <w:rPr>
            <w:webHidden/>
          </w:rPr>
        </w:r>
        <w:r w:rsidR="00D021FD">
          <w:rPr>
            <w:webHidden/>
          </w:rPr>
          <w:fldChar w:fldCharType="separate"/>
        </w:r>
        <w:r w:rsidR="00DD5715">
          <w:rPr>
            <w:webHidden/>
          </w:rPr>
          <w:t>50</w:t>
        </w:r>
        <w:r w:rsidR="00D021FD">
          <w:rPr>
            <w:webHidden/>
          </w:rPr>
          <w:fldChar w:fldCharType="end"/>
        </w:r>
      </w:hyperlink>
    </w:p>
    <w:p w14:paraId="0B940879" w14:textId="1FC0A794" w:rsidR="00D021FD" w:rsidRDefault="00E031EF">
      <w:pPr>
        <w:pStyle w:val="TOC2"/>
        <w:rPr>
          <w:rFonts w:asciiTheme="minorHAnsi" w:eastAsiaTheme="minorEastAsia" w:hAnsiTheme="minorHAnsi"/>
          <w:color w:val="auto"/>
          <w:sz w:val="22"/>
          <w:szCs w:val="22"/>
          <w:lang w:eastAsia="en-AU"/>
        </w:rPr>
      </w:pPr>
      <w:hyperlink w:anchor="_Toc79671816" w:history="1">
        <w:r w:rsidR="00D021FD" w:rsidRPr="00CB0D85">
          <w:rPr>
            <w:rStyle w:val="Hyperlink"/>
          </w:rPr>
          <w:t>Method for identifying competition impacts</w:t>
        </w:r>
        <w:r w:rsidR="00D021FD">
          <w:rPr>
            <w:webHidden/>
          </w:rPr>
          <w:tab/>
        </w:r>
        <w:r w:rsidR="00D021FD">
          <w:rPr>
            <w:webHidden/>
          </w:rPr>
          <w:fldChar w:fldCharType="begin"/>
        </w:r>
        <w:r w:rsidR="00D021FD">
          <w:rPr>
            <w:webHidden/>
          </w:rPr>
          <w:instrText xml:space="preserve"> PAGEREF _Toc79671816 \h </w:instrText>
        </w:r>
        <w:r w:rsidR="00D021FD">
          <w:rPr>
            <w:webHidden/>
          </w:rPr>
        </w:r>
        <w:r w:rsidR="00D021FD">
          <w:rPr>
            <w:webHidden/>
          </w:rPr>
          <w:fldChar w:fldCharType="separate"/>
        </w:r>
        <w:r w:rsidR="00DD5715">
          <w:rPr>
            <w:webHidden/>
          </w:rPr>
          <w:t>50</w:t>
        </w:r>
        <w:r w:rsidR="00D021FD">
          <w:rPr>
            <w:webHidden/>
          </w:rPr>
          <w:fldChar w:fldCharType="end"/>
        </w:r>
      </w:hyperlink>
    </w:p>
    <w:p w14:paraId="4915C261" w14:textId="6714E250" w:rsidR="00D021FD" w:rsidRDefault="00E031EF">
      <w:pPr>
        <w:pStyle w:val="TOC2"/>
        <w:rPr>
          <w:rFonts w:asciiTheme="minorHAnsi" w:eastAsiaTheme="minorEastAsia" w:hAnsiTheme="minorHAnsi"/>
          <w:color w:val="auto"/>
          <w:sz w:val="22"/>
          <w:szCs w:val="22"/>
          <w:lang w:eastAsia="en-AU"/>
        </w:rPr>
      </w:pPr>
      <w:hyperlink w:anchor="_Toc79671817" w:history="1">
        <w:r w:rsidR="00D021FD" w:rsidRPr="00CB0D85">
          <w:rPr>
            <w:rStyle w:val="Hyperlink"/>
          </w:rPr>
          <w:t>Two markets relevant to business broadband services</w:t>
        </w:r>
        <w:r w:rsidR="00D021FD">
          <w:rPr>
            <w:webHidden/>
          </w:rPr>
          <w:tab/>
        </w:r>
        <w:r w:rsidR="00D021FD">
          <w:rPr>
            <w:webHidden/>
          </w:rPr>
          <w:fldChar w:fldCharType="begin"/>
        </w:r>
        <w:r w:rsidR="00D021FD">
          <w:rPr>
            <w:webHidden/>
          </w:rPr>
          <w:instrText xml:space="preserve"> PAGEREF _Toc79671817 \h </w:instrText>
        </w:r>
        <w:r w:rsidR="00D021FD">
          <w:rPr>
            <w:webHidden/>
          </w:rPr>
        </w:r>
        <w:r w:rsidR="00D021FD">
          <w:rPr>
            <w:webHidden/>
          </w:rPr>
          <w:fldChar w:fldCharType="separate"/>
        </w:r>
        <w:r w:rsidR="00DD5715">
          <w:rPr>
            <w:webHidden/>
          </w:rPr>
          <w:t>51</w:t>
        </w:r>
        <w:r w:rsidR="00D021FD">
          <w:rPr>
            <w:webHidden/>
          </w:rPr>
          <w:fldChar w:fldCharType="end"/>
        </w:r>
      </w:hyperlink>
    </w:p>
    <w:p w14:paraId="62CED475" w14:textId="1D0D2A83" w:rsidR="00D021FD" w:rsidRDefault="00E031EF">
      <w:pPr>
        <w:pStyle w:val="TOC2"/>
        <w:rPr>
          <w:rFonts w:asciiTheme="minorHAnsi" w:eastAsiaTheme="minorEastAsia" w:hAnsiTheme="minorHAnsi"/>
          <w:color w:val="auto"/>
          <w:sz w:val="22"/>
          <w:szCs w:val="22"/>
          <w:lang w:eastAsia="en-AU"/>
        </w:rPr>
      </w:pPr>
      <w:hyperlink w:anchor="_Toc79671818" w:history="1">
        <w:r w:rsidR="00D021FD" w:rsidRPr="00CB0D85">
          <w:rPr>
            <w:rStyle w:val="Hyperlink"/>
          </w:rPr>
          <w:t>Wholesale network markets</w:t>
        </w:r>
        <w:r w:rsidR="00D021FD">
          <w:rPr>
            <w:webHidden/>
          </w:rPr>
          <w:tab/>
        </w:r>
        <w:r w:rsidR="00D021FD">
          <w:rPr>
            <w:webHidden/>
          </w:rPr>
          <w:fldChar w:fldCharType="begin"/>
        </w:r>
        <w:r w:rsidR="00D021FD">
          <w:rPr>
            <w:webHidden/>
          </w:rPr>
          <w:instrText xml:space="preserve"> PAGEREF _Toc79671818 \h </w:instrText>
        </w:r>
        <w:r w:rsidR="00D021FD">
          <w:rPr>
            <w:webHidden/>
          </w:rPr>
        </w:r>
        <w:r w:rsidR="00D021FD">
          <w:rPr>
            <w:webHidden/>
          </w:rPr>
          <w:fldChar w:fldCharType="separate"/>
        </w:r>
        <w:r w:rsidR="00DD5715">
          <w:rPr>
            <w:webHidden/>
          </w:rPr>
          <w:t>53</w:t>
        </w:r>
        <w:r w:rsidR="00D021FD">
          <w:rPr>
            <w:webHidden/>
          </w:rPr>
          <w:fldChar w:fldCharType="end"/>
        </w:r>
      </w:hyperlink>
    </w:p>
    <w:p w14:paraId="33B988D0" w14:textId="2284792A" w:rsidR="00D021FD" w:rsidRDefault="00E031EF">
      <w:pPr>
        <w:pStyle w:val="TOC2"/>
        <w:rPr>
          <w:rFonts w:asciiTheme="minorHAnsi" w:eastAsiaTheme="minorEastAsia" w:hAnsiTheme="minorHAnsi"/>
          <w:color w:val="auto"/>
          <w:sz w:val="22"/>
          <w:szCs w:val="22"/>
          <w:lang w:eastAsia="en-AU"/>
        </w:rPr>
      </w:pPr>
      <w:hyperlink w:anchor="_Toc79671819" w:history="1">
        <w:r w:rsidR="00D021FD" w:rsidRPr="00CB0D85">
          <w:rPr>
            <w:rStyle w:val="Hyperlink"/>
          </w:rPr>
          <w:t>Retail broadband service markets</w:t>
        </w:r>
        <w:r w:rsidR="00D021FD">
          <w:rPr>
            <w:webHidden/>
          </w:rPr>
          <w:tab/>
        </w:r>
        <w:r w:rsidR="00D021FD">
          <w:rPr>
            <w:webHidden/>
          </w:rPr>
          <w:fldChar w:fldCharType="begin"/>
        </w:r>
        <w:r w:rsidR="00D021FD">
          <w:rPr>
            <w:webHidden/>
          </w:rPr>
          <w:instrText xml:space="preserve"> PAGEREF _Toc79671819 \h </w:instrText>
        </w:r>
        <w:r w:rsidR="00D021FD">
          <w:rPr>
            <w:webHidden/>
          </w:rPr>
        </w:r>
        <w:r w:rsidR="00D021FD">
          <w:rPr>
            <w:webHidden/>
          </w:rPr>
          <w:fldChar w:fldCharType="separate"/>
        </w:r>
        <w:r w:rsidR="00DD5715">
          <w:rPr>
            <w:webHidden/>
          </w:rPr>
          <w:t>53</w:t>
        </w:r>
        <w:r w:rsidR="00D021FD">
          <w:rPr>
            <w:webHidden/>
          </w:rPr>
          <w:fldChar w:fldCharType="end"/>
        </w:r>
      </w:hyperlink>
    </w:p>
    <w:p w14:paraId="6FC25426" w14:textId="74F5389B" w:rsidR="00D021FD" w:rsidRDefault="00E031EF">
      <w:pPr>
        <w:pStyle w:val="TOC2"/>
        <w:rPr>
          <w:rFonts w:asciiTheme="minorHAnsi" w:eastAsiaTheme="minorEastAsia" w:hAnsiTheme="minorHAnsi"/>
          <w:color w:val="auto"/>
          <w:sz w:val="22"/>
          <w:szCs w:val="22"/>
          <w:lang w:eastAsia="en-AU"/>
        </w:rPr>
      </w:pPr>
      <w:hyperlink w:anchor="_Toc79671820" w:history="1">
        <w:r w:rsidR="00D021FD" w:rsidRPr="00CB0D85">
          <w:rPr>
            <w:rStyle w:val="Hyperlink"/>
          </w:rPr>
          <w:t>Competition in business markets without the investment</w:t>
        </w:r>
        <w:r w:rsidR="00D021FD">
          <w:rPr>
            <w:webHidden/>
          </w:rPr>
          <w:tab/>
        </w:r>
        <w:r w:rsidR="00D021FD">
          <w:rPr>
            <w:webHidden/>
          </w:rPr>
          <w:fldChar w:fldCharType="begin"/>
        </w:r>
        <w:r w:rsidR="00D021FD">
          <w:rPr>
            <w:webHidden/>
          </w:rPr>
          <w:instrText xml:space="preserve"> PAGEREF _Toc79671820 \h </w:instrText>
        </w:r>
        <w:r w:rsidR="00D021FD">
          <w:rPr>
            <w:webHidden/>
          </w:rPr>
        </w:r>
        <w:r w:rsidR="00D021FD">
          <w:rPr>
            <w:webHidden/>
          </w:rPr>
          <w:fldChar w:fldCharType="separate"/>
        </w:r>
        <w:r w:rsidR="00DD5715">
          <w:rPr>
            <w:webHidden/>
          </w:rPr>
          <w:t>53</w:t>
        </w:r>
        <w:r w:rsidR="00D021FD">
          <w:rPr>
            <w:webHidden/>
          </w:rPr>
          <w:fldChar w:fldCharType="end"/>
        </w:r>
      </w:hyperlink>
    </w:p>
    <w:p w14:paraId="0D2325AD" w14:textId="7F9853D1" w:rsidR="00D021FD" w:rsidRDefault="00E031EF">
      <w:pPr>
        <w:pStyle w:val="TOC2"/>
        <w:rPr>
          <w:rFonts w:asciiTheme="minorHAnsi" w:eastAsiaTheme="minorEastAsia" w:hAnsiTheme="minorHAnsi"/>
          <w:color w:val="auto"/>
          <w:sz w:val="22"/>
          <w:szCs w:val="22"/>
          <w:lang w:eastAsia="en-AU"/>
        </w:rPr>
      </w:pPr>
      <w:hyperlink w:anchor="_Toc79671821" w:history="1">
        <w:r w:rsidR="00D021FD" w:rsidRPr="00CB0D85">
          <w:rPr>
            <w:rStyle w:val="Hyperlink"/>
          </w:rPr>
          <w:t>Competition in business markets with the investment</w:t>
        </w:r>
        <w:r w:rsidR="00D021FD">
          <w:rPr>
            <w:webHidden/>
          </w:rPr>
          <w:tab/>
        </w:r>
        <w:r w:rsidR="00D021FD">
          <w:rPr>
            <w:webHidden/>
          </w:rPr>
          <w:fldChar w:fldCharType="begin"/>
        </w:r>
        <w:r w:rsidR="00D021FD">
          <w:rPr>
            <w:webHidden/>
          </w:rPr>
          <w:instrText xml:space="preserve"> PAGEREF _Toc79671821 \h </w:instrText>
        </w:r>
        <w:r w:rsidR="00D021FD">
          <w:rPr>
            <w:webHidden/>
          </w:rPr>
        </w:r>
        <w:r w:rsidR="00D021FD">
          <w:rPr>
            <w:webHidden/>
          </w:rPr>
          <w:fldChar w:fldCharType="separate"/>
        </w:r>
        <w:r w:rsidR="00DD5715">
          <w:rPr>
            <w:webHidden/>
          </w:rPr>
          <w:t>56</w:t>
        </w:r>
        <w:r w:rsidR="00D021FD">
          <w:rPr>
            <w:webHidden/>
          </w:rPr>
          <w:fldChar w:fldCharType="end"/>
        </w:r>
      </w:hyperlink>
    </w:p>
    <w:p w14:paraId="186918AB" w14:textId="20122EE9" w:rsidR="00D021FD" w:rsidRDefault="00E031EF">
      <w:pPr>
        <w:pStyle w:val="TOC2"/>
        <w:rPr>
          <w:rFonts w:asciiTheme="minorHAnsi" w:eastAsiaTheme="minorEastAsia" w:hAnsiTheme="minorHAnsi"/>
          <w:color w:val="auto"/>
          <w:sz w:val="22"/>
          <w:szCs w:val="22"/>
          <w:lang w:eastAsia="en-AU"/>
        </w:rPr>
      </w:pPr>
      <w:hyperlink w:anchor="_Toc79671822" w:history="1">
        <w:r w:rsidR="00D021FD" w:rsidRPr="00CB0D85">
          <w:rPr>
            <w:rStyle w:val="Hyperlink"/>
          </w:rPr>
          <w:t>Expected competition benefits</w:t>
        </w:r>
        <w:r w:rsidR="00D021FD">
          <w:rPr>
            <w:webHidden/>
          </w:rPr>
          <w:tab/>
        </w:r>
        <w:r w:rsidR="00D021FD">
          <w:rPr>
            <w:webHidden/>
          </w:rPr>
          <w:fldChar w:fldCharType="begin"/>
        </w:r>
        <w:r w:rsidR="00D021FD">
          <w:rPr>
            <w:webHidden/>
          </w:rPr>
          <w:instrText xml:space="preserve"> PAGEREF _Toc79671822 \h </w:instrText>
        </w:r>
        <w:r w:rsidR="00D021FD">
          <w:rPr>
            <w:webHidden/>
          </w:rPr>
        </w:r>
        <w:r w:rsidR="00D021FD">
          <w:rPr>
            <w:webHidden/>
          </w:rPr>
          <w:fldChar w:fldCharType="separate"/>
        </w:r>
        <w:r w:rsidR="00DD5715">
          <w:rPr>
            <w:webHidden/>
          </w:rPr>
          <w:t>59</w:t>
        </w:r>
        <w:r w:rsidR="00D021FD">
          <w:rPr>
            <w:webHidden/>
          </w:rPr>
          <w:fldChar w:fldCharType="end"/>
        </w:r>
      </w:hyperlink>
    </w:p>
    <w:p w14:paraId="12E42227" w14:textId="79169A8B" w:rsidR="00D021FD" w:rsidRDefault="00E031EF">
      <w:pPr>
        <w:pStyle w:val="TOC1"/>
        <w:rPr>
          <w:rFonts w:asciiTheme="minorHAnsi" w:eastAsiaTheme="minorEastAsia" w:hAnsiTheme="minorHAnsi"/>
          <w:color w:val="auto"/>
          <w:sz w:val="22"/>
          <w:szCs w:val="22"/>
          <w:lang w:eastAsia="en-AU"/>
        </w:rPr>
      </w:pPr>
      <w:hyperlink w:anchor="_Toc79671823" w:history="1">
        <w:r w:rsidR="00D021FD" w:rsidRPr="00CB0D85">
          <w:rPr>
            <w:rStyle w:val="Hyperlink"/>
          </w:rPr>
          <w:t>4. Case studies on business impacts</w:t>
        </w:r>
        <w:r w:rsidR="00D021FD">
          <w:rPr>
            <w:webHidden/>
          </w:rPr>
          <w:tab/>
        </w:r>
        <w:r w:rsidR="00D021FD">
          <w:rPr>
            <w:webHidden/>
          </w:rPr>
          <w:fldChar w:fldCharType="begin"/>
        </w:r>
        <w:r w:rsidR="00D021FD">
          <w:rPr>
            <w:webHidden/>
          </w:rPr>
          <w:instrText xml:space="preserve"> PAGEREF _Toc79671823 \h </w:instrText>
        </w:r>
        <w:r w:rsidR="00D021FD">
          <w:rPr>
            <w:webHidden/>
          </w:rPr>
        </w:r>
        <w:r w:rsidR="00D021FD">
          <w:rPr>
            <w:webHidden/>
          </w:rPr>
          <w:fldChar w:fldCharType="separate"/>
        </w:r>
        <w:r w:rsidR="00DD5715">
          <w:rPr>
            <w:webHidden/>
          </w:rPr>
          <w:t>66</w:t>
        </w:r>
        <w:r w:rsidR="00D021FD">
          <w:rPr>
            <w:webHidden/>
          </w:rPr>
          <w:fldChar w:fldCharType="end"/>
        </w:r>
      </w:hyperlink>
    </w:p>
    <w:p w14:paraId="54FEF753" w14:textId="2271E8C3" w:rsidR="00D021FD" w:rsidRDefault="00E031EF">
      <w:pPr>
        <w:pStyle w:val="TOC2"/>
        <w:rPr>
          <w:rFonts w:asciiTheme="minorHAnsi" w:eastAsiaTheme="minorEastAsia" w:hAnsiTheme="minorHAnsi"/>
          <w:color w:val="auto"/>
          <w:sz w:val="22"/>
          <w:szCs w:val="22"/>
          <w:lang w:eastAsia="en-AU"/>
        </w:rPr>
      </w:pPr>
      <w:hyperlink w:anchor="_Toc79671824" w:history="1">
        <w:r w:rsidR="00D021FD" w:rsidRPr="00CB0D85">
          <w:rPr>
            <w:rStyle w:val="Hyperlink"/>
          </w:rPr>
          <w:t>Introduction</w:t>
        </w:r>
        <w:r w:rsidR="00D021FD">
          <w:rPr>
            <w:webHidden/>
          </w:rPr>
          <w:tab/>
        </w:r>
        <w:r w:rsidR="00D021FD">
          <w:rPr>
            <w:webHidden/>
          </w:rPr>
          <w:fldChar w:fldCharType="begin"/>
        </w:r>
        <w:r w:rsidR="00D021FD">
          <w:rPr>
            <w:webHidden/>
          </w:rPr>
          <w:instrText xml:space="preserve"> PAGEREF _Toc79671824 \h </w:instrText>
        </w:r>
        <w:r w:rsidR="00D021FD">
          <w:rPr>
            <w:webHidden/>
          </w:rPr>
        </w:r>
        <w:r w:rsidR="00D021FD">
          <w:rPr>
            <w:webHidden/>
          </w:rPr>
          <w:fldChar w:fldCharType="separate"/>
        </w:r>
        <w:r w:rsidR="00DD5715">
          <w:rPr>
            <w:webHidden/>
          </w:rPr>
          <w:t>66</w:t>
        </w:r>
        <w:r w:rsidR="00D021FD">
          <w:rPr>
            <w:webHidden/>
          </w:rPr>
          <w:fldChar w:fldCharType="end"/>
        </w:r>
      </w:hyperlink>
    </w:p>
    <w:p w14:paraId="54631E17" w14:textId="7090FC62" w:rsidR="00D021FD" w:rsidRDefault="00E031EF">
      <w:pPr>
        <w:pStyle w:val="TOC2"/>
        <w:rPr>
          <w:rFonts w:asciiTheme="minorHAnsi" w:eastAsiaTheme="minorEastAsia" w:hAnsiTheme="minorHAnsi"/>
          <w:color w:val="auto"/>
          <w:sz w:val="22"/>
          <w:szCs w:val="22"/>
          <w:lang w:eastAsia="en-AU"/>
        </w:rPr>
      </w:pPr>
      <w:hyperlink w:anchor="_Toc79671825" w:history="1">
        <w:r w:rsidR="00D021FD" w:rsidRPr="00CB0D85">
          <w:rPr>
            <w:rStyle w:val="Hyperlink"/>
          </w:rPr>
          <w:t>Case studies</w:t>
        </w:r>
        <w:r w:rsidR="00D021FD">
          <w:rPr>
            <w:webHidden/>
          </w:rPr>
          <w:tab/>
        </w:r>
        <w:r w:rsidR="00D021FD">
          <w:rPr>
            <w:webHidden/>
          </w:rPr>
          <w:fldChar w:fldCharType="begin"/>
        </w:r>
        <w:r w:rsidR="00D021FD">
          <w:rPr>
            <w:webHidden/>
          </w:rPr>
          <w:instrText xml:space="preserve"> PAGEREF _Toc79671825 \h </w:instrText>
        </w:r>
        <w:r w:rsidR="00D021FD">
          <w:rPr>
            <w:webHidden/>
          </w:rPr>
        </w:r>
        <w:r w:rsidR="00D021FD">
          <w:rPr>
            <w:webHidden/>
          </w:rPr>
          <w:fldChar w:fldCharType="separate"/>
        </w:r>
        <w:r w:rsidR="00DD5715">
          <w:rPr>
            <w:webHidden/>
          </w:rPr>
          <w:t>67</w:t>
        </w:r>
        <w:r w:rsidR="00D021FD">
          <w:rPr>
            <w:webHidden/>
          </w:rPr>
          <w:fldChar w:fldCharType="end"/>
        </w:r>
      </w:hyperlink>
    </w:p>
    <w:p w14:paraId="79864A9E" w14:textId="00E51647" w:rsidR="00D021FD" w:rsidRDefault="00E031EF">
      <w:pPr>
        <w:pStyle w:val="TOC2"/>
        <w:rPr>
          <w:rFonts w:asciiTheme="minorHAnsi" w:eastAsiaTheme="minorEastAsia" w:hAnsiTheme="minorHAnsi"/>
          <w:color w:val="auto"/>
          <w:sz w:val="22"/>
          <w:szCs w:val="22"/>
          <w:lang w:eastAsia="en-AU"/>
        </w:rPr>
      </w:pPr>
      <w:hyperlink w:anchor="_Toc79671826" w:history="1">
        <w:r w:rsidR="00D021FD" w:rsidRPr="00CB0D85">
          <w:rPr>
            <w:rStyle w:val="Hyperlink"/>
          </w:rPr>
          <w:t>Key lessons from the case studies</w:t>
        </w:r>
        <w:r w:rsidR="00D021FD">
          <w:rPr>
            <w:webHidden/>
          </w:rPr>
          <w:tab/>
        </w:r>
        <w:r w:rsidR="00D021FD">
          <w:rPr>
            <w:webHidden/>
          </w:rPr>
          <w:fldChar w:fldCharType="begin"/>
        </w:r>
        <w:r w:rsidR="00D021FD">
          <w:rPr>
            <w:webHidden/>
          </w:rPr>
          <w:instrText xml:space="preserve"> PAGEREF _Toc79671826 \h </w:instrText>
        </w:r>
        <w:r w:rsidR="00D021FD">
          <w:rPr>
            <w:webHidden/>
          </w:rPr>
        </w:r>
        <w:r w:rsidR="00D021FD">
          <w:rPr>
            <w:webHidden/>
          </w:rPr>
          <w:fldChar w:fldCharType="separate"/>
        </w:r>
        <w:r w:rsidR="00DD5715">
          <w:rPr>
            <w:webHidden/>
          </w:rPr>
          <w:t>72</w:t>
        </w:r>
        <w:r w:rsidR="00D021FD">
          <w:rPr>
            <w:webHidden/>
          </w:rPr>
          <w:fldChar w:fldCharType="end"/>
        </w:r>
      </w:hyperlink>
    </w:p>
    <w:p w14:paraId="2FE98FAD" w14:textId="25594F1E" w:rsidR="00D021FD" w:rsidRDefault="00E031EF">
      <w:pPr>
        <w:pStyle w:val="TOC1"/>
        <w:rPr>
          <w:rFonts w:asciiTheme="minorHAnsi" w:eastAsiaTheme="minorEastAsia" w:hAnsiTheme="minorHAnsi"/>
          <w:color w:val="auto"/>
          <w:sz w:val="22"/>
          <w:szCs w:val="22"/>
          <w:lang w:eastAsia="en-AU"/>
        </w:rPr>
      </w:pPr>
      <w:hyperlink w:anchor="_Toc79671827" w:history="1">
        <w:r w:rsidR="00D021FD" w:rsidRPr="00CB0D85">
          <w:rPr>
            <w:rStyle w:val="Hyperlink"/>
          </w:rPr>
          <w:t>A</w:t>
        </w:r>
        <w:r w:rsidR="00D021FD">
          <w:rPr>
            <w:rFonts w:asciiTheme="minorHAnsi" w:eastAsiaTheme="minorEastAsia" w:hAnsiTheme="minorHAnsi"/>
            <w:color w:val="auto"/>
            <w:sz w:val="22"/>
            <w:szCs w:val="22"/>
            <w:lang w:eastAsia="en-AU"/>
          </w:rPr>
          <w:tab/>
        </w:r>
        <w:r w:rsidR="00D021FD" w:rsidRPr="00CB0D85">
          <w:rPr>
            <w:rStyle w:val="Hyperlink"/>
          </w:rPr>
          <w:t>Literature review on the economic effects of broadband investment</w:t>
        </w:r>
        <w:r w:rsidR="00D021FD">
          <w:rPr>
            <w:webHidden/>
          </w:rPr>
          <w:tab/>
        </w:r>
        <w:r w:rsidR="00D021FD">
          <w:rPr>
            <w:webHidden/>
          </w:rPr>
          <w:fldChar w:fldCharType="begin"/>
        </w:r>
        <w:r w:rsidR="00D021FD">
          <w:rPr>
            <w:webHidden/>
          </w:rPr>
          <w:instrText xml:space="preserve"> PAGEREF _Toc79671827 \h </w:instrText>
        </w:r>
        <w:r w:rsidR="00D021FD">
          <w:rPr>
            <w:webHidden/>
          </w:rPr>
        </w:r>
        <w:r w:rsidR="00D021FD">
          <w:rPr>
            <w:webHidden/>
          </w:rPr>
          <w:fldChar w:fldCharType="separate"/>
        </w:r>
        <w:r w:rsidR="00DD5715">
          <w:rPr>
            <w:webHidden/>
          </w:rPr>
          <w:t>74</w:t>
        </w:r>
        <w:r w:rsidR="00D021FD">
          <w:rPr>
            <w:webHidden/>
          </w:rPr>
          <w:fldChar w:fldCharType="end"/>
        </w:r>
      </w:hyperlink>
    </w:p>
    <w:p w14:paraId="2E39B87D" w14:textId="3326CF4E" w:rsidR="00D021FD" w:rsidRDefault="00E031EF">
      <w:pPr>
        <w:pStyle w:val="TOC2"/>
        <w:rPr>
          <w:rFonts w:asciiTheme="minorHAnsi" w:eastAsiaTheme="minorEastAsia" w:hAnsiTheme="minorHAnsi"/>
          <w:color w:val="auto"/>
          <w:sz w:val="22"/>
          <w:szCs w:val="22"/>
          <w:lang w:eastAsia="en-AU"/>
        </w:rPr>
      </w:pPr>
      <w:hyperlink w:anchor="_Toc79671828" w:history="1">
        <w:r w:rsidR="00D021FD" w:rsidRPr="00CB0D85">
          <w:rPr>
            <w:rStyle w:val="Hyperlink"/>
          </w:rPr>
          <w:t>Scope of review</w:t>
        </w:r>
        <w:r w:rsidR="00D021FD">
          <w:rPr>
            <w:webHidden/>
          </w:rPr>
          <w:tab/>
        </w:r>
        <w:r w:rsidR="00D021FD">
          <w:rPr>
            <w:webHidden/>
          </w:rPr>
          <w:fldChar w:fldCharType="begin"/>
        </w:r>
        <w:r w:rsidR="00D021FD">
          <w:rPr>
            <w:webHidden/>
          </w:rPr>
          <w:instrText xml:space="preserve"> PAGEREF _Toc79671828 \h </w:instrText>
        </w:r>
        <w:r w:rsidR="00D021FD">
          <w:rPr>
            <w:webHidden/>
          </w:rPr>
        </w:r>
        <w:r w:rsidR="00D021FD">
          <w:rPr>
            <w:webHidden/>
          </w:rPr>
          <w:fldChar w:fldCharType="separate"/>
        </w:r>
        <w:r w:rsidR="00DD5715">
          <w:rPr>
            <w:webHidden/>
          </w:rPr>
          <w:t>74</w:t>
        </w:r>
        <w:r w:rsidR="00D021FD">
          <w:rPr>
            <w:webHidden/>
          </w:rPr>
          <w:fldChar w:fldCharType="end"/>
        </w:r>
      </w:hyperlink>
    </w:p>
    <w:p w14:paraId="776768AD" w14:textId="55FC5917" w:rsidR="00D021FD" w:rsidRDefault="00E031EF">
      <w:pPr>
        <w:pStyle w:val="TOC2"/>
        <w:rPr>
          <w:rFonts w:asciiTheme="minorHAnsi" w:eastAsiaTheme="minorEastAsia" w:hAnsiTheme="minorHAnsi"/>
          <w:color w:val="auto"/>
          <w:sz w:val="22"/>
          <w:szCs w:val="22"/>
          <w:lang w:eastAsia="en-AU"/>
        </w:rPr>
      </w:pPr>
      <w:hyperlink w:anchor="_Toc79671829" w:history="1">
        <w:r w:rsidR="00D021FD" w:rsidRPr="00CB0D85">
          <w:rPr>
            <w:rStyle w:val="Hyperlink"/>
          </w:rPr>
          <w:t>Direct benefits</w:t>
        </w:r>
        <w:r w:rsidR="00D021FD">
          <w:rPr>
            <w:webHidden/>
          </w:rPr>
          <w:tab/>
        </w:r>
        <w:r w:rsidR="00D021FD">
          <w:rPr>
            <w:webHidden/>
          </w:rPr>
          <w:fldChar w:fldCharType="begin"/>
        </w:r>
        <w:r w:rsidR="00D021FD">
          <w:rPr>
            <w:webHidden/>
          </w:rPr>
          <w:instrText xml:space="preserve"> PAGEREF _Toc79671829 \h </w:instrText>
        </w:r>
        <w:r w:rsidR="00D021FD">
          <w:rPr>
            <w:webHidden/>
          </w:rPr>
        </w:r>
        <w:r w:rsidR="00D021FD">
          <w:rPr>
            <w:webHidden/>
          </w:rPr>
          <w:fldChar w:fldCharType="separate"/>
        </w:r>
        <w:r w:rsidR="00DD5715">
          <w:rPr>
            <w:webHidden/>
          </w:rPr>
          <w:t>75</w:t>
        </w:r>
        <w:r w:rsidR="00D021FD">
          <w:rPr>
            <w:webHidden/>
          </w:rPr>
          <w:fldChar w:fldCharType="end"/>
        </w:r>
      </w:hyperlink>
    </w:p>
    <w:p w14:paraId="5527A9CF" w14:textId="16C222F0" w:rsidR="00D021FD" w:rsidRDefault="00E031EF">
      <w:pPr>
        <w:pStyle w:val="TOC2"/>
        <w:rPr>
          <w:rFonts w:asciiTheme="minorHAnsi" w:eastAsiaTheme="minorEastAsia" w:hAnsiTheme="minorHAnsi"/>
          <w:color w:val="auto"/>
          <w:sz w:val="22"/>
          <w:szCs w:val="22"/>
          <w:lang w:eastAsia="en-AU"/>
        </w:rPr>
      </w:pPr>
      <w:hyperlink w:anchor="_Toc79671830" w:history="1">
        <w:r w:rsidR="00D021FD" w:rsidRPr="00CB0D85">
          <w:rPr>
            <w:rStyle w:val="Hyperlink"/>
          </w:rPr>
          <w:t>Assessing the evidence from literature review</w:t>
        </w:r>
        <w:r w:rsidR="00D021FD">
          <w:rPr>
            <w:webHidden/>
          </w:rPr>
          <w:tab/>
        </w:r>
        <w:r w:rsidR="00D021FD">
          <w:rPr>
            <w:webHidden/>
          </w:rPr>
          <w:fldChar w:fldCharType="begin"/>
        </w:r>
        <w:r w:rsidR="00D021FD">
          <w:rPr>
            <w:webHidden/>
          </w:rPr>
          <w:instrText xml:space="preserve"> PAGEREF _Toc79671830 \h </w:instrText>
        </w:r>
        <w:r w:rsidR="00D021FD">
          <w:rPr>
            <w:webHidden/>
          </w:rPr>
        </w:r>
        <w:r w:rsidR="00D021FD">
          <w:rPr>
            <w:webHidden/>
          </w:rPr>
          <w:fldChar w:fldCharType="separate"/>
        </w:r>
        <w:r w:rsidR="00DD5715">
          <w:rPr>
            <w:webHidden/>
          </w:rPr>
          <w:t>80</w:t>
        </w:r>
        <w:r w:rsidR="00D021FD">
          <w:rPr>
            <w:webHidden/>
          </w:rPr>
          <w:fldChar w:fldCharType="end"/>
        </w:r>
      </w:hyperlink>
    </w:p>
    <w:p w14:paraId="6DAA58DE" w14:textId="45A4F346" w:rsidR="00D021FD" w:rsidRDefault="00E031EF">
      <w:pPr>
        <w:pStyle w:val="TOC1"/>
        <w:rPr>
          <w:rFonts w:asciiTheme="minorHAnsi" w:eastAsiaTheme="minorEastAsia" w:hAnsiTheme="minorHAnsi"/>
          <w:color w:val="auto"/>
          <w:sz w:val="22"/>
          <w:szCs w:val="22"/>
          <w:lang w:eastAsia="en-AU"/>
        </w:rPr>
      </w:pPr>
      <w:hyperlink w:anchor="_Toc79671831" w:history="1">
        <w:r w:rsidR="00D021FD" w:rsidRPr="00CB0D85">
          <w:rPr>
            <w:rStyle w:val="Hyperlink"/>
          </w:rPr>
          <w:t>B</w:t>
        </w:r>
        <w:r w:rsidR="00D021FD">
          <w:rPr>
            <w:rFonts w:asciiTheme="minorHAnsi" w:eastAsiaTheme="minorEastAsia" w:hAnsiTheme="minorHAnsi"/>
            <w:color w:val="auto"/>
            <w:sz w:val="22"/>
            <w:szCs w:val="22"/>
            <w:lang w:eastAsia="en-AU"/>
          </w:rPr>
          <w:tab/>
        </w:r>
        <w:r w:rsidR="00D021FD" w:rsidRPr="00CB0D85">
          <w:rPr>
            <w:rStyle w:val="Hyperlink"/>
          </w:rPr>
          <w:t>Further details on benefits methodology</w:t>
        </w:r>
        <w:r w:rsidR="00D021FD">
          <w:rPr>
            <w:webHidden/>
          </w:rPr>
          <w:tab/>
        </w:r>
        <w:r w:rsidR="00D021FD">
          <w:rPr>
            <w:webHidden/>
          </w:rPr>
          <w:fldChar w:fldCharType="begin"/>
        </w:r>
        <w:r w:rsidR="00D021FD">
          <w:rPr>
            <w:webHidden/>
          </w:rPr>
          <w:instrText xml:space="preserve"> PAGEREF _Toc79671831 \h </w:instrText>
        </w:r>
        <w:r w:rsidR="00D021FD">
          <w:rPr>
            <w:webHidden/>
          </w:rPr>
        </w:r>
        <w:r w:rsidR="00D021FD">
          <w:rPr>
            <w:webHidden/>
          </w:rPr>
          <w:fldChar w:fldCharType="separate"/>
        </w:r>
        <w:r w:rsidR="00DD5715">
          <w:rPr>
            <w:webHidden/>
          </w:rPr>
          <w:t>82</w:t>
        </w:r>
        <w:r w:rsidR="00D021FD">
          <w:rPr>
            <w:webHidden/>
          </w:rPr>
          <w:fldChar w:fldCharType="end"/>
        </w:r>
      </w:hyperlink>
    </w:p>
    <w:p w14:paraId="3B20215A" w14:textId="2BC495FB" w:rsidR="00D021FD" w:rsidRDefault="00E031EF">
      <w:pPr>
        <w:pStyle w:val="TOC2"/>
        <w:rPr>
          <w:rFonts w:asciiTheme="minorHAnsi" w:eastAsiaTheme="minorEastAsia" w:hAnsiTheme="minorHAnsi"/>
          <w:color w:val="auto"/>
          <w:sz w:val="22"/>
          <w:szCs w:val="22"/>
          <w:lang w:eastAsia="en-AU"/>
        </w:rPr>
      </w:pPr>
      <w:hyperlink w:anchor="_Toc79671832" w:history="1">
        <w:r w:rsidR="00D021FD" w:rsidRPr="00CB0D85">
          <w:rPr>
            <w:rStyle w:val="Hyperlink"/>
          </w:rPr>
          <w:t>Estimation of gross value added</w:t>
        </w:r>
        <w:r w:rsidR="00D021FD">
          <w:rPr>
            <w:webHidden/>
          </w:rPr>
          <w:tab/>
        </w:r>
        <w:r w:rsidR="00D021FD">
          <w:rPr>
            <w:webHidden/>
          </w:rPr>
          <w:fldChar w:fldCharType="begin"/>
        </w:r>
        <w:r w:rsidR="00D021FD">
          <w:rPr>
            <w:webHidden/>
          </w:rPr>
          <w:instrText xml:space="preserve"> PAGEREF _Toc79671832 \h </w:instrText>
        </w:r>
        <w:r w:rsidR="00D021FD">
          <w:rPr>
            <w:webHidden/>
          </w:rPr>
        </w:r>
        <w:r w:rsidR="00D021FD">
          <w:rPr>
            <w:webHidden/>
          </w:rPr>
          <w:fldChar w:fldCharType="separate"/>
        </w:r>
        <w:r w:rsidR="00DD5715">
          <w:rPr>
            <w:webHidden/>
          </w:rPr>
          <w:t>82</w:t>
        </w:r>
        <w:r w:rsidR="00D021FD">
          <w:rPr>
            <w:webHidden/>
          </w:rPr>
          <w:fldChar w:fldCharType="end"/>
        </w:r>
      </w:hyperlink>
    </w:p>
    <w:p w14:paraId="5AAC5854" w14:textId="246CAF98" w:rsidR="00D021FD" w:rsidRDefault="00E031EF">
      <w:pPr>
        <w:pStyle w:val="TOC2"/>
        <w:rPr>
          <w:rFonts w:asciiTheme="minorHAnsi" w:eastAsiaTheme="minorEastAsia" w:hAnsiTheme="minorHAnsi"/>
          <w:color w:val="auto"/>
          <w:sz w:val="22"/>
          <w:szCs w:val="22"/>
          <w:lang w:eastAsia="en-AU"/>
        </w:rPr>
      </w:pPr>
      <w:hyperlink w:anchor="_Toc79671833" w:history="1">
        <w:r w:rsidR="00D021FD" w:rsidRPr="00CB0D85">
          <w:rPr>
            <w:rStyle w:val="Hyperlink"/>
          </w:rPr>
          <w:t>Productivity benefit</w:t>
        </w:r>
        <w:r w:rsidR="00D021FD">
          <w:rPr>
            <w:webHidden/>
          </w:rPr>
          <w:tab/>
        </w:r>
        <w:r w:rsidR="00D021FD">
          <w:rPr>
            <w:webHidden/>
          </w:rPr>
          <w:fldChar w:fldCharType="begin"/>
        </w:r>
        <w:r w:rsidR="00D021FD">
          <w:rPr>
            <w:webHidden/>
          </w:rPr>
          <w:instrText xml:space="preserve"> PAGEREF _Toc79671833 \h </w:instrText>
        </w:r>
        <w:r w:rsidR="00D021FD">
          <w:rPr>
            <w:webHidden/>
          </w:rPr>
        </w:r>
        <w:r w:rsidR="00D021FD">
          <w:rPr>
            <w:webHidden/>
          </w:rPr>
          <w:fldChar w:fldCharType="separate"/>
        </w:r>
        <w:r w:rsidR="00DD5715">
          <w:rPr>
            <w:webHidden/>
          </w:rPr>
          <w:t>83</w:t>
        </w:r>
        <w:r w:rsidR="00D021FD">
          <w:rPr>
            <w:webHidden/>
          </w:rPr>
          <w:fldChar w:fldCharType="end"/>
        </w:r>
      </w:hyperlink>
    </w:p>
    <w:p w14:paraId="20C5782B" w14:textId="27218420" w:rsidR="00D021FD" w:rsidRDefault="00E031EF">
      <w:pPr>
        <w:pStyle w:val="TOC1"/>
        <w:rPr>
          <w:rFonts w:asciiTheme="minorHAnsi" w:eastAsiaTheme="minorEastAsia" w:hAnsiTheme="minorHAnsi"/>
          <w:color w:val="auto"/>
          <w:sz w:val="22"/>
          <w:szCs w:val="22"/>
          <w:lang w:eastAsia="en-AU"/>
        </w:rPr>
      </w:pPr>
      <w:hyperlink w:anchor="_Toc79671834" w:history="1">
        <w:r w:rsidR="00D021FD" w:rsidRPr="00CB0D85">
          <w:rPr>
            <w:rStyle w:val="Hyperlink"/>
          </w:rPr>
          <w:t>C</w:t>
        </w:r>
        <w:r w:rsidR="00D021FD">
          <w:rPr>
            <w:rFonts w:asciiTheme="minorHAnsi" w:eastAsiaTheme="minorEastAsia" w:hAnsiTheme="minorHAnsi"/>
            <w:color w:val="auto"/>
            <w:sz w:val="22"/>
            <w:szCs w:val="22"/>
            <w:lang w:eastAsia="en-AU"/>
          </w:rPr>
          <w:tab/>
        </w:r>
        <w:r w:rsidR="00D021FD" w:rsidRPr="00CB0D85">
          <w:rPr>
            <w:rStyle w:val="Hyperlink"/>
          </w:rPr>
          <w:t>ANZSIC division and subdivision codes and titles</w:t>
        </w:r>
        <w:r w:rsidR="00D021FD">
          <w:rPr>
            <w:webHidden/>
          </w:rPr>
          <w:tab/>
        </w:r>
        <w:r w:rsidR="00D021FD">
          <w:rPr>
            <w:webHidden/>
          </w:rPr>
          <w:fldChar w:fldCharType="begin"/>
        </w:r>
        <w:r w:rsidR="00D021FD">
          <w:rPr>
            <w:webHidden/>
          </w:rPr>
          <w:instrText xml:space="preserve"> PAGEREF _Toc79671834 \h </w:instrText>
        </w:r>
        <w:r w:rsidR="00D021FD">
          <w:rPr>
            <w:webHidden/>
          </w:rPr>
        </w:r>
        <w:r w:rsidR="00D021FD">
          <w:rPr>
            <w:webHidden/>
          </w:rPr>
          <w:fldChar w:fldCharType="separate"/>
        </w:r>
        <w:r w:rsidR="00DD5715">
          <w:rPr>
            <w:webHidden/>
          </w:rPr>
          <w:t>88</w:t>
        </w:r>
        <w:r w:rsidR="00D021FD">
          <w:rPr>
            <w:webHidden/>
          </w:rPr>
          <w:fldChar w:fldCharType="end"/>
        </w:r>
      </w:hyperlink>
    </w:p>
    <w:p w14:paraId="529FC171" w14:textId="7FA5601C" w:rsidR="00D021FD" w:rsidRDefault="00E031EF">
      <w:pPr>
        <w:pStyle w:val="TOC1"/>
        <w:rPr>
          <w:rFonts w:asciiTheme="minorHAnsi" w:eastAsiaTheme="minorEastAsia" w:hAnsiTheme="minorHAnsi"/>
          <w:color w:val="auto"/>
          <w:sz w:val="22"/>
          <w:szCs w:val="22"/>
          <w:lang w:eastAsia="en-AU"/>
        </w:rPr>
      </w:pPr>
      <w:hyperlink w:anchor="_Toc79671835" w:history="1">
        <w:r w:rsidR="00D021FD" w:rsidRPr="00CB0D85">
          <w:rPr>
            <w:rStyle w:val="Hyperlink"/>
          </w:rPr>
          <w:t>D</w:t>
        </w:r>
        <w:r w:rsidR="00D021FD">
          <w:rPr>
            <w:rFonts w:asciiTheme="minorHAnsi" w:eastAsiaTheme="minorEastAsia" w:hAnsiTheme="minorHAnsi"/>
            <w:color w:val="auto"/>
            <w:sz w:val="22"/>
            <w:szCs w:val="22"/>
            <w:lang w:eastAsia="en-AU"/>
          </w:rPr>
          <w:tab/>
        </w:r>
        <w:r w:rsidR="00D021FD" w:rsidRPr="00CB0D85">
          <w:rPr>
            <w:rStyle w:val="Hyperlink"/>
          </w:rPr>
          <w:t>References</w:t>
        </w:r>
        <w:r w:rsidR="00D021FD">
          <w:rPr>
            <w:webHidden/>
          </w:rPr>
          <w:tab/>
        </w:r>
        <w:r w:rsidR="00D021FD">
          <w:rPr>
            <w:webHidden/>
          </w:rPr>
          <w:fldChar w:fldCharType="begin"/>
        </w:r>
        <w:r w:rsidR="00D021FD">
          <w:rPr>
            <w:webHidden/>
          </w:rPr>
          <w:instrText xml:space="preserve"> PAGEREF _Toc79671835 \h </w:instrText>
        </w:r>
        <w:r w:rsidR="00D021FD">
          <w:rPr>
            <w:webHidden/>
          </w:rPr>
        </w:r>
        <w:r w:rsidR="00D021FD">
          <w:rPr>
            <w:webHidden/>
          </w:rPr>
          <w:fldChar w:fldCharType="separate"/>
        </w:r>
        <w:r w:rsidR="00DD5715">
          <w:rPr>
            <w:webHidden/>
          </w:rPr>
          <w:t>91</w:t>
        </w:r>
        <w:r w:rsidR="00D021FD">
          <w:rPr>
            <w:webHidden/>
          </w:rPr>
          <w:fldChar w:fldCharType="end"/>
        </w:r>
      </w:hyperlink>
    </w:p>
    <w:p w14:paraId="1578250C" w14:textId="55CCF241" w:rsidR="00C178BF" w:rsidRDefault="00A64492" w:rsidP="00C22516">
      <w:pPr>
        <w:pStyle w:val="TOC3"/>
      </w:pPr>
      <w:r>
        <w:rPr>
          <w:rFonts w:ascii="Open Sans SemiBold" w:hAnsi="Open Sans SemiBold"/>
          <w:noProof/>
          <w:color w:val="207BA1" w:themeColor="accent2"/>
        </w:rPr>
        <w:fldChar w:fldCharType="end"/>
      </w:r>
      <w:r w:rsidR="00C178BF">
        <w:t>Tables</w:t>
      </w:r>
    </w:p>
    <w:p w14:paraId="6FB3E747" w14:textId="03E23239" w:rsidR="00C22516" w:rsidRDefault="00CB7AEF">
      <w:pPr>
        <w:pStyle w:val="TableofFigures"/>
        <w:rPr>
          <w:rFonts w:asciiTheme="minorHAnsi" w:eastAsiaTheme="minorEastAsia" w:hAnsiTheme="minorHAnsi"/>
          <w:color w:val="auto"/>
          <w:sz w:val="22"/>
          <w:szCs w:val="22"/>
          <w:lang w:eastAsia="en-AU"/>
        </w:rPr>
      </w:pPr>
      <w:r w:rsidRPr="00E57B03">
        <w:rPr>
          <w:sz w:val="24"/>
          <w:szCs w:val="24"/>
        </w:rPr>
        <w:fldChar w:fldCharType="begin"/>
      </w:r>
      <w:r w:rsidR="00C178BF" w:rsidRPr="00E57B03">
        <w:rPr>
          <w:sz w:val="24"/>
          <w:szCs w:val="24"/>
        </w:rPr>
        <w:instrText xml:space="preserve"> TOC \c "Table" </w:instrText>
      </w:r>
      <w:r w:rsidRPr="00E57B03">
        <w:rPr>
          <w:sz w:val="24"/>
          <w:szCs w:val="24"/>
        </w:rPr>
        <w:fldChar w:fldCharType="separate"/>
      </w:r>
      <w:r w:rsidR="00C22516" w:rsidRPr="002B2306">
        <w:rPr>
          <w:b/>
        </w:rPr>
        <w:t>Table 1:</w:t>
      </w:r>
      <w:r w:rsidR="00C22516">
        <w:t xml:space="preserve"> Average firm productivity benefits by location</w:t>
      </w:r>
      <w:r w:rsidR="00C22516">
        <w:tab/>
      </w:r>
      <w:r w:rsidR="00C22516">
        <w:fldChar w:fldCharType="begin"/>
      </w:r>
      <w:r w:rsidR="00C22516">
        <w:instrText xml:space="preserve"> PAGEREF _Toc79585049 \h </w:instrText>
      </w:r>
      <w:r w:rsidR="00C22516">
        <w:fldChar w:fldCharType="separate"/>
      </w:r>
      <w:r w:rsidR="00DD5715">
        <w:t>12</w:t>
      </w:r>
      <w:r w:rsidR="00C22516">
        <w:fldChar w:fldCharType="end"/>
      </w:r>
    </w:p>
    <w:p w14:paraId="63BC78D1" w14:textId="709CDA99" w:rsidR="00C22516" w:rsidRDefault="00C22516">
      <w:pPr>
        <w:pStyle w:val="TableofFigures"/>
        <w:rPr>
          <w:rFonts w:asciiTheme="minorHAnsi" w:eastAsiaTheme="minorEastAsia" w:hAnsiTheme="minorHAnsi"/>
          <w:color w:val="auto"/>
          <w:sz w:val="22"/>
          <w:szCs w:val="22"/>
          <w:lang w:eastAsia="en-AU"/>
        </w:rPr>
      </w:pPr>
      <w:r w:rsidRPr="002B2306">
        <w:rPr>
          <w:b/>
        </w:rPr>
        <w:t>Table 2:</w:t>
      </w:r>
      <w:r>
        <w:t xml:space="preserve"> Use of broadband internet in Australian businesses</w:t>
      </w:r>
      <w:r>
        <w:tab/>
      </w:r>
      <w:r>
        <w:fldChar w:fldCharType="begin"/>
      </w:r>
      <w:r>
        <w:instrText xml:space="preserve"> PAGEREF _Toc79585050 \h </w:instrText>
      </w:r>
      <w:r>
        <w:fldChar w:fldCharType="separate"/>
      </w:r>
      <w:r w:rsidR="00DD5715">
        <w:t>19</w:t>
      </w:r>
      <w:r>
        <w:fldChar w:fldCharType="end"/>
      </w:r>
    </w:p>
    <w:p w14:paraId="5073C4AA" w14:textId="2B510A41" w:rsidR="00C22516" w:rsidRDefault="00C22516">
      <w:pPr>
        <w:pStyle w:val="TableofFigures"/>
        <w:rPr>
          <w:rFonts w:asciiTheme="minorHAnsi" w:eastAsiaTheme="minorEastAsia" w:hAnsiTheme="minorHAnsi"/>
          <w:color w:val="auto"/>
          <w:sz w:val="22"/>
          <w:szCs w:val="22"/>
          <w:lang w:eastAsia="en-AU"/>
        </w:rPr>
      </w:pPr>
      <w:r w:rsidRPr="002B2306">
        <w:rPr>
          <w:b/>
        </w:rPr>
        <w:t>Table 3:</w:t>
      </w:r>
      <w:r>
        <w:t xml:space="preserve"> Challenges in estimating economic benefits</w:t>
      </w:r>
      <w:r>
        <w:tab/>
      </w:r>
      <w:r>
        <w:fldChar w:fldCharType="begin"/>
      </w:r>
      <w:r>
        <w:instrText xml:space="preserve"> PAGEREF _Toc79585051 \h </w:instrText>
      </w:r>
      <w:r>
        <w:fldChar w:fldCharType="separate"/>
      </w:r>
      <w:r w:rsidR="00DD5715">
        <w:t>23</w:t>
      </w:r>
      <w:r>
        <w:fldChar w:fldCharType="end"/>
      </w:r>
    </w:p>
    <w:p w14:paraId="044C8654" w14:textId="14D7C155" w:rsidR="00C22516" w:rsidRDefault="00C22516">
      <w:pPr>
        <w:pStyle w:val="TableofFigures"/>
        <w:rPr>
          <w:rFonts w:asciiTheme="minorHAnsi" w:eastAsiaTheme="minorEastAsia" w:hAnsiTheme="minorHAnsi"/>
          <w:color w:val="auto"/>
          <w:sz w:val="22"/>
          <w:szCs w:val="22"/>
          <w:lang w:eastAsia="en-AU"/>
        </w:rPr>
      </w:pPr>
      <w:r w:rsidRPr="002B2306">
        <w:rPr>
          <w:b/>
        </w:rPr>
        <w:t>Table 4:</w:t>
      </w:r>
      <w:r>
        <w:t xml:space="preserve"> Summary of findings from the literature review</w:t>
      </w:r>
      <w:r>
        <w:tab/>
      </w:r>
      <w:r>
        <w:fldChar w:fldCharType="begin"/>
      </w:r>
      <w:r>
        <w:instrText xml:space="preserve"> PAGEREF _Toc79585052 \h </w:instrText>
      </w:r>
      <w:r>
        <w:fldChar w:fldCharType="separate"/>
      </w:r>
      <w:r w:rsidR="00DD5715">
        <w:t>29</w:t>
      </w:r>
      <w:r>
        <w:fldChar w:fldCharType="end"/>
      </w:r>
    </w:p>
    <w:p w14:paraId="06C9EC75" w14:textId="5F771241" w:rsidR="00C22516" w:rsidRDefault="00C22516">
      <w:pPr>
        <w:pStyle w:val="TableofFigures"/>
        <w:rPr>
          <w:rFonts w:asciiTheme="minorHAnsi" w:eastAsiaTheme="minorEastAsia" w:hAnsiTheme="minorHAnsi"/>
          <w:color w:val="auto"/>
          <w:sz w:val="22"/>
          <w:szCs w:val="22"/>
          <w:lang w:eastAsia="en-AU"/>
        </w:rPr>
      </w:pPr>
      <w:r w:rsidRPr="002B2306">
        <w:rPr>
          <w:b/>
        </w:rPr>
        <w:t>Table 5:</w:t>
      </w:r>
      <w:r>
        <w:t xml:space="preserve"> Output or urban and rural areas</w:t>
      </w:r>
      <w:r>
        <w:tab/>
      </w:r>
      <w:r>
        <w:fldChar w:fldCharType="begin"/>
      </w:r>
      <w:r>
        <w:instrText xml:space="preserve"> PAGEREF _Toc79585053 \h </w:instrText>
      </w:r>
      <w:r>
        <w:fldChar w:fldCharType="separate"/>
      </w:r>
      <w:r w:rsidR="00DD5715">
        <w:t>32</w:t>
      </w:r>
      <w:r>
        <w:fldChar w:fldCharType="end"/>
      </w:r>
    </w:p>
    <w:p w14:paraId="0B80F0DD" w14:textId="1BD11F48" w:rsidR="00C22516" w:rsidRDefault="00C22516">
      <w:pPr>
        <w:pStyle w:val="TableofFigures"/>
        <w:rPr>
          <w:rFonts w:asciiTheme="minorHAnsi" w:eastAsiaTheme="minorEastAsia" w:hAnsiTheme="minorHAnsi"/>
          <w:color w:val="auto"/>
          <w:sz w:val="22"/>
          <w:szCs w:val="22"/>
          <w:lang w:eastAsia="en-AU"/>
        </w:rPr>
      </w:pPr>
      <w:r w:rsidRPr="002B2306">
        <w:rPr>
          <w:b/>
        </w:rPr>
        <w:t>Table 6:</w:t>
      </w:r>
      <w:r>
        <w:t xml:space="preserve"> Central impact of increases in broadband speed and output, including urban-rural</w:t>
      </w:r>
      <w:r>
        <w:tab/>
      </w:r>
      <w:r>
        <w:fldChar w:fldCharType="begin"/>
      </w:r>
      <w:r>
        <w:instrText xml:space="preserve"> PAGEREF _Toc79585054 \h </w:instrText>
      </w:r>
      <w:r>
        <w:fldChar w:fldCharType="separate"/>
      </w:r>
      <w:r w:rsidR="00DD5715">
        <w:t>32</w:t>
      </w:r>
      <w:r>
        <w:fldChar w:fldCharType="end"/>
      </w:r>
    </w:p>
    <w:p w14:paraId="6CA51624" w14:textId="502F6065" w:rsidR="00C22516" w:rsidRDefault="00C22516">
      <w:pPr>
        <w:pStyle w:val="TableofFigures"/>
        <w:rPr>
          <w:rFonts w:asciiTheme="minorHAnsi" w:eastAsiaTheme="minorEastAsia" w:hAnsiTheme="minorHAnsi"/>
          <w:color w:val="auto"/>
          <w:sz w:val="22"/>
          <w:szCs w:val="22"/>
          <w:lang w:eastAsia="en-AU"/>
        </w:rPr>
      </w:pPr>
      <w:r w:rsidRPr="002B2306">
        <w:rPr>
          <w:b/>
        </w:rPr>
        <w:t>Table 7:</w:t>
      </w:r>
      <w:r>
        <w:t xml:space="preserve"> Impacts on GDP growth by 2024</w:t>
      </w:r>
      <w:r>
        <w:tab/>
      </w:r>
      <w:r>
        <w:fldChar w:fldCharType="begin"/>
      </w:r>
      <w:r>
        <w:instrText xml:space="preserve"> PAGEREF _Toc79585055 \h </w:instrText>
      </w:r>
      <w:r>
        <w:fldChar w:fldCharType="separate"/>
      </w:r>
      <w:r w:rsidR="00DD5715">
        <w:t>33</w:t>
      </w:r>
      <w:r>
        <w:fldChar w:fldCharType="end"/>
      </w:r>
    </w:p>
    <w:p w14:paraId="144F4457" w14:textId="2CE286C4" w:rsidR="00C22516" w:rsidRDefault="00C22516">
      <w:pPr>
        <w:pStyle w:val="TableofFigures"/>
        <w:rPr>
          <w:rFonts w:asciiTheme="minorHAnsi" w:eastAsiaTheme="minorEastAsia" w:hAnsiTheme="minorHAnsi"/>
          <w:color w:val="auto"/>
          <w:sz w:val="22"/>
          <w:szCs w:val="22"/>
          <w:lang w:eastAsia="en-AU"/>
        </w:rPr>
      </w:pPr>
      <w:r w:rsidRPr="002B2306">
        <w:rPr>
          <w:b/>
        </w:rPr>
        <w:t>Table 8:</w:t>
      </w:r>
      <w:r>
        <w:t xml:space="preserve"> GDP impacts</w:t>
      </w:r>
      <w:r>
        <w:tab/>
      </w:r>
      <w:r>
        <w:fldChar w:fldCharType="begin"/>
      </w:r>
      <w:r>
        <w:instrText xml:space="preserve"> PAGEREF _Toc79585056 \h </w:instrText>
      </w:r>
      <w:r>
        <w:fldChar w:fldCharType="separate"/>
      </w:r>
      <w:r w:rsidR="00DD5715">
        <w:t>33</w:t>
      </w:r>
      <w:r>
        <w:fldChar w:fldCharType="end"/>
      </w:r>
    </w:p>
    <w:p w14:paraId="3FFD6864" w14:textId="3173B061" w:rsidR="00C22516" w:rsidRDefault="00C22516">
      <w:pPr>
        <w:pStyle w:val="TableofFigures"/>
        <w:rPr>
          <w:rFonts w:asciiTheme="minorHAnsi" w:eastAsiaTheme="minorEastAsia" w:hAnsiTheme="minorHAnsi"/>
          <w:color w:val="auto"/>
          <w:sz w:val="22"/>
          <w:szCs w:val="22"/>
          <w:lang w:eastAsia="en-AU"/>
        </w:rPr>
      </w:pPr>
      <w:r w:rsidRPr="002B2306">
        <w:rPr>
          <w:b/>
        </w:rPr>
        <w:t>Table 9:</w:t>
      </w:r>
      <w:r>
        <w:t xml:space="preserve"> Low, central and high estimates</w:t>
      </w:r>
      <w:r>
        <w:tab/>
      </w:r>
      <w:r>
        <w:fldChar w:fldCharType="begin"/>
      </w:r>
      <w:r>
        <w:instrText xml:space="preserve"> PAGEREF _Toc79585057 \h </w:instrText>
      </w:r>
      <w:r>
        <w:fldChar w:fldCharType="separate"/>
      </w:r>
      <w:r w:rsidR="00DD5715">
        <w:t>34</w:t>
      </w:r>
      <w:r>
        <w:fldChar w:fldCharType="end"/>
      </w:r>
    </w:p>
    <w:p w14:paraId="779A934D" w14:textId="0DE22153" w:rsidR="00C22516" w:rsidRDefault="00C22516">
      <w:pPr>
        <w:pStyle w:val="TableofFigures"/>
        <w:rPr>
          <w:rFonts w:asciiTheme="minorHAnsi" w:eastAsiaTheme="minorEastAsia" w:hAnsiTheme="minorHAnsi"/>
          <w:color w:val="auto"/>
          <w:sz w:val="22"/>
          <w:szCs w:val="22"/>
          <w:lang w:eastAsia="en-AU"/>
        </w:rPr>
      </w:pPr>
      <w:r w:rsidRPr="002B2306">
        <w:rPr>
          <w:b/>
        </w:rPr>
        <w:t>Table 10:</w:t>
      </w:r>
      <w:r>
        <w:t xml:space="preserve"> Base forecast firm productivity gain</w:t>
      </w:r>
      <w:r>
        <w:tab/>
      </w:r>
      <w:r>
        <w:fldChar w:fldCharType="begin"/>
      </w:r>
      <w:r>
        <w:instrText xml:space="preserve"> PAGEREF _Toc79585058 \h </w:instrText>
      </w:r>
      <w:r>
        <w:fldChar w:fldCharType="separate"/>
      </w:r>
      <w:r w:rsidR="00DD5715">
        <w:t>40</w:t>
      </w:r>
      <w:r>
        <w:fldChar w:fldCharType="end"/>
      </w:r>
    </w:p>
    <w:p w14:paraId="0011DC0D" w14:textId="28783A1B" w:rsidR="00C22516" w:rsidRDefault="00C22516">
      <w:pPr>
        <w:pStyle w:val="TableofFigures"/>
        <w:rPr>
          <w:rFonts w:asciiTheme="minorHAnsi" w:eastAsiaTheme="minorEastAsia" w:hAnsiTheme="minorHAnsi"/>
          <w:color w:val="auto"/>
          <w:sz w:val="22"/>
          <w:szCs w:val="22"/>
          <w:lang w:eastAsia="en-AU"/>
        </w:rPr>
      </w:pPr>
      <w:r w:rsidRPr="002B2306">
        <w:rPr>
          <w:b/>
        </w:rPr>
        <w:t>Table 11:</w:t>
      </w:r>
      <w:r>
        <w:t xml:space="preserve"> Proxy for locational benefits – example of 6 Business Fibre Zones</w:t>
      </w:r>
      <w:r>
        <w:tab/>
      </w:r>
      <w:r>
        <w:fldChar w:fldCharType="begin"/>
      </w:r>
      <w:r>
        <w:instrText xml:space="preserve"> PAGEREF _Toc79585059 \h </w:instrText>
      </w:r>
      <w:r>
        <w:fldChar w:fldCharType="separate"/>
      </w:r>
      <w:r w:rsidR="00DD5715">
        <w:t>43</w:t>
      </w:r>
      <w:r>
        <w:fldChar w:fldCharType="end"/>
      </w:r>
    </w:p>
    <w:p w14:paraId="48338190" w14:textId="4189EC76" w:rsidR="00C22516" w:rsidRDefault="00C22516">
      <w:pPr>
        <w:pStyle w:val="TableofFigures"/>
        <w:rPr>
          <w:rFonts w:asciiTheme="minorHAnsi" w:eastAsiaTheme="minorEastAsia" w:hAnsiTheme="minorHAnsi"/>
          <w:color w:val="auto"/>
          <w:sz w:val="22"/>
          <w:szCs w:val="22"/>
          <w:lang w:eastAsia="en-AU"/>
        </w:rPr>
      </w:pPr>
      <w:r w:rsidRPr="002B2306">
        <w:rPr>
          <w:b/>
        </w:rPr>
        <w:t>Table 12:</w:t>
      </w:r>
      <w:r>
        <w:t xml:space="preserve"> GVA-weighted ranking of industry productivity benefits.</w:t>
      </w:r>
      <w:r>
        <w:tab/>
      </w:r>
      <w:r>
        <w:fldChar w:fldCharType="begin"/>
      </w:r>
      <w:r>
        <w:instrText xml:space="preserve"> PAGEREF _Toc79585060 \h </w:instrText>
      </w:r>
      <w:r>
        <w:fldChar w:fldCharType="separate"/>
      </w:r>
      <w:r w:rsidR="00DD5715">
        <w:t>46</w:t>
      </w:r>
      <w:r>
        <w:fldChar w:fldCharType="end"/>
      </w:r>
    </w:p>
    <w:p w14:paraId="7AFE5CE8" w14:textId="576C02A7" w:rsidR="00C22516" w:rsidRDefault="00C22516">
      <w:pPr>
        <w:pStyle w:val="TableofFigures"/>
        <w:rPr>
          <w:rFonts w:asciiTheme="minorHAnsi" w:eastAsiaTheme="minorEastAsia" w:hAnsiTheme="minorHAnsi"/>
          <w:color w:val="auto"/>
          <w:sz w:val="22"/>
          <w:szCs w:val="22"/>
          <w:lang w:eastAsia="en-AU"/>
        </w:rPr>
      </w:pPr>
      <w:r w:rsidRPr="002B2306">
        <w:rPr>
          <w:b/>
        </w:rPr>
        <w:t>Table 13:</w:t>
      </w:r>
      <w:r>
        <w:t xml:space="preserve"> Where are benefits of competitive entry likely to be highest?</w:t>
      </w:r>
      <w:r>
        <w:tab/>
      </w:r>
      <w:r>
        <w:fldChar w:fldCharType="begin"/>
      </w:r>
      <w:r>
        <w:instrText xml:space="preserve"> PAGEREF _Toc79585061 \h </w:instrText>
      </w:r>
      <w:r>
        <w:fldChar w:fldCharType="separate"/>
      </w:r>
      <w:r w:rsidR="00DD5715">
        <w:t>59</w:t>
      </w:r>
      <w:r>
        <w:fldChar w:fldCharType="end"/>
      </w:r>
    </w:p>
    <w:p w14:paraId="3D9BCD23" w14:textId="7E286B93" w:rsidR="006628AF" w:rsidRPr="00E57B03" w:rsidRDefault="00CB7AEF" w:rsidP="005C44D8">
      <w:pPr>
        <w:rPr>
          <w:sz w:val="24"/>
          <w:szCs w:val="24"/>
        </w:rPr>
      </w:pPr>
      <w:r w:rsidRPr="00E57B03">
        <w:rPr>
          <w:sz w:val="24"/>
          <w:szCs w:val="24"/>
        </w:rPr>
        <w:fldChar w:fldCharType="end"/>
      </w:r>
      <w:bookmarkEnd w:id="2"/>
    </w:p>
    <w:p w14:paraId="1D199467" w14:textId="77777777" w:rsidR="006628AF" w:rsidRDefault="006628AF" w:rsidP="00C22516">
      <w:pPr>
        <w:pStyle w:val="TOC3"/>
      </w:pPr>
      <w:r>
        <w:lastRenderedPageBreak/>
        <w:t>Figures</w:t>
      </w:r>
    </w:p>
    <w:p w14:paraId="42EE4E82" w14:textId="24714C78" w:rsidR="00C22516" w:rsidRDefault="007C673D" w:rsidP="00C22516">
      <w:pPr>
        <w:pStyle w:val="TableofFigures"/>
        <w:keepNext/>
        <w:rPr>
          <w:rFonts w:asciiTheme="minorHAnsi" w:eastAsiaTheme="minorEastAsia" w:hAnsiTheme="minorHAnsi"/>
          <w:color w:val="auto"/>
          <w:sz w:val="22"/>
          <w:szCs w:val="22"/>
          <w:lang w:eastAsia="en-AU"/>
        </w:rPr>
      </w:pPr>
      <w:r w:rsidRPr="00E57B03">
        <w:rPr>
          <w:noProof w:val="0"/>
          <w:sz w:val="24"/>
          <w:szCs w:val="24"/>
        </w:rPr>
        <w:fldChar w:fldCharType="begin"/>
      </w:r>
      <w:r w:rsidRPr="00E57B03">
        <w:rPr>
          <w:sz w:val="24"/>
          <w:szCs w:val="24"/>
        </w:rPr>
        <w:instrText xml:space="preserve"> TOC \t "Body Text 2" \c "Figure" </w:instrText>
      </w:r>
      <w:r w:rsidRPr="00E57B03">
        <w:rPr>
          <w:noProof w:val="0"/>
          <w:sz w:val="24"/>
          <w:szCs w:val="24"/>
        </w:rPr>
        <w:fldChar w:fldCharType="separate"/>
      </w:r>
      <w:r w:rsidR="00C22516" w:rsidRPr="00B75B6B">
        <w:rPr>
          <w:b/>
        </w:rPr>
        <w:t>Figure 1</w:t>
      </w:r>
      <w:r w:rsidR="00C22516">
        <w:t>: Overview of network investments</w:t>
      </w:r>
      <w:r w:rsidR="00C22516">
        <w:tab/>
      </w:r>
      <w:r w:rsidR="00C22516">
        <w:fldChar w:fldCharType="begin"/>
      </w:r>
      <w:r w:rsidR="00C22516">
        <w:instrText xml:space="preserve"> PAGEREF _Toc79585062 \h </w:instrText>
      </w:r>
      <w:r w:rsidR="00C22516">
        <w:fldChar w:fldCharType="separate"/>
      </w:r>
      <w:r w:rsidR="00DD5715">
        <w:t>8</w:t>
      </w:r>
      <w:r w:rsidR="00C22516">
        <w:fldChar w:fldCharType="end"/>
      </w:r>
    </w:p>
    <w:p w14:paraId="4B46A512" w14:textId="7E786712" w:rsidR="00C22516" w:rsidRDefault="00C22516" w:rsidP="00C22516">
      <w:pPr>
        <w:pStyle w:val="TableofFigures"/>
        <w:keepNext/>
        <w:rPr>
          <w:rFonts w:asciiTheme="minorHAnsi" w:eastAsiaTheme="minorEastAsia" w:hAnsiTheme="minorHAnsi"/>
          <w:color w:val="auto"/>
          <w:sz w:val="22"/>
          <w:szCs w:val="22"/>
          <w:lang w:eastAsia="en-AU"/>
        </w:rPr>
      </w:pPr>
      <w:r w:rsidRPr="00B75B6B">
        <w:rPr>
          <w:b/>
        </w:rPr>
        <w:t>Figure 2</w:t>
      </w:r>
      <w:r>
        <w:t>: Impact on Australian GDP</w:t>
      </w:r>
      <w:r>
        <w:tab/>
      </w:r>
      <w:r>
        <w:fldChar w:fldCharType="begin"/>
      </w:r>
      <w:r>
        <w:instrText xml:space="preserve"> PAGEREF _Toc79585063 \h </w:instrText>
      </w:r>
      <w:r>
        <w:fldChar w:fldCharType="separate"/>
      </w:r>
      <w:r w:rsidR="00DD5715">
        <w:t>10</w:t>
      </w:r>
      <w:r>
        <w:fldChar w:fldCharType="end"/>
      </w:r>
    </w:p>
    <w:p w14:paraId="70378731" w14:textId="4E137163" w:rsidR="00C22516" w:rsidRDefault="00C22516">
      <w:pPr>
        <w:pStyle w:val="TableofFigures"/>
        <w:rPr>
          <w:rFonts w:asciiTheme="minorHAnsi" w:eastAsiaTheme="minorEastAsia" w:hAnsiTheme="minorHAnsi"/>
          <w:color w:val="auto"/>
          <w:sz w:val="22"/>
          <w:szCs w:val="22"/>
          <w:lang w:eastAsia="en-AU"/>
        </w:rPr>
      </w:pPr>
      <w:r w:rsidRPr="00B75B6B">
        <w:rPr>
          <w:b/>
        </w:rPr>
        <w:t>Figure 3</w:t>
      </w:r>
      <w:r>
        <w:t>: Productivity gains by industry</w:t>
      </w:r>
      <w:r>
        <w:tab/>
      </w:r>
      <w:r>
        <w:fldChar w:fldCharType="begin"/>
      </w:r>
      <w:r>
        <w:instrText xml:space="preserve"> PAGEREF _Toc79585064 \h </w:instrText>
      </w:r>
      <w:r>
        <w:fldChar w:fldCharType="separate"/>
      </w:r>
      <w:r w:rsidR="00DD5715">
        <w:t>11</w:t>
      </w:r>
      <w:r>
        <w:fldChar w:fldCharType="end"/>
      </w:r>
    </w:p>
    <w:p w14:paraId="1D4A52F9" w14:textId="08B0E7D2" w:rsidR="00C22516" w:rsidRDefault="00C22516">
      <w:pPr>
        <w:pStyle w:val="TableofFigures"/>
        <w:rPr>
          <w:rFonts w:asciiTheme="minorHAnsi" w:eastAsiaTheme="minorEastAsia" w:hAnsiTheme="minorHAnsi"/>
          <w:color w:val="auto"/>
          <w:sz w:val="22"/>
          <w:szCs w:val="22"/>
          <w:lang w:eastAsia="en-AU"/>
        </w:rPr>
      </w:pPr>
      <w:r w:rsidRPr="00B75B6B">
        <w:rPr>
          <w:b/>
        </w:rPr>
        <w:t>Figure 4</w:t>
      </w:r>
      <w:r>
        <w:t>: Overview of case studies</w:t>
      </w:r>
      <w:r>
        <w:tab/>
      </w:r>
      <w:r>
        <w:fldChar w:fldCharType="begin"/>
      </w:r>
      <w:r>
        <w:instrText xml:space="preserve"> PAGEREF _Toc79585065 \h </w:instrText>
      </w:r>
      <w:r>
        <w:fldChar w:fldCharType="separate"/>
      </w:r>
      <w:r w:rsidR="00DD5715">
        <w:t>14</w:t>
      </w:r>
      <w:r>
        <w:fldChar w:fldCharType="end"/>
      </w:r>
    </w:p>
    <w:p w14:paraId="475DCAC9" w14:textId="4DE2FC11" w:rsidR="00C22516" w:rsidRDefault="00C22516">
      <w:pPr>
        <w:pStyle w:val="TableofFigures"/>
        <w:rPr>
          <w:rFonts w:asciiTheme="minorHAnsi" w:eastAsiaTheme="minorEastAsia" w:hAnsiTheme="minorHAnsi"/>
          <w:color w:val="auto"/>
          <w:sz w:val="22"/>
          <w:szCs w:val="22"/>
          <w:lang w:eastAsia="en-AU"/>
        </w:rPr>
      </w:pPr>
      <w:r w:rsidRPr="00B75B6B">
        <w:rPr>
          <w:b/>
        </w:rPr>
        <w:t>Figure 5</w:t>
      </w:r>
      <w:r>
        <w:t>: Quotes from case studies – ADW Johnson, Cumulus Visual Effects and Catholic Education Tasmania</w:t>
      </w:r>
      <w:r>
        <w:tab/>
      </w:r>
      <w:r>
        <w:fldChar w:fldCharType="begin"/>
      </w:r>
      <w:r>
        <w:instrText xml:space="preserve"> PAGEREF _Toc79585066 \h </w:instrText>
      </w:r>
      <w:r>
        <w:fldChar w:fldCharType="separate"/>
      </w:r>
      <w:r w:rsidR="00DD5715">
        <w:t>15</w:t>
      </w:r>
      <w:r>
        <w:fldChar w:fldCharType="end"/>
      </w:r>
    </w:p>
    <w:p w14:paraId="743960ED" w14:textId="77BCD8BE" w:rsidR="00C22516" w:rsidRDefault="00C22516">
      <w:pPr>
        <w:pStyle w:val="TableofFigures"/>
        <w:rPr>
          <w:rFonts w:asciiTheme="minorHAnsi" w:eastAsiaTheme="minorEastAsia" w:hAnsiTheme="minorHAnsi"/>
          <w:color w:val="auto"/>
          <w:sz w:val="22"/>
          <w:szCs w:val="22"/>
          <w:lang w:eastAsia="en-AU"/>
        </w:rPr>
      </w:pPr>
      <w:r w:rsidRPr="00B75B6B">
        <w:rPr>
          <w:b/>
        </w:rPr>
        <w:t>Figure 6</w:t>
      </w:r>
      <w:r>
        <w:t>: Increase in available speeds following network investments</w:t>
      </w:r>
      <w:r>
        <w:tab/>
      </w:r>
      <w:r>
        <w:fldChar w:fldCharType="begin"/>
      </w:r>
      <w:r>
        <w:instrText xml:space="preserve"> PAGEREF _Toc79585067 \h </w:instrText>
      </w:r>
      <w:r>
        <w:fldChar w:fldCharType="separate"/>
      </w:r>
      <w:r w:rsidR="00DD5715">
        <w:t>16</w:t>
      </w:r>
      <w:r>
        <w:fldChar w:fldCharType="end"/>
      </w:r>
    </w:p>
    <w:p w14:paraId="5848511E" w14:textId="37D45014" w:rsidR="00C22516" w:rsidRDefault="00C22516">
      <w:pPr>
        <w:pStyle w:val="TableofFigures"/>
        <w:rPr>
          <w:rFonts w:asciiTheme="minorHAnsi" w:eastAsiaTheme="minorEastAsia" w:hAnsiTheme="minorHAnsi"/>
          <w:color w:val="auto"/>
          <w:sz w:val="22"/>
          <w:szCs w:val="22"/>
          <w:lang w:eastAsia="en-AU"/>
        </w:rPr>
      </w:pPr>
      <w:r w:rsidRPr="00B75B6B">
        <w:rPr>
          <w:b/>
        </w:rPr>
        <w:t>Figure 7</w:t>
      </w:r>
      <w:r>
        <w:t>: Shares of fixed line connections (AVCs) on NBN Co’s MTM network, December 2020, excludes Enterprise Ethernet</w:t>
      </w:r>
      <w:r>
        <w:tab/>
      </w:r>
      <w:r>
        <w:fldChar w:fldCharType="begin"/>
      </w:r>
      <w:r>
        <w:instrText xml:space="preserve"> PAGEREF _Toc79585068 \h </w:instrText>
      </w:r>
      <w:r>
        <w:fldChar w:fldCharType="separate"/>
      </w:r>
      <w:r w:rsidR="00DD5715">
        <w:t>20</w:t>
      </w:r>
      <w:r>
        <w:fldChar w:fldCharType="end"/>
      </w:r>
    </w:p>
    <w:p w14:paraId="695CD0D3" w14:textId="0B420B39" w:rsidR="00C22516" w:rsidRDefault="00C22516">
      <w:pPr>
        <w:pStyle w:val="TableofFigures"/>
        <w:rPr>
          <w:rFonts w:asciiTheme="minorHAnsi" w:eastAsiaTheme="minorEastAsia" w:hAnsiTheme="minorHAnsi"/>
          <w:color w:val="auto"/>
          <w:sz w:val="22"/>
          <w:szCs w:val="22"/>
          <w:lang w:eastAsia="en-AU"/>
        </w:rPr>
      </w:pPr>
      <w:r w:rsidRPr="00B75B6B">
        <w:rPr>
          <w:b/>
        </w:rPr>
        <w:t>Figure 8</w:t>
      </w:r>
      <w:r>
        <w:t>: Relevant benefits estimated in this study</w:t>
      </w:r>
      <w:r>
        <w:tab/>
      </w:r>
      <w:r>
        <w:fldChar w:fldCharType="begin"/>
      </w:r>
      <w:r>
        <w:instrText xml:space="preserve"> PAGEREF _Toc79585069 \h </w:instrText>
      </w:r>
      <w:r>
        <w:fldChar w:fldCharType="separate"/>
      </w:r>
      <w:r w:rsidR="00DD5715">
        <w:t>23</w:t>
      </w:r>
      <w:r>
        <w:fldChar w:fldCharType="end"/>
      </w:r>
    </w:p>
    <w:p w14:paraId="28C42232" w14:textId="65F93141" w:rsidR="00C22516" w:rsidRDefault="00C22516">
      <w:pPr>
        <w:pStyle w:val="TableofFigures"/>
        <w:rPr>
          <w:rFonts w:asciiTheme="minorHAnsi" w:eastAsiaTheme="minorEastAsia" w:hAnsiTheme="minorHAnsi"/>
          <w:color w:val="auto"/>
          <w:sz w:val="22"/>
          <w:szCs w:val="22"/>
          <w:lang w:eastAsia="en-AU"/>
        </w:rPr>
      </w:pPr>
      <w:r w:rsidRPr="00B75B6B">
        <w:rPr>
          <w:b/>
        </w:rPr>
        <w:t>Figure 9</w:t>
      </w:r>
      <w:r>
        <w:t>: Overview of AlphaBeta results</w:t>
      </w:r>
      <w:r>
        <w:tab/>
      </w:r>
      <w:r>
        <w:fldChar w:fldCharType="begin"/>
      </w:r>
      <w:r>
        <w:instrText xml:space="preserve"> PAGEREF _Toc79585070 \h </w:instrText>
      </w:r>
      <w:r>
        <w:fldChar w:fldCharType="separate"/>
      </w:r>
      <w:r w:rsidR="00DD5715">
        <w:t>25</w:t>
      </w:r>
      <w:r>
        <w:fldChar w:fldCharType="end"/>
      </w:r>
    </w:p>
    <w:p w14:paraId="07608F17" w14:textId="68BC2357" w:rsidR="00C22516" w:rsidRDefault="00C22516">
      <w:pPr>
        <w:pStyle w:val="TableofFigures"/>
        <w:rPr>
          <w:rFonts w:asciiTheme="minorHAnsi" w:eastAsiaTheme="minorEastAsia" w:hAnsiTheme="minorHAnsi"/>
          <w:color w:val="auto"/>
          <w:sz w:val="22"/>
          <w:szCs w:val="22"/>
          <w:lang w:eastAsia="en-AU"/>
        </w:rPr>
      </w:pPr>
      <w:r w:rsidRPr="00B75B6B">
        <w:rPr>
          <w:b/>
        </w:rPr>
        <w:t>Figure 10</w:t>
      </w:r>
      <w:r>
        <w:t>: Impact on Australian GDP</w:t>
      </w:r>
      <w:r>
        <w:tab/>
      </w:r>
      <w:r>
        <w:fldChar w:fldCharType="begin"/>
      </w:r>
      <w:r>
        <w:instrText xml:space="preserve"> PAGEREF _Toc79585071 \h </w:instrText>
      </w:r>
      <w:r>
        <w:fldChar w:fldCharType="separate"/>
      </w:r>
      <w:r w:rsidR="00DD5715">
        <w:t>34</w:t>
      </w:r>
      <w:r>
        <w:fldChar w:fldCharType="end"/>
      </w:r>
    </w:p>
    <w:p w14:paraId="1E5E1E4E" w14:textId="0DC52B0D" w:rsidR="00C22516" w:rsidRDefault="00C22516">
      <w:pPr>
        <w:pStyle w:val="TableofFigures"/>
        <w:rPr>
          <w:rFonts w:asciiTheme="minorHAnsi" w:eastAsiaTheme="minorEastAsia" w:hAnsiTheme="minorHAnsi"/>
          <w:color w:val="auto"/>
          <w:sz w:val="22"/>
          <w:szCs w:val="22"/>
          <w:lang w:eastAsia="en-AU"/>
        </w:rPr>
      </w:pPr>
      <w:r w:rsidRPr="00B75B6B">
        <w:rPr>
          <w:b/>
        </w:rPr>
        <w:t>Figure 11</w:t>
      </w:r>
      <w:r>
        <w:t>: Sources of differences in business benefits</w:t>
      </w:r>
      <w:r>
        <w:tab/>
      </w:r>
      <w:r>
        <w:fldChar w:fldCharType="begin"/>
      </w:r>
      <w:r>
        <w:instrText xml:space="preserve"> PAGEREF _Toc79585072 \h </w:instrText>
      </w:r>
      <w:r>
        <w:fldChar w:fldCharType="separate"/>
      </w:r>
      <w:r w:rsidR="00DD5715">
        <w:t>35</w:t>
      </w:r>
      <w:r>
        <w:fldChar w:fldCharType="end"/>
      </w:r>
    </w:p>
    <w:p w14:paraId="1BBD4B9D" w14:textId="1022D804" w:rsidR="00C22516" w:rsidRDefault="00C22516">
      <w:pPr>
        <w:pStyle w:val="TableofFigures"/>
        <w:rPr>
          <w:rFonts w:asciiTheme="minorHAnsi" w:eastAsiaTheme="minorEastAsia" w:hAnsiTheme="minorHAnsi"/>
          <w:color w:val="auto"/>
          <w:sz w:val="22"/>
          <w:szCs w:val="22"/>
          <w:lang w:eastAsia="en-AU"/>
        </w:rPr>
      </w:pPr>
      <w:r w:rsidRPr="00B75B6B">
        <w:rPr>
          <w:b/>
        </w:rPr>
        <w:t>Figure 12</w:t>
      </w:r>
      <w:r>
        <w:t>: Methodology to estimate firm productivity effects</w:t>
      </w:r>
      <w:r>
        <w:tab/>
      </w:r>
      <w:r>
        <w:fldChar w:fldCharType="begin"/>
      </w:r>
      <w:r>
        <w:instrText xml:space="preserve"> PAGEREF _Toc79585073 \h </w:instrText>
      </w:r>
      <w:r>
        <w:fldChar w:fldCharType="separate"/>
      </w:r>
      <w:r w:rsidR="00DD5715">
        <w:t>36</w:t>
      </w:r>
      <w:r>
        <w:fldChar w:fldCharType="end"/>
      </w:r>
    </w:p>
    <w:p w14:paraId="480A7F21" w14:textId="74DBB33C" w:rsidR="00C22516" w:rsidRDefault="00C22516">
      <w:pPr>
        <w:pStyle w:val="TableofFigures"/>
        <w:rPr>
          <w:rFonts w:asciiTheme="minorHAnsi" w:eastAsiaTheme="minorEastAsia" w:hAnsiTheme="minorHAnsi"/>
          <w:color w:val="auto"/>
          <w:sz w:val="22"/>
          <w:szCs w:val="22"/>
          <w:lang w:eastAsia="en-AU"/>
        </w:rPr>
      </w:pPr>
      <w:r w:rsidRPr="00B75B6B">
        <w:rPr>
          <w:b/>
        </w:rPr>
        <w:t>Figure 13</w:t>
      </w:r>
      <w:r>
        <w:t>: Methodology for estimating specific firm productivity effects</w:t>
      </w:r>
      <w:r>
        <w:tab/>
      </w:r>
      <w:r>
        <w:fldChar w:fldCharType="begin"/>
      </w:r>
      <w:r>
        <w:instrText xml:space="preserve"> PAGEREF _Toc79585074 \h </w:instrText>
      </w:r>
      <w:r>
        <w:fldChar w:fldCharType="separate"/>
      </w:r>
      <w:r w:rsidR="00DD5715">
        <w:t>37</w:t>
      </w:r>
      <w:r>
        <w:fldChar w:fldCharType="end"/>
      </w:r>
    </w:p>
    <w:p w14:paraId="55BBFE90" w14:textId="33E67F75" w:rsidR="00C22516" w:rsidRDefault="00C22516">
      <w:pPr>
        <w:pStyle w:val="TableofFigures"/>
        <w:rPr>
          <w:rFonts w:asciiTheme="minorHAnsi" w:eastAsiaTheme="minorEastAsia" w:hAnsiTheme="minorHAnsi"/>
          <w:color w:val="auto"/>
          <w:sz w:val="22"/>
          <w:szCs w:val="22"/>
          <w:lang w:eastAsia="en-AU"/>
        </w:rPr>
      </w:pPr>
      <w:r w:rsidRPr="00B75B6B">
        <w:rPr>
          <w:b/>
        </w:rPr>
        <w:t>Figure 14</w:t>
      </w:r>
      <w:r>
        <w:t>: IT intensity (IT capital stock / Total capital stock) for Australian industry sectors, 2020</w:t>
      </w:r>
      <w:r>
        <w:tab/>
      </w:r>
      <w:r>
        <w:fldChar w:fldCharType="begin"/>
      </w:r>
      <w:r>
        <w:instrText xml:space="preserve"> PAGEREF _Toc79585075 \h </w:instrText>
      </w:r>
      <w:r>
        <w:fldChar w:fldCharType="separate"/>
      </w:r>
      <w:r w:rsidR="00DD5715">
        <w:t>41</w:t>
      </w:r>
      <w:r>
        <w:fldChar w:fldCharType="end"/>
      </w:r>
    </w:p>
    <w:p w14:paraId="2821B188" w14:textId="2486317B" w:rsidR="00C22516" w:rsidRDefault="00C22516">
      <w:pPr>
        <w:pStyle w:val="TableofFigures"/>
        <w:rPr>
          <w:rFonts w:asciiTheme="minorHAnsi" w:eastAsiaTheme="minorEastAsia" w:hAnsiTheme="minorHAnsi"/>
          <w:color w:val="auto"/>
          <w:sz w:val="22"/>
          <w:szCs w:val="22"/>
          <w:lang w:eastAsia="en-AU"/>
        </w:rPr>
      </w:pPr>
      <w:r w:rsidRPr="00B75B6B">
        <w:rPr>
          <w:b/>
        </w:rPr>
        <w:t>Figure 15</w:t>
      </w:r>
      <w:r>
        <w:t>: Forecast productivity gain by industry</w:t>
      </w:r>
      <w:r>
        <w:tab/>
      </w:r>
      <w:r>
        <w:fldChar w:fldCharType="begin"/>
      </w:r>
      <w:r>
        <w:instrText xml:space="preserve"> PAGEREF _Toc79585076 \h </w:instrText>
      </w:r>
      <w:r>
        <w:fldChar w:fldCharType="separate"/>
      </w:r>
      <w:r w:rsidR="00DD5715">
        <w:t>42</w:t>
      </w:r>
      <w:r>
        <w:fldChar w:fldCharType="end"/>
      </w:r>
    </w:p>
    <w:p w14:paraId="2FA4725E" w14:textId="63176824" w:rsidR="00C22516" w:rsidRDefault="00C22516">
      <w:pPr>
        <w:pStyle w:val="TableofFigures"/>
        <w:rPr>
          <w:rFonts w:asciiTheme="minorHAnsi" w:eastAsiaTheme="minorEastAsia" w:hAnsiTheme="minorHAnsi"/>
          <w:color w:val="auto"/>
          <w:sz w:val="22"/>
          <w:szCs w:val="22"/>
          <w:lang w:eastAsia="en-AU"/>
        </w:rPr>
      </w:pPr>
      <w:r w:rsidRPr="00B75B6B">
        <w:rPr>
          <w:b/>
        </w:rPr>
        <w:t>Figure 16</w:t>
      </w:r>
      <w:r>
        <w:t>: Average productivity gain in Business Fibre Zones, by state</w:t>
      </w:r>
      <w:r>
        <w:tab/>
      </w:r>
      <w:r>
        <w:fldChar w:fldCharType="begin"/>
      </w:r>
      <w:r>
        <w:instrText xml:space="preserve"> PAGEREF _Toc79585077 \h </w:instrText>
      </w:r>
      <w:r>
        <w:fldChar w:fldCharType="separate"/>
      </w:r>
      <w:r w:rsidR="00DD5715">
        <w:t>44</w:t>
      </w:r>
      <w:r>
        <w:fldChar w:fldCharType="end"/>
      </w:r>
    </w:p>
    <w:p w14:paraId="52C45052" w14:textId="57D061A1" w:rsidR="00C22516" w:rsidRDefault="00C22516">
      <w:pPr>
        <w:pStyle w:val="TableofFigures"/>
        <w:rPr>
          <w:rFonts w:asciiTheme="minorHAnsi" w:eastAsiaTheme="minorEastAsia" w:hAnsiTheme="minorHAnsi"/>
          <w:color w:val="auto"/>
          <w:sz w:val="22"/>
          <w:szCs w:val="22"/>
          <w:lang w:eastAsia="en-AU"/>
        </w:rPr>
      </w:pPr>
      <w:r w:rsidRPr="00B75B6B">
        <w:rPr>
          <w:b/>
        </w:rPr>
        <w:t>Figure 17</w:t>
      </w:r>
      <w:r>
        <w:t>: Benefits by State, Metro/Regional Business Fibre Zone location</w:t>
      </w:r>
      <w:r>
        <w:tab/>
      </w:r>
      <w:r>
        <w:fldChar w:fldCharType="begin"/>
      </w:r>
      <w:r>
        <w:instrText xml:space="preserve"> PAGEREF _Toc79585078 \h </w:instrText>
      </w:r>
      <w:r>
        <w:fldChar w:fldCharType="separate"/>
      </w:r>
      <w:r w:rsidR="00DD5715">
        <w:t>45</w:t>
      </w:r>
      <w:r>
        <w:fldChar w:fldCharType="end"/>
      </w:r>
    </w:p>
    <w:p w14:paraId="504A4144" w14:textId="217259EF" w:rsidR="00C22516" w:rsidRDefault="00C22516">
      <w:pPr>
        <w:pStyle w:val="TableofFigures"/>
        <w:rPr>
          <w:rFonts w:asciiTheme="minorHAnsi" w:eastAsiaTheme="minorEastAsia" w:hAnsiTheme="minorHAnsi"/>
          <w:color w:val="auto"/>
          <w:sz w:val="22"/>
          <w:szCs w:val="22"/>
          <w:lang w:eastAsia="en-AU"/>
        </w:rPr>
      </w:pPr>
      <w:r w:rsidRPr="00B75B6B">
        <w:rPr>
          <w:b/>
        </w:rPr>
        <w:t>Figure 18</w:t>
      </w:r>
      <w:r>
        <w:t>: Proportion of total bandwidth capacity relative to FY24 target</w:t>
      </w:r>
      <w:r>
        <w:tab/>
      </w:r>
      <w:r>
        <w:fldChar w:fldCharType="begin"/>
      </w:r>
      <w:r>
        <w:instrText xml:space="preserve"> PAGEREF _Toc79585079 \h </w:instrText>
      </w:r>
      <w:r>
        <w:fldChar w:fldCharType="separate"/>
      </w:r>
      <w:r w:rsidR="00DD5715">
        <w:t>48</w:t>
      </w:r>
      <w:r>
        <w:fldChar w:fldCharType="end"/>
      </w:r>
    </w:p>
    <w:p w14:paraId="4BB6A19F" w14:textId="48F4C0CB" w:rsidR="00C22516" w:rsidRDefault="00C22516">
      <w:pPr>
        <w:pStyle w:val="TableofFigures"/>
        <w:rPr>
          <w:rFonts w:asciiTheme="minorHAnsi" w:eastAsiaTheme="minorEastAsia" w:hAnsiTheme="minorHAnsi"/>
          <w:color w:val="auto"/>
          <w:sz w:val="22"/>
          <w:szCs w:val="22"/>
          <w:lang w:eastAsia="en-AU"/>
        </w:rPr>
      </w:pPr>
      <w:r w:rsidRPr="00B75B6B">
        <w:rPr>
          <w:b/>
        </w:rPr>
        <w:t>Figure 19</w:t>
      </w:r>
      <w:r>
        <w:t>: Overview of competition benefits methodology</w:t>
      </w:r>
      <w:r>
        <w:tab/>
      </w:r>
      <w:r>
        <w:fldChar w:fldCharType="begin"/>
      </w:r>
      <w:r>
        <w:instrText xml:space="preserve"> PAGEREF _Toc79585080 \h </w:instrText>
      </w:r>
      <w:r>
        <w:fldChar w:fldCharType="separate"/>
      </w:r>
      <w:r w:rsidR="00DD5715">
        <w:t>50</w:t>
      </w:r>
      <w:r>
        <w:fldChar w:fldCharType="end"/>
      </w:r>
    </w:p>
    <w:p w14:paraId="38633B63" w14:textId="21688D21" w:rsidR="00C22516" w:rsidRDefault="00C22516">
      <w:pPr>
        <w:pStyle w:val="TableofFigures"/>
        <w:rPr>
          <w:rFonts w:asciiTheme="minorHAnsi" w:eastAsiaTheme="minorEastAsia" w:hAnsiTheme="minorHAnsi"/>
          <w:color w:val="auto"/>
          <w:sz w:val="22"/>
          <w:szCs w:val="22"/>
          <w:lang w:eastAsia="en-AU"/>
        </w:rPr>
      </w:pPr>
      <w:r w:rsidRPr="00B75B6B">
        <w:rPr>
          <w:b/>
        </w:rPr>
        <w:t>Figure 20</w:t>
      </w:r>
      <w:r>
        <w:t>: Illustration of wholesale and retail markets for business grade broadband</w:t>
      </w:r>
      <w:r>
        <w:tab/>
      </w:r>
      <w:r>
        <w:fldChar w:fldCharType="begin"/>
      </w:r>
      <w:r>
        <w:instrText xml:space="preserve"> PAGEREF _Toc79585081 \h </w:instrText>
      </w:r>
      <w:r>
        <w:fldChar w:fldCharType="separate"/>
      </w:r>
      <w:r w:rsidR="00DD5715">
        <w:t>52</w:t>
      </w:r>
      <w:r>
        <w:fldChar w:fldCharType="end"/>
      </w:r>
    </w:p>
    <w:p w14:paraId="51EA0AA6" w14:textId="3112206A" w:rsidR="00C22516" w:rsidRDefault="00C22516">
      <w:pPr>
        <w:pStyle w:val="TableofFigures"/>
        <w:rPr>
          <w:rFonts w:asciiTheme="minorHAnsi" w:eastAsiaTheme="minorEastAsia" w:hAnsiTheme="minorHAnsi"/>
          <w:color w:val="auto"/>
          <w:sz w:val="22"/>
          <w:szCs w:val="22"/>
          <w:lang w:eastAsia="en-AU"/>
        </w:rPr>
      </w:pPr>
      <w:r w:rsidRPr="00B75B6B">
        <w:rPr>
          <w:b/>
        </w:rPr>
        <w:t>Figure 21</w:t>
      </w:r>
      <w:r>
        <w:t>: Estimated shares of fibre, shares of lit buildings and share of revenues for enterprise customers</w:t>
      </w:r>
      <w:r>
        <w:tab/>
      </w:r>
      <w:r>
        <w:fldChar w:fldCharType="begin"/>
      </w:r>
      <w:r>
        <w:instrText xml:space="preserve"> PAGEREF _Toc79585082 \h </w:instrText>
      </w:r>
      <w:r>
        <w:fldChar w:fldCharType="separate"/>
      </w:r>
      <w:r w:rsidR="00DD5715">
        <w:t>54</w:t>
      </w:r>
      <w:r>
        <w:fldChar w:fldCharType="end"/>
      </w:r>
    </w:p>
    <w:p w14:paraId="1AA7594D" w14:textId="018151AE" w:rsidR="00C22516" w:rsidRDefault="00C22516">
      <w:pPr>
        <w:pStyle w:val="TableofFigures"/>
        <w:rPr>
          <w:rFonts w:asciiTheme="minorHAnsi" w:eastAsiaTheme="minorEastAsia" w:hAnsiTheme="minorHAnsi"/>
          <w:color w:val="auto"/>
          <w:sz w:val="22"/>
          <w:szCs w:val="22"/>
          <w:lang w:eastAsia="en-AU"/>
        </w:rPr>
      </w:pPr>
      <w:r w:rsidRPr="00B75B6B">
        <w:rPr>
          <w:b/>
        </w:rPr>
        <w:t>Figure 22</w:t>
      </w:r>
      <w:r>
        <w:t>: Availability of TC-2 services for business use</w:t>
      </w:r>
      <w:r>
        <w:tab/>
      </w:r>
      <w:r>
        <w:fldChar w:fldCharType="begin"/>
      </w:r>
      <w:r>
        <w:instrText xml:space="preserve"> PAGEREF _Toc79585083 \h </w:instrText>
      </w:r>
      <w:r>
        <w:fldChar w:fldCharType="separate"/>
      </w:r>
      <w:r w:rsidR="00DD5715">
        <w:t>56</w:t>
      </w:r>
      <w:r>
        <w:fldChar w:fldCharType="end"/>
      </w:r>
    </w:p>
    <w:p w14:paraId="21198E08" w14:textId="504734FD" w:rsidR="00C22516" w:rsidRDefault="00C22516">
      <w:pPr>
        <w:pStyle w:val="TableofFigures"/>
        <w:rPr>
          <w:rFonts w:asciiTheme="minorHAnsi" w:eastAsiaTheme="minorEastAsia" w:hAnsiTheme="minorHAnsi"/>
          <w:color w:val="auto"/>
          <w:sz w:val="22"/>
          <w:szCs w:val="22"/>
          <w:lang w:eastAsia="en-AU"/>
        </w:rPr>
      </w:pPr>
      <w:r w:rsidRPr="00B75B6B">
        <w:rPr>
          <w:b/>
        </w:rPr>
        <w:t>Figure 23</w:t>
      </w:r>
      <w:r>
        <w:t>: 15 national suppliers of Enterprise Ethernet services</w:t>
      </w:r>
      <w:r>
        <w:tab/>
      </w:r>
      <w:r>
        <w:fldChar w:fldCharType="begin"/>
      </w:r>
      <w:r>
        <w:instrText xml:space="preserve"> PAGEREF _Toc79585084 \h </w:instrText>
      </w:r>
      <w:r>
        <w:fldChar w:fldCharType="separate"/>
      </w:r>
      <w:r w:rsidR="00DD5715">
        <w:t>58</w:t>
      </w:r>
      <w:r>
        <w:fldChar w:fldCharType="end"/>
      </w:r>
    </w:p>
    <w:p w14:paraId="6C6A7F14" w14:textId="6C734FED" w:rsidR="00C22516" w:rsidRDefault="00C22516">
      <w:pPr>
        <w:pStyle w:val="TableofFigures"/>
        <w:rPr>
          <w:rFonts w:asciiTheme="minorHAnsi" w:eastAsiaTheme="minorEastAsia" w:hAnsiTheme="minorHAnsi"/>
          <w:color w:val="auto"/>
          <w:sz w:val="22"/>
          <w:szCs w:val="22"/>
          <w:lang w:eastAsia="en-AU"/>
        </w:rPr>
      </w:pPr>
      <w:r w:rsidRPr="00B75B6B">
        <w:rPr>
          <w:b/>
        </w:rPr>
        <w:t>Figure 24</w:t>
      </w:r>
      <w:r>
        <w:t>: Increased opportunities for switching</w:t>
      </w:r>
      <w:r>
        <w:tab/>
      </w:r>
      <w:r>
        <w:fldChar w:fldCharType="begin"/>
      </w:r>
      <w:r>
        <w:instrText xml:space="preserve"> PAGEREF _Toc79585085 \h </w:instrText>
      </w:r>
      <w:r>
        <w:fldChar w:fldCharType="separate"/>
      </w:r>
      <w:r w:rsidR="00DD5715">
        <w:t>60</w:t>
      </w:r>
      <w:r>
        <w:fldChar w:fldCharType="end"/>
      </w:r>
    </w:p>
    <w:p w14:paraId="4C9A089E" w14:textId="66074F58" w:rsidR="00C22516" w:rsidRDefault="00C22516">
      <w:pPr>
        <w:pStyle w:val="TableofFigures"/>
        <w:rPr>
          <w:rFonts w:asciiTheme="minorHAnsi" w:eastAsiaTheme="minorEastAsia" w:hAnsiTheme="minorHAnsi"/>
          <w:color w:val="auto"/>
          <w:sz w:val="22"/>
          <w:szCs w:val="22"/>
          <w:lang w:eastAsia="en-AU"/>
        </w:rPr>
      </w:pPr>
      <w:r w:rsidRPr="00B75B6B">
        <w:rPr>
          <w:b/>
        </w:rPr>
        <w:t>Figure 25</w:t>
      </w:r>
      <w:r>
        <w:t>: Telair retail services and wholesale suppliers</w:t>
      </w:r>
      <w:r>
        <w:tab/>
      </w:r>
      <w:r>
        <w:fldChar w:fldCharType="begin"/>
      </w:r>
      <w:r>
        <w:instrText xml:space="preserve"> PAGEREF _Toc79585086 \h </w:instrText>
      </w:r>
      <w:r>
        <w:fldChar w:fldCharType="separate"/>
      </w:r>
      <w:r w:rsidR="00DD5715">
        <w:t>61</w:t>
      </w:r>
      <w:r>
        <w:fldChar w:fldCharType="end"/>
      </w:r>
    </w:p>
    <w:p w14:paraId="4C497408" w14:textId="45EFA160" w:rsidR="00C22516" w:rsidRDefault="00C22516">
      <w:pPr>
        <w:pStyle w:val="TableofFigures"/>
        <w:rPr>
          <w:rFonts w:asciiTheme="minorHAnsi" w:eastAsiaTheme="minorEastAsia" w:hAnsiTheme="minorHAnsi"/>
          <w:color w:val="auto"/>
          <w:sz w:val="22"/>
          <w:szCs w:val="22"/>
          <w:lang w:eastAsia="en-AU"/>
        </w:rPr>
      </w:pPr>
      <w:r w:rsidRPr="00B75B6B">
        <w:rPr>
          <w:b/>
        </w:rPr>
        <w:t>Figure 26</w:t>
      </w:r>
      <w:r>
        <w:t>: Price competition appears to be intensifying</w:t>
      </w:r>
      <w:r>
        <w:tab/>
      </w:r>
      <w:r>
        <w:fldChar w:fldCharType="begin"/>
      </w:r>
      <w:r>
        <w:instrText xml:space="preserve"> PAGEREF _Toc79585087 \h </w:instrText>
      </w:r>
      <w:r>
        <w:fldChar w:fldCharType="separate"/>
      </w:r>
      <w:r w:rsidR="00DD5715">
        <w:t>61</w:t>
      </w:r>
      <w:r>
        <w:fldChar w:fldCharType="end"/>
      </w:r>
    </w:p>
    <w:p w14:paraId="38F5408E" w14:textId="71EBC828" w:rsidR="00C22516" w:rsidRDefault="00C22516">
      <w:pPr>
        <w:pStyle w:val="TableofFigures"/>
        <w:rPr>
          <w:rFonts w:asciiTheme="minorHAnsi" w:eastAsiaTheme="minorEastAsia" w:hAnsiTheme="minorHAnsi"/>
          <w:color w:val="auto"/>
          <w:sz w:val="22"/>
          <w:szCs w:val="22"/>
          <w:lang w:eastAsia="en-AU"/>
        </w:rPr>
      </w:pPr>
      <w:r w:rsidRPr="00B75B6B">
        <w:rPr>
          <w:b/>
        </w:rPr>
        <w:t>Figure 27</w:t>
      </w:r>
      <w:r>
        <w:t>: Service innovation using NBN Co’s wholesale business products</w:t>
      </w:r>
      <w:r>
        <w:tab/>
      </w:r>
      <w:r>
        <w:fldChar w:fldCharType="begin"/>
      </w:r>
      <w:r>
        <w:instrText xml:space="preserve"> PAGEREF _Toc79585088 \h </w:instrText>
      </w:r>
      <w:r>
        <w:fldChar w:fldCharType="separate"/>
      </w:r>
      <w:r w:rsidR="00DD5715">
        <w:t>63</w:t>
      </w:r>
      <w:r>
        <w:fldChar w:fldCharType="end"/>
      </w:r>
    </w:p>
    <w:p w14:paraId="33BA65C6" w14:textId="7EB9758E" w:rsidR="00C22516" w:rsidRDefault="00C22516">
      <w:pPr>
        <w:pStyle w:val="TableofFigures"/>
        <w:rPr>
          <w:rFonts w:asciiTheme="minorHAnsi" w:eastAsiaTheme="minorEastAsia" w:hAnsiTheme="minorHAnsi"/>
          <w:color w:val="auto"/>
          <w:sz w:val="22"/>
          <w:szCs w:val="22"/>
          <w:lang w:eastAsia="en-AU"/>
        </w:rPr>
      </w:pPr>
      <w:r w:rsidRPr="00B75B6B">
        <w:rPr>
          <w:b/>
        </w:rPr>
        <w:t>Figure 28</w:t>
      </w:r>
      <w:r>
        <w:t>: Types of economic impact</w:t>
      </w:r>
      <w:r>
        <w:tab/>
      </w:r>
      <w:r>
        <w:fldChar w:fldCharType="begin"/>
      </w:r>
      <w:r>
        <w:instrText xml:space="preserve"> PAGEREF _Toc79585089 \h </w:instrText>
      </w:r>
      <w:r>
        <w:fldChar w:fldCharType="separate"/>
      </w:r>
      <w:r w:rsidR="00DD5715">
        <w:t>74</w:t>
      </w:r>
      <w:r>
        <w:fldChar w:fldCharType="end"/>
      </w:r>
    </w:p>
    <w:p w14:paraId="10DF1CC6" w14:textId="44463232" w:rsidR="00C22516" w:rsidRDefault="00C22516">
      <w:pPr>
        <w:pStyle w:val="TableofFigures"/>
        <w:rPr>
          <w:rFonts w:asciiTheme="minorHAnsi" w:eastAsiaTheme="minorEastAsia" w:hAnsiTheme="minorHAnsi"/>
          <w:color w:val="auto"/>
          <w:sz w:val="22"/>
          <w:szCs w:val="22"/>
          <w:lang w:eastAsia="en-AU"/>
        </w:rPr>
      </w:pPr>
      <w:r w:rsidRPr="00B75B6B">
        <w:rPr>
          <w:b/>
        </w:rPr>
        <w:t>Figure 29</w:t>
      </w:r>
      <w:r>
        <w:t>: Methodology for estimating specific firm productivity effects</w:t>
      </w:r>
      <w:r>
        <w:tab/>
      </w:r>
      <w:r>
        <w:fldChar w:fldCharType="begin"/>
      </w:r>
      <w:r>
        <w:instrText xml:space="preserve"> PAGEREF _Toc79585090 \h </w:instrText>
      </w:r>
      <w:r>
        <w:fldChar w:fldCharType="separate"/>
      </w:r>
      <w:r w:rsidR="00DD5715">
        <w:t>83</w:t>
      </w:r>
      <w:r>
        <w:fldChar w:fldCharType="end"/>
      </w:r>
    </w:p>
    <w:p w14:paraId="54FE6ED5" w14:textId="7D33AFDB" w:rsidR="006628AF" w:rsidRPr="00E57B03" w:rsidRDefault="007C673D" w:rsidP="006628AF">
      <w:pPr>
        <w:rPr>
          <w:sz w:val="24"/>
          <w:szCs w:val="24"/>
        </w:rPr>
      </w:pPr>
      <w:r w:rsidRPr="00E57B03">
        <w:rPr>
          <w:noProof/>
          <w:sz w:val="24"/>
          <w:szCs w:val="24"/>
          <w:lang w:val="en-US"/>
        </w:rPr>
        <w:fldChar w:fldCharType="end"/>
      </w:r>
    </w:p>
    <w:p w14:paraId="3FEEC9FB" w14:textId="77777777" w:rsidR="006628AF" w:rsidRDefault="006628AF" w:rsidP="00C22516">
      <w:pPr>
        <w:pStyle w:val="TOC3"/>
      </w:pPr>
      <w:r>
        <w:lastRenderedPageBreak/>
        <w:t>Boxes</w:t>
      </w:r>
    </w:p>
    <w:p w14:paraId="298F9920" w14:textId="34FDB5B7" w:rsidR="00C22516" w:rsidRDefault="007C673D" w:rsidP="00C22516">
      <w:pPr>
        <w:pStyle w:val="TableofFigures"/>
        <w:keepNext/>
        <w:rPr>
          <w:rFonts w:asciiTheme="minorHAnsi" w:eastAsiaTheme="minorEastAsia" w:hAnsiTheme="minorHAnsi"/>
          <w:color w:val="auto"/>
          <w:sz w:val="22"/>
          <w:szCs w:val="22"/>
          <w:lang w:eastAsia="en-AU"/>
        </w:rPr>
      </w:pPr>
      <w:r w:rsidRPr="00E57B03">
        <w:rPr>
          <w:noProof w:val="0"/>
          <w:sz w:val="24"/>
          <w:szCs w:val="24"/>
        </w:rPr>
        <w:fldChar w:fldCharType="begin"/>
      </w:r>
      <w:r w:rsidRPr="00E57B03">
        <w:rPr>
          <w:sz w:val="24"/>
          <w:szCs w:val="24"/>
        </w:rPr>
        <w:instrText xml:space="preserve"> TOC \t "Callout Box caption" \c </w:instrText>
      </w:r>
      <w:r w:rsidRPr="00E57B03">
        <w:rPr>
          <w:noProof w:val="0"/>
          <w:sz w:val="24"/>
          <w:szCs w:val="24"/>
        </w:rPr>
        <w:fldChar w:fldCharType="separate"/>
      </w:r>
      <w:r w:rsidR="00C22516" w:rsidRPr="00C5170C">
        <w:rPr>
          <w:rFonts w:cs="Open Sans"/>
          <w:b/>
          <w14:scene3d>
            <w14:camera w14:prst="orthographicFront"/>
            <w14:lightRig w14:rig="threePt" w14:dir="t">
              <w14:rot w14:lat="0" w14:lon="0" w14:rev="0"/>
            </w14:lightRig>
          </w14:scene3d>
        </w:rPr>
        <w:t>Box 1</w:t>
      </w:r>
      <w:r w:rsidR="00C22516" w:rsidRPr="00C5170C">
        <w:rPr>
          <w:b/>
          <w:bCs/>
        </w:rPr>
        <w:t xml:space="preserve"> : </w:t>
      </w:r>
      <w:r w:rsidR="00C22516">
        <w:t>NBN Co’s Business grade services</w:t>
      </w:r>
      <w:r w:rsidR="00C22516">
        <w:tab/>
      </w:r>
      <w:r w:rsidR="00C22516">
        <w:fldChar w:fldCharType="begin"/>
      </w:r>
      <w:r w:rsidR="00C22516">
        <w:instrText xml:space="preserve"> PAGEREF _Toc79585091 \h </w:instrText>
      </w:r>
      <w:r w:rsidR="00C22516">
        <w:fldChar w:fldCharType="separate"/>
      </w:r>
      <w:r w:rsidR="00DD5715">
        <w:t>17</w:t>
      </w:r>
      <w:r w:rsidR="00C22516">
        <w:fldChar w:fldCharType="end"/>
      </w:r>
    </w:p>
    <w:p w14:paraId="04F23B5E" w14:textId="64DC2A06" w:rsidR="00C22516" w:rsidRDefault="00C22516" w:rsidP="00C22516">
      <w:pPr>
        <w:pStyle w:val="TableofFigures"/>
        <w:keepNext/>
        <w:rPr>
          <w:rFonts w:asciiTheme="minorHAnsi" w:eastAsiaTheme="minorEastAsia" w:hAnsiTheme="minorHAnsi"/>
          <w:color w:val="auto"/>
          <w:sz w:val="22"/>
          <w:szCs w:val="22"/>
          <w:lang w:eastAsia="en-AU"/>
        </w:rPr>
      </w:pPr>
      <w:r w:rsidRPr="00C5170C">
        <w:rPr>
          <w:rFonts w:cs="Open Sans"/>
          <w:b/>
          <w14:scene3d>
            <w14:camera w14:prst="orthographicFront"/>
            <w14:lightRig w14:rig="threePt" w14:dir="t">
              <w14:rot w14:lat="0" w14:lon="0" w14:rev="0"/>
            </w14:lightRig>
          </w14:scene3d>
        </w:rPr>
        <w:t>Box 2</w:t>
      </w:r>
      <w:r w:rsidRPr="00C5170C">
        <w:rPr>
          <w:b/>
          <w:bCs/>
        </w:rPr>
        <w:t xml:space="preserve"> :</w:t>
      </w:r>
      <w:r>
        <w:t xml:space="preserve"> Price discounts in Business Fibre Zones – from September 2020</w:t>
      </w:r>
      <w:r>
        <w:tab/>
      </w:r>
      <w:r>
        <w:fldChar w:fldCharType="begin"/>
      </w:r>
      <w:r>
        <w:instrText xml:space="preserve"> PAGEREF _Toc79585092 \h </w:instrText>
      </w:r>
      <w:r>
        <w:fldChar w:fldCharType="separate"/>
      </w:r>
      <w:r w:rsidR="00DD5715">
        <w:t>18</w:t>
      </w:r>
      <w:r>
        <w:fldChar w:fldCharType="end"/>
      </w:r>
    </w:p>
    <w:p w14:paraId="5BDC3759" w14:textId="0E764872" w:rsidR="00C22516" w:rsidRDefault="00C22516" w:rsidP="00C22516">
      <w:pPr>
        <w:pStyle w:val="TableofFigures"/>
        <w:keepNext/>
        <w:rPr>
          <w:rFonts w:asciiTheme="minorHAnsi" w:eastAsiaTheme="minorEastAsia" w:hAnsiTheme="minorHAnsi"/>
          <w:color w:val="auto"/>
          <w:sz w:val="22"/>
          <w:szCs w:val="22"/>
          <w:lang w:eastAsia="en-AU"/>
        </w:rPr>
      </w:pPr>
      <w:r w:rsidRPr="00C5170C">
        <w:rPr>
          <w:rFonts w:cs="Open Sans"/>
          <w:b/>
          <w14:scene3d>
            <w14:camera w14:prst="orthographicFront"/>
            <w14:lightRig w14:rig="threePt" w14:dir="t">
              <w14:rot w14:lat="0" w14:lon="0" w14:rev="0"/>
            </w14:lightRig>
          </w14:scene3d>
        </w:rPr>
        <w:t>Box 3</w:t>
      </w:r>
      <w:r w:rsidRPr="00C5170C">
        <w:rPr>
          <w:b/>
          <w:bCs/>
        </w:rPr>
        <w:t xml:space="preserve"> :</w:t>
      </w:r>
      <w:r>
        <w:t xml:space="preserve"> Business broadband in New Zealand</w:t>
      </w:r>
      <w:r>
        <w:tab/>
      </w:r>
      <w:r>
        <w:fldChar w:fldCharType="begin"/>
      </w:r>
      <w:r>
        <w:instrText xml:space="preserve"> PAGEREF _Toc79585093 \h </w:instrText>
      </w:r>
      <w:r>
        <w:fldChar w:fldCharType="separate"/>
      </w:r>
      <w:r w:rsidR="00DD5715">
        <w:t>26</w:t>
      </w:r>
      <w:r>
        <w:fldChar w:fldCharType="end"/>
      </w:r>
    </w:p>
    <w:p w14:paraId="2A4445FF" w14:textId="4604F485" w:rsidR="00C22516" w:rsidRDefault="00C22516">
      <w:pPr>
        <w:pStyle w:val="TableofFigures"/>
        <w:rPr>
          <w:rFonts w:asciiTheme="minorHAnsi" w:eastAsiaTheme="minorEastAsia" w:hAnsiTheme="minorHAnsi"/>
          <w:color w:val="auto"/>
          <w:sz w:val="22"/>
          <w:szCs w:val="22"/>
          <w:lang w:eastAsia="en-AU"/>
        </w:rPr>
      </w:pPr>
      <w:r w:rsidRPr="00C5170C">
        <w:rPr>
          <w:rFonts w:cs="Open Sans"/>
          <w:b/>
          <w14:scene3d>
            <w14:camera w14:prst="orthographicFront"/>
            <w14:lightRig w14:rig="threePt" w14:dir="t">
              <w14:rot w14:lat="0" w14:lon="0" w14:rev="0"/>
            </w14:lightRig>
          </w14:scene3d>
        </w:rPr>
        <w:t>Box 4</w:t>
      </w:r>
      <w:r w:rsidRPr="00C5170C">
        <w:rPr>
          <w:b/>
          <w:bCs/>
        </w:rPr>
        <w:t xml:space="preserve"> :</w:t>
      </w:r>
      <w:r>
        <w:t xml:space="preserve"> Understanding increases in firm productivity and output</w:t>
      </w:r>
      <w:r>
        <w:tab/>
      </w:r>
      <w:r>
        <w:fldChar w:fldCharType="begin"/>
      </w:r>
      <w:r>
        <w:instrText xml:space="preserve"> PAGEREF _Toc79585094 \h </w:instrText>
      </w:r>
      <w:r>
        <w:fldChar w:fldCharType="separate"/>
      </w:r>
      <w:r w:rsidR="00DD5715">
        <w:t>37</w:t>
      </w:r>
      <w:r>
        <w:fldChar w:fldCharType="end"/>
      </w:r>
    </w:p>
    <w:p w14:paraId="183E1A5C" w14:textId="7FADA37A" w:rsidR="00C22516" w:rsidRDefault="00C22516">
      <w:pPr>
        <w:pStyle w:val="TableofFigures"/>
        <w:rPr>
          <w:rFonts w:asciiTheme="minorHAnsi" w:eastAsiaTheme="minorEastAsia" w:hAnsiTheme="minorHAnsi"/>
          <w:color w:val="auto"/>
          <w:sz w:val="22"/>
          <w:szCs w:val="22"/>
          <w:lang w:eastAsia="en-AU"/>
        </w:rPr>
      </w:pPr>
      <w:r w:rsidRPr="00C5170C">
        <w:rPr>
          <w:rFonts w:cs="Open Sans"/>
          <w:b/>
          <w14:scene3d>
            <w14:camera w14:prst="orthographicFront"/>
            <w14:lightRig w14:rig="threePt" w14:dir="t">
              <w14:rot w14:lat="0" w14:lon="0" w14:rev="0"/>
            </w14:lightRig>
          </w14:scene3d>
        </w:rPr>
        <w:t>Box 5</w:t>
      </w:r>
      <w:r w:rsidRPr="00C5170C">
        <w:rPr>
          <w:b/>
          <w:bCs/>
        </w:rPr>
        <w:t xml:space="preserve"> :</w:t>
      </w:r>
      <w:r>
        <w:t xml:space="preserve"> Case Study – Cumulus Visual Effects</w:t>
      </w:r>
      <w:r>
        <w:tab/>
      </w:r>
      <w:r>
        <w:fldChar w:fldCharType="begin"/>
      </w:r>
      <w:r>
        <w:instrText xml:space="preserve"> PAGEREF _Toc79585095 \h </w:instrText>
      </w:r>
      <w:r>
        <w:fldChar w:fldCharType="separate"/>
      </w:r>
      <w:r w:rsidR="00DD5715">
        <w:t>67</w:t>
      </w:r>
      <w:r>
        <w:fldChar w:fldCharType="end"/>
      </w:r>
    </w:p>
    <w:p w14:paraId="21860348" w14:textId="29B733F6" w:rsidR="00C22516" w:rsidRDefault="00C22516">
      <w:pPr>
        <w:pStyle w:val="TableofFigures"/>
        <w:rPr>
          <w:rFonts w:asciiTheme="minorHAnsi" w:eastAsiaTheme="minorEastAsia" w:hAnsiTheme="minorHAnsi"/>
          <w:color w:val="auto"/>
          <w:sz w:val="22"/>
          <w:szCs w:val="22"/>
          <w:lang w:eastAsia="en-AU"/>
        </w:rPr>
      </w:pPr>
      <w:r w:rsidRPr="00C5170C">
        <w:rPr>
          <w:rFonts w:cs="Open Sans"/>
          <w:b/>
          <w14:scene3d>
            <w14:camera w14:prst="orthographicFront"/>
            <w14:lightRig w14:rig="threePt" w14:dir="t">
              <w14:rot w14:lat="0" w14:lon="0" w14:rev="0"/>
            </w14:lightRig>
          </w14:scene3d>
        </w:rPr>
        <w:t>Box 6</w:t>
      </w:r>
      <w:r w:rsidRPr="00C5170C">
        <w:rPr>
          <w:b/>
          <w:bCs/>
        </w:rPr>
        <w:t xml:space="preserve"> :</w:t>
      </w:r>
      <w:r>
        <w:t xml:space="preserve"> Case study – ADW Johnson</w:t>
      </w:r>
      <w:r>
        <w:tab/>
      </w:r>
      <w:r>
        <w:fldChar w:fldCharType="begin"/>
      </w:r>
      <w:r>
        <w:instrText xml:space="preserve"> PAGEREF _Toc79585096 \h </w:instrText>
      </w:r>
      <w:r>
        <w:fldChar w:fldCharType="separate"/>
      </w:r>
      <w:r w:rsidR="00DD5715">
        <w:t>68</w:t>
      </w:r>
      <w:r>
        <w:fldChar w:fldCharType="end"/>
      </w:r>
    </w:p>
    <w:p w14:paraId="2D389C0D" w14:textId="67FDD4C4" w:rsidR="00C22516" w:rsidRDefault="00C22516">
      <w:pPr>
        <w:pStyle w:val="TableofFigures"/>
        <w:rPr>
          <w:rFonts w:asciiTheme="minorHAnsi" w:eastAsiaTheme="minorEastAsia" w:hAnsiTheme="minorHAnsi"/>
          <w:color w:val="auto"/>
          <w:sz w:val="22"/>
          <w:szCs w:val="22"/>
          <w:lang w:eastAsia="en-AU"/>
        </w:rPr>
      </w:pPr>
      <w:r w:rsidRPr="00C5170C">
        <w:rPr>
          <w:rFonts w:cs="Open Sans"/>
          <w:b/>
          <w14:scene3d>
            <w14:camera w14:prst="orthographicFront"/>
            <w14:lightRig w14:rig="threePt" w14:dir="t">
              <w14:rot w14:lat="0" w14:lon="0" w14:rev="0"/>
            </w14:lightRig>
          </w14:scene3d>
        </w:rPr>
        <w:t>Box 7</w:t>
      </w:r>
      <w:r w:rsidRPr="00C5170C">
        <w:rPr>
          <w:b/>
          <w:bCs/>
        </w:rPr>
        <w:t xml:space="preserve"> :</w:t>
      </w:r>
      <w:r>
        <w:t xml:space="preserve"> Case study – Catholic Education Tasmania</w:t>
      </w:r>
      <w:r>
        <w:tab/>
      </w:r>
      <w:r>
        <w:fldChar w:fldCharType="begin"/>
      </w:r>
      <w:r>
        <w:instrText xml:space="preserve"> PAGEREF _Toc79585097 \h </w:instrText>
      </w:r>
      <w:r>
        <w:fldChar w:fldCharType="separate"/>
      </w:r>
      <w:r w:rsidR="00DD5715">
        <w:t>69</w:t>
      </w:r>
      <w:r>
        <w:fldChar w:fldCharType="end"/>
      </w:r>
    </w:p>
    <w:p w14:paraId="6FC76FB8" w14:textId="780085C4" w:rsidR="00C22516" w:rsidRDefault="00C22516">
      <w:pPr>
        <w:pStyle w:val="TableofFigures"/>
        <w:rPr>
          <w:rFonts w:asciiTheme="minorHAnsi" w:eastAsiaTheme="minorEastAsia" w:hAnsiTheme="minorHAnsi"/>
          <w:color w:val="auto"/>
          <w:sz w:val="22"/>
          <w:szCs w:val="22"/>
          <w:lang w:eastAsia="en-AU"/>
        </w:rPr>
      </w:pPr>
      <w:r w:rsidRPr="00C5170C">
        <w:rPr>
          <w:rFonts w:cs="Open Sans"/>
          <w:b/>
          <w14:scene3d>
            <w14:camera w14:prst="orthographicFront"/>
            <w14:lightRig w14:rig="threePt" w14:dir="t">
              <w14:rot w14:lat="0" w14:lon="0" w14:rev="0"/>
            </w14:lightRig>
          </w14:scene3d>
        </w:rPr>
        <w:t>Box 8</w:t>
      </w:r>
      <w:r w:rsidRPr="00C5170C">
        <w:rPr>
          <w:b/>
          <w:bCs/>
        </w:rPr>
        <w:t xml:space="preserve"> :</w:t>
      </w:r>
      <w:r>
        <w:t xml:space="preserve"> Case study – BIG4 Easts Beach Holiday Park</w:t>
      </w:r>
      <w:r>
        <w:tab/>
      </w:r>
      <w:r>
        <w:fldChar w:fldCharType="begin"/>
      </w:r>
      <w:r>
        <w:instrText xml:space="preserve"> PAGEREF _Toc79585098 \h </w:instrText>
      </w:r>
      <w:r>
        <w:fldChar w:fldCharType="separate"/>
      </w:r>
      <w:r w:rsidR="00DD5715">
        <w:t>70</w:t>
      </w:r>
      <w:r>
        <w:fldChar w:fldCharType="end"/>
      </w:r>
    </w:p>
    <w:p w14:paraId="5115CD3E" w14:textId="17292F11" w:rsidR="00C22516" w:rsidRDefault="00C22516">
      <w:pPr>
        <w:pStyle w:val="TableofFigures"/>
        <w:rPr>
          <w:rFonts w:asciiTheme="minorHAnsi" w:eastAsiaTheme="minorEastAsia" w:hAnsiTheme="minorHAnsi"/>
          <w:color w:val="auto"/>
          <w:sz w:val="22"/>
          <w:szCs w:val="22"/>
          <w:lang w:eastAsia="en-AU"/>
        </w:rPr>
      </w:pPr>
      <w:r w:rsidRPr="00C5170C">
        <w:rPr>
          <w:rFonts w:cs="Open Sans"/>
          <w:b/>
          <w14:scene3d>
            <w14:camera w14:prst="orthographicFront"/>
            <w14:lightRig w14:rig="threePt" w14:dir="t">
              <w14:rot w14:lat="0" w14:lon="0" w14:rev="0"/>
            </w14:lightRig>
          </w14:scene3d>
        </w:rPr>
        <w:t>Box 9</w:t>
      </w:r>
      <w:r w:rsidRPr="00C5170C">
        <w:rPr>
          <w:b/>
          <w:bCs/>
        </w:rPr>
        <w:t xml:space="preserve"> :</w:t>
      </w:r>
      <w:r>
        <w:t xml:space="preserve"> Case study – Forico</w:t>
      </w:r>
      <w:r>
        <w:tab/>
      </w:r>
      <w:r>
        <w:fldChar w:fldCharType="begin"/>
      </w:r>
      <w:r>
        <w:instrText xml:space="preserve"> PAGEREF _Toc79585099 \h </w:instrText>
      </w:r>
      <w:r>
        <w:fldChar w:fldCharType="separate"/>
      </w:r>
      <w:r w:rsidR="00DD5715">
        <w:t>71</w:t>
      </w:r>
      <w:r>
        <w:fldChar w:fldCharType="end"/>
      </w:r>
    </w:p>
    <w:p w14:paraId="4C6FB6D6" w14:textId="5F37529E" w:rsidR="00C22516" w:rsidRDefault="00C22516">
      <w:pPr>
        <w:pStyle w:val="TableofFigures"/>
        <w:rPr>
          <w:rFonts w:asciiTheme="minorHAnsi" w:eastAsiaTheme="minorEastAsia" w:hAnsiTheme="minorHAnsi"/>
          <w:color w:val="auto"/>
          <w:sz w:val="22"/>
          <w:szCs w:val="22"/>
          <w:lang w:eastAsia="en-AU"/>
        </w:rPr>
      </w:pPr>
      <w:r w:rsidRPr="00C5170C">
        <w:rPr>
          <w:rFonts w:cs="Open Sans"/>
          <w:b/>
          <w14:scene3d>
            <w14:camera w14:prst="orthographicFront"/>
            <w14:lightRig w14:rig="threePt" w14:dir="t">
              <w14:rot w14:lat="0" w14:lon="0" w14:rev="0"/>
            </w14:lightRig>
          </w14:scene3d>
        </w:rPr>
        <w:t>Box 10</w:t>
      </w:r>
      <w:r w:rsidRPr="00C5170C">
        <w:rPr>
          <w:b/>
          <w:bCs/>
        </w:rPr>
        <w:t xml:space="preserve"> :</w:t>
      </w:r>
      <w:r>
        <w:t xml:space="preserve"> Bureau of Metrology (BoM) trial of business nbn Satellite Service</w:t>
      </w:r>
      <w:r>
        <w:tab/>
      </w:r>
      <w:r>
        <w:fldChar w:fldCharType="begin"/>
      </w:r>
      <w:r>
        <w:instrText xml:space="preserve"> PAGEREF _Toc79585100 \h </w:instrText>
      </w:r>
      <w:r>
        <w:fldChar w:fldCharType="separate"/>
      </w:r>
      <w:r w:rsidR="00DD5715">
        <w:t>72</w:t>
      </w:r>
      <w:r>
        <w:fldChar w:fldCharType="end"/>
      </w:r>
    </w:p>
    <w:p w14:paraId="4E46AB59" w14:textId="2B3EF6D2" w:rsidR="006628AF" w:rsidRPr="00E57B03" w:rsidRDefault="007C673D" w:rsidP="006628AF">
      <w:pPr>
        <w:rPr>
          <w:sz w:val="24"/>
          <w:szCs w:val="24"/>
        </w:rPr>
      </w:pPr>
      <w:r w:rsidRPr="00E57B03">
        <w:rPr>
          <w:noProof/>
          <w:sz w:val="24"/>
          <w:szCs w:val="24"/>
          <w:lang w:val="en-US"/>
        </w:rPr>
        <w:fldChar w:fldCharType="end"/>
      </w:r>
    </w:p>
    <w:p w14:paraId="082864D4" w14:textId="77777777" w:rsidR="003F1F15" w:rsidRDefault="003F1F15">
      <w:pPr>
        <w:spacing w:before="0" w:after="0" w:line="240" w:lineRule="auto"/>
        <w:sectPr w:rsidR="003F1F15" w:rsidSect="009C6F71">
          <w:type w:val="continuous"/>
          <w:pgSz w:w="11906" w:h="16838" w:code="9"/>
          <w:pgMar w:top="1871" w:right="1418" w:bottom="1134" w:left="1418" w:header="567" w:footer="567" w:gutter="0"/>
          <w:cols w:space="708"/>
          <w:formProt w:val="0"/>
          <w:docGrid w:linePitch="360"/>
        </w:sectPr>
      </w:pPr>
    </w:p>
    <w:p w14:paraId="10B0D749" w14:textId="77777777" w:rsidR="00B117BE" w:rsidRPr="0006145F" w:rsidRDefault="00B117BE" w:rsidP="00557AD9">
      <w:pPr>
        <w:pStyle w:val="Heading2"/>
      </w:pPr>
      <w:bookmarkStart w:id="3" w:name="_Toc74574304"/>
      <w:bookmarkStart w:id="4" w:name="_Toc79671796"/>
      <w:r w:rsidRPr="0006145F">
        <w:lastRenderedPageBreak/>
        <w:t>Summary</w:t>
      </w:r>
      <w:bookmarkEnd w:id="3"/>
      <w:bookmarkEnd w:id="4"/>
    </w:p>
    <w:p w14:paraId="6B3FBCD2" w14:textId="726EAAFC" w:rsidR="00476391" w:rsidRDefault="00476391" w:rsidP="0006145F">
      <w:pPr>
        <w:pStyle w:val="Heading3"/>
      </w:pPr>
      <w:bookmarkStart w:id="5" w:name="_Toc79671797"/>
      <w:r>
        <w:t>Key points</w:t>
      </w:r>
      <w:bookmarkStart w:id="6" w:name="_Toc46242987"/>
      <w:bookmarkEnd w:id="5"/>
    </w:p>
    <w:tbl>
      <w:tblPr>
        <w:tblStyle w:val="FETablestyle4"/>
        <w:tblW w:w="0" w:type="auto"/>
        <w:jc w:val="center"/>
        <w:shd w:val="clear" w:color="auto" w:fill="F2F2F2" w:themeFill="background2"/>
        <w:tblLook w:val="04A0" w:firstRow="1" w:lastRow="0" w:firstColumn="1" w:lastColumn="0" w:noHBand="0" w:noVBand="1"/>
        <w:tblCaption w:val="Key Points Summary Table"/>
        <w:tblDescription w:val="Key points"/>
      </w:tblPr>
      <w:tblGrid>
        <w:gridCol w:w="1134"/>
        <w:gridCol w:w="7936"/>
      </w:tblGrid>
      <w:tr w:rsidR="00EC005E" w:rsidRPr="00BB6049" w14:paraId="4AA5DA12" w14:textId="77777777" w:rsidTr="00AE31D5">
        <w:trPr>
          <w:cantSplit/>
          <w:jc w:val="center"/>
        </w:trPr>
        <w:tc>
          <w:tcPr>
            <w:tcW w:w="1134" w:type="dxa"/>
            <w:shd w:val="clear" w:color="auto" w:fill="F2F2F2" w:themeFill="background2"/>
            <w:vAlign w:val="center"/>
          </w:tcPr>
          <w:p w14:paraId="073BB210" w14:textId="77777777" w:rsidR="00EC005E" w:rsidRPr="00BB6049" w:rsidRDefault="00BB7A4B" w:rsidP="00546D21">
            <w:pPr>
              <w:pStyle w:val="BodyText"/>
              <w:jc w:val="center"/>
            </w:pPr>
            <w:r>
              <w:rPr>
                <w:noProof/>
                <w:lang w:eastAsia="en-AU"/>
              </w:rPr>
              <w:drawing>
                <wp:inline distT="0" distB="0" distL="0" distR="0" wp14:anchorId="50A5501A" wp14:editId="304FA10C">
                  <wp:extent cx="540000" cy="540000"/>
                  <wp:effectExtent l="0" t="0" r="0" b="0"/>
                  <wp:docPr id="205" name="Graphic 205" descr="Network">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Graphic 205" descr="Network">
                            <a:extLst>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dec="http://schemas.microsoft.com/office/drawing/2017/decorative" val="0"/>
                              </a:ext>
                            </a:extLst>
                          </pic:cNvPr>
                          <pic:cNvPicPr/>
                        </pic:nvPicPr>
                        <pic:blipFill>
                          <a:blip r:embed="rId18"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svg="http://schemas.microsoft.com/office/drawing/2016/SVG/main" r:embed="rId19"/>
                              </a:ext>
                            </a:extLst>
                          </a:blip>
                          <a:stretch>
                            <a:fillRect/>
                          </a:stretch>
                        </pic:blipFill>
                        <pic:spPr>
                          <a:xfrm>
                            <a:off x="0" y="0"/>
                            <a:ext cx="540000" cy="540000"/>
                          </a:xfrm>
                          <a:prstGeom prst="rect">
                            <a:avLst/>
                          </a:prstGeom>
                        </pic:spPr>
                      </pic:pic>
                    </a:graphicData>
                  </a:graphic>
                </wp:inline>
              </w:drawing>
            </w:r>
          </w:p>
        </w:tc>
        <w:tc>
          <w:tcPr>
            <w:tcW w:w="7936" w:type="dxa"/>
            <w:shd w:val="clear" w:color="auto" w:fill="F2F2F2" w:themeFill="background2"/>
          </w:tcPr>
          <w:p w14:paraId="182AC756" w14:textId="77777777" w:rsidR="00C63AC4" w:rsidRDefault="00EC005E" w:rsidP="00F22121">
            <w:pPr>
              <w:pStyle w:val="ListBullet1"/>
            </w:pPr>
            <w:r w:rsidRPr="00BB6049">
              <w:t xml:space="preserve">NBN </w:t>
            </w:r>
            <w:proofErr w:type="spellStart"/>
            <w:r w:rsidRPr="00BB6049">
              <w:t>Co’s</w:t>
            </w:r>
            <w:proofErr w:type="spellEnd"/>
            <w:r w:rsidRPr="00BB6049">
              <w:t xml:space="preserve"> </w:t>
            </w:r>
            <w:r w:rsidR="00831F4F">
              <w:t>$700m</w:t>
            </w:r>
            <w:r w:rsidR="00972171">
              <w:t xml:space="preserve"> </w:t>
            </w:r>
            <w:r w:rsidR="00C265C3">
              <w:t>B</w:t>
            </w:r>
            <w:r w:rsidR="00972171">
              <w:t xml:space="preserve">usiness </w:t>
            </w:r>
            <w:r w:rsidR="00C265C3">
              <w:t>F</w:t>
            </w:r>
            <w:r w:rsidR="00972171">
              <w:t xml:space="preserve">ibre </w:t>
            </w:r>
            <w:r w:rsidR="00C265C3">
              <w:t>I</w:t>
            </w:r>
            <w:r w:rsidR="00C265C3" w:rsidRPr="00BB6049">
              <w:t>nvestment</w:t>
            </w:r>
            <w:r w:rsidR="00EA0463">
              <w:t>, announced in September 2020,</w:t>
            </w:r>
            <w:r w:rsidR="00EA0463" w:rsidRPr="00BB6049">
              <w:t xml:space="preserve"> </w:t>
            </w:r>
            <w:r w:rsidR="00EA0463">
              <w:t>is</w:t>
            </w:r>
            <w:r w:rsidR="00C63AC4">
              <w:t xml:space="preserve"> well underway.</w:t>
            </w:r>
            <w:r w:rsidRPr="00BB6049">
              <w:t xml:space="preserve"> </w:t>
            </w:r>
          </w:p>
          <w:p w14:paraId="3C2DF892" w14:textId="77777777" w:rsidR="00EC005E" w:rsidRPr="00BB6049" w:rsidRDefault="0058022F" w:rsidP="00F22121">
            <w:pPr>
              <w:pStyle w:val="ListBullet1"/>
            </w:pPr>
            <w:r>
              <w:t xml:space="preserve">The </w:t>
            </w:r>
            <w:r w:rsidR="00826906">
              <w:t>Business Fibre Investment</w:t>
            </w:r>
            <w:r w:rsidR="00C63AC4">
              <w:t xml:space="preserve"> and </w:t>
            </w:r>
            <w:r w:rsidR="00826906">
              <w:t xml:space="preserve">other </w:t>
            </w:r>
            <w:r w:rsidR="00C63AC4">
              <w:t xml:space="preserve">network upgrades are </w:t>
            </w:r>
            <w:r w:rsidR="00EC005E" w:rsidRPr="00BB6049">
              <w:t>likely to produce a range of economic benefits</w:t>
            </w:r>
            <w:r w:rsidR="00C63AC4">
              <w:t xml:space="preserve"> to business</w:t>
            </w:r>
            <w:r w:rsidR="00EC005E" w:rsidRPr="00BB6049">
              <w:t xml:space="preserve">, via increases in </w:t>
            </w:r>
            <w:r w:rsidR="001C1FC6">
              <w:t xml:space="preserve">broadband speeds, </w:t>
            </w:r>
            <w:r w:rsidR="00EC005E" w:rsidRPr="00BB6049">
              <w:t>firm productivity and through increased competition.</w:t>
            </w:r>
          </w:p>
        </w:tc>
      </w:tr>
      <w:tr w:rsidR="00EC005E" w:rsidRPr="00BB6049" w14:paraId="703B3575" w14:textId="77777777" w:rsidTr="00AE31D5">
        <w:trPr>
          <w:cantSplit/>
          <w:jc w:val="center"/>
        </w:trPr>
        <w:tc>
          <w:tcPr>
            <w:tcW w:w="1134" w:type="dxa"/>
            <w:shd w:val="clear" w:color="auto" w:fill="auto"/>
            <w:vAlign w:val="center"/>
          </w:tcPr>
          <w:p w14:paraId="57ABC6FE" w14:textId="77777777" w:rsidR="00EC005E" w:rsidRPr="00BB6049" w:rsidRDefault="00BB7A4B" w:rsidP="00546D21">
            <w:pPr>
              <w:pStyle w:val="BodyText"/>
              <w:jc w:val="center"/>
            </w:pPr>
            <w:r>
              <w:rPr>
                <w:noProof/>
                <w:lang w:eastAsia="en-AU"/>
              </w:rPr>
              <w:drawing>
                <wp:inline distT="0" distB="0" distL="0" distR="0" wp14:anchorId="793802A3" wp14:editId="74CA2DB5">
                  <wp:extent cx="540000" cy="540000"/>
                  <wp:effectExtent l="0" t="0" r="0" b="0"/>
                  <wp:docPr id="207" name="Graphic 207" descr="Bar graph with upward tr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Graphic 207" descr="Bar graph with upward trend"/>
                          <pic:cNvPicPr/>
                        </pic:nvPicPr>
                        <pic:blipFill>
                          <a:blip r:embed="rId20"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svg="http://schemas.microsoft.com/office/drawing/2016/SVG/main" r:embed="rId21"/>
                              </a:ext>
                            </a:extLst>
                          </a:blip>
                          <a:stretch>
                            <a:fillRect/>
                          </a:stretch>
                        </pic:blipFill>
                        <pic:spPr>
                          <a:xfrm>
                            <a:off x="0" y="0"/>
                            <a:ext cx="540000" cy="540000"/>
                          </a:xfrm>
                          <a:prstGeom prst="rect">
                            <a:avLst/>
                          </a:prstGeom>
                        </pic:spPr>
                      </pic:pic>
                    </a:graphicData>
                  </a:graphic>
                </wp:inline>
              </w:drawing>
            </w:r>
          </w:p>
        </w:tc>
        <w:tc>
          <w:tcPr>
            <w:tcW w:w="7936" w:type="dxa"/>
            <w:shd w:val="clear" w:color="auto" w:fill="auto"/>
          </w:tcPr>
          <w:p w14:paraId="73FDF209" w14:textId="77777777" w:rsidR="00EC005E" w:rsidRPr="00BB6049" w:rsidRDefault="00EC005E" w:rsidP="00F22121">
            <w:pPr>
              <w:pStyle w:val="ListBullet1"/>
            </w:pPr>
            <w:r w:rsidRPr="00BB6049">
              <w:t>We estimate</w:t>
            </w:r>
            <w:r w:rsidR="00A10970">
              <w:t>d</w:t>
            </w:r>
            <w:r w:rsidRPr="00BB6049">
              <w:t xml:space="preserve"> the </w:t>
            </w:r>
            <w:r w:rsidR="00C63AC4" w:rsidRPr="00593E68">
              <w:rPr>
                <w:b/>
                <w:bCs/>
              </w:rPr>
              <w:t xml:space="preserve">total </w:t>
            </w:r>
            <w:r w:rsidRPr="00593E68">
              <w:rPr>
                <w:b/>
                <w:bCs/>
              </w:rPr>
              <w:t>economic benefit</w:t>
            </w:r>
            <w:r w:rsidRPr="00BB6049">
              <w:t xml:space="preserve"> to Australian businesses to be between </w:t>
            </w:r>
            <w:r w:rsidR="00E3169D" w:rsidRPr="00E3169D">
              <w:t>$</w:t>
            </w:r>
            <w:r w:rsidR="00BC291E" w:rsidRPr="00E3169D">
              <w:t>1.</w:t>
            </w:r>
            <w:r w:rsidR="00546D21">
              <w:t>8</w:t>
            </w:r>
            <w:r w:rsidR="00E3169D" w:rsidRPr="00E3169D">
              <w:t xml:space="preserve"> billion</w:t>
            </w:r>
            <w:r w:rsidRPr="00E3169D">
              <w:t xml:space="preserve"> and </w:t>
            </w:r>
            <w:r w:rsidR="00E3169D">
              <w:t>$7.2 billion</w:t>
            </w:r>
            <w:r w:rsidRPr="00BB6049">
              <w:t xml:space="preserve"> </w:t>
            </w:r>
            <w:r w:rsidR="00BA01CF">
              <w:t>in</w:t>
            </w:r>
            <w:r w:rsidRPr="00BB6049">
              <w:t xml:space="preserve"> 2024</w:t>
            </w:r>
            <w:r w:rsidR="00E3169D">
              <w:t xml:space="preserve">, with a midpoint estimate </w:t>
            </w:r>
            <w:r w:rsidR="00E3169D" w:rsidRPr="007C41AF">
              <w:t>of</w:t>
            </w:r>
            <w:r w:rsidR="00E3169D">
              <w:t xml:space="preserve"> </w:t>
            </w:r>
            <w:r w:rsidR="00E3169D" w:rsidRPr="00593E68">
              <w:rPr>
                <w:b/>
                <w:bCs/>
              </w:rPr>
              <w:t>$4.5 billion</w:t>
            </w:r>
            <w:r w:rsidR="00E3169D">
              <w:t>.</w:t>
            </w:r>
            <w:r w:rsidR="005E7C70">
              <w:t xml:space="preserve"> Around </w:t>
            </w:r>
            <w:r w:rsidR="0058022F">
              <w:t xml:space="preserve">a quarter, or </w:t>
            </w:r>
            <w:r w:rsidR="005E7C70" w:rsidRPr="00593E68">
              <w:rPr>
                <w:b/>
                <w:bCs/>
              </w:rPr>
              <w:t>$1.2 billion</w:t>
            </w:r>
            <w:r w:rsidR="005F5CA8">
              <w:rPr>
                <w:b/>
                <w:bCs/>
              </w:rPr>
              <w:t xml:space="preserve"> </w:t>
            </w:r>
            <w:r w:rsidR="005F5CA8" w:rsidRPr="00791AEA">
              <w:t>of the $4.5 billion</w:t>
            </w:r>
            <w:r w:rsidR="005E7C70">
              <w:t xml:space="preserve"> estimate</w:t>
            </w:r>
            <w:r w:rsidR="00747A5D">
              <w:t>d</w:t>
            </w:r>
            <w:r w:rsidR="00721570">
              <w:t>,</w:t>
            </w:r>
            <w:r w:rsidR="005E7C70">
              <w:t xml:space="preserve"> </w:t>
            </w:r>
            <w:r w:rsidR="00581FA2">
              <w:t>will accrue in</w:t>
            </w:r>
            <w:r w:rsidR="005E7C70">
              <w:t xml:space="preserve"> </w:t>
            </w:r>
            <w:r w:rsidR="00581FA2" w:rsidRPr="00593E68">
              <w:rPr>
                <w:b/>
                <w:bCs/>
              </w:rPr>
              <w:t>regional</w:t>
            </w:r>
            <w:r w:rsidR="00581FA2">
              <w:t xml:space="preserve"> areas.</w:t>
            </w:r>
          </w:p>
        </w:tc>
      </w:tr>
      <w:tr w:rsidR="00EC005E" w:rsidRPr="00BB6049" w14:paraId="340B5EEB" w14:textId="77777777" w:rsidTr="00AE31D5">
        <w:trPr>
          <w:cantSplit/>
          <w:jc w:val="center"/>
        </w:trPr>
        <w:tc>
          <w:tcPr>
            <w:tcW w:w="1134" w:type="dxa"/>
            <w:shd w:val="clear" w:color="auto" w:fill="F2F2F2" w:themeFill="background2"/>
            <w:vAlign w:val="center"/>
          </w:tcPr>
          <w:p w14:paraId="2A7EC2D1" w14:textId="77777777" w:rsidR="00EC005E" w:rsidRPr="00BB6049" w:rsidRDefault="00BB7A4B" w:rsidP="00546D21">
            <w:pPr>
              <w:pStyle w:val="BodyText"/>
              <w:jc w:val="center"/>
            </w:pPr>
            <w:r>
              <w:rPr>
                <w:noProof/>
                <w:lang w:eastAsia="en-AU"/>
              </w:rPr>
              <w:drawing>
                <wp:inline distT="0" distB="0" distL="0" distR="0" wp14:anchorId="0B487AC2" wp14:editId="769A1DA5">
                  <wp:extent cx="540000" cy="540000"/>
                  <wp:effectExtent l="0" t="0" r="0" b="0"/>
                  <wp:docPr id="204" name="Graphic 204" descr="Gau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Graphic 204" descr="Gauge"/>
                          <pic:cNvPicPr/>
                        </pic:nvPicPr>
                        <pic:blipFill>
                          <a:blip r:embed="rId22"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svg="http://schemas.microsoft.com/office/drawing/2016/SVG/main" r:embed="rId23"/>
                              </a:ext>
                            </a:extLst>
                          </a:blip>
                          <a:stretch>
                            <a:fillRect/>
                          </a:stretch>
                        </pic:blipFill>
                        <pic:spPr>
                          <a:xfrm>
                            <a:off x="0" y="0"/>
                            <a:ext cx="540000" cy="540000"/>
                          </a:xfrm>
                          <a:prstGeom prst="rect">
                            <a:avLst/>
                          </a:prstGeom>
                        </pic:spPr>
                      </pic:pic>
                    </a:graphicData>
                  </a:graphic>
                </wp:inline>
              </w:drawing>
            </w:r>
          </w:p>
        </w:tc>
        <w:tc>
          <w:tcPr>
            <w:tcW w:w="7936" w:type="dxa"/>
            <w:shd w:val="clear" w:color="auto" w:fill="F2F2F2" w:themeFill="background2"/>
          </w:tcPr>
          <w:p w14:paraId="5C048266" w14:textId="77777777" w:rsidR="00EC005E" w:rsidRPr="00BB6049" w:rsidRDefault="00ED6598" w:rsidP="00493075">
            <w:pPr>
              <w:pStyle w:val="ListBullet1"/>
            </w:pPr>
            <w:r>
              <w:t>The benefits to the economy derive from improvements in firm productivity – how well businesses turn inputs into outputs. We forecast</w:t>
            </w:r>
            <w:r w:rsidR="00747A5D">
              <w:t>ed</w:t>
            </w:r>
            <w:r>
              <w:t xml:space="preserve"> an average productivity gain </w:t>
            </w:r>
            <w:r w:rsidR="00EC005E" w:rsidRPr="00BB6049">
              <w:t xml:space="preserve">from improved </w:t>
            </w:r>
            <w:r w:rsidR="00EC005E" w:rsidRPr="006B06E5">
              <w:t xml:space="preserve">broadband services </w:t>
            </w:r>
            <w:r w:rsidR="00E351E6" w:rsidRPr="006B06E5">
              <w:t xml:space="preserve">of </w:t>
            </w:r>
            <w:r w:rsidR="00E351E6" w:rsidRPr="006B06E5">
              <w:rPr>
                <w:b/>
                <w:bCs/>
              </w:rPr>
              <w:t>2.0</w:t>
            </w:r>
            <w:r w:rsidRPr="006B06E5">
              <w:rPr>
                <w:b/>
                <w:bCs/>
              </w:rPr>
              <w:t xml:space="preserve"> per cent</w:t>
            </w:r>
            <w:r w:rsidR="00493075" w:rsidRPr="006B06E5">
              <w:rPr>
                <w:bCs/>
              </w:rPr>
              <w:t xml:space="preserve"> annually from 2024</w:t>
            </w:r>
            <w:r w:rsidR="00EC005E" w:rsidRPr="006B06E5">
              <w:t>.</w:t>
            </w:r>
          </w:p>
        </w:tc>
      </w:tr>
      <w:tr w:rsidR="00EC005E" w:rsidRPr="00BB6049" w14:paraId="6A11FFB1" w14:textId="77777777" w:rsidTr="00AE31D5">
        <w:trPr>
          <w:cantSplit/>
          <w:jc w:val="center"/>
        </w:trPr>
        <w:tc>
          <w:tcPr>
            <w:tcW w:w="1134" w:type="dxa"/>
            <w:shd w:val="clear" w:color="auto" w:fill="auto"/>
            <w:vAlign w:val="center"/>
          </w:tcPr>
          <w:p w14:paraId="33452B5F" w14:textId="77777777" w:rsidR="00EC005E" w:rsidRPr="00BB6049" w:rsidRDefault="00BB7A4B" w:rsidP="00546D21">
            <w:pPr>
              <w:pStyle w:val="BodyText"/>
              <w:jc w:val="center"/>
            </w:pPr>
            <w:r>
              <w:rPr>
                <w:noProof/>
                <w:lang w:eastAsia="en-AU"/>
              </w:rPr>
              <w:drawing>
                <wp:inline distT="0" distB="0" distL="0" distR="0" wp14:anchorId="1170337D" wp14:editId="1873EF4C">
                  <wp:extent cx="540000" cy="540000"/>
                  <wp:effectExtent l="0" t="0" r="0" b="0"/>
                  <wp:docPr id="201" name="Graphic 201" descr="Magnifying gl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Graphic 201" descr="Magnifying glass"/>
                          <pic:cNvPicPr/>
                        </pic:nvPicPr>
                        <pic:blipFill>
                          <a:blip r:embed="rId24"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svg="http://schemas.microsoft.com/office/drawing/2016/SVG/main" r:embed="rId25"/>
                              </a:ext>
                            </a:extLst>
                          </a:blip>
                          <a:stretch>
                            <a:fillRect/>
                          </a:stretch>
                        </pic:blipFill>
                        <pic:spPr>
                          <a:xfrm>
                            <a:off x="0" y="0"/>
                            <a:ext cx="540000" cy="540000"/>
                          </a:xfrm>
                          <a:prstGeom prst="rect">
                            <a:avLst/>
                          </a:prstGeom>
                        </pic:spPr>
                      </pic:pic>
                    </a:graphicData>
                  </a:graphic>
                </wp:inline>
              </w:drawing>
            </w:r>
          </w:p>
        </w:tc>
        <w:tc>
          <w:tcPr>
            <w:tcW w:w="7936" w:type="dxa"/>
            <w:shd w:val="clear" w:color="auto" w:fill="auto"/>
          </w:tcPr>
          <w:p w14:paraId="7F9DB8B8" w14:textId="77777777" w:rsidR="00ED6598" w:rsidRPr="00593E68" w:rsidRDefault="004179A1">
            <w:pPr>
              <w:pStyle w:val="ListBullet1"/>
            </w:pPr>
            <w:r>
              <w:t xml:space="preserve">Productivity benefits of up to </w:t>
            </w:r>
            <w:r w:rsidRPr="002F5283">
              <w:rPr>
                <w:b/>
                <w:bCs/>
              </w:rPr>
              <w:t>12 per cent</w:t>
            </w:r>
            <w:r>
              <w:t xml:space="preserve"> are forecast</w:t>
            </w:r>
            <w:r w:rsidR="00747A5D">
              <w:t>ed</w:t>
            </w:r>
            <w:r>
              <w:t xml:space="preserve"> for</w:t>
            </w:r>
            <w:r w:rsidR="002F5283">
              <w:t xml:space="preserve"> firms in</w:t>
            </w:r>
            <w:r>
              <w:t xml:space="preserve"> certain </w:t>
            </w:r>
            <w:r w:rsidR="002F5283">
              <w:t>sectors</w:t>
            </w:r>
            <w:r>
              <w:t xml:space="preserve">. </w:t>
            </w:r>
            <w:r w:rsidR="00ED6598">
              <w:t>T</w:t>
            </w:r>
            <w:r w:rsidR="00EC005E" w:rsidRPr="00BB6049">
              <w:t xml:space="preserve">he main industries to benefit from the </w:t>
            </w:r>
            <w:r w:rsidR="00ED6598">
              <w:t xml:space="preserve">business initiatives and upgrades </w:t>
            </w:r>
            <w:r w:rsidR="00B92C60">
              <w:t>include</w:t>
            </w:r>
            <w:r w:rsidR="009F38DD" w:rsidRPr="00322939">
              <w:rPr>
                <w:rFonts w:eastAsiaTheme="minorHAnsi" w:cs="Open Sans"/>
                <w:szCs w:val="20"/>
                <w:lang w:val="en-AU"/>
              </w:rPr>
              <w:t xml:space="preserve"> professional and technical services,</w:t>
            </w:r>
            <w:r w:rsidR="003A5A29">
              <w:rPr>
                <w:rFonts w:eastAsiaTheme="minorHAnsi" w:cs="Open Sans"/>
                <w:szCs w:val="20"/>
                <w:lang w:val="en-AU"/>
              </w:rPr>
              <w:t xml:space="preserve"> personal and administrative services,</w:t>
            </w:r>
            <w:r w:rsidR="009F38DD" w:rsidRPr="00322939">
              <w:rPr>
                <w:rFonts w:eastAsiaTheme="minorHAnsi" w:cs="Open Sans"/>
                <w:szCs w:val="20"/>
                <w:lang w:val="en-AU"/>
              </w:rPr>
              <w:t xml:space="preserve"> </w:t>
            </w:r>
            <w:r w:rsidR="009F38DD" w:rsidRPr="004E5754">
              <w:rPr>
                <w:rFonts w:eastAsiaTheme="minorHAnsi" w:cs="Open Sans"/>
                <w:szCs w:val="20"/>
                <w:lang w:val="en-AU"/>
              </w:rPr>
              <w:t xml:space="preserve">and </w:t>
            </w:r>
            <w:r w:rsidR="009F38DD" w:rsidRPr="00322939">
              <w:rPr>
                <w:rFonts w:eastAsiaTheme="minorHAnsi" w:cs="Open Sans"/>
                <w:szCs w:val="20"/>
                <w:lang w:val="en-AU"/>
              </w:rPr>
              <w:t>wholesale and retail trade</w:t>
            </w:r>
            <w:r w:rsidR="00606B6B">
              <w:rPr>
                <w:rFonts w:eastAsiaTheme="minorHAnsi" w:cs="Open Sans"/>
                <w:szCs w:val="20"/>
                <w:lang w:val="en-AU"/>
              </w:rPr>
              <w:t xml:space="preserve">. </w:t>
            </w:r>
            <w:r w:rsidR="00DC58B0">
              <w:rPr>
                <w:rFonts w:eastAsiaTheme="minorHAnsi" w:cs="Open Sans"/>
                <w:szCs w:val="20"/>
                <w:lang w:val="en-AU"/>
              </w:rPr>
              <w:t>Other s</w:t>
            </w:r>
            <w:r w:rsidR="008A526A" w:rsidRPr="00DC58B0">
              <w:rPr>
                <w:rFonts w:eastAsiaTheme="minorHAnsi" w:cs="Open Sans"/>
                <w:szCs w:val="20"/>
                <w:lang w:val="en-AU"/>
              </w:rPr>
              <w:t>ectors, including construction and health,</w:t>
            </w:r>
            <w:r w:rsidR="00215B09" w:rsidRPr="00DC58B0">
              <w:rPr>
                <w:rFonts w:eastAsiaTheme="minorHAnsi" w:cs="Open Sans"/>
                <w:szCs w:val="20"/>
                <w:lang w:val="en-AU"/>
              </w:rPr>
              <w:t xml:space="preserve"> will also be major benefi</w:t>
            </w:r>
            <w:r w:rsidR="00B92C60" w:rsidRPr="00DC58B0">
              <w:rPr>
                <w:rFonts w:eastAsiaTheme="minorHAnsi" w:cs="Open Sans"/>
                <w:szCs w:val="20"/>
                <w:lang w:val="en-AU"/>
              </w:rPr>
              <w:t>ciaries</w:t>
            </w:r>
            <w:r w:rsidR="00215B09" w:rsidRPr="00DC58B0">
              <w:rPr>
                <w:rFonts w:eastAsiaTheme="minorHAnsi" w:cs="Open Sans"/>
                <w:szCs w:val="20"/>
                <w:lang w:val="en-AU"/>
              </w:rPr>
              <w:t xml:space="preserve"> </w:t>
            </w:r>
            <w:r w:rsidR="00465C2B">
              <w:rPr>
                <w:rFonts w:eastAsiaTheme="minorHAnsi" w:cs="Open Sans"/>
                <w:szCs w:val="20"/>
                <w:lang w:val="en-AU"/>
              </w:rPr>
              <w:t>due to</w:t>
            </w:r>
            <w:r w:rsidR="00B92C60" w:rsidRPr="00DC58B0">
              <w:rPr>
                <w:rFonts w:eastAsiaTheme="minorHAnsi" w:cs="Open Sans"/>
                <w:szCs w:val="20"/>
                <w:lang w:val="en-AU"/>
              </w:rPr>
              <w:t xml:space="preserve"> </w:t>
            </w:r>
            <w:r w:rsidR="00215B09" w:rsidRPr="00DC58B0">
              <w:rPr>
                <w:rFonts w:eastAsiaTheme="minorHAnsi" w:cs="Open Sans"/>
                <w:szCs w:val="20"/>
                <w:lang w:val="en-AU"/>
              </w:rPr>
              <w:t>the size and geographic spread of these sectors.</w:t>
            </w:r>
            <w:r w:rsidR="008A526A" w:rsidRPr="00DC58B0">
              <w:rPr>
                <w:rFonts w:eastAsiaTheme="minorHAnsi" w:cs="Open Sans"/>
                <w:szCs w:val="20"/>
                <w:lang w:val="en-AU"/>
              </w:rPr>
              <w:t xml:space="preserve"> </w:t>
            </w:r>
          </w:p>
          <w:p w14:paraId="60C4698C" w14:textId="77777777" w:rsidR="00EC005E" w:rsidRPr="00BB6049" w:rsidRDefault="00085D7B" w:rsidP="00E46400">
            <w:pPr>
              <w:pStyle w:val="ListBullet1"/>
            </w:pPr>
            <w:r>
              <w:t>Larger benefits are forecast</w:t>
            </w:r>
            <w:r w:rsidR="00C72E37">
              <w:t>ed</w:t>
            </w:r>
            <w:r>
              <w:t xml:space="preserve"> in regional areas as they will benefit from the greatest wholesale pricing discounts and the greatest increase in available speeds.</w:t>
            </w:r>
            <w:r w:rsidDel="00085D7B">
              <w:rPr>
                <w:rFonts w:eastAsiaTheme="minorHAnsi" w:cs="Open Sans"/>
                <w:szCs w:val="20"/>
                <w:lang w:val="en-AU"/>
              </w:rPr>
              <w:t xml:space="preserve"> </w:t>
            </w:r>
          </w:p>
        </w:tc>
      </w:tr>
      <w:tr w:rsidR="00EC005E" w:rsidRPr="00BB6049" w14:paraId="2DFD0452" w14:textId="77777777" w:rsidTr="00AE31D5">
        <w:trPr>
          <w:cantSplit/>
          <w:jc w:val="center"/>
        </w:trPr>
        <w:tc>
          <w:tcPr>
            <w:tcW w:w="1134" w:type="dxa"/>
            <w:shd w:val="clear" w:color="auto" w:fill="F2F2F2" w:themeFill="background2"/>
            <w:vAlign w:val="center"/>
          </w:tcPr>
          <w:p w14:paraId="4F8B0F5A" w14:textId="77777777" w:rsidR="00EC005E" w:rsidRPr="00BB6049" w:rsidRDefault="00BB7A4B" w:rsidP="00546D21">
            <w:pPr>
              <w:pStyle w:val="BodyText"/>
              <w:jc w:val="center"/>
            </w:pPr>
            <w:r>
              <w:rPr>
                <w:noProof/>
                <w:lang w:eastAsia="en-AU"/>
              </w:rPr>
              <w:drawing>
                <wp:inline distT="0" distB="0" distL="0" distR="0" wp14:anchorId="32AFE285" wp14:editId="2091CCBA">
                  <wp:extent cx="540000" cy="540000"/>
                  <wp:effectExtent l="0" t="0" r="0" b="0"/>
                  <wp:docPr id="202" name="Graphic 202" descr="Lightbul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Graphic 202" descr="Lightbulb"/>
                          <pic:cNvPicPr/>
                        </pic:nvPicPr>
                        <pic:blipFill>
                          <a:blip r:embed="rId26"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svg="http://schemas.microsoft.com/office/drawing/2016/SVG/main" r:embed="rId27"/>
                              </a:ext>
                            </a:extLst>
                          </a:blip>
                          <a:stretch>
                            <a:fillRect/>
                          </a:stretch>
                        </pic:blipFill>
                        <pic:spPr>
                          <a:xfrm>
                            <a:off x="0" y="0"/>
                            <a:ext cx="540000" cy="540000"/>
                          </a:xfrm>
                          <a:prstGeom prst="rect">
                            <a:avLst/>
                          </a:prstGeom>
                        </pic:spPr>
                      </pic:pic>
                    </a:graphicData>
                  </a:graphic>
                </wp:inline>
              </w:drawing>
            </w:r>
          </w:p>
        </w:tc>
        <w:tc>
          <w:tcPr>
            <w:tcW w:w="7936" w:type="dxa"/>
            <w:shd w:val="clear" w:color="auto" w:fill="F2F2F2" w:themeFill="background2"/>
          </w:tcPr>
          <w:p w14:paraId="24D8D8AC" w14:textId="77777777" w:rsidR="00EC005E" w:rsidRPr="00BB6049" w:rsidRDefault="00B92C60" w:rsidP="00E46400">
            <w:pPr>
              <w:pStyle w:val="ListBullet1"/>
            </w:pPr>
            <w:r>
              <w:t xml:space="preserve">NBN </w:t>
            </w:r>
            <w:proofErr w:type="spellStart"/>
            <w:r>
              <w:t>Co’s</w:t>
            </w:r>
            <w:proofErr w:type="spellEnd"/>
            <w:r>
              <w:t xml:space="preserve"> entry into wholesale business broadband markets has enhanced </w:t>
            </w:r>
            <w:r w:rsidR="00EC005E" w:rsidRPr="00BB6049">
              <w:t xml:space="preserve">rivalry and competition in </w:t>
            </w:r>
            <w:r>
              <w:t>retail</w:t>
            </w:r>
            <w:r w:rsidR="00EC005E" w:rsidRPr="00BB6049">
              <w:t xml:space="preserve"> markets</w:t>
            </w:r>
            <w:r>
              <w:t>. There are now</w:t>
            </w:r>
            <w:r w:rsidR="00D00A1E">
              <w:t xml:space="preserve"> 15 national suppliers of NBN</w:t>
            </w:r>
            <w:r w:rsidR="00CF5E03">
              <w:t xml:space="preserve"> </w:t>
            </w:r>
            <w:proofErr w:type="spellStart"/>
            <w:r w:rsidR="00CF5E03">
              <w:t>Co’s</w:t>
            </w:r>
            <w:proofErr w:type="spellEnd"/>
            <w:r w:rsidR="00CF5E03">
              <w:t xml:space="preserve"> Enterprise Ethernet services</w:t>
            </w:r>
            <w:r>
              <w:t>,</w:t>
            </w:r>
            <w:r w:rsidR="00CF5E03">
              <w:t xml:space="preserve"> and </w:t>
            </w:r>
            <w:r>
              <w:t xml:space="preserve">the business initiatives will further increase </w:t>
            </w:r>
            <w:r w:rsidR="00CF5E03">
              <w:t xml:space="preserve">benefits </w:t>
            </w:r>
            <w:r w:rsidR="00EC005E" w:rsidRPr="00BB6049">
              <w:t>in the form of lower retail prices, reduced barriers to switching and service innovation.</w:t>
            </w:r>
            <w:r w:rsidR="00C45669">
              <w:t xml:space="preserve"> </w:t>
            </w:r>
            <w:r w:rsidR="006F7246">
              <w:t xml:space="preserve">The </w:t>
            </w:r>
            <w:r w:rsidR="00D674C5">
              <w:t xml:space="preserve">competitive </w:t>
            </w:r>
            <w:r w:rsidR="006F7246">
              <w:t xml:space="preserve">benefits will </w:t>
            </w:r>
            <w:r w:rsidR="0033321F">
              <w:t xml:space="preserve">also </w:t>
            </w:r>
            <w:r w:rsidR="006F7246">
              <w:t>be particularly evident in regional areas</w:t>
            </w:r>
            <w:r w:rsidR="00363F67">
              <w:t xml:space="preserve"> given the larger price discounts and </w:t>
            </w:r>
            <w:r w:rsidR="003B2E70">
              <w:t>increase in speeds</w:t>
            </w:r>
            <w:r w:rsidR="007E3A88">
              <w:t>.</w:t>
            </w:r>
          </w:p>
        </w:tc>
      </w:tr>
    </w:tbl>
    <w:p w14:paraId="5E9B7C5A" w14:textId="77777777" w:rsidR="00690ED9" w:rsidRPr="00154693" w:rsidRDefault="00690ED9" w:rsidP="0006145F">
      <w:pPr>
        <w:pStyle w:val="Heading3"/>
      </w:pPr>
      <w:bookmarkStart w:id="7" w:name="_Toc79671798"/>
      <w:r w:rsidRPr="00154693">
        <w:t xml:space="preserve">Business fibre and other </w:t>
      </w:r>
      <w:r w:rsidR="007E7098" w:rsidRPr="00154693">
        <w:t xml:space="preserve">business broadband </w:t>
      </w:r>
      <w:r w:rsidRPr="00154693">
        <w:t>initiatives</w:t>
      </w:r>
      <w:bookmarkEnd w:id="7"/>
    </w:p>
    <w:p w14:paraId="0DFE7C3D" w14:textId="77777777" w:rsidR="007E7098" w:rsidRDefault="00E235B2" w:rsidP="00E235B2">
      <w:pPr>
        <w:pStyle w:val="BodyText"/>
      </w:pPr>
      <w:r>
        <w:t xml:space="preserve">This study examines the economic and competition benefits of NBN </w:t>
      </w:r>
      <w:proofErr w:type="spellStart"/>
      <w:r>
        <w:t>Co’s</w:t>
      </w:r>
      <w:proofErr w:type="spellEnd"/>
      <w:r>
        <w:t xml:space="preserve"> </w:t>
      </w:r>
      <w:r w:rsidR="00690ED9">
        <w:t>business initiatives, first announced in September 2020.</w:t>
      </w:r>
      <w:r w:rsidR="00AF5C58">
        <w:t xml:space="preserve"> </w:t>
      </w:r>
    </w:p>
    <w:p w14:paraId="76F0E714" w14:textId="259CD8F8" w:rsidR="00B92C60" w:rsidRDefault="0009418B" w:rsidP="00E235B2">
      <w:pPr>
        <w:pStyle w:val="BodyText"/>
      </w:pPr>
      <w:r w:rsidRPr="0009418B">
        <w:t>These initiatives include</w:t>
      </w:r>
      <w:r w:rsidR="003B2E70">
        <w:t>d</w:t>
      </w:r>
      <w:r w:rsidRPr="0009418B">
        <w:t xml:space="preserve"> three main components</w:t>
      </w:r>
      <w:r w:rsidR="000F6B83">
        <w:t xml:space="preserve">, as highlighted in </w:t>
      </w:r>
      <w:r w:rsidR="000F6B83">
        <w:fldChar w:fldCharType="begin"/>
      </w:r>
      <w:r w:rsidR="000F6B83">
        <w:instrText xml:space="preserve"> REF _Ref77954034 \h </w:instrText>
      </w:r>
      <w:r w:rsidR="000F6B83">
        <w:fldChar w:fldCharType="separate"/>
      </w:r>
      <w:r w:rsidR="00DD5715" w:rsidRPr="007C5D2E">
        <w:rPr>
          <w:rStyle w:val="Bold"/>
        </w:rPr>
        <w:t xml:space="preserve">Figure </w:t>
      </w:r>
      <w:r w:rsidR="00DD5715">
        <w:rPr>
          <w:rStyle w:val="Bold"/>
          <w:noProof/>
        </w:rPr>
        <w:t>1</w:t>
      </w:r>
      <w:r w:rsidR="000F6B83">
        <w:fldChar w:fldCharType="end"/>
      </w:r>
      <w:r w:rsidR="00B92C60">
        <w:t>:</w:t>
      </w:r>
    </w:p>
    <w:p w14:paraId="12DDEFF1" w14:textId="77777777" w:rsidR="003B2E70" w:rsidRDefault="00C24AC7" w:rsidP="00791AEA">
      <w:pPr>
        <w:pStyle w:val="ListBullet1"/>
      </w:pPr>
      <w:r>
        <w:lastRenderedPageBreak/>
        <w:t>t</w:t>
      </w:r>
      <w:r w:rsidR="003B2E70">
        <w:t xml:space="preserve">he introduction of 240 </w:t>
      </w:r>
      <w:r w:rsidR="00FD7E22">
        <w:t>Business Fibre Zone</w:t>
      </w:r>
      <w:r w:rsidR="003B2E70">
        <w:t>s, including 85 in regional areas, with discounted</w:t>
      </w:r>
      <w:r w:rsidR="003B2E70" w:rsidRPr="0009418B">
        <w:t xml:space="preserve"> wholesale prices </w:t>
      </w:r>
      <w:r w:rsidR="003B2E70">
        <w:t>up to 67% in certain areas</w:t>
      </w:r>
      <w:r w:rsidR="003B2E70" w:rsidRPr="0009418B">
        <w:t xml:space="preserve"> </w:t>
      </w:r>
    </w:p>
    <w:p w14:paraId="674AA5D3" w14:textId="77777777" w:rsidR="00B92C60" w:rsidRDefault="00C24AC7" w:rsidP="00593E68">
      <w:pPr>
        <w:pStyle w:val="ListBullet1"/>
      </w:pPr>
      <w:r>
        <w:t xml:space="preserve">access to </w:t>
      </w:r>
      <w:r w:rsidR="003B2E70" w:rsidRPr="0009418B">
        <w:t xml:space="preserve">Enterprise Ethernet </w:t>
      </w:r>
      <w:r w:rsidR="003B2E70">
        <w:t>service</w:t>
      </w:r>
      <w:r w:rsidR="003B2E70" w:rsidDel="003B2E70">
        <w:t xml:space="preserve"> </w:t>
      </w:r>
      <w:r w:rsidR="0009418B" w:rsidRPr="0009418B">
        <w:t xml:space="preserve">no upfront </w:t>
      </w:r>
      <w:r w:rsidR="00B92C60">
        <w:t xml:space="preserve">build </w:t>
      </w:r>
      <w:r w:rsidR="0009418B" w:rsidRPr="0009418B">
        <w:t xml:space="preserve">cost for 90% of Australian businesses, and </w:t>
      </w:r>
    </w:p>
    <w:p w14:paraId="35C86F1D" w14:textId="77777777" w:rsidR="00B92C60" w:rsidRDefault="00102964" w:rsidP="00593E68">
      <w:pPr>
        <w:pStyle w:val="ListBullet1"/>
      </w:pPr>
      <w:proofErr w:type="gramStart"/>
      <w:r>
        <w:t>other</w:t>
      </w:r>
      <w:proofErr w:type="gramEnd"/>
      <w:r>
        <w:t xml:space="preserve"> </w:t>
      </w:r>
      <w:r w:rsidR="00BB3EF5">
        <w:t xml:space="preserve">network upgrades that will provide </w:t>
      </w:r>
      <w:r>
        <w:t xml:space="preserve">on demand access to speeds of </w:t>
      </w:r>
      <w:r w:rsidR="00BB3EF5">
        <w:t xml:space="preserve">up to 1Gbps speeds </w:t>
      </w:r>
      <w:r>
        <w:t xml:space="preserve">for </w:t>
      </w:r>
      <w:r w:rsidR="00BB3EF5">
        <w:t xml:space="preserve">75% of </w:t>
      </w:r>
      <w:r>
        <w:t xml:space="preserve">NBN </w:t>
      </w:r>
      <w:proofErr w:type="spellStart"/>
      <w:r>
        <w:t>Co’s</w:t>
      </w:r>
      <w:proofErr w:type="spellEnd"/>
      <w:r>
        <w:t xml:space="preserve"> fixed line network</w:t>
      </w:r>
      <w:r w:rsidR="0009418B" w:rsidRPr="0009418B">
        <w:t xml:space="preserve">. </w:t>
      </w:r>
    </w:p>
    <w:p w14:paraId="655B6EBE" w14:textId="47568E16" w:rsidR="000F6B83" w:rsidRDefault="000F6B83" w:rsidP="00593E68">
      <w:pPr>
        <w:pStyle w:val="Caption"/>
      </w:pPr>
      <w:bookmarkStart w:id="8" w:name="_Ref77954034"/>
      <w:bookmarkStart w:id="9" w:name="_Toc79585062"/>
      <w:r w:rsidRPr="007C5D2E">
        <w:rPr>
          <w:rStyle w:val="Bold"/>
        </w:rPr>
        <w:t xml:space="preserve">Figure </w:t>
      </w:r>
      <w:r>
        <w:rPr>
          <w:rStyle w:val="Bold"/>
        </w:rPr>
        <w:fldChar w:fldCharType="begin"/>
      </w:r>
      <w:r>
        <w:rPr>
          <w:rStyle w:val="Bold"/>
        </w:rPr>
        <w:instrText xml:space="preserve"> SEQ Figure \* ARABIC </w:instrText>
      </w:r>
      <w:r>
        <w:rPr>
          <w:rStyle w:val="Bold"/>
        </w:rPr>
        <w:fldChar w:fldCharType="separate"/>
      </w:r>
      <w:r w:rsidR="00DD5715">
        <w:rPr>
          <w:rStyle w:val="Bold"/>
          <w:noProof/>
        </w:rPr>
        <w:t>1</w:t>
      </w:r>
      <w:r>
        <w:rPr>
          <w:rStyle w:val="Bold"/>
        </w:rPr>
        <w:fldChar w:fldCharType="end"/>
      </w:r>
      <w:bookmarkEnd w:id="8"/>
      <w:r w:rsidRPr="00BE496A">
        <w:t xml:space="preserve">: </w:t>
      </w:r>
      <w:r>
        <w:t>Overview of network investments</w:t>
      </w:r>
      <w:bookmarkEnd w:id="9"/>
    </w:p>
    <w:p w14:paraId="2B7E01EA" w14:textId="1BED81BE" w:rsidR="007A5BCD" w:rsidRDefault="007A5BCD" w:rsidP="007A5BCD">
      <w:r>
        <w:rPr>
          <w:noProof/>
          <w:lang w:eastAsia="en-AU"/>
        </w:rPr>
        <w:drawing>
          <wp:inline distT="0" distB="0" distL="0" distR="0" wp14:anchorId="417FA4BD" wp14:editId="394CFC8A">
            <wp:extent cx="5402452" cy="3628339"/>
            <wp:effectExtent l="0" t="0" r="0" b="0"/>
            <wp:docPr id="34" name="Picture 34" descr="A graphic setting out an overview of network investments. The total nbn fixed-line premises in Australia - speeds potentially available are represented in a bar chart. Today, the fastest wholesale internet plans are accessible to 20% of total nbn fixed line premises. Following implementation of the network investment plan, this figure increases to up to 75% of total nbn fixed line premises. Below the graphic are three summaries. First summary -Investment: $4.5 billion investment, with&#10;$3.5 billion for network upgrades&#10;$700 million to business fibre initiatives&#10;$300 million on co-investment fund for rural and regional communities.&#10;Second summary - Network upgrades: Increase FTTP penetration, upgrade HFC network and FTTC network, and enhance FTTN speeds.&#10;Third summary - Beneficiaries: Residential and business users will both benefit from network upgrades in residential premises, while businesses specifically benefit from business fibre initiati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graphic setting out an overview of network investments. The total nbn fixed-line premises in Australia - speeds potentially available are represented in a bar chart. Today, the fastest wholesale internet plans are accessible to 20% of total nbn fixed line premises. Following implementation of the network investment plan, this figure increases to up to 75% of total nbn fixed line premises. Below the graphic are three summaries. First summary -Investment: $4.5 billion investment, with&#10;$3.5 billion for network upgrades&#10;$700 million to business fibre initiatives&#10;$300 million on co-investment fund for rural and regional communities.&#10;Second summary - Network upgrades: Increase FTTP penetration, upgrade HFC network and FTTC network, and enhance FTTN speeds.&#10;Third summary - Beneficiaries: Residential and business users will both benefit from network upgrades in residential premises, while businesses specifically benefit from business fibre initiatives."/>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10847" cy="3633977"/>
                    </a:xfrm>
                    <a:prstGeom prst="rect">
                      <a:avLst/>
                    </a:prstGeom>
                    <a:noFill/>
                  </pic:spPr>
                </pic:pic>
              </a:graphicData>
            </a:graphic>
          </wp:inline>
        </w:drawing>
      </w:r>
    </w:p>
    <w:p w14:paraId="47B73A45" w14:textId="77777777" w:rsidR="000F6B83" w:rsidRPr="003335D6" w:rsidRDefault="000F6B83" w:rsidP="003335D6">
      <w:pPr>
        <w:pStyle w:val="Source"/>
      </w:pPr>
      <w:r w:rsidRPr="003335D6">
        <w:t>Source: NBN Co</w:t>
      </w:r>
    </w:p>
    <w:p w14:paraId="5B433950" w14:textId="56BB094A" w:rsidR="00E235B2" w:rsidRDefault="0009418B" w:rsidP="00E235B2">
      <w:pPr>
        <w:pStyle w:val="BodyText"/>
      </w:pPr>
      <w:r w:rsidRPr="0009418B">
        <w:t xml:space="preserve">More recently, NBN Co has also </w:t>
      </w:r>
      <w:r w:rsidR="00102964">
        <w:t>enhanced its</w:t>
      </w:r>
      <w:r w:rsidR="00102964" w:rsidRPr="0009418B">
        <w:t xml:space="preserve"> </w:t>
      </w:r>
      <w:r w:rsidRPr="0009418B">
        <w:t xml:space="preserve">business satellite </w:t>
      </w:r>
      <w:r w:rsidR="00102964">
        <w:t>offerings</w:t>
      </w:r>
      <w:r w:rsidR="0058022F">
        <w:t>,</w:t>
      </w:r>
      <w:r w:rsidRPr="0009418B">
        <w:t xml:space="preserve"> which broaden the benefits available for businesses across the whole of Australia.</w:t>
      </w:r>
    </w:p>
    <w:p w14:paraId="3CFAA082" w14:textId="77777777" w:rsidR="00690ED9" w:rsidRDefault="0078782F" w:rsidP="0006145F">
      <w:pPr>
        <w:pStyle w:val="Heading3"/>
      </w:pPr>
      <w:bookmarkStart w:id="10" w:name="_Toc79671799"/>
      <w:r>
        <w:t>What are the key benefits of better broadband for businesses?</w:t>
      </w:r>
      <w:bookmarkEnd w:id="10"/>
    </w:p>
    <w:p w14:paraId="75EC6B06" w14:textId="4C55F8D2" w:rsidR="00F179B6" w:rsidRDefault="00F179B6" w:rsidP="001C5F6E">
      <w:pPr>
        <w:pStyle w:val="BodyText"/>
      </w:pPr>
      <w:r>
        <w:t>The bu</w:t>
      </w:r>
      <w:r w:rsidR="001E6AB1">
        <w:t xml:space="preserve">siness fibre initiatives and other service upgrades </w:t>
      </w:r>
      <w:r w:rsidR="00C06C98">
        <w:t>were expected to have two main benefits for businesses:</w:t>
      </w:r>
    </w:p>
    <w:p w14:paraId="09D2B02E" w14:textId="77777777" w:rsidR="00C06C98" w:rsidRPr="00581FA2" w:rsidRDefault="00C06C98" w:rsidP="00C06C98">
      <w:pPr>
        <w:pStyle w:val="ListBullet1"/>
      </w:pPr>
      <w:r w:rsidRPr="00581FA2">
        <w:t xml:space="preserve">To enhance competition in </w:t>
      </w:r>
      <w:r w:rsidR="0023708E" w:rsidRPr="00581FA2">
        <w:t>business markets</w:t>
      </w:r>
      <w:r w:rsidR="00581FA2">
        <w:t xml:space="preserve">. </w:t>
      </w:r>
      <w:r w:rsidR="00C55679">
        <w:t>Competition has</w:t>
      </w:r>
      <w:r w:rsidR="0023708E" w:rsidRPr="00581FA2">
        <w:t xml:space="preserve"> historically been hindered by </w:t>
      </w:r>
      <w:r w:rsidR="005E1220">
        <w:t xml:space="preserve">the </w:t>
      </w:r>
      <w:r w:rsidR="0023708E" w:rsidRPr="00581FA2">
        <w:t>limited availability and cost of business grade services</w:t>
      </w:r>
      <w:r w:rsidR="002B0950">
        <w:t xml:space="preserve"> </w:t>
      </w:r>
      <w:r w:rsidR="00FA5D1E" w:rsidRPr="00581FA2">
        <w:t>in areas outside of business CBDs</w:t>
      </w:r>
      <w:r w:rsidR="003D1D6B">
        <w:t>;</w:t>
      </w:r>
      <w:r w:rsidR="00FA5D1E" w:rsidRPr="00581FA2">
        <w:t xml:space="preserve"> </w:t>
      </w:r>
      <w:r w:rsidR="0023708E" w:rsidRPr="00581FA2">
        <w:t>particularly</w:t>
      </w:r>
      <w:r w:rsidR="004F517E" w:rsidRPr="00581FA2">
        <w:t xml:space="preserve"> </w:t>
      </w:r>
      <w:r w:rsidR="003D1D6B">
        <w:t>for point-to-point fibre services</w:t>
      </w:r>
      <w:r w:rsidR="004F517E" w:rsidRPr="00581FA2">
        <w:t xml:space="preserve"> which offer the highest levels of service quality</w:t>
      </w:r>
      <w:r w:rsidR="003D1D6B">
        <w:t>.</w:t>
      </w:r>
    </w:p>
    <w:p w14:paraId="72BD96DF" w14:textId="77777777" w:rsidR="004E1E4C" w:rsidRDefault="004F517E" w:rsidP="00791AEA">
      <w:pPr>
        <w:pStyle w:val="ListBullet1"/>
      </w:pPr>
      <w:r>
        <w:t>To reduce costs and enhance productivity of businesses</w:t>
      </w:r>
      <w:r w:rsidR="007959B8">
        <w:t xml:space="preserve">, </w:t>
      </w:r>
      <w:r w:rsidR="0009418B" w:rsidRPr="00322939">
        <w:rPr>
          <w:lang w:val="en-AU"/>
        </w:rPr>
        <w:t xml:space="preserve">particularly </w:t>
      </w:r>
      <w:r w:rsidR="0009418B" w:rsidRPr="0009418B">
        <w:rPr>
          <w:lang w:val="en-AU"/>
        </w:rPr>
        <w:t>for</w:t>
      </w:r>
      <w:r w:rsidR="0009418B">
        <w:rPr>
          <w:lang w:val="en-AU"/>
        </w:rPr>
        <w:t xml:space="preserve"> (</w:t>
      </w:r>
      <w:proofErr w:type="spellStart"/>
      <w:r w:rsidR="0009418B">
        <w:rPr>
          <w:lang w:val="en-AU"/>
        </w:rPr>
        <w:t>i</w:t>
      </w:r>
      <w:proofErr w:type="spellEnd"/>
      <w:r w:rsidR="0009418B">
        <w:rPr>
          <w:lang w:val="en-AU"/>
        </w:rPr>
        <w:t>)</w:t>
      </w:r>
      <w:r w:rsidR="0009418B" w:rsidRPr="0009418B">
        <w:rPr>
          <w:lang w:val="en-AU"/>
        </w:rPr>
        <w:t xml:space="preserve"> businesses within </w:t>
      </w:r>
      <w:r w:rsidR="00FD7E22">
        <w:rPr>
          <w:lang w:val="en-AU"/>
        </w:rPr>
        <w:t>Business Fibre Zone</w:t>
      </w:r>
      <w:r w:rsidR="0009418B" w:rsidRPr="0009418B">
        <w:rPr>
          <w:lang w:val="en-AU"/>
        </w:rPr>
        <w:t xml:space="preserve">s which were previously subject to geographically differentiated pricing and </w:t>
      </w:r>
      <w:r w:rsidR="0009418B">
        <w:rPr>
          <w:lang w:val="en-AU"/>
        </w:rPr>
        <w:t xml:space="preserve">(ii) </w:t>
      </w:r>
      <w:r w:rsidR="0009418B" w:rsidRPr="0009418B">
        <w:rPr>
          <w:lang w:val="en-AU"/>
        </w:rPr>
        <w:t>for smaller businesses which faced significant upfront costs to access business grade fibre services</w:t>
      </w:r>
      <w:r w:rsidR="00B6601F">
        <w:t>.</w:t>
      </w:r>
      <w:r w:rsidR="00407151">
        <w:t xml:space="preserve"> </w:t>
      </w:r>
    </w:p>
    <w:p w14:paraId="6E51D1C2" w14:textId="77777777" w:rsidR="00A13E89" w:rsidRDefault="0043327D" w:rsidP="007A5BCD">
      <w:pPr>
        <w:keepNext/>
      </w:pPr>
      <w:r>
        <w:lastRenderedPageBreak/>
        <w:t xml:space="preserve">The Department </w:t>
      </w:r>
      <w:r w:rsidR="00766479">
        <w:t xml:space="preserve">therefore </w:t>
      </w:r>
      <w:r w:rsidR="00355977">
        <w:t xml:space="preserve">commissioned </w:t>
      </w:r>
      <w:r w:rsidR="006C5BE6">
        <w:t>this study to</w:t>
      </w:r>
      <w:r w:rsidR="00A13E89">
        <w:t>:</w:t>
      </w:r>
    </w:p>
    <w:p w14:paraId="53E8FD48" w14:textId="77777777" w:rsidR="00501993" w:rsidRPr="00501993" w:rsidRDefault="00937A42" w:rsidP="00A13E89">
      <w:pPr>
        <w:pStyle w:val="ListBullet1"/>
      </w:pPr>
      <w:proofErr w:type="gramStart"/>
      <w:r>
        <w:t>r</w:t>
      </w:r>
      <w:r w:rsidR="00501993" w:rsidRPr="00501993">
        <w:t>eview</w:t>
      </w:r>
      <w:proofErr w:type="gramEnd"/>
      <w:r w:rsidR="00501993" w:rsidRPr="00501993">
        <w:t xml:space="preserve"> competition in business markets and the likely impact of NBN </w:t>
      </w:r>
      <w:proofErr w:type="spellStart"/>
      <w:r w:rsidR="00501993" w:rsidRPr="00501993">
        <w:t>Co’s</w:t>
      </w:r>
      <w:proofErr w:type="spellEnd"/>
      <w:r w:rsidR="00501993" w:rsidRPr="00501993">
        <w:t xml:space="preserve"> </w:t>
      </w:r>
      <w:r w:rsidR="00BC1863" w:rsidRPr="00501993">
        <w:t>business fibre</w:t>
      </w:r>
      <w:r w:rsidR="00501993" w:rsidRPr="00501993">
        <w:t xml:space="preserve"> Initiative, to improve competition in these markets.</w:t>
      </w:r>
    </w:p>
    <w:p w14:paraId="2C498C19" w14:textId="77777777" w:rsidR="001C5F6E" w:rsidRDefault="006C5BE6" w:rsidP="00A13E89">
      <w:pPr>
        <w:pStyle w:val="ListBullet1"/>
      </w:pPr>
      <w:proofErr w:type="gramStart"/>
      <w:r>
        <w:t>a</w:t>
      </w:r>
      <w:r w:rsidR="001C5F6E">
        <w:t>ssess</w:t>
      </w:r>
      <w:proofErr w:type="gramEnd"/>
      <w:r w:rsidR="001C5F6E">
        <w:t xml:space="preserve"> the economic impact of NBN </w:t>
      </w:r>
      <w:proofErr w:type="spellStart"/>
      <w:r w:rsidR="00BC1863">
        <w:t>Co’s</w:t>
      </w:r>
      <w:proofErr w:type="spellEnd"/>
      <w:r w:rsidR="00BC1863">
        <w:t xml:space="preserve"> business fibre initiative</w:t>
      </w:r>
      <w:r w:rsidR="001C5F6E">
        <w:t xml:space="preserve"> and other fixed line upgrades, including forecasting the likely impact in terms of cost, productivity and benefits with consideration to</w:t>
      </w:r>
      <w:r w:rsidR="00766479">
        <w:t xml:space="preserve"> </w:t>
      </w:r>
      <w:r w:rsidR="001C5F6E">
        <w:t>location</w:t>
      </w:r>
      <w:r w:rsidR="00766479">
        <w:t xml:space="preserve">, </w:t>
      </w:r>
      <w:r w:rsidR="001C5F6E">
        <w:t>service type/industry</w:t>
      </w:r>
      <w:r w:rsidR="00766479">
        <w:t xml:space="preserve">, </w:t>
      </w:r>
      <w:r w:rsidR="001C5F6E">
        <w:t xml:space="preserve">business size </w:t>
      </w:r>
      <w:r w:rsidR="00A13E89">
        <w:t xml:space="preserve">and the </w:t>
      </w:r>
      <w:r w:rsidR="001C5F6E">
        <w:t>aggregated economic benefits</w:t>
      </w:r>
      <w:r w:rsidR="00A13E89">
        <w:t>.</w:t>
      </w:r>
    </w:p>
    <w:p w14:paraId="1C9065DD" w14:textId="77777777" w:rsidR="0078782F" w:rsidRDefault="009010BA" w:rsidP="0006145F">
      <w:pPr>
        <w:pStyle w:val="Heading3"/>
      </w:pPr>
      <w:bookmarkStart w:id="11" w:name="_Toc79671800"/>
      <w:r>
        <w:t>Estimation of economic benefits</w:t>
      </w:r>
      <w:bookmarkEnd w:id="11"/>
    </w:p>
    <w:p w14:paraId="6AA08D66" w14:textId="77777777" w:rsidR="00FA0370" w:rsidRDefault="00FA0370" w:rsidP="00FA0370">
      <w:pPr>
        <w:pStyle w:val="BodyText"/>
      </w:pPr>
      <w:r>
        <w:t xml:space="preserve">For this </w:t>
      </w:r>
      <w:r w:rsidRPr="00F07EED">
        <w:t xml:space="preserve">research, we developed a methodology for estimating the benefits for firms </w:t>
      </w:r>
      <w:r w:rsidRPr="004B7521">
        <w:t xml:space="preserve">of adopting the </w:t>
      </w:r>
      <w:r w:rsidR="009648D0" w:rsidRPr="004B7521">
        <w:t xml:space="preserve">better </w:t>
      </w:r>
      <w:r w:rsidRPr="004B7521">
        <w:t xml:space="preserve">business broadband services enabled by the </w:t>
      </w:r>
      <w:r w:rsidR="00FD7E22" w:rsidRPr="004B7521">
        <w:t>Business Fibre Zone</w:t>
      </w:r>
      <w:r w:rsidRPr="004B7521">
        <w:t>s and</w:t>
      </w:r>
      <w:r>
        <w:t xml:space="preserve"> other business upgrades</w:t>
      </w:r>
      <w:r w:rsidRPr="00F07EED">
        <w:t xml:space="preserve">. </w:t>
      </w:r>
    </w:p>
    <w:p w14:paraId="2C5D7226" w14:textId="77777777" w:rsidR="00FA0370" w:rsidRDefault="009648D0" w:rsidP="00FA0370">
      <w:pPr>
        <w:pStyle w:val="BodyText"/>
      </w:pPr>
      <w:r>
        <w:t>B</w:t>
      </w:r>
      <w:r w:rsidR="00FA0370" w:rsidRPr="008866F3">
        <w:t xml:space="preserve">etter broadband </w:t>
      </w:r>
      <w:r>
        <w:t>services can increase</w:t>
      </w:r>
      <w:r w:rsidR="00FA0370" w:rsidRPr="008866F3">
        <w:t xml:space="preserve"> </w:t>
      </w:r>
      <w:r w:rsidR="00FA0370" w:rsidRPr="004904CC">
        <w:rPr>
          <w:i/>
          <w:iCs/>
        </w:rPr>
        <w:t>firm productivity</w:t>
      </w:r>
      <w:r w:rsidR="00FA0370">
        <w:t>. Higher firm productivity ultimately translates into more and higher-valued outputs</w:t>
      </w:r>
      <w:r w:rsidR="000869FD">
        <w:t xml:space="preserve">, </w:t>
      </w:r>
      <w:r w:rsidR="00FA0370">
        <w:t>as measured in gross domestic product (GDP), and better outcomes for Australian businesses.</w:t>
      </w:r>
    </w:p>
    <w:p w14:paraId="17F0EB75" w14:textId="77777777" w:rsidR="00C83493" w:rsidRDefault="00FA0370" w:rsidP="00FA0370">
      <w:pPr>
        <w:pStyle w:val="BodyText"/>
      </w:pPr>
      <w:r>
        <w:t xml:space="preserve">We </w:t>
      </w:r>
      <w:r w:rsidR="00B56607">
        <w:t xml:space="preserve">applied </w:t>
      </w:r>
      <w:r>
        <w:t xml:space="preserve">two main methods to quantify the impacts of broadband improvements. The first is to estimate the effect of better broadband on broadband speeds and then on output directly. The second is to estimate the effect of better broadband on broadband speeds and then on firm productivity directly. </w:t>
      </w:r>
    </w:p>
    <w:p w14:paraId="10859E34" w14:textId="77777777" w:rsidR="00CC581D" w:rsidRPr="00C83493" w:rsidRDefault="00CC581D" w:rsidP="00FA0370">
      <w:pPr>
        <w:pStyle w:val="BodyText"/>
      </w:pPr>
      <w:r>
        <w:t xml:space="preserve">In undertaking our study, we have had regard to similar studies of broadband effects, including that prepared by </w:t>
      </w:r>
      <w:proofErr w:type="spellStart"/>
      <w:r>
        <w:t>AlphaBeta</w:t>
      </w:r>
      <w:proofErr w:type="spellEnd"/>
      <w:r>
        <w:t xml:space="preserve"> </w:t>
      </w:r>
      <w:r w:rsidR="002B545E">
        <w:t xml:space="preserve">(2020) </w:t>
      </w:r>
      <w:r>
        <w:t xml:space="preserve">for NBN Co. In general, our results should be seen as complementary to that study, in that we </w:t>
      </w:r>
      <w:r w:rsidR="00123408">
        <w:t xml:space="preserve">estimate a subset of the effects estimated, but </w:t>
      </w:r>
      <w:r w:rsidR="00651FA8">
        <w:t xml:space="preserve">with </w:t>
      </w:r>
      <w:r w:rsidR="00123408">
        <w:t>more detail on specific industry sectors and locations.</w:t>
      </w:r>
    </w:p>
    <w:p w14:paraId="7112FB4B" w14:textId="77777777" w:rsidR="00B55C44" w:rsidRDefault="009B391B" w:rsidP="0006145F">
      <w:pPr>
        <w:pStyle w:val="Heading3"/>
      </w:pPr>
      <w:bookmarkStart w:id="12" w:name="_Toc79671801"/>
      <w:r>
        <w:t>Direct effects on the value of output</w:t>
      </w:r>
      <w:bookmarkEnd w:id="12"/>
    </w:p>
    <w:p w14:paraId="003F5440" w14:textId="77777777" w:rsidR="00833882" w:rsidRPr="007C41AF" w:rsidRDefault="00C1327D" w:rsidP="0049140B">
      <w:pPr>
        <w:pStyle w:val="BodyText"/>
      </w:pPr>
      <w:r w:rsidRPr="00A63352">
        <w:t xml:space="preserve">The relationship between improvements in broadband </w:t>
      </w:r>
      <w:r w:rsidR="00662E2C">
        <w:t>speeds and</w:t>
      </w:r>
      <w:r w:rsidRPr="00A63352">
        <w:t xml:space="preserve"> economic growth are well-</w:t>
      </w:r>
      <w:r w:rsidRPr="007C41AF">
        <w:t>established</w:t>
      </w:r>
      <w:r w:rsidR="00662E2C" w:rsidRPr="007C41AF">
        <w:t>.</w:t>
      </w:r>
      <w:r w:rsidRPr="007C41AF">
        <w:t xml:space="preserve"> </w:t>
      </w:r>
      <w:r w:rsidR="00662E2C" w:rsidRPr="007C41AF">
        <w:t>We use</w:t>
      </w:r>
      <w:r w:rsidR="004F1255" w:rsidRPr="007C41AF">
        <w:t>d</w:t>
      </w:r>
      <w:r w:rsidR="00662E2C" w:rsidRPr="007C41AF">
        <w:t xml:space="preserve"> </w:t>
      </w:r>
      <w:r w:rsidR="00D30660" w:rsidRPr="007C41AF">
        <w:t xml:space="preserve">studies of these relationships to estimate impacts on GDP </w:t>
      </w:r>
      <w:r w:rsidR="00356010" w:rsidRPr="007C41AF">
        <w:t>caused by</w:t>
      </w:r>
      <w:r w:rsidR="00D30660" w:rsidRPr="007C41AF">
        <w:t xml:space="preserve"> the NBN Co business investments.</w:t>
      </w:r>
    </w:p>
    <w:p w14:paraId="188FD339" w14:textId="37BC7EA8" w:rsidR="00B165DC" w:rsidRPr="007C41AF" w:rsidRDefault="009F6FE2" w:rsidP="00EF1758">
      <w:pPr>
        <w:pStyle w:val="BodyText"/>
      </w:pPr>
      <w:r w:rsidRPr="007C41AF">
        <w:t>We forecast</w:t>
      </w:r>
      <w:r w:rsidR="004F1255" w:rsidRPr="007C41AF">
        <w:t>ed</w:t>
      </w:r>
      <w:r w:rsidRPr="007C41AF">
        <w:t xml:space="preserve"> a</w:t>
      </w:r>
      <w:r w:rsidR="00382E5C" w:rsidRPr="007C41AF">
        <w:t xml:space="preserve">n increase in GDP of 0.23% per year </w:t>
      </w:r>
      <w:r w:rsidR="008047A7">
        <w:t>in</w:t>
      </w:r>
      <w:r w:rsidR="00382E5C" w:rsidRPr="007C41AF">
        <w:t xml:space="preserve"> 2024</w:t>
      </w:r>
      <w:r w:rsidR="008D5122" w:rsidRPr="007C41AF">
        <w:t>, or approximately $4.5 billion</w:t>
      </w:r>
      <w:r w:rsidRPr="007C41AF">
        <w:t xml:space="preserve">. </w:t>
      </w:r>
      <w:r w:rsidR="00297C1B" w:rsidRPr="007C41AF">
        <w:t xml:space="preserve">Around one quarter </w:t>
      </w:r>
      <w:r w:rsidR="00975F42" w:rsidRPr="007C41AF">
        <w:t>(</w:t>
      </w:r>
      <w:r w:rsidR="00297C1B" w:rsidRPr="007C41AF">
        <w:t>$1.2 billion</w:t>
      </w:r>
      <w:r w:rsidR="00975F42" w:rsidRPr="007C41AF">
        <w:t>)</w:t>
      </w:r>
      <w:r w:rsidR="00297C1B" w:rsidRPr="007C41AF">
        <w:t xml:space="preserve"> of this </w:t>
      </w:r>
      <w:r w:rsidR="004F1255" w:rsidRPr="007C41AF">
        <w:t xml:space="preserve">is expected </w:t>
      </w:r>
      <w:r w:rsidR="00297C1B" w:rsidRPr="007C41AF">
        <w:t>to accrue in regional areas</w:t>
      </w:r>
      <w:r w:rsidRPr="007C41AF">
        <w:t>.</w:t>
      </w:r>
      <w:r w:rsidR="00EF1758">
        <w:t xml:space="preserve"> </w:t>
      </w:r>
      <w:r w:rsidR="009D0BB3" w:rsidRPr="007C41AF">
        <w:t>The forecasted impact</w:t>
      </w:r>
      <w:r w:rsidR="00BE0514" w:rsidRPr="007C41AF">
        <w:t xml:space="preserve"> of $4.5 billion </w:t>
      </w:r>
      <w:r w:rsidR="00975F42" w:rsidRPr="007C41AF">
        <w:t xml:space="preserve">is </w:t>
      </w:r>
      <w:r w:rsidR="00BE0514" w:rsidRPr="007C41AF">
        <w:t xml:space="preserve">a midpoint or central estimate, </w:t>
      </w:r>
      <w:r w:rsidR="009552CB" w:rsidRPr="007C41AF">
        <w:t xml:space="preserve">with a likely range of between $1.8 and </w:t>
      </w:r>
      <w:r w:rsidR="00EB02CC" w:rsidRPr="007C41AF">
        <w:t>$</w:t>
      </w:r>
      <w:r w:rsidR="009552CB" w:rsidRPr="007C41AF">
        <w:t>7.2</w:t>
      </w:r>
      <w:r w:rsidR="00EB02CC" w:rsidRPr="007C41AF">
        <w:t xml:space="preserve"> billion</w:t>
      </w:r>
      <w:r w:rsidR="00BE0514" w:rsidRPr="007C41AF">
        <w:t xml:space="preserve"> (</w:t>
      </w:r>
      <w:r w:rsidR="00BE0514" w:rsidRPr="007C41AF">
        <w:fldChar w:fldCharType="begin"/>
      </w:r>
      <w:r w:rsidR="00BE0514" w:rsidRPr="007C41AF">
        <w:instrText xml:space="preserve"> REF _Ref75717350 \h </w:instrText>
      </w:r>
      <w:r w:rsidR="007C41AF">
        <w:instrText xml:space="preserve"> \* MERGEFORMAT </w:instrText>
      </w:r>
      <w:r w:rsidR="00BE0514" w:rsidRPr="007C41AF">
        <w:fldChar w:fldCharType="separate"/>
      </w:r>
      <w:r w:rsidR="00DD5715" w:rsidRPr="007C41AF">
        <w:rPr>
          <w:rStyle w:val="Bold"/>
        </w:rPr>
        <w:t xml:space="preserve">Figure </w:t>
      </w:r>
      <w:r w:rsidR="00DD5715">
        <w:rPr>
          <w:rStyle w:val="Bold"/>
          <w:noProof/>
        </w:rPr>
        <w:t>2</w:t>
      </w:r>
      <w:r w:rsidR="00BE0514" w:rsidRPr="007C41AF">
        <w:fldChar w:fldCharType="end"/>
      </w:r>
      <w:r w:rsidR="00BE0514" w:rsidRPr="007C41AF">
        <w:t>)</w:t>
      </w:r>
      <w:r w:rsidR="00DB51AC" w:rsidRPr="007C41AF">
        <w:t>.</w:t>
      </w:r>
      <w:r w:rsidR="0049140B" w:rsidRPr="007C41AF">
        <w:t xml:space="preserve"> </w:t>
      </w:r>
    </w:p>
    <w:p w14:paraId="60A6FF7B" w14:textId="3E7BF85B" w:rsidR="009659C5" w:rsidRDefault="009659C5" w:rsidP="009659C5">
      <w:pPr>
        <w:pStyle w:val="Caption"/>
      </w:pPr>
      <w:bookmarkStart w:id="13" w:name="_Ref75717350"/>
      <w:bookmarkStart w:id="14" w:name="_Toc79585063"/>
      <w:r w:rsidRPr="007C41AF">
        <w:rPr>
          <w:rStyle w:val="Bold"/>
        </w:rPr>
        <w:lastRenderedPageBreak/>
        <w:t xml:space="preserve">Figure </w:t>
      </w:r>
      <w:r w:rsidRPr="007C41AF">
        <w:rPr>
          <w:rStyle w:val="Bold"/>
        </w:rPr>
        <w:fldChar w:fldCharType="begin"/>
      </w:r>
      <w:r w:rsidRPr="007C41AF">
        <w:rPr>
          <w:rStyle w:val="Bold"/>
        </w:rPr>
        <w:instrText xml:space="preserve"> SEQ Figure \* ARABIC </w:instrText>
      </w:r>
      <w:r w:rsidRPr="007C41AF">
        <w:rPr>
          <w:rStyle w:val="Bold"/>
        </w:rPr>
        <w:fldChar w:fldCharType="separate"/>
      </w:r>
      <w:r w:rsidR="00DD5715">
        <w:rPr>
          <w:rStyle w:val="Bold"/>
          <w:noProof/>
        </w:rPr>
        <w:t>2</w:t>
      </w:r>
      <w:r w:rsidRPr="007C41AF">
        <w:rPr>
          <w:rStyle w:val="Bold"/>
        </w:rPr>
        <w:fldChar w:fldCharType="end"/>
      </w:r>
      <w:bookmarkEnd w:id="13"/>
      <w:r w:rsidRPr="007C41AF">
        <w:t>: Impact on Australian GDP</w:t>
      </w:r>
      <w:bookmarkEnd w:id="14"/>
    </w:p>
    <w:p w14:paraId="01A40EB9" w14:textId="36285944" w:rsidR="009659C5" w:rsidRPr="007C41AF" w:rsidRDefault="00382C82" w:rsidP="00382C82">
      <w:r>
        <w:rPr>
          <w:noProof/>
          <w:lang w:eastAsia="en-AU"/>
        </w:rPr>
        <w:drawing>
          <wp:inline distT="0" distB="0" distL="0" distR="0" wp14:anchorId="45DB82AD" wp14:editId="1E2BA219">
            <wp:extent cx="5445180" cy="2829704"/>
            <wp:effectExtent l="0" t="0" r="3175" b="8890"/>
            <wp:docPr id="54" name="Picture 54" descr="This figure charts the impact on Australian GDP of NBN Co’s business initiatives over the period financial year 2020 to financial year to financial year 2024. Each scenario - high, central and low - start at $0 billion of impact in financial year 2020. By financial year 2024, the high scenario forecasts a GDP impact of $7.2 billion, the central scenario forecasts a GDP impact of $4.5 billion, and the low scenario forecasts a GDP of $1.8 bill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This figure charts the impact on Australian GDP of NBN Co’s business initiatives over the period financial year 2020 to financial year to financial year 2024. Each scenario - high, central and low - start at $0 billion of impact in financial year 2020. By financial year 2024, the high scenario forecasts a GDP impact of $7.2 billion, the central scenario forecasts a GDP impact of $4.5 billion, and the low scenario forecasts a GDP of $1.8 billion."/>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70763" cy="2842999"/>
                    </a:xfrm>
                    <a:prstGeom prst="rect">
                      <a:avLst/>
                    </a:prstGeom>
                    <a:noFill/>
                  </pic:spPr>
                </pic:pic>
              </a:graphicData>
            </a:graphic>
          </wp:inline>
        </w:drawing>
      </w:r>
    </w:p>
    <w:p w14:paraId="0DD5909F" w14:textId="77777777" w:rsidR="009659C5" w:rsidRPr="003335D6" w:rsidRDefault="009659C5" w:rsidP="003335D6">
      <w:pPr>
        <w:pStyle w:val="Source"/>
      </w:pPr>
      <w:r w:rsidRPr="003335D6">
        <w:t xml:space="preserve">Source: Frontier Economics </w:t>
      </w:r>
      <w:r w:rsidR="002D6C0B" w:rsidRPr="003335D6">
        <w:t xml:space="preserve">analysis </w:t>
      </w:r>
      <w:r w:rsidRPr="003335D6">
        <w:t xml:space="preserve">of ABS data, Consensus Economics data and </w:t>
      </w:r>
      <w:proofErr w:type="spellStart"/>
      <w:r w:rsidRPr="003335D6">
        <w:t>Briglauer</w:t>
      </w:r>
      <w:proofErr w:type="spellEnd"/>
      <w:r w:rsidRPr="003335D6">
        <w:t xml:space="preserve"> </w:t>
      </w:r>
      <w:r w:rsidR="00C949C8" w:rsidRPr="003335D6">
        <w:t xml:space="preserve">et al </w:t>
      </w:r>
      <w:r w:rsidRPr="003335D6">
        <w:t>(2021)</w:t>
      </w:r>
    </w:p>
    <w:p w14:paraId="5519ED31" w14:textId="77777777" w:rsidR="009010BA" w:rsidRPr="007C41AF" w:rsidRDefault="00E63A8D" w:rsidP="00206761">
      <w:pPr>
        <w:pStyle w:val="Heading3"/>
      </w:pPr>
      <w:bookmarkStart w:id="15" w:name="_Toc79671802"/>
      <w:r w:rsidRPr="007C41AF">
        <w:t xml:space="preserve">Forecast </w:t>
      </w:r>
      <w:r w:rsidR="009010BA" w:rsidRPr="007C41AF">
        <w:t>firm productivity</w:t>
      </w:r>
      <w:r w:rsidR="00A64E54" w:rsidRPr="007C41AF">
        <w:t xml:space="preserve"> benefits</w:t>
      </w:r>
      <w:bookmarkEnd w:id="15"/>
    </w:p>
    <w:p w14:paraId="5EAD5671" w14:textId="77777777" w:rsidR="00123408" w:rsidRPr="007C41AF" w:rsidRDefault="00123408" w:rsidP="00123408">
      <w:pPr>
        <w:pStyle w:val="BodyText"/>
      </w:pPr>
      <w:r w:rsidRPr="007C41AF">
        <w:t>In ad</w:t>
      </w:r>
      <w:r w:rsidR="00002451" w:rsidRPr="007C41AF">
        <w:t>dition to aggregate impacts,</w:t>
      </w:r>
      <w:r w:rsidRPr="007C41AF">
        <w:t xml:space="preserve"> w</w:t>
      </w:r>
      <w:r w:rsidR="00203991" w:rsidRPr="007C41AF">
        <w:t>e estimate effects on firm productivity</w:t>
      </w:r>
      <w:r w:rsidRPr="007C41AF">
        <w:t xml:space="preserve">. </w:t>
      </w:r>
      <w:r w:rsidR="00A03E5B" w:rsidRPr="007C41AF">
        <w:t xml:space="preserve">Estimating firm productivity effects allows for a </w:t>
      </w:r>
      <w:r w:rsidR="001C14C2" w:rsidRPr="007C41AF">
        <w:t>more detailed sectoral and locational breakdown of benefits.</w:t>
      </w:r>
    </w:p>
    <w:p w14:paraId="3ADA02EB" w14:textId="2A03CE80" w:rsidR="00762411" w:rsidRPr="003651AE" w:rsidRDefault="00123408" w:rsidP="007B1044">
      <w:pPr>
        <w:pStyle w:val="BodyText"/>
      </w:pPr>
      <w:r w:rsidRPr="007C41AF">
        <w:t>Based</w:t>
      </w:r>
      <w:r w:rsidR="00615417" w:rsidRPr="007C41AF">
        <w:t xml:space="preserve"> o</w:t>
      </w:r>
      <w:r w:rsidR="00D02E97" w:rsidRPr="007C41AF">
        <w:t>n the</w:t>
      </w:r>
      <w:r w:rsidR="001F7EFE" w:rsidRPr="007C41AF">
        <w:t xml:space="preserve"> estimate</w:t>
      </w:r>
      <w:r w:rsidR="00EC1D00" w:rsidRPr="007C41AF">
        <w:t>d</w:t>
      </w:r>
      <w:r w:rsidR="00C96278" w:rsidRPr="007C41AF">
        <w:t xml:space="preserve"> </w:t>
      </w:r>
      <w:r w:rsidR="00615417" w:rsidRPr="007C41AF">
        <w:t>speed increase to 2024 for business s</w:t>
      </w:r>
      <w:r w:rsidR="00B5090B" w:rsidRPr="007C41AF">
        <w:t xml:space="preserve">ervices, </w:t>
      </w:r>
      <w:r w:rsidRPr="007C41AF">
        <w:t>we estimate</w:t>
      </w:r>
      <w:r w:rsidR="00734A2F" w:rsidRPr="007C41AF">
        <w:t>d</w:t>
      </w:r>
      <w:r w:rsidRPr="007C41AF">
        <w:t xml:space="preserve"> that </w:t>
      </w:r>
      <w:r w:rsidR="00B5090B" w:rsidRPr="007C41AF">
        <w:t xml:space="preserve">the </w:t>
      </w:r>
      <w:r w:rsidR="00B5090B" w:rsidRPr="007C41AF">
        <w:rPr>
          <w:i/>
          <w:iCs/>
        </w:rPr>
        <w:t>average</w:t>
      </w:r>
      <w:r w:rsidR="00B5090B" w:rsidRPr="007C41AF">
        <w:t xml:space="preserve"> firm productivity benefit </w:t>
      </w:r>
      <w:r w:rsidR="00AC19C1" w:rsidRPr="007C41AF">
        <w:t xml:space="preserve">across all industries </w:t>
      </w:r>
      <w:r w:rsidR="00B5090B" w:rsidRPr="007C41AF">
        <w:t xml:space="preserve">will be around </w:t>
      </w:r>
      <w:r w:rsidR="00587003" w:rsidRPr="007C41AF">
        <w:t>2</w:t>
      </w:r>
      <w:r w:rsidR="00B5090B" w:rsidRPr="007C41AF">
        <w:t>.</w:t>
      </w:r>
      <w:r w:rsidR="00587003" w:rsidRPr="007C41AF">
        <w:t>0</w:t>
      </w:r>
      <w:r w:rsidR="00B5090B" w:rsidRPr="007C41AF">
        <w:t>%</w:t>
      </w:r>
      <w:r w:rsidR="00D02E97" w:rsidRPr="007C41AF">
        <w:t xml:space="preserve"> </w:t>
      </w:r>
      <w:r w:rsidR="00776930" w:rsidRPr="007C41AF">
        <w:t xml:space="preserve">per year. </w:t>
      </w:r>
      <w:r w:rsidR="00762411" w:rsidRPr="007C41AF">
        <w:t>Th</w:t>
      </w:r>
      <w:r w:rsidR="00D02E97" w:rsidRPr="007C41AF">
        <w:t>e 2</w:t>
      </w:r>
      <w:r w:rsidR="004E7743" w:rsidRPr="007C41AF">
        <w:t>.0</w:t>
      </w:r>
      <w:r w:rsidR="00D02E97" w:rsidRPr="007C41AF">
        <w:t>% average gain</w:t>
      </w:r>
      <w:r w:rsidR="00762411" w:rsidRPr="007C41AF">
        <w:t xml:space="preserve"> </w:t>
      </w:r>
      <w:r w:rsidR="00031922" w:rsidRPr="007C41AF">
        <w:t>tran</w:t>
      </w:r>
      <w:r w:rsidR="00D02E97" w:rsidRPr="007C41AF">
        <w:t>s</w:t>
      </w:r>
      <w:r w:rsidR="00031922" w:rsidRPr="007C41AF">
        <w:t>lates to</w:t>
      </w:r>
      <w:r w:rsidR="00762411" w:rsidRPr="007C41AF">
        <w:t xml:space="preserve"> significant gains for </w:t>
      </w:r>
      <w:r w:rsidR="00031922" w:rsidRPr="007C41AF">
        <w:t xml:space="preserve">particular </w:t>
      </w:r>
      <w:r w:rsidR="00762411" w:rsidRPr="007C41AF">
        <w:t>sectors</w:t>
      </w:r>
      <w:r w:rsidR="00830DC9" w:rsidRPr="007C41AF">
        <w:t>,</w:t>
      </w:r>
      <w:r w:rsidR="0034384D" w:rsidRPr="007C41AF">
        <w:t xml:space="preserve"> with professional, technical and</w:t>
      </w:r>
      <w:r w:rsidR="0034384D">
        <w:t xml:space="preserve"> scientific services to improve by as much as 10 percent, and other industries such as construction, and retail to experience above average impact</w:t>
      </w:r>
      <w:r w:rsidR="00762411">
        <w:t xml:space="preserve"> </w:t>
      </w:r>
      <w:r w:rsidR="00714281">
        <w:t>as shown in</w:t>
      </w:r>
      <w:r w:rsidR="002D6C0B">
        <w:t xml:space="preserve"> </w:t>
      </w:r>
      <w:r w:rsidR="002D6C0B">
        <w:fldChar w:fldCharType="begin"/>
      </w:r>
      <w:r w:rsidR="002D6C0B">
        <w:instrText xml:space="preserve"> REF _Ref75779633 \h </w:instrText>
      </w:r>
      <w:r w:rsidR="002D6C0B">
        <w:fldChar w:fldCharType="separate"/>
      </w:r>
      <w:r w:rsidR="00DD5715" w:rsidRPr="007C5D2E">
        <w:rPr>
          <w:rStyle w:val="Bold"/>
        </w:rPr>
        <w:t xml:space="preserve">Figure </w:t>
      </w:r>
      <w:r w:rsidR="00DD5715">
        <w:rPr>
          <w:rStyle w:val="Bold"/>
          <w:noProof/>
        </w:rPr>
        <w:t>3</w:t>
      </w:r>
      <w:r w:rsidR="002D6C0B">
        <w:fldChar w:fldCharType="end"/>
      </w:r>
      <w:r w:rsidR="00714281">
        <w:t xml:space="preserve">. </w:t>
      </w:r>
    </w:p>
    <w:p w14:paraId="58AED15A" w14:textId="5D6BFE68" w:rsidR="002D6C0B" w:rsidRDefault="002D6C0B" w:rsidP="00700E15">
      <w:pPr>
        <w:pStyle w:val="Caption"/>
      </w:pPr>
      <w:bookmarkStart w:id="16" w:name="_Ref75779633"/>
      <w:bookmarkStart w:id="17" w:name="_Toc79585064"/>
      <w:r w:rsidRPr="007C5D2E">
        <w:rPr>
          <w:rStyle w:val="Bold"/>
        </w:rPr>
        <w:lastRenderedPageBreak/>
        <w:t xml:space="preserve">Figure </w:t>
      </w:r>
      <w:r w:rsidRPr="007C5D2E">
        <w:rPr>
          <w:rStyle w:val="Bold"/>
        </w:rPr>
        <w:fldChar w:fldCharType="begin"/>
      </w:r>
      <w:r w:rsidRPr="007C5D2E">
        <w:rPr>
          <w:rStyle w:val="Bold"/>
        </w:rPr>
        <w:instrText xml:space="preserve"> SEQ Figure \* ARABIC </w:instrText>
      </w:r>
      <w:r w:rsidRPr="007C5D2E">
        <w:rPr>
          <w:rStyle w:val="Bold"/>
        </w:rPr>
        <w:fldChar w:fldCharType="separate"/>
      </w:r>
      <w:r w:rsidR="00DD5715">
        <w:rPr>
          <w:rStyle w:val="Bold"/>
          <w:noProof/>
        </w:rPr>
        <w:t>3</w:t>
      </w:r>
      <w:r w:rsidRPr="007C5D2E">
        <w:rPr>
          <w:rStyle w:val="Bold"/>
        </w:rPr>
        <w:fldChar w:fldCharType="end"/>
      </w:r>
      <w:bookmarkEnd w:id="16"/>
      <w:r w:rsidRPr="00BE496A">
        <w:t xml:space="preserve">: </w:t>
      </w:r>
      <w:r>
        <w:t>Productivity gains by industry</w:t>
      </w:r>
      <w:bookmarkEnd w:id="17"/>
    </w:p>
    <w:p w14:paraId="45A25DAF" w14:textId="0AF6685C" w:rsidR="002D6C0B" w:rsidRDefault="007A4884" w:rsidP="00700E15">
      <w:pPr>
        <w:pStyle w:val="Image-Page1fullwidth"/>
        <w:keepNext/>
        <w:framePr w:w="0" w:hSpace="0" w:wrap="auto" w:vAnchor="margin" w:yAlign="inline"/>
        <w:spacing w:after="0" w:line="240" w:lineRule="auto"/>
      </w:pPr>
      <w:r>
        <w:rPr>
          <w:lang w:eastAsia="en-AU"/>
        </w:rPr>
        <w:drawing>
          <wp:inline distT="0" distB="0" distL="0" distR="0" wp14:anchorId="7FC3EB71" wp14:editId="2A0E4BA5">
            <wp:extent cx="5860269" cy="4109570"/>
            <wp:effectExtent l="0" t="0" r="7620" b="5715"/>
            <wp:docPr id="10" name="Picture 10" descr="This figure plots the forecast average productivity gains by industry due to NBN Co’s business initiatives.&#10;&#10;The average productivity gain is 2% across all industries, as high as 12.1% for Other services, and as low as 0.7% for Mining.&#10;&#10;A full list of industries and their forecasted productivity gains are as follows:&#10;&#10;Agriculture, forestry and fishing 2%&#10;&#10;Mining 1%&#10;&#10;Manufacturing 2%&#10;&#10;Electricity, gas, water and waste services 3%&#10;&#10;Construction 7%&#10;&#10;Wholesale trade 6%&#10;&#10;Retail trade 6%&#10;&#10;Accommodation and food services 3%&#10;&#10;Transport, postal and warehousing 2%&#10;&#10;Information media and telecommunications 7%&#10;&#10;Financial and insurance services 9%&#10;&#10;Rental, hiring and real estate services 2%&#10;&#10;Professional, scientific and technical services 10%&#10;&#10;Administrative and support services 11%&#10;&#10;Public administration and safety 3%&#10;&#10;Education and training 2%&#10;&#10;Health care and social assistance 3%&#10;&#10;Arts and recreation services 5%&#10;&#10;Other services 12%&#10;&#10;All industries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his figure plots the forecast average productivity gains by industry due to NBN Co’s business initiatives.&#10;&#10;The average productivity gain is 2% across all industries, as high as 12.1% for Other services, and as low as 0.7% for Mining.&#10;&#10;A full list of industries and their forecasted productivity gains are as follows:&#10;&#10;Agriculture, forestry and fishing 2%&#10;&#10;Mining 1%&#10;&#10;Manufacturing 2%&#10;&#10;Electricity, gas, water and waste services 3%&#10;&#10;Construction 7%&#10;&#10;Wholesale trade 6%&#10;&#10;Retail trade 6%&#10;&#10;Accommodation and food services 3%&#10;&#10;Transport, postal and warehousing 2%&#10;&#10;Information media and telecommunications 7%&#10;&#10;Financial and insurance services 9%&#10;&#10;Rental, hiring and real estate services 2%&#10;&#10;Professional, scientific and technical services 10%&#10;&#10;Administrative and support services 11%&#10;&#10;Public administration and safety 3%&#10;&#10;Education and training 2%&#10;&#10;Health care and social assistance 3%&#10;&#10;Arts and recreation services 5%&#10;&#10;Other services 12%&#10;&#10;All industries 2%&#1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873048" cy="4118531"/>
                    </a:xfrm>
                    <a:prstGeom prst="rect">
                      <a:avLst/>
                    </a:prstGeom>
                    <a:noFill/>
                  </pic:spPr>
                </pic:pic>
              </a:graphicData>
            </a:graphic>
          </wp:inline>
        </w:drawing>
      </w:r>
    </w:p>
    <w:p w14:paraId="00F0E350" w14:textId="77777777" w:rsidR="002D6C0B" w:rsidRPr="003335D6" w:rsidRDefault="002D6C0B" w:rsidP="003335D6">
      <w:pPr>
        <w:pStyle w:val="Source"/>
      </w:pPr>
      <w:r w:rsidRPr="003335D6">
        <w:t>Source: Frontier Economics analysis</w:t>
      </w:r>
    </w:p>
    <w:p w14:paraId="344D1448" w14:textId="77777777" w:rsidR="00CB7F36" w:rsidRDefault="00CB7F36" w:rsidP="00EF48D9">
      <w:pPr>
        <w:pStyle w:val="Heading3"/>
      </w:pPr>
      <w:bookmarkStart w:id="18" w:name="_Toc79671803"/>
      <w:r>
        <w:t>Expected benefits vary by location</w:t>
      </w:r>
      <w:bookmarkEnd w:id="18"/>
    </w:p>
    <w:p w14:paraId="0C0FEC0C" w14:textId="49869221" w:rsidR="00887587" w:rsidRPr="00F9590F" w:rsidRDefault="00887587" w:rsidP="00887587">
      <w:pPr>
        <w:pStyle w:val="BodyText"/>
      </w:pPr>
      <w:r>
        <w:t xml:space="preserve">We estimated the geographic distribution of benefits as outlined in </w:t>
      </w:r>
      <w:r w:rsidR="00BE32B0">
        <w:fldChar w:fldCharType="begin"/>
      </w:r>
      <w:r w:rsidR="00BE32B0">
        <w:instrText xml:space="preserve"> REF _Ref78348312 \h </w:instrText>
      </w:r>
      <w:r w:rsidR="00BE32B0">
        <w:fldChar w:fldCharType="separate"/>
      </w:r>
      <w:r w:rsidR="00DD5715" w:rsidRPr="00603BC1">
        <w:rPr>
          <w:rStyle w:val="Bold"/>
        </w:rPr>
        <w:t xml:space="preserve">Table </w:t>
      </w:r>
      <w:r w:rsidR="00DD5715">
        <w:rPr>
          <w:rStyle w:val="Bold"/>
          <w:noProof/>
        </w:rPr>
        <w:t>1</w:t>
      </w:r>
      <w:r w:rsidR="00BE32B0">
        <w:fldChar w:fldCharType="end"/>
      </w:r>
      <w:r>
        <w:t xml:space="preserve">.  Firms in regional </w:t>
      </w:r>
      <w:r w:rsidRPr="00F9590F">
        <w:t xml:space="preserve">areas are expected to benefit more than those in metropolitan areas, as regional areas are less well-served by business-grade broadband. For example, business productivity in regional areas </w:t>
      </w:r>
      <w:r w:rsidR="00734A2F" w:rsidRPr="00F9590F">
        <w:t xml:space="preserve">was </w:t>
      </w:r>
      <w:r w:rsidRPr="00F9590F">
        <w:t>forecast to increase by an average 5.5% per annum, and in some states up to 6.4%.</w:t>
      </w:r>
    </w:p>
    <w:p w14:paraId="59DF37D3" w14:textId="77777777" w:rsidR="0015763E" w:rsidRDefault="002F11F0" w:rsidP="00791AEA">
      <w:pPr>
        <w:pStyle w:val="BodyText"/>
      </w:pPr>
      <w:r w:rsidRPr="00F9590F">
        <w:t>We also note</w:t>
      </w:r>
      <w:r w:rsidR="00734A2F" w:rsidRPr="00F9590F">
        <w:t>d</w:t>
      </w:r>
      <w:r w:rsidRPr="00F9590F">
        <w:t xml:space="preserve"> that i</w:t>
      </w:r>
      <w:r w:rsidR="000665FA" w:rsidRPr="00F9590F">
        <w:t xml:space="preserve">ndustries with a larger regional presence are likely to experience higher benefits. For example, we </w:t>
      </w:r>
      <w:r w:rsidR="00073A96" w:rsidRPr="00F9590F">
        <w:t>identified</w:t>
      </w:r>
      <w:r w:rsidR="000665FA" w:rsidRPr="00F9590F">
        <w:t xml:space="preserve"> sectors</w:t>
      </w:r>
      <w:r w:rsidR="000665FA">
        <w:t xml:space="preserve"> such as construction and wholesale/retail trade as the most significant beneficiaries, as their output is more geographically spread across Australia than other sectors.</w:t>
      </w:r>
    </w:p>
    <w:p w14:paraId="636D8955" w14:textId="77777777" w:rsidR="0015763E" w:rsidRDefault="0015763E">
      <w:pPr>
        <w:spacing w:before="0" w:after="0" w:line="240" w:lineRule="auto"/>
        <w:jc w:val="left"/>
        <w:rPr>
          <w:rFonts w:cs="Open Sans"/>
        </w:rPr>
      </w:pPr>
      <w:r>
        <w:br w:type="page"/>
      </w:r>
    </w:p>
    <w:p w14:paraId="7C3A64C8" w14:textId="6624042E" w:rsidR="00887587" w:rsidRDefault="00887587" w:rsidP="00887587">
      <w:pPr>
        <w:pStyle w:val="Caption"/>
        <w:keepNext w:val="0"/>
      </w:pPr>
      <w:bookmarkStart w:id="19" w:name="_Ref78348312"/>
      <w:bookmarkStart w:id="20" w:name="_Toc75802091"/>
      <w:bookmarkStart w:id="21" w:name="_Toc79585049"/>
      <w:r w:rsidRPr="00603BC1">
        <w:rPr>
          <w:rStyle w:val="Bold"/>
        </w:rPr>
        <w:lastRenderedPageBreak/>
        <w:t xml:space="preserve">Table </w:t>
      </w:r>
      <w:r w:rsidRPr="00603BC1">
        <w:rPr>
          <w:rStyle w:val="Bold"/>
        </w:rPr>
        <w:fldChar w:fldCharType="begin"/>
      </w:r>
      <w:r w:rsidRPr="00603BC1">
        <w:rPr>
          <w:rStyle w:val="Bold"/>
        </w:rPr>
        <w:instrText xml:space="preserve"> SEQ Table \* ARABIC </w:instrText>
      </w:r>
      <w:r w:rsidRPr="00603BC1">
        <w:rPr>
          <w:rStyle w:val="Bold"/>
        </w:rPr>
        <w:fldChar w:fldCharType="separate"/>
      </w:r>
      <w:r w:rsidR="00DD5715">
        <w:rPr>
          <w:rStyle w:val="Bold"/>
          <w:noProof/>
        </w:rPr>
        <w:t>1</w:t>
      </w:r>
      <w:r w:rsidRPr="00603BC1">
        <w:rPr>
          <w:rStyle w:val="Bold"/>
        </w:rPr>
        <w:fldChar w:fldCharType="end"/>
      </w:r>
      <w:bookmarkEnd w:id="19"/>
      <w:r w:rsidRPr="00603BC1">
        <w:rPr>
          <w:rStyle w:val="Bold"/>
        </w:rPr>
        <w:t>:</w:t>
      </w:r>
      <w:r>
        <w:t xml:space="preserve"> </w:t>
      </w:r>
      <w:r w:rsidR="00BE32B0">
        <w:t>A</w:t>
      </w:r>
      <w:r>
        <w:t>verage firm productivity benefits by location</w:t>
      </w:r>
      <w:bookmarkEnd w:id="20"/>
      <w:bookmarkEnd w:id="21"/>
    </w:p>
    <w:tbl>
      <w:tblPr>
        <w:tblStyle w:val="FETableStyle"/>
        <w:tblW w:w="5000" w:type="pct"/>
        <w:tblLayout w:type="fixed"/>
        <w:tblLook w:val="0420" w:firstRow="1" w:lastRow="0" w:firstColumn="0" w:lastColumn="0" w:noHBand="0" w:noVBand="1"/>
        <w:tblCaption w:val="Average firm productivity benefits by location"/>
        <w:tblDescription w:val="This table shows the average firm productivity benefits by Australian state location."/>
      </w:tblPr>
      <w:tblGrid>
        <w:gridCol w:w="2785"/>
        <w:gridCol w:w="2095"/>
        <w:gridCol w:w="2095"/>
        <w:gridCol w:w="2095"/>
      </w:tblGrid>
      <w:tr w:rsidR="00887587" w:rsidRPr="00322939" w14:paraId="056FEE3C" w14:textId="77777777" w:rsidTr="00493075">
        <w:trPr>
          <w:cnfStyle w:val="100000000000" w:firstRow="1" w:lastRow="0" w:firstColumn="0" w:lastColumn="0" w:oddVBand="0" w:evenVBand="0" w:oddHBand="0" w:evenHBand="0" w:firstRowFirstColumn="0" w:firstRowLastColumn="0" w:lastRowFirstColumn="0" w:lastRowLastColumn="0"/>
          <w:tblHeader/>
        </w:trPr>
        <w:tc>
          <w:tcPr>
            <w:tcW w:w="1535" w:type="pct"/>
            <w:noWrap/>
            <w:hideMark/>
          </w:tcPr>
          <w:p w14:paraId="673943DD" w14:textId="0E22A005" w:rsidR="00887587" w:rsidRPr="00322939" w:rsidRDefault="004825A4" w:rsidP="0015763E">
            <w:pPr>
              <w:pStyle w:val="TableHeading"/>
              <w:keepNext w:val="0"/>
              <w:spacing w:beforeLines="20" w:before="48" w:afterLines="20" w:after="48" w:line="240" w:lineRule="auto"/>
              <w:contextualSpacing/>
              <w:rPr>
                <w:b/>
              </w:rPr>
            </w:pPr>
            <w:r>
              <w:rPr>
                <w:b/>
              </w:rPr>
              <w:t>Location</w:t>
            </w:r>
          </w:p>
        </w:tc>
        <w:tc>
          <w:tcPr>
            <w:tcW w:w="1155" w:type="pct"/>
            <w:noWrap/>
            <w:vAlign w:val="bottom"/>
            <w:hideMark/>
          </w:tcPr>
          <w:p w14:paraId="1AED7531" w14:textId="77777777" w:rsidR="00887587" w:rsidRPr="00322939" w:rsidRDefault="00887587" w:rsidP="0015763E">
            <w:pPr>
              <w:pStyle w:val="TableHeading"/>
              <w:keepNext w:val="0"/>
              <w:spacing w:beforeLines="20" w:before="48" w:afterLines="20" w:after="48" w:line="240" w:lineRule="auto"/>
              <w:contextualSpacing/>
              <w:rPr>
                <w:b/>
              </w:rPr>
            </w:pPr>
            <w:r>
              <w:rPr>
                <w:b/>
              </w:rPr>
              <w:t xml:space="preserve">Business fibre zone: </w:t>
            </w:r>
            <w:r>
              <w:rPr>
                <w:b/>
              </w:rPr>
              <w:br/>
            </w:r>
            <w:r w:rsidRPr="0004013D">
              <w:rPr>
                <w:b/>
              </w:rPr>
              <w:t>Metro</w:t>
            </w:r>
            <w:r>
              <w:rPr>
                <w:b/>
              </w:rPr>
              <w:t xml:space="preserve"> </w:t>
            </w:r>
            <w:r w:rsidRPr="0004013D">
              <w:rPr>
                <w:b/>
              </w:rPr>
              <w:t>/</w:t>
            </w:r>
            <w:r>
              <w:rPr>
                <w:b/>
              </w:rPr>
              <w:t xml:space="preserve"> </w:t>
            </w:r>
            <w:r w:rsidRPr="0004013D">
              <w:rPr>
                <w:b/>
              </w:rPr>
              <w:t>Regional</w:t>
            </w:r>
          </w:p>
        </w:tc>
        <w:tc>
          <w:tcPr>
            <w:tcW w:w="1155" w:type="pct"/>
            <w:noWrap/>
            <w:hideMark/>
          </w:tcPr>
          <w:p w14:paraId="22B58E9A" w14:textId="77777777" w:rsidR="00887587" w:rsidRPr="00322939" w:rsidRDefault="00887587" w:rsidP="0015763E">
            <w:pPr>
              <w:pStyle w:val="TableHeading"/>
              <w:keepNext w:val="0"/>
              <w:spacing w:beforeLines="20" w:before="48" w:afterLines="20" w:after="48" w:line="240" w:lineRule="auto"/>
              <w:contextualSpacing/>
              <w:jc w:val="center"/>
              <w:rPr>
                <w:b/>
              </w:rPr>
            </w:pPr>
            <w:r w:rsidRPr="00322939">
              <w:rPr>
                <w:b/>
              </w:rPr>
              <w:t>Metro</w:t>
            </w:r>
          </w:p>
        </w:tc>
        <w:tc>
          <w:tcPr>
            <w:tcW w:w="1155" w:type="pct"/>
            <w:noWrap/>
            <w:hideMark/>
          </w:tcPr>
          <w:p w14:paraId="2A2C6D75" w14:textId="77777777" w:rsidR="00887587" w:rsidRPr="00322939" w:rsidRDefault="00887587" w:rsidP="0015763E">
            <w:pPr>
              <w:pStyle w:val="TableHeading"/>
              <w:keepNext w:val="0"/>
              <w:spacing w:beforeLines="20" w:before="48" w:afterLines="20" w:after="48" w:line="240" w:lineRule="auto"/>
              <w:contextualSpacing/>
              <w:jc w:val="center"/>
              <w:rPr>
                <w:b/>
              </w:rPr>
            </w:pPr>
            <w:r w:rsidRPr="00322939">
              <w:rPr>
                <w:b/>
              </w:rPr>
              <w:t>Regional</w:t>
            </w:r>
          </w:p>
        </w:tc>
      </w:tr>
      <w:tr w:rsidR="00887587" w:rsidRPr="00322939" w14:paraId="528488D8" w14:textId="77777777" w:rsidTr="00493075">
        <w:trPr>
          <w:cnfStyle w:val="000000100000" w:firstRow="0" w:lastRow="0" w:firstColumn="0" w:lastColumn="0" w:oddVBand="0" w:evenVBand="0" w:oddHBand="1" w:evenHBand="0" w:firstRowFirstColumn="0" w:firstRowLastColumn="0" w:lastRowFirstColumn="0" w:lastRowLastColumn="0"/>
        </w:trPr>
        <w:tc>
          <w:tcPr>
            <w:tcW w:w="1535" w:type="pct"/>
            <w:noWrap/>
            <w:hideMark/>
          </w:tcPr>
          <w:p w14:paraId="32132746" w14:textId="77777777" w:rsidR="00887587" w:rsidRPr="00563514" w:rsidRDefault="00887587" w:rsidP="0015763E">
            <w:pPr>
              <w:pStyle w:val="TableText"/>
              <w:keepNext w:val="0"/>
              <w:spacing w:beforeLines="20" w:before="48" w:afterLines="20" w:after="48" w:line="240" w:lineRule="auto"/>
              <w:contextualSpacing/>
            </w:pPr>
            <w:r w:rsidRPr="00563514">
              <w:t>New South Wales</w:t>
            </w:r>
          </w:p>
        </w:tc>
        <w:tc>
          <w:tcPr>
            <w:tcW w:w="1155" w:type="pct"/>
            <w:noWrap/>
            <w:vAlign w:val="bottom"/>
            <w:hideMark/>
          </w:tcPr>
          <w:p w14:paraId="23D67A1B" w14:textId="77777777" w:rsidR="00887587" w:rsidRPr="00563514" w:rsidRDefault="00887587" w:rsidP="0015763E">
            <w:pPr>
              <w:pStyle w:val="TableText"/>
              <w:keepNext w:val="0"/>
              <w:spacing w:beforeLines="20" w:before="48" w:afterLines="20" w:after="48" w:line="240" w:lineRule="auto"/>
              <w:contextualSpacing/>
              <w:jc w:val="center"/>
            </w:pPr>
            <w:r w:rsidRPr="00563514">
              <w:rPr>
                <w:rFonts w:cs="Open Sans"/>
              </w:rPr>
              <w:t>60/36</w:t>
            </w:r>
          </w:p>
        </w:tc>
        <w:tc>
          <w:tcPr>
            <w:tcW w:w="1155" w:type="pct"/>
            <w:noWrap/>
            <w:hideMark/>
          </w:tcPr>
          <w:p w14:paraId="761710D5" w14:textId="77777777" w:rsidR="00887587" w:rsidRPr="00563514" w:rsidRDefault="00887587" w:rsidP="0015763E">
            <w:pPr>
              <w:pStyle w:val="TableText"/>
              <w:keepNext w:val="0"/>
              <w:spacing w:beforeLines="20" w:before="48" w:afterLines="20" w:after="48" w:line="240" w:lineRule="auto"/>
              <w:contextualSpacing/>
              <w:jc w:val="center"/>
            </w:pPr>
            <w:r w:rsidRPr="00563514">
              <w:t>4.</w:t>
            </w:r>
            <w:r>
              <w:t>7</w:t>
            </w:r>
            <w:r w:rsidRPr="00563514">
              <w:t>%</w:t>
            </w:r>
          </w:p>
        </w:tc>
        <w:tc>
          <w:tcPr>
            <w:tcW w:w="1155" w:type="pct"/>
            <w:noWrap/>
            <w:hideMark/>
          </w:tcPr>
          <w:p w14:paraId="6DEDAFF7" w14:textId="77777777" w:rsidR="00887587" w:rsidRPr="00563514" w:rsidRDefault="00887587" w:rsidP="0015763E">
            <w:pPr>
              <w:pStyle w:val="TableText"/>
              <w:keepNext w:val="0"/>
              <w:spacing w:beforeLines="20" w:before="48" w:afterLines="20" w:after="48" w:line="240" w:lineRule="auto"/>
              <w:contextualSpacing/>
              <w:jc w:val="center"/>
            </w:pPr>
            <w:r w:rsidRPr="00563514">
              <w:t>5.</w:t>
            </w:r>
            <w:r>
              <w:t>6</w:t>
            </w:r>
            <w:r w:rsidRPr="00563514">
              <w:t>%</w:t>
            </w:r>
          </w:p>
        </w:tc>
      </w:tr>
      <w:tr w:rsidR="00887587" w:rsidRPr="00322939" w14:paraId="41ECE93A" w14:textId="77777777" w:rsidTr="00493075">
        <w:trPr>
          <w:cnfStyle w:val="000000010000" w:firstRow="0" w:lastRow="0" w:firstColumn="0" w:lastColumn="0" w:oddVBand="0" w:evenVBand="0" w:oddHBand="0" w:evenHBand="1" w:firstRowFirstColumn="0" w:firstRowLastColumn="0" w:lastRowFirstColumn="0" w:lastRowLastColumn="0"/>
        </w:trPr>
        <w:tc>
          <w:tcPr>
            <w:tcW w:w="1535" w:type="pct"/>
            <w:noWrap/>
            <w:hideMark/>
          </w:tcPr>
          <w:p w14:paraId="4182B8E2" w14:textId="77777777" w:rsidR="00887587" w:rsidRPr="00563514" w:rsidRDefault="00887587" w:rsidP="0015763E">
            <w:pPr>
              <w:pStyle w:val="TableText"/>
              <w:keepNext w:val="0"/>
              <w:spacing w:beforeLines="20" w:before="48" w:afterLines="20" w:after="48" w:line="240" w:lineRule="auto"/>
              <w:contextualSpacing/>
            </w:pPr>
            <w:r w:rsidRPr="00563514">
              <w:t>Victoria</w:t>
            </w:r>
          </w:p>
        </w:tc>
        <w:tc>
          <w:tcPr>
            <w:tcW w:w="1155" w:type="pct"/>
            <w:noWrap/>
            <w:vAlign w:val="bottom"/>
            <w:hideMark/>
          </w:tcPr>
          <w:p w14:paraId="4EFB9DF4" w14:textId="77777777" w:rsidR="00887587" w:rsidRPr="00563514" w:rsidRDefault="00887587" w:rsidP="0015763E">
            <w:pPr>
              <w:pStyle w:val="TableText"/>
              <w:keepNext w:val="0"/>
              <w:spacing w:beforeLines="20" w:before="48" w:afterLines="20" w:after="48" w:line="240" w:lineRule="auto"/>
              <w:contextualSpacing/>
              <w:jc w:val="center"/>
            </w:pPr>
            <w:r w:rsidRPr="00563514">
              <w:rPr>
                <w:rFonts w:cs="Open Sans"/>
              </w:rPr>
              <w:t>35/11</w:t>
            </w:r>
          </w:p>
        </w:tc>
        <w:tc>
          <w:tcPr>
            <w:tcW w:w="1155" w:type="pct"/>
            <w:noWrap/>
            <w:hideMark/>
          </w:tcPr>
          <w:p w14:paraId="25E76A0A" w14:textId="77777777" w:rsidR="00887587" w:rsidRPr="00563514" w:rsidRDefault="00887587" w:rsidP="0015763E">
            <w:pPr>
              <w:pStyle w:val="TableText"/>
              <w:keepNext w:val="0"/>
              <w:spacing w:beforeLines="20" w:before="48" w:afterLines="20" w:after="48" w:line="240" w:lineRule="auto"/>
              <w:contextualSpacing/>
              <w:jc w:val="center"/>
            </w:pPr>
            <w:r>
              <w:t>4.7</w:t>
            </w:r>
            <w:r w:rsidRPr="00563514">
              <w:t>%</w:t>
            </w:r>
          </w:p>
        </w:tc>
        <w:tc>
          <w:tcPr>
            <w:tcW w:w="1155" w:type="pct"/>
            <w:noWrap/>
            <w:hideMark/>
          </w:tcPr>
          <w:p w14:paraId="39DBD7A7" w14:textId="77777777" w:rsidR="00887587" w:rsidRPr="00563514" w:rsidRDefault="00887587" w:rsidP="0015763E">
            <w:pPr>
              <w:pStyle w:val="TableText"/>
              <w:keepNext w:val="0"/>
              <w:spacing w:beforeLines="20" w:before="48" w:afterLines="20" w:after="48" w:line="240" w:lineRule="auto"/>
              <w:contextualSpacing/>
              <w:jc w:val="center"/>
            </w:pPr>
            <w:r>
              <w:t>5.1</w:t>
            </w:r>
            <w:r w:rsidRPr="00563514">
              <w:t>%</w:t>
            </w:r>
          </w:p>
        </w:tc>
      </w:tr>
      <w:tr w:rsidR="00887587" w:rsidRPr="00322939" w14:paraId="61587F2F" w14:textId="77777777" w:rsidTr="00493075">
        <w:trPr>
          <w:cnfStyle w:val="000000100000" w:firstRow="0" w:lastRow="0" w:firstColumn="0" w:lastColumn="0" w:oddVBand="0" w:evenVBand="0" w:oddHBand="1" w:evenHBand="0" w:firstRowFirstColumn="0" w:firstRowLastColumn="0" w:lastRowFirstColumn="0" w:lastRowLastColumn="0"/>
        </w:trPr>
        <w:tc>
          <w:tcPr>
            <w:tcW w:w="1535" w:type="pct"/>
            <w:noWrap/>
            <w:hideMark/>
          </w:tcPr>
          <w:p w14:paraId="38BC1B74" w14:textId="77777777" w:rsidR="00887587" w:rsidRPr="00563514" w:rsidRDefault="00887587" w:rsidP="0015763E">
            <w:pPr>
              <w:pStyle w:val="TableText"/>
              <w:keepNext w:val="0"/>
              <w:spacing w:beforeLines="20" w:before="48" w:afterLines="20" w:after="48" w:line="240" w:lineRule="auto"/>
              <w:contextualSpacing/>
            </w:pPr>
            <w:r w:rsidRPr="00563514">
              <w:t>Queensland</w:t>
            </w:r>
          </w:p>
        </w:tc>
        <w:tc>
          <w:tcPr>
            <w:tcW w:w="1155" w:type="pct"/>
            <w:noWrap/>
            <w:vAlign w:val="bottom"/>
            <w:hideMark/>
          </w:tcPr>
          <w:p w14:paraId="237612A0" w14:textId="77777777" w:rsidR="00887587" w:rsidRPr="00563514" w:rsidRDefault="00887587" w:rsidP="0015763E">
            <w:pPr>
              <w:pStyle w:val="TableText"/>
              <w:keepNext w:val="0"/>
              <w:spacing w:beforeLines="20" w:before="48" w:afterLines="20" w:after="48" w:line="240" w:lineRule="auto"/>
              <w:contextualSpacing/>
              <w:jc w:val="center"/>
            </w:pPr>
            <w:r w:rsidRPr="00563514">
              <w:rPr>
                <w:rFonts w:cs="Open Sans"/>
              </w:rPr>
              <w:t>20/20</w:t>
            </w:r>
          </w:p>
        </w:tc>
        <w:tc>
          <w:tcPr>
            <w:tcW w:w="1155" w:type="pct"/>
            <w:noWrap/>
            <w:hideMark/>
          </w:tcPr>
          <w:p w14:paraId="03B543AB" w14:textId="77777777" w:rsidR="00887587" w:rsidRPr="00563514" w:rsidRDefault="00887587" w:rsidP="0015763E">
            <w:pPr>
              <w:pStyle w:val="TableText"/>
              <w:keepNext w:val="0"/>
              <w:spacing w:beforeLines="20" w:before="48" w:afterLines="20" w:after="48" w:line="240" w:lineRule="auto"/>
              <w:contextualSpacing/>
              <w:jc w:val="center"/>
            </w:pPr>
            <w:r w:rsidRPr="00563514">
              <w:t>4.</w:t>
            </w:r>
            <w:r>
              <w:t>6</w:t>
            </w:r>
            <w:r w:rsidRPr="00563514">
              <w:t>%</w:t>
            </w:r>
          </w:p>
        </w:tc>
        <w:tc>
          <w:tcPr>
            <w:tcW w:w="1155" w:type="pct"/>
            <w:noWrap/>
            <w:hideMark/>
          </w:tcPr>
          <w:p w14:paraId="5BF1ABCB" w14:textId="77777777" w:rsidR="00887587" w:rsidRPr="00563514" w:rsidRDefault="00887587" w:rsidP="0015763E">
            <w:pPr>
              <w:pStyle w:val="TableText"/>
              <w:keepNext w:val="0"/>
              <w:spacing w:beforeLines="20" w:before="48" w:afterLines="20" w:after="48" w:line="240" w:lineRule="auto"/>
              <w:contextualSpacing/>
              <w:jc w:val="center"/>
            </w:pPr>
            <w:r w:rsidRPr="00563514">
              <w:t>5.</w:t>
            </w:r>
            <w:r>
              <w:t>3</w:t>
            </w:r>
            <w:r w:rsidRPr="00563514">
              <w:t>%</w:t>
            </w:r>
          </w:p>
        </w:tc>
      </w:tr>
      <w:tr w:rsidR="00887587" w:rsidRPr="00322939" w14:paraId="3FD4E387" w14:textId="77777777" w:rsidTr="00493075">
        <w:trPr>
          <w:cnfStyle w:val="000000010000" w:firstRow="0" w:lastRow="0" w:firstColumn="0" w:lastColumn="0" w:oddVBand="0" w:evenVBand="0" w:oddHBand="0" w:evenHBand="1" w:firstRowFirstColumn="0" w:firstRowLastColumn="0" w:lastRowFirstColumn="0" w:lastRowLastColumn="0"/>
        </w:trPr>
        <w:tc>
          <w:tcPr>
            <w:tcW w:w="1535" w:type="pct"/>
            <w:noWrap/>
            <w:hideMark/>
          </w:tcPr>
          <w:p w14:paraId="1B141242" w14:textId="77777777" w:rsidR="00887587" w:rsidRPr="00563514" w:rsidRDefault="00887587" w:rsidP="0015763E">
            <w:pPr>
              <w:pStyle w:val="TableText"/>
              <w:keepNext w:val="0"/>
              <w:spacing w:beforeLines="20" w:before="48" w:afterLines="20" w:after="48" w:line="240" w:lineRule="auto"/>
              <w:contextualSpacing/>
            </w:pPr>
            <w:r w:rsidRPr="00563514">
              <w:t>South Australia</w:t>
            </w:r>
          </w:p>
        </w:tc>
        <w:tc>
          <w:tcPr>
            <w:tcW w:w="1155" w:type="pct"/>
            <w:noWrap/>
            <w:vAlign w:val="bottom"/>
            <w:hideMark/>
          </w:tcPr>
          <w:p w14:paraId="6C0D1BD5" w14:textId="77777777" w:rsidR="00887587" w:rsidRPr="00563514" w:rsidRDefault="00887587" w:rsidP="0015763E">
            <w:pPr>
              <w:pStyle w:val="TableText"/>
              <w:keepNext w:val="0"/>
              <w:spacing w:beforeLines="20" w:before="48" w:afterLines="20" w:after="48" w:line="240" w:lineRule="auto"/>
              <w:contextualSpacing/>
              <w:jc w:val="center"/>
            </w:pPr>
            <w:r w:rsidRPr="00563514">
              <w:rPr>
                <w:rFonts w:cs="Open Sans"/>
              </w:rPr>
              <w:t>17/7</w:t>
            </w:r>
          </w:p>
        </w:tc>
        <w:tc>
          <w:tcPr>
            <w:tcW w:w="1155" w:type="pct"/>
            <w:noWrap/>
            <w:hideMark/>
          </w:tcPr>
          <w:p w14:paraId="4DF19A83" w14:textId="77777777" w:rsidR="00887587" w:rsidRPr="00563514" w:rsidRDefault="00887587" w:rsidP="0015763E">
            <w:pPr>
              <w:pStyle w:val="TableText"/>
              <w:keepNext w:val="0"/>
              <w:spacing w:beforeLines="20" w:before="48" w:afterLines="20" w:after="48" w:line="240" w:lineRule="auto"/>
              <w:contextualSpacing/>
              <w:jc w:val="center"/>
            </w:pPr>
            <w:r w:rsidRPr="00563514">
              <w:t>4.</w:t>
            </w:r>
            <w:r>
              <w:t>3</w:t>
            </w:r>
            <w:r w:rsidRPr="00563514">
              <w:t>%</w:t>
            </w:r>
          </w:p>
        </w:tc>
        <w:tc>
          <w:tcPr>
            <w:tcW w:w="1155" w:type="pct"/>
            <w:noWrap/>
            <w:hideMark/>
          </w:tcPr>
          <w:p w14:paraId="48C16F3A" w14:textId="77777777" w:rsidR="00887587" w:rsidRPr="00563514" w:rsidRDefault="00887587" w:rsidP="0015763E">
            <w:pPr>
              <w:pStyle w:val="TableText"/>
              <w:keepNext w:val="0"/>
              <w:spacing w:beforeLines="20" w:before="48" w:afterLines="20" w:after="48" w:line="240" w:lineRule="auto"/>
              <w:contextualSpacing/>
              <w:jc w:val="center"/>
            </w:pPr>
            <w:r>
              <w:t>5</w:t>
            </w:r>
            <w:r w:rsidRPr="00563514">
              <w:t>.</w:t>
            </w:r>
            <w:r>
              <w:t>2</w:t>
            </w:r>
            <w:r w:rsidRPr="00563514">
              <w:t>%</w:t>
            </w:r>
          </w:p>
        </w:tc>
      </w:tr>
      <w:tr w:rsidR="00887587" w:rsidRPr="00322939" w14:paraId="7BB81BB1" w14:textId="77777777" w:rsidTr="00493075">
        <w:trPr>
          <w:cnfStyle w:val="000000100000" w:firstRow="0" w:lastRow="0" w:firstColumn="0" w:lastColumn="0" w:oddVBand="0" w:evenVBand="0" w:oddHBand="1" w:evenHBand="0" w:firstRowFirstColumn="0" w:firstRowLastColumn="0" w:lastRowFirstColumn="0" w:lastRowLastColumn="0"/>
        </w:trPr>
        <w:tc>
          <w:tcPr>
            <w:tcW w:w="1535" w:type="pct"/>
            <w:noWrap/>
            <w:hideMark/>
          </w:tcPr>
          <w:p w14:paraId="65299B9D" w14:textId="77777777" w:rsidR="00887587" w:rsidRPr="00563514" w:rsidRDefault="00887587" w:rsidP="0015763E">
            <w:pPr>
              <w:pStyle w:val="TableText"/>
              <w:keepNext w:val="0"/>
              <w:spacing w:beforeLines="20" w:before="48" w:afterLines="20" w:after="48" w:line="240" w:lineRule="auto"/>
              <w:contextualSpacing/>
            </w:pPr>
            <w:r w:rsidRPr="00563514">
              <w:t>Western Australia</w:t>
            </w:r>
          </w:p>
        </w:tc>
        <w:tc>
          <w:tcPr>
            <w:tcW w:w="1155" w:type="pct"/>
            <w:noWrap/>
            <w:vAlign w:val="bottom"/>
            <w:hideMark/>
          </w:tcPr>
          <w:p w14:paraId="0843D39E" w14:textId="77777777" w:rsidR="00887587" w:rsidRPr="00563514" w:rsidRDefault="00887587" w:rsidP="0015763E">
            <w:pPr>
              <w:pStyle w:val="TableText"/>
              <w:keepNext w:val="0"/>
              <w:spacing w:beforeLines="20" w:before="48" w:afterLines="20" w:after="48" w:line="240" w:lineRule="auto"/>
              <w:contextualSpacing/>
              <w:jc w:val="center"/>
            </w:pPr>
            <w:r w:rsidRPr="00563514">
              <w:rPr>
                <w:rFonts w:cs="Open Sans"/>
              </w:rPr>
              <w:t>18/5</w:t>
            </w:r>
          </w:p>
        </w:tc>
        <w:tc>
          <w:tcPr>
            <w:tcW w:w="1155" w:type="pct"/>
            <w:noWrap/>
            <w:hideMark/>
          </w:tcPr>
          <w:p w14:paraId="2D1A185C" w14:textId="77777777" w:rsidR="00887587" w:rsidRPr="00563514" w:rsidRDefault="00887587" w:rsidP="0015763E">
            <w:pPr>
              <w:pStyle w:val="TableText"/>
              <w:keepNext w:val="0"/>
              <w:spacing w:beforeLines="20" w:before="48" w:afterLines="20" w:after="48" w:line="240" w:lineRule="auto"/>
              <w:contextualSpacing/>
              <w:jc w:val="center"/>
            </w:pPr>
            <w:r>
              <w:t>4</w:t>
            </w:r>
            <w:r w:rsidRPr="00563514">
              <w:t>.</w:t>
            </w:r>
            <w:r>
              <w:t>9</w:t>
            </w:r>
            <w:r w:rsidRPr="00563514">
              <w:t>%</w:t>
            </w:r>
          </w:p>
        </w:tc>
        <w:tc>
          <w:tcPr>
            <w:tcW w:w="1155" w:type="pct"/>
            <w:noWrap/>
            <w:hideMark/>
          </w:tcPr>
          <w:p w14:paraId="5D255198" w14:textId="77777777" w:rsidR="00887587" w:rsidRPr="00563514" w:rsidRDefault="00887587" w:rsidP="0015763E">
            <w:pPr>
              <w:pStyle w:val="TableText"/>
              <w:keepNext w:val="0"/>
              <w:spacing w:beforeLines="20" w:before="48" w:afterLines="20" w:after="48" w:line="240" w:lineRule="auto"/>
              <w:contextualSpacing/>
              <w:jc w:val="center"/>
            </w:pPr>
            <w:r>
              <w:t>6</w:t>
            </w:r>
            <w:r w:rsidRPr="00563514">
              <w:t>.</w:t>
            </w:r>
            <w:r>
              <w:t>4</w:t>
            </w:r>
            <w:r w:rsidRPr="00563514">
              <w:t>%</w:t>
            </w:r>
          </w:p>
        </w:tc>
      </w:tr>
      <w:tr w:rsidR="00887587" w:rsidRPr="00322939" w14:paraId="66F98DDD" w14:textId="77777777" w:rsidTr="00493075">
        <w:trPr>
          <w:cnfStyle w:val="000000010000" w:firstRow="0" w:lastRow="0" w:firstColumn="0" w:lastColumn="0" w:oddVBand="0" w:evenVBand="0" w:oddHBand="0" w:evenHBand="1" w:firstRowFirstColumn="0" w:firstRowLastColumn="0" w:lastRowFirstColumn="0" w:lastRowLastColumn="0"/>
        </w:trPr>
        <w:tc>
          <w:tcPr>
            <w:tcW w:w="1535" w:type="pct"/>
            <w:noWrap/>
            <w:hideMark/>
          </w:tcPr>
          <w:p w14:paraId="610B4F95" w14:textId="77777777" w:rsidR="00887587" w:rsidRPr="00563514" w:rsidRDefault="00887587" w:rsidP="0015763E">
            <w:pPr>
              <w:pStyle w:val="TableText"/>
              <w:keepNext w:val="0"/>
              <w:spacing w:beforeLines="20" w:before="48" w:afterLines="20" w:after="48" w:line="240" w:lineRule="auto"/>
              <w:contextualSpacing/>
            </w:pPr>
            <w:r w:rsidRPr="00563514">
              <w:t>Tasmania</w:t>
            </w:r>
          </w:p>
        </w:tc>
        <w:tc>
          <w:tcPr>
            <w:tcW w:w="1155" w:type="pct"/>
            <w:noWrap/>
            <w:vAlign w:val="bottom"/>
            <w:hideMark/>
          </w:tcPr>
          <w:p w14:paraId="09F8F1C1" w14:textId="77777777" w:rsidR="00887587" w:rsidRPr="00563514" w:rsidRDefault="00887587" w:rsidP="0015763E">
            <w:pPr>
              <w:pStyle w:val="TableText"/>
              <w:keepNext w:val="0"/>
              <w:spacing w:beforeLines="20" w:before="48" w:afterLines="20" w:after="48" w:line="240" w:lineRule="auto"/>
              <w:contextualSpacing/>
              <w:jc w:val="center"/>
            </w:pPr>
            <w:r w:rsidRPr="00563514">
              <w:rPr>
                <w:rFonts w:cs="Open Sans"/>
              </w:rPr>
              <w:t>0/4</w:t>
            </w:r>
          </w:p>
        </w:tc>
        <w:tc>
          <w:tcPr>
            <w:tcW w:w="1155" w:type="pct"/>
            <w:noWrap/>
            <w:hideMark/>
          </w:tcPr>
          <w:p w14:paraId="2E5F3ECC" w14:textId="77777777" w:rsidR="00887587" w:rsidRPr="00563514" w:rsidRDefault="00887587" w:rsidP="0015763E">
            <w:pPr>
              <w:pStyle w:val="TableText"/>
              <w:keepNext w:val="0"/>
              <w:spacing w:beforeLines="20" w:before="48" w:afterLines="20" w:after="48" w:line="240" w:lineRule="auto"/>
              <w:contextualSpacing/>
              <w:jc w:val="center"/>
            </w:pPr>
            <w:r w:rsidRPr="00563514">
              <w:t>-</w:t>
            </w:r>
          </w:p>
        </w:tc>
        <w:tc>
          <w:tcPr>
            <w:tcW w:w="1155" w:type="pct"/>
            <w:noWrap/>
            <w:hideMark/>
          </w:tcPr>
          <w:p w14:paraId="16F8EF1B" w14:textId="77777777" w:rsidR="00887587" w:rsidRPr="00563514" w:rsidRDefault="00887587" w:rsidP="0015763E">
            <w:pPr>
              <w:pStyle w:val="TableText"/>
              <w:keepNext w:val="0"/>
              <w:spacing w:beforeLines="20" w:before="48" w:afterLines="20" w:after="48" w:line="240" w:lineRule="auto"/>
              <w:contextualSpacing/>
              <w:jc w:val="center"/>
            </w:pPr>
            <w:r w:rsidRPr="00563514">
              <w:t>5.</w:t>
            </w:r>
            <w:r>
              <w:t>8</w:t>
            </w:r>
            <w:r w:rsidRPr="00563514">
              <w:t>%</w:t>
            </w:r>
          </w:p>
        </w:tc>
      </w:tr>
      <w:tr w:rsidR="00887587" w:rsidRPr="00322939" w14:paraId="40E2931B" w14:textId="77777777" w:rsidTr="00493075">
        <w:trPr>
          <w:cnfStyle w:val="000000100000" w:firstRow="0" w:lastRow="0" w:firstColumn="0" w:lastColumn="0" w:oddVBand="0" w:evenVBand="0" w:oddHBand="1" w:evenHBand="0" w:firstRowFirstColumn="0" w:firstRowLastColumn="0" w:lastRowFirstColumn="0" w:lastRowLastColumn="0"/>
        </w:trPr>
        <w:tc>
          <w:tcPr>
            <w:tcW w:w="1535" w:type="pct"/>
            <w:noWrap/>
            <w:hideMark/>
          </w:tcPr>
          <w:p w14:paraId="0EC433D3" w14:textId="77777777" w:rsidR="00887587" w:rsidRPr="00563514" w:rsidRDefault="00887587" w:rsidP="0015763E">
            <w:pPr>
              <w:pStyle w:val="TableText"/>
              <w:keepNext w:val="0"/>
              <w:spacing w:beforeLines="20" w:before="48" w:afterLines="20" w:after="48" w:line="240" w:lineRule="auto"/>
              <w:contextualSpacing/>
            </w:pPr>
            <w:r w:rsidRPr="00563514">
              <w:t>Australian Capital Territory</w:t>
            </w:r>
          </w:p>
        </w:tc>
        <w:tc>
          <w:tcPr>
            <w:tcW w:w="1155" w:type="pct"/>
            <w:noWrap/>
            <w:vAlign w:val="bottom"/>
            <w:hideMark/>
          </w:tcPr>
          <w:p w14:paraId="1804E5A5" w14:textId="77777777" w:rsidR="00887587" w:rsidRPr="00563514" w:rsidRDefault="00887587" w:rsidP="0015763E">
            <w:pPr>
              <w:pStyle w:val="TableText"/>
              <w:keepNext w:val="0"/>
              <w:spacing w:beforeLines="20" w:before="48" w:afterLines="20" w:after="48" w:line="240" w:lineRule="auto"/>
              <w:contextualSpacing/>
              <w:jc w:val="center"/>
            </w:pPr>
            <w:r w:rsidRPr="00563514">
              <w:rPr>
                <w:rFonts w:cs="Open Sans"/>
              </w:rPr>
              <w:t>4/0</w:t>
            </w:r>
          </w:p>
        </w:tc>
        <w:tc>
          <w:tcPr>
            <w:tcW w:w="1155" w:type="pct"/>
            <w:noWrap/>
            <w:hideMark/>
          </w:tcPr>
          <w:p w14:paraId="0EEAA311" w14:textId="77777777" w:rsidR="00887587" w:rsidRPr="00563514" w:rsidRDefault="00887587" w:rsidP="0015763E">
            <w:pPr>
              <w:pStyle w:val="TableText"/>
              <w:keepNext w:val="0"/>
              <w:spacing w:beforeLines="20" w:before="48" w:afterLines="20" w:after="48" w:line="240" w:lineRule="auto"/>
              <w:contextualSpacing/>
              <w:jc w:val="center"/>
            </w:pPr>
            <w:r w:rsidRPr="00563514">
              <w:t>4.</w:t>
            </w:r>
            <w:r>
              <w:t>0</w:t>
            </w:r>
            <w:r w:rsidRPr="00563514">
              <w:t>%</w:t>
            </w:r>
          </w:p>
        </w:tc>
        <w:tc>
          <w:tcPr>
            <w:tcW w:w="1155" w:type="pct"/>
            <w:noWrap/>
            <w:hideMark/>
          </w:tcPr>
          <w:p w14:paraId="5A7E7886" w14:textId="77777777" w:rsidR="00887587" w:rsidRPr="00563514" w:rsidRDefault="00887587" w:rsidP="0015763E">
            <w:pPr>
              <w:pStyle w:val="TableText"/>
              <w:keepNext w:val="0"/>
              <w:spacing w:beforeLines="20" w:before="48" w:afterLines="20" w:after="48" w:line="240" w:lineRule="auto"/>
              <w:contextualSpacing/>
              <w:jc w:val="center"/>
            </w:pPr>
          </w:p>
        </w:tc>
      </w:tr>
      <w:tr w:rsidR="00887587" w:rsidRPr="00322939" w14:paraId="005E126B" w14:textId="77777777" w:rsidTr="00493075">
        <w:trPr>
          <w:cnfStyle w:val="000000010000" w:firstRow="0" w:lastRow="0" w:firstColumn="0" w:lastColumn="0" w:oddVBand="0" w:evenVBand="0" w:oddHBand="0" w:evenHBand="1" w:firstRowFirstColumn="0" w:firstRowLastColumn="0" w:lastRowFirstColumn="0" w:lastRowLastColumn="0"/>
        </w:trPr>
        <w:tc>
          <w:tcPr>
            <w:tcW w:w="1535" w:type="pct"/>
            <w:noWrap/>
            <w:hideMark/>
          </w:tcPr>
          <w:p w14:paraId="4F325843" w14:textId="77777777" w:rsidR="00887587" w:rsidRPr="00563514" w:rsidRDefault="00887587" w:rsidP="0015763E">
            <w:pPr>
              <w:pStyle w:val="TableText"/>
              <w:keepNext w:val="0"/>
              <w:spacing w:beforeLines="20" w:before="48" w:afterLines="20" w:after="48" w:line="240" w:lineRule="auto"/>
              <w:contextualSpacing/>
            </w:pPr>
            <w:r w:rsidRPr="00563514">
              <w:t>Northern Territory</w:t>
            </w:r>
          </w:p>
        </w:tc>
        <w:tc>
          <w:tcPr>
            <w:tcW w:w="1155" w:type="pct"/>
            <w:noWrap/>
            <w:vAlign w:val="bottom"/>
            <w:hideMark/>
          </w:tcPr>
          <w:p w14:paraId="5970D9EE" w14:textId="77777777" w:rsidR="00887587" w:rsidRPr="00563514" w:rsidRDefault="00887587" w:rsidP="0015763E">
            <w:pPr>
              <w:pStyle w:val="TableText"/>
              <w:keepNext w:val="0"/>
              <w:spacing w:beforeLines="20" w:before="48" w:afterLines="20" w:after="48" w:line="240" w:lineRule="auto"/>
              <w:contextualSpacing/>
              <w:jc w:val="center"/>
            </w:pPr>
            <w:r w:rsidRPr="00563514">
              <w:rPr>
                <w:rFonts w:cs="Open Sans"/>
              </w:rPr>
              <w:t>0/3</w:t>
            </w:r>
          </w:p>
        </w:tc>
        <w:tc>
          <w:tcPr>
            <w:tcW w:w="1155" w:type="pct"/>
            <w:noWrap/>
            <w:hideMark/>
          </w:tcPr>
          <w:p w14:paraId="59656643" w14:textId="77777777" w:rsidR="00887587" w:rsidRPr="00563514" w:rsidRDefault="00887587" w:rsidP="0015763E">
            <w:pPr>
              <w:pStyle w:val="TableText"/>
              <w:keepNext w:val="0"/>
              <w:spacing w:beforeLines="20" w:before="48" w:afterLines="20" w:after="48" w:line="240" w:lineRule="auto"/>
              <w:contextualSpacing/>
              <w:jc w:val="center"/>
            </w:pPr>
            <w:r w:rsidRPr="00563514">
              <w:t>-</w:t>
            </w:r>
          </w:p>
        </w:tc>
        <w:tc>
          <w:tcPr>
            <w:tcW w:w="1155" w:type="pct"/>
            <w:noWrap/>
            <w:hideMark/>
          </w:tcPr>
          <w:p w14:paraId="2210FA46" w14:textId="77777777" w:rsidR="00887587" w:rsidRPr="00563514" w:rsidRDefault="00887587" w:rsidP="0015763E">
            <w:pPr>
              <w:pStyle w:val="TableText"/>
              <w:keepNext w:val="0"/>
              <w:spacing w:beforeLines="20" w:before="48" w:afterLines="20" w:after="48" w:line="240" w:lineRule="auto"/>
              <w:contextualSpacing/>
              <w:jc w:val="center"/>
            </w:pPr>
            <w:r>
              <w:t>5</w:t>
            </w:r>
            <w:r w:rsidRPr="00563514">
              <w:t>.</w:t>
            </w:r>
            <w:r>
              <w:t>4</w:t>
            </w:r>
            <w:r w:rsidRPr="00563514">
              <w:t>%</w:t>
            </w:r>
          </w:p>
        </w:tc>
      </w:tr>
    </w:tbl>
    <w:p w14:paraId="33F5552F" w14:textId="77777777" w:rsidR="00887587" w:rsidRPr="003335D6" w:rsidRDefault="00887587" w:rsidP="003335D6">
      <w:pPr>
        <w:pStyle w:val="Source"/>
      </w:pPr>
      <w:r w:rsidRPr="003335D6">
        <w:t>Source: Frontier Economics</w:t>
      </w:r>
    </w:p>
    <w:p w14:paraId="65D1BC66" w14:textId="77777777" w:rsidR="00AF732B" w:rsidRDefault="00AF732B" w:rsidP="0006145F">
      <w:pPr>
        <w:pStyle w:val="Heading3"/>
      </w:pPr>
      <w:bookmarkStart w:id="22" w:name="_Toc79671804"/>
      <w:r>
        <w:t>The nature and scope of competition benefits</w:t>
      </w:r>
      <w:bookmarkEnd w:id="22"/>
    </w:p>
    <w:p w14:paraId="3A35727E" w14:textId="77777777" w:rsidR="00AF732B" w:rsidRPr="00E20E91" w:rsidRDefault="00AF732B" w:rsidP="00AF732B">
      <w:pPr>
        <w:pStyle w:val="BodyText"/>
      </w:pPr>
      <w:r>
        <w:t>A second element of the study was t</w:t>
      </w:r>
      <w:r w:rsidRPr="005247EC">
        <w:t xml:space="preserve">o examine the impact of the increase in accessibility and affordability </w:t>
      </w:r>
      <w:r>
        <w:t xml:space="preserve">on competition </w:t>
      </w:r>
      <w:r w:rsidR="003E4EDA">
        <w:t>in</w:t>
      </w:r>
      <w:r w:rsidRPr="005247EC">
        <w:t xml:space="preserve"> (</w:t>
      </w:r>
      <w:proofErr w:type="spellStart"/>
      <w:r w:rsidRPr="005247EC">
        <w:t>i</w:t>
      </w:r>
      <w:proofErr w:type="spellEnd"/>
      <w:r w:rsidRPr="005247EC">
        <w:t xml:space="preserve">) the markets in which fibre </w:t>
      </w:r>
      <w:r>
        <w:t xml:space="preserve">and other business </w:t>
      </w:r>
      <w:r w:rsidRPr="005247EC">
        <w:t xml:space="preserve">services are supplied, </w:t>
      </w:r>
      <w:r>
        <w:t xml:space="preserve">and </w:t>
      </w:r>
      <w:r w:rsidRPr="005247EC">
        <w:t>(ii) the market in which retail services are provided to business users.</w:t>
      </w:r>
      <w:r w:rsidR="002B545E">
        <w:t xml:space="preserve"> </w:t>
      </w:r>
    </w:p>
    <w:p w14:paraId="2F7612A8" w14:textId="77777777" w:rsidR="00D53B8A" w:rsidRDefault="00D53B8A" w:rsidP="00D31AC9">
      <w:pPr>
        <w:pStyle w:val="Heading4"/>
      </w:pPr>
      <w:r>
        <w:t xml:space="preserve">Competition for business-grade services has been </w:t>
      </w:r>
      <w:r w:rsidR="00F36C5F">
        <w:t>geographically uneven</w:t>
      </w:r>
    </w:p>
    <w:p w14:paraId="5FB68A6D" w14:textId="77777777" w:rsidR="00AF732B" w:rsidRDefault="00AB7E0A" w:rsidP="00AF732B">
      <w:pPr>
        <w:pStyle w:val="BodyText"/>
      </w:pPr>
      <w:r>
        <w:t>Wholesale and retail m</w:t>
      </w:r>
      <w:r w:rsidR="007D5EA6">
        <w:t>arkets for business grade services - defined a</w:t>
      </w:r>
      <w:r w:rsidR="006504C3">
        <w:t>s</w:t>
      </w:r>
      <w:r w:rsidR="007D5EA6">
        <w:t xml:space="preserve"> high speed, symmetric services with </w:t>
      </w:r>
      <w:r w:rsidR="005C12A1">
        <w:t>a higher level of service</w:t>
      </w:r>
      <w:r w:rsidR="003E0F44">
        <w:t xml:space="preserve"> - have </w:t>
      </w:r>
      <w:r w:rsidR="00BA01CF">
        <w:t>tended to have few competitors</w:t>
      </w:r>
      <w:r w:rsidR="003E0F44">
        <w:t xml:space="preserve"> in Australia, </w:t>
      </w:r>
      <w:r w:rsidR="009270E0">
        <w:t>except for</w:t>
      </w:r>
      <w:r w:rsidR="003E0F44">
        <w:t xml:space="preserve"> CBD areas where multiple networks</w:t>
      </w:r>
      <w:r w:rsidR="006F1B77">
        <w:t xml:space="preserve"> were available.</w:t>
      </w:r>
      <w:r w:rsidR="00296146">
        <w:t xml:space="preserve"> Moreover, competitors experienced difficulties in supplying multi-site </w:t>
      </w:r>
      <w:r w:rsidR="00BD2F4A">
        <w:t>business customers in area</w:t>
      </w:r>
      <w:r w:rsidR="00D0156F">
        <w:t>s</w:t>
      </w:r>
      <w:r w:rsidR="00BD2F4A">
        <w:t xml:space="preserve"> where they did not have their own infrastructure capable of supplying business grade services.</w:t>
      </w:r>
    </w:p>
    <w:p w14:paraId="78E957CD" w14:textId="77777777" w:rsidR="00C751A3" w:rsidRDefault="00C751A3" w:rsidP="00AF732B">
      <w:pPr>
        <w:pStyle w:val="BodyText"/>
      </w:pPr>
      <w:r>
        <w:t>C</w:t>
      </w:r>
      <w:r w:rsidR="00355977">
        <w:t xml:space="preserve">onsistent with historic industry practice, </w:t>
      </w:r>
      <w:r w:rsidR="002B545E">
        <w:t xml:space="preserve">NBN </w:t>
      </w:r>
      <w:proofErr w:type="spellStart"/>
      <w:r w:rsidR="002B545E">
        <w:t>Co’s</w:t>
      </w:r>
      <w:proofErr w:type="spellEnd"/>
      <w:r w:rsidR="002B545E">
        <w:t xml:space="preserve"> </w:t>
      </w:r>
      <w:r w:rsidR="00B3580F">
        <w:t xml:space="preserve">charges for business services </w:t>
      </w:r>
      <w:r w:rsidR="002B545E">
        <w:t xml:space="preserve">were </w:t>
      </w:r>
      <w:r>
        <w:t xml:space="preserve">previously </w:t>
      </w:r>
      <w:r w:rsidR="00B3580F">
        <w:t>based on four zones</w:t>
      </w:r>
      <w:r>
        <w:t>. P</w:t>
      </w:r>
      <w:r w:rsidR="00B3580F">
        <w:t xml:space="preserve">rices in </w:t>
      </w:r>
      <w:r>
        <w:t xml:space="preserve">less </w:t>
      </w:r>
      <w:r w:rsidR="00B3580F">
        <w:t>dens</w:t>
      </w:r>
      <w:r>
        <w:t>e</w:t>
      </w:r>
      <w:r w:rsidR="00B3580F">
        <w:t xml:space="preserve"> areas </w:t>
      </w:r>
      <w:r>
        <w:t xml:space="preserve">were </w:t>
      </w:r>
      <w:r w:rsidR="00B3580F">
        <w:t xml:space="preserve">substantially higher than in CBD and inner metropolitan areas. </w:t>
      </w:r>
      <w:r w:rsidR="00747EC7">
        <w:t xml:space="preserve">In that light, NBN </w:t>
      </w:r>
      <w:proofErr w:type="spellStart"/>
      <w:r w:rsidR="00747EC7">
        <w:t>Co’s</w:t>
      </w:r>
      <w:proofErr w:type="spellEnd"/>
      <w:r w:rsidR="00747EC7">
        <w:t xml:space="preserve"> </w:t>
      </w:r>
      <w:r w:rsidR="00303F0E">
        <w:t xml:space="preserve">upfront and ongoing price </w:t>
      </w:r>
      <w:r w:rsidR="003D547E">
        <w:t>discounts</w:t>
      </w:r>
      <w:r w:rsidR="00303F0E">
        <w:t xml:space="preserve"> for</w:t>
      </w:r>
      <w:r w:rsidR="00F44740">
        <w:t xml:space="preserve"> Enterprise Ethernet offerings in </w:t>
      </w:r>
      <w:r w:rsidR="00FD7E22">
        <w:t>Business Fibre Zone</w:t>
      </w:r>
      <w:r w:rsidR="00F44740">
        <w:t xml:space="preserve">s have the potential to substantially improve competitive outcomes in </w:t>
      </w:r>
      <w:r w:rsidR="006A3B35">
        <w:t xml:space="preserve">outer metropolitan and regional </w:t>
      </w:r>
      <w:r w:rsidR="00F44740">
        <w:t>areas</w:t>
      </w:r>
      <w:r w:rsidR="00B64656">
        <w:t>.</w:t>
      </w:r>
      <w:r w:rsidR="009632BB">
        <w:t xml:space="preserve"> </w:t>
      </w:r>
    </w:p>
    <w:p w14:paraId="2ADA5C5E" w14:textId="77777777" w:rsidR="006F5E8C" w:rsidRDefault="006F5E8C">
      <w:pPr>
        <w:spacing w:before="0" w:after="0" w:line="240" w:lineRule="auto"/>
        <w:jc w:val="left"/>
        <w:rPr>
          <w:rFonts w:cs="Open Sans"/>
        </w:rPr>
      </w:pPr>
      <w:r>
        <w:br w:type="page"/>
      </w:r>
    </w:p>
    <w:p w14:paraId="16165698" w14:textId="77777777" w:rsidR="00C751A3" w:rsidRDefault="009632BB" w:rsidP="00AF732B">
      <w:pPr>
        <w:pStyle w:val="BodyText"/>
      </w:pPr>
      <w:r>
        <w:lastRenderedPageBreak/>
        <w:t>Th</w:t>
      </w:r>
      <w:r w:rsidR="00C751A3">
        <w:t xml:space="preserve">e competition benefits </w:t>
      </w:r>
      <w:r w:rsidR="00BD4B08">
        <w:t xml:space="preserve">are likely to </w:t>
      </w:r>
      <w:r w:rsidR="00C751A3">
        <w:t>arise from:</w:t>
      </w:r>
    </w:p>
    <w:p w14:paraId="7204D3E4" w14:textId="77777777" w:rsidR="00C751A3" w:rsidRDefault="003E7112" w:rsidP="00593E68">
      <w:pPr>
        <w:pStyle w:val="BodyText"/>
        <w:numPr>
          <w:ilvl w:val="0"/>
          <w:numId w:val="37"/>
        </w:numPr>
      </w:pPr>
      <w:r>
        <w:t>A</w:t>
      </w:r>
      <w:r w:rsidR="009632BB">
        <w:t xml:space="preserve"> </w:t>
      </w:r>
      <w:r w:rsidR="002B545E">
        <w:t xml:space="preserve">further </w:t>
      </w:r>
      <w:r w:rsidR="009632BB">
        <w:t>lower</w:t>
      </w:r>
      <w:r w:rsidR="00C751A3">
        <w:t>ing of</w:t>
      </w:r>
      <w:r w:rsidR="009632BB">
        <w:t xml:space="preserve"> barriers for retail entry</w:t>
      </w:r>
      <w:r w:rsidR="00C751A3">
        <w:t xml:space="preserve"> and expansion</w:t>
      </w:r>
      <w:r w:rsidR="009632BB">
        <w:t xml:space="preserve"> to supply business grade services</w:t>
      </w:r>
      <w:r w:rsidR="00C751A3">
        <w:t xml:space="preserve">. </w:t>
      </w:r>
      <w:r w:rsidR="009632BB">
        <w:t xml:space="preserve">NBN Co </w:t>
      </w:r>
      <w:r w:rsidR="00C751A3">
        <w:t xml:space="preserve">only supplies wholesale services and has </w:t>
      </w:r>
      <w:r w:rsidR="009632BB">
        <w:t xml:space="preserve">a mandate and incentive to increase retail </w:t>
      </w:r>
      <w:r w:rsidR="001A5FB8">
        <w:t xml:space="preserve">competition, </w:t>
      </w:r>
      <w:r w:rsidR="00C751A3">
        <w:t>and the public nature of its pricing offers create</w:t>
      </w:r>
      <w:r w:rsidR="001A5FB8">
        <w:t xml:space="preserve"> transparent pricing benchmarks for retailers</w:t>
      </w:r>
      <w:r>
        <w:t>.</w:t>
      </w:r>
      <w:r w:rsidR="00A106E3">
        <w:t xml:space="preserve"> </w:t>
      </w:r>
    </w:p>
    <w:p w14:paraId="3E41C764" w14:textId="5726E963" w:rsidR="00747EC7" w:rsidRDefault="003E7112" w:rsidP="00593E68">
      <w:pPr>
        <w:pStyle w:val="BodyText"/>
        <w:numPr>
          <w:ilvl w:val="0"/>
          <w:numId w:val="37"/>
        </w:numPr>
      </w:pPr>
      <w:r>
        <w:t xml:space="preserve">There </w:t>
      </w:r>
      <w:r w:rsidR="00A106E3">
        <w:t xml:space="preserve">are many areas in which there would only have been one or two other suppliers capable of supplying an affordable </w:t>
      </w:r>
      <w:r w:rsidR="00023DA2">
        <w:t>direct fibre services</w:t>
      </w:r>
      <w:r w:rsidR="001A5FB8">
        <w:t>.</w:t>
      </w:r>
    </w:p>
    <w:p w14:paraId="26594A6A" w14:textId="21C60E51" w:rsidR="0062626A" w:rsidRPr="00FE4336" w:rsidRDefault="0062626A" w:rsidP="00254300">
      <w:pPr>
        <w:pStyle w:val="Quote-long"/>
        <w:rPr>
          <w:color w:val="185B78" w:themeColor="accent2" w:themeShade="BF"/>
          <w:sz w:val="24"/>
          <w:szCs w:val="32"/>
        </w:rPr>
      </w:pPr>
      <w:r w:rsidRPr="00FE4336">
        <w:rPr>
          <w:color w:val="185B78" w:themeColor="accent2" w:themeShade="BF"/>
          <w:sz w:val="24"/>
          <w:szCs w:val="32"/>
        </w:rPr>
        <w:t xml:space="preserve">Access to NBN </w:t>
      </w:r>
      <w:proofErr w:type="spellStart"/>
      <w:r w:rsidRPr="00FE4336">
        <w:rPr>
          <w:color w:val="185B78" w:themeColor="accent2" w:themeShade="BF"/>
          <w:sz w:val="24"/>
          <w:szCs w:val="32"/>
        </w:rPr>
        <w:t>Co’s</w:t>
      </w:r>
      <w:proofErr w:type="spellEnd"/>
      <w:r w:rsidRPr="00FE4336">
        <w:rPr>
          <w:color w:val="185B78" w:themeColor="accent2" w:themeShade="BF"/>
          <w:sz w:val="24"/>
          <w:szCs w:val="32"/>
        </w:rPr>
        <w:t xml:space="preserve"> enterprise services “…allows us to provide the most cost-effective mix of our own fibre and third-party fibre such as NBN to deliver complex network solutions for major contracts.”</w:t>
      </w:r>
      <w:r w:rsidR="0036268C" w:rsidRPr="00FE4336">
        <w:rPr>
          <w:color w:val="185B78" w:themeColor="accent2" w:themeShade="BF"/>
          <w:sz w:val="24"/>
          <w:szCs w:val="32"/>
        </w:rPr>
        <w:t xml:space="preserve"> </w:t>
      </w:r>
      <w:r w:rsidR="00254300" w:rsidRPr="00FE4336">
        <w:rPr>
          <w:color w:val="185B78" w:themeColor="accent2" w:themeShade="BF"/>
          <w:sz w:val="24"/>
          <w:szCs w:val="32"/>
        </w:rPr>
        <w:tab/>
      </w:r>
      <w:proofErr w:type="spellStart"/>
      <w:r w:rsidR="0036268C" w:rsidRPr="00FE4336">
        <w:rPr>
          <w:color w:val="185B78" w:themeColor="accent2" w:themeShade="BF"/>
        </w:rPr>
        <w:t>Vocus</w:t>
      </w:r>
      <w:proofErr w:type="spellEnd"/>
      <w:r w:rsidR="0036268C" w:rsidRPr="00FE4336">
        <w:rPr>
          <w:color w:val="185B78" w:themeColor="accent2" w:themeShade="BF"/>
        </w:rPr>
        <w:t xml:space="preserve"> spokesperson</w:t>
      </w:r>
    </w:p>
    <w:p w14:paraId="7C8B2104" w14:textId="7037C3A3" w:rsidR="00BD4B08" w:rsidRDefault="00BD4B08" w:rsidP="00D31AC9">
      <w:pPr>
        <w:pStyle w:val="Heading4"/>
      </w:pPr>
      <w:r>
        <w:t>Complex to quantify benefits, but strong supporting evidence</w:t>
      </w:r>
    </w:p>
    <w:p w14:paraId="007E808E" w14:textId="77777777" w:rsidR="00023DA2" w:rsidRDefault="00023DA2" w:rsidP="00AF732B">
      <w:pPr>
        <w:pStyle w:val="BodyText"/>
      </w:pPr>
      <w:r>
        <w:t>The retail markets for business grade broadband services are much more opaque t</w:t>
      </w:r>
      <w:r w:rsidR="003E4EDA">
        <w:t>han</w:t>
      </w:r>
      <w:r>
        <w:t xml:space="preserve"> residential markets. </w:t>
      </w:r>
      <w:r w:rsidR="00CF707E">
        <w:t xml:space="preserve">Prices tend to be individually quoted and negotiated </w:t>
      </w:r>
      <w:r w:rsidR="003E7112">
        <w:t>–</w:t>
      </w:r>
      <w:r w:rsidR="00CF707E">
        <w:t xml:space="preserve"> particularly for larger, multi-site customers. This hinders our ability to quantify benefits. </w:t>
      </w:r>
      <w:r w:rsidR="000F55AF">
        <w:t xml:space="preserve">Nonetheless, we can identify </w:t>
      </w:r>
      <w:r w:rsidR="001679A3">
        <w:t xml:space="preserve">changes in market structure </w:t>
      </w:r>
      <w:r w:rsidR="005D66E1">
        <w:t xml:space="preserve">– including 15 </w:t>
      </w:r>
      <w:r w:rsidR="00303F0E">
        <w:t xml:space="preserve">national </w:t>
      </w:r>
      <w:r w:rsidR="005D66E1">
        <w:t xml:space="preserve">suppliers of Enterprise Ethernet – </w:t>
      </w:r>
      <w:r w:rsidR="001679A3">
        <w:t>and</w:t>
      </w:r>
      <w:r w:rsidR="005D66E1">
        <w:t xml:space="preserve"> </w:t>
      </w:r>
      <w:r w:rsidR="000F55AF">
        <w:t xml:space="preserve">three kinds of </w:t>
      </w:r>
      <w:r w:rsidR="0070425D">
        <w:t xml:space="preserve">conduct </w:t>
      </w:r>
      <w:r w:rsidR="000F55AF">
        <w:t>benefits resulting from more competition:</w:t>
      </w:r>
    </w:p>
    <w:p w14:paraId="101682DC" w14:textId="77777777" w:rsidR="000F55AF" w:rsidRDefault="000F55AF" w:rsidP="000F55AF">
      <w:pPr>
        <w:pStyle w:val="ListBullet1"/>
      </w:pPr>
      <w:r w:rsidRPr="007E29AC">
        <w:rPr>
          <w:b/>
          <w:bCs/>
        </w:rPr>
        <w:t>Increased opportunities for retail switching</w:t>
      </w:r>
      <w:r w:rsidR="00DB5280">
        <w:t xml:space="preserve">: 85% of Enterprise Ethernet connections </w:t>
      </w:r>
      <w:r w:rsidR="007E29AC">
        <w:t>are</w:t>
      </w:r>
      <w:r w:rsidR="00364E5F">
        <w:t xml:space="preserve"> attributable to a different </w:t>
      </w:r>
      <w:r w:rsidR="00700E15">
        <w:t>retail service provider (</w:t>
      </w:r>
      <w:r w:rsidR="00364E5F">
        <w:t>RSP</w:t>
      </w:r>
      <w:r w:rsidR="00700E15">
        <w:t>)</w:t>
      </w:r>
      <w:r w:rsidR="00364E5F">
        <w:t xml:space="preserve"> than the RSP that was providing</w:t>
      </w:r>
      <w:r w:rsidR="0073344C">
        <w:t xml:space="preserve"> a service previously</w:t>
      </w:r>
      <w:r w:rsidR="009D32CC">
        <w:t>, with more than 70% of upgrading TC-4 connections coming from a new RSP.</w:t>
      </w:r>
    </w:p>
    <w:p w14:paraId="4AA6D909" w14:textId="77777777" w:rsidR="000F55AF" w:rsidRDefault="003D547E" w:rsidP="000F55AF">
      <w:pPr>
        <w:pStyle w:val="ListBullet1"/>
      </w:pPr>
      <w:r>
        <w:rPr>
          <w:b/>
          <w:bCs/>
        </w:rPr>
        <w:t>Discounts</w:t>
      </w:r>
      <w:r w:rsidR="000F55AF" w:rsidRPr="007E29AC">
        <w:rPr>
          <w:b/>
          <w:bCs/>
        </w:rPr>
        <w:t xml:space="preserve"> in wholesale and retail prices</w:t>
      </w:r>
      <w:r w:rsidR="000F55AF">
        <w:t xml:space="preserve"> and increases in quality of services</w:t>
      </w:r>
      <w:r w:rsidR="00FC3221">
        <w:t xml:space="preserve">: There is evidence to suggest that NBN </w:t>
      </w:r>
      <w:proofErr w:type="spellStart"/>
      <w:r w:rsidR="00FC3221">
        <w:t>Co’s</w:t>
      </w:r>
      <w:proofErr w:type="spellEnd"/>
      <w:r w:rsidR="00FC3221">
        <w:t xml:space="preserve"> steep price </w:t>
      </w:r>
      <w:r>
        <w:t>discounts</w:t>
      </w:r>
      <w:r w:rsidR="00FC3221">
        <w:t xml:space="preserve"> </w:t>
      </w:r>
      <w:r w:rsidR="003E7112">
        <w:t xml:space="preserve">offered from September 2020 </w:t>
      </w:r>
      <w:r w:rsidR="00FC3221">
        <w:t>have (</w:t>
      </w:r>
      <w:proofErr w:type="spellStart"/>
      <w:r w:rsidR="00FC3221">
        <w:t>i</w:t>
      </w:r>
      <w:proofErr w:type="spellEnd"/>
      <w:r w:rsidR="00FC3221">
        <w:t xml:space="preserve">) been passed through to end users and (ii) </w:t>
      </w:r>
      <w:r w:rsidR="00523680">
        <w:t>are being matched and in some cases bettered by other network suppliers.</w:t>
      </w:r>
      <w:r w:rsidR="00C3349D">
        <w:t xml:space="preserve"> This produces further benefits to users, regardless of whether end users actually use an NBN Co service.</w:t>
      </w:r>
    </w:p>
    <w:p w14:paraId="7DE10C90" w14:textId="77777777" w:rsidR="000F55AF" w:rsidRPr="00260564" w:rsidRDefault="000F55AF" w:rsidP="00AB6986">
      <w:pPr>
        <w:pStyle w:val="ListBullet1"/>
      </w:pPr>
      <w:r w:rsidRPr="007E29AC">
        <w:rPr>
          <w:b/>
          <w:bCs/>
        </w:rPr>
        <w:t>Increase in retailers</w:t>
      </w:r>
      <w:r w:rsidR="00047FCB">
        <w:rPr>
          <w:b/>
          <w:bCs/>
        </w:rPr>
        <w:t>’</w:t>
      </w:r>
      <w:r w:rsidRPr="007E29AC">
        <w:rPr>
          <w:b/>
          <w:bCs/>
        </w:rPr>
        <w:t xml:space="preserve"> ability to bundle service offerings</w:t>
      </w:r>
      <w:r>
        <w:t xml:space="preserve"> across network platforms</w:t>
      </w:r>
      <w:r w:rsidR="00097A5B">
        <w:t xml:space="preserve">: a much more diverse range of firms are winning large, multi-site contracts as </w:t>
      </w:r>
      <w:r w:rsidR="00FE3A4A">
        <w:t xml:space="preserve">RSPs (and even non-RSPs) have a </w:t>
      </w:r>
      <w:r w:rsidR="00A10426">
        <w:t>much</w:t>
      </w:r>
      <w:r w:rsidR="00A10426" w:rsidRPr="00EA0064">
        <w:t>-increased</w:t>
      </w:r>
      <w:r w:rsidRPr="00EA0064">
        <w:t xml:space="preserve"> ability to put </w:t>
      </w:r>
      <w:r>
        <w:t>network</w:t>
      </w:r>
      <w:r w:rsidRPr="00EA0064">
        <w:t xml:space="preserve"> services together that are multi-platform</w:t>
      </w:r>
      <w:r>
        <w:t>.</w:t>
      </w:r>
    </w:p>
    <w:p w14:paraId="3DABF430" w14:textId="77777777" w:rsidR="008E71A2" w:rsidRDefault="008E71A2" w:rsidP="00D31AC9">
      <w:pPr>
        <w:pStyle w:val="Heading4"/>
      </w:pPr>
      <w:r>
        <w:t xml:space="preserve">Benefits of competition </w:t>
      </w:r>
      <w:r w:rsidR="00292BB3">
        <w:t>for business</w:t>
      </w:r>
    </w:p>
    <w:p w14:paraId="08C3A34B" w14:textId="0CE1511A" w:rsidR="00FE3A4A" w:rsidRDefault="0070425D" w:rsidP="00FE3A4A">
      <w:pPr>
        <w:pStyle w:val="BodyText"/>
      </w:pPr>
      <w:r>
        <w:t>W</w:t>
      </w:r>
      <w:r w:rsidR="00FE3A4A">
        <w:t xml:space="preserve">e also considered the kinds of </w:t>
      </w:r>
      <w:r w:rsidR="003435EF">
        <w:t>businesses</w:t>
      </w:r>
      <w:r w:rsidR="00FE3A4A">
        <w:t xml:space="preserve"> that </w:t>
      </w:r>
      <w:r w:rsidR="00FE3A4A" w:rsidDel="00F02D25">
        <w:t>were likely to be</w:t>
      </w:r>
      <w:r w:rsidR="00FE3A4A">
        <w:t xml:space="preserve"> </w:t>
      </w:r>
      <w:r w:rsidR="00FE3A4A" w:rsidDel="00F02D25">
        <w:t xml:space="preserve">benefit most </w:t>
      </w:r>
      <w:r w:rsidR="00FE3A4A">
        <w:t>from greater competition.</w:t>
      </w:r>
      <w:r w:rsidR="00FE3A4A" w:rsidDel="00F02D25">
        <w:t xml:space="preserve"> </w:t>
      </w:r>
      <w:r w:rsidR="003435EF">
        <w:t xml:space="preserve">Major beneficiaries include firms in the following </w:t>
      </w:r>
      <w:r w:rsidR="00D700F2">
        <w:t>sectors:</w:t>
      </w:r>
    </w:p>
    <w:p w14:paraId="3AF11847" w14:textId="2B1DC892" w:rsidR="00FC0517" w:rsidRDefault="00FC0517" w:rsidP="00FC0517">
      <w:pPr>
        <w:pStyle w:val="ListBullet1"/>
      </w:pPr>
      <w:r w:rsidRPr="004C4E76">
        <w:t>Construction</w:t>
      </w:r>
    </w:p>
    <w:p w14:paraId="1EE8C663" w14:textId="69AD8977" w:rsidR="00FC0517" w:rsidRDefault="00FC0517" w:rsidP="00FC0517">
      <w:pPr>
        <w:pStyle w:val="ListBullet1"/>
      </w:pPr>
      <w:r w:rsidRPr="004C4E76">
        <w:t>Health Care</w:t>
      </w:r>
    </w:p>
    <w:p w14:paraId="417F8647" w14:textId="48E803CE" w:rsidR="00FC0517" w:rsidRDefault="00FC0517" w:rsidP="00FC0517">
      <w:pPr>
        <w:pStyle w:val="ListBullet1"/>
      </w:pPr>
      <w:r w:rsidRPr="004C4E76">
        <w:t>Mining</w:t>
      </w:r>
    </w:p>
    <w:p w14:paraId="07E6CD6E" w14:textId="47276CF9" w:rsidR="00FC0517" w:rsidRDefault="00FC0517" w:rsidP="00FC0517">
      <w:pPr>
        <w:pStyle w:val="ListBullet1"/>
      </w:pPr>
      <w:r w:rsidRPr="004C4E76">
        <w:t>Retail trade</w:t>
      </w:r>
    </w:p>
    <w:p w14:paraId="4E8C5B81" w14:textId="3B861276" w:rsidR="00FC0517" w:rsidRDefault="00FC0517" w:rsidP="00FC0517">
      <w:pPr>
        <w:pStyle w:val="ListBullet1"/>
      </w:pPr>
      <w:r w:rsidRPr="004C4E76">
        <w:t>Manufacturing</w:t>
      </w:r>
    </w:p>
    <w:p w14:paraId="217F1A20" w14:textId="241A0EA0" w:rsidR="00FC0517" w:rsidRDefault="00FC0517" w:rsidP="00FC0517">
      <w:pPr>
        <w:pStyle w:val="ListBullet1"/>
      </w:pPr>
      <w:r w:rsidRPr="004C4E76">
        <w:lastRenderedPageBreak/>
        <w:t>Transport, postal and warehousing</w:t>
      </w:r>
    </w:p>
    <w:p w14:paraId="0756F2FB" w14:textId="77777777" w:rsidR="00CF2BE2" w:rsidRDefault="004C4E76" w:rsidP="00CF2BE2">
      <w:r>
        <w:t>Interestingly, these sectors are somewhat different from those that should experience the highest productivity gains</w:t>
      </w:r>
      <w:r w:rsidR="002D6C0B">
        <w:t xml:space="preserve">, with both mining and transport sectors appearing. This reflects that </w:t>
      </w:r>
      <w:r w:rsidR="00303F0E">
        <w:t xml:space="preserve">firms in </w:t>
      </w:r>
      <w:r w:rsidR="002D6C0B">
        <w:t xml:space="preserve">these sectors are present in many parts of Australia where they </w:t>
      </w:r>
      <w:r w:rsidR="008745B9">
        <w:t>have historically only had</w:t>
      </w:r>
      <w:r w:rsidR="002D6C0B">
        <w:t xml:space="preserve"> access </w:t>
      </w:r>
      <w:r w:rsidR="008745B9">
        <w:t xml:space="preserve">to </w:t>
      </w:r>
      <w:r w:rsidR="002D6C0B">
        <w:t>higher cost services.</w:t>
      </w:r>
    </w:p>
    <w:p w14:paraId="2DB42ADA" w14:textId="77777777" w:rsidR="00445D6D" w:rsidRDefault="00EA66A1" w:rsidP="00D31AC9">
      <w:pPr>
        <w:pStyle w:val="Heading4"/>
      </w:pPr>
      <w:r>
        <w:t>Lessons from case studies</w:t>
      </w:r>
    </w:p>
    <w:p w14:paraId="73DCB25A" w14:textId="0894E2B5" w:rsidR="0059617B" w:rsidRDefault="003507C3" w:rsidP="00730E86">
      <w:pPr>
        <w:pStyle w:val="BodyText"/>
      </w:pPr>
      <w:r>
        <w:t>We use case studies t</w:t>
      </w:r>
      <w:r w:rsidR="00503D8F">
        <w:t>o provide a better understanding of how productivity, access and other benefits are practically being experienced by businesses (</w:t>
      </w:r>
      <w:r w:rsidR="00FF4354">
        <w:t xml:space="preserve">see </w:t>
      </w:r>
      <w:hyperlink w:anchor="BMTOF" w:history="1">
        <w:r w:rsidR="007F14CB" w:rsidRPr="007F14CB">
          <w:rPr>
            <w:rStyle w:val="Hyperlink"/>
          </w:rPr>
          <w:t>Case studies</w:t>
        </w:r>
      </w:hyperlink>
      <w:r w:rsidR="00503D8F" w:rsidRPr="00321E70">
        <w:rPr>
          <w:rStyle w:val="Hyperlink"/>
          <w:color w:val="37424A" w:themeColor="text1"/>
          <w:u w:val="none"/>
        </w:rPr>
        <w:t xml:space="preserve"> </w:t>
      </w:r>
      <w:r w:rsidR="0015763E" w:rsidRPr="00321E70">
        <w:rPr>
          <w:rStyle w:val="Hyperlink"/>
          <w:color w:val="37424A" w:themeColor="text1"/>
          <w:u w:val="none"/>
        </w:rPr>
        <w:t xml:space="preserve">with </w:t>
      </w:r>
      <w:r w:rsidR="00503D8F" w:rsidRPr="00321E70">
        <w:rPr>
          <w:rStyle w:val="Hyperlink"/>
          <w:color w:val="37424A" w:themeColor="text1"/>
          <w:u w:val="none"/>
        </w:rPr>
        <w:t>summary below</w:t>
      </w:r>
      <w:r w:rsidR="00503D8F">
        <w:t>)</w:t>
      </w:r>
      <w:r w:rsidR="00C557A1" w:rsidDel="00F02D25">
        <w:t>.</w:t>
      </w:r>
      <w:r w:rsidR="00EC56B3">
        <w:t xml:space="preserve"> </w:t>
      </w:r>
      <w:r w:rsidR="0059617B">
        <w:t>The case studies highlight the broader productivity and social benefits of the broadband initiatives for businesses, including more equity of access to digital learning opportunities and improved communication for workers in remote locations. This may contribute, for example, to increased firm and employment opportunities in regional and rural areas.</w:t>
      </w:r>
    </w:p>
    <w:p w14:paraId="74B319A2" w14:textId="11A9581E" w:rsidR="001D2D74" w:rsidRDefault="001D2D74" w:rsidP="001D2D74">
      <w:pPr>
        <w:pStyle w:val="Caption"/>
      </w:pPr>
      <w:bookmarkStart w:id="23" w:name="_Ref78209544"/>
      <w:bookmarkStart w:id="24" w:name="_Toc79585065"/>
      <w:r w:rsidRPr="007C5D2E">
        <w:rPr>
          <w:rStyle w:val="Bold"/>
        </w:rPr>
        <w:t xml:space="preserve">Figure </w:t>
      </w:r>
      <w:r w:rsidRPr="007C5D2E">
        <w:rPr>
          <w:rStyle w:val="Bold"/>
        </w:rPr>
        <w:fldChar w:fldCharType="begin"/>
      </w:r>
      <w:r w:rsidRPr="007C5D2E">
        <w:rPr>
          <w:rStyle w:val="Bold"/>
        </w:rPr>
        <w:instrText xml:space="preserve"> SEQ Figure \* ARABIC </w:instrText>
      </w:r>
      <w:r w:rsidRPr="007C5D2E">
        <w:rPr>
          <w:rStyle w:val="Bold"/>
        </w:rPr>
        <w:fldChar w:fldCharType="separate"/>
      </w:r>
      <w:r w:rsidR="00DD5715">
        <w:rPr>
          <w:rStyle w:val="Bold"/>
          <w:noProof/>
        </w:rPr>
        <w:t>4</w:t>
      </w:r>
      <w:r w:rsidRPr="007C5D2E">
        <w:rPr>
          <w:rStyle w:val="Bold"/>
        </w:rPr>
        <w:fldChar w:fldCharType="end"/>
      </w:r>
      <w:bookmarkEnd w:id="23"/>
      <w:r w:rsidRPr="00BE496A">
        <w:t xml:space="preserve">: </w:t>
      </w:r>
      <w:r>
        <w:t>Overview of case studies</w:t>
      </w:r>
      <w:bookmarkEnd w:id="24"/>
    </w:p>
    <w:p w14:paraId="4BB554D8" w14:textId="1C873F7A" w:rsidR="00D24773" w:rsidRDefault="00D24773" w:rsidP="00D24773">
      <w:r>
        <w:rPr>
          <w:noProof/>
          <w:lang w:eastAsia="en-AU"/>
        </w:rPr>
        <w:drawing>
          <wp:inline distT="0" distB="0" distL="0" distR="0" wp14:anchorId="32B5E9A8" wp14:editId="2893C350">
            <wp:extent cx="5974080" cy="3573780"/>
            <wp:effectExtent l="0" t="0" r="7620" b="7620"/>
            <wp:docPr id="4" name="Picture 4" descr="Overview of case studies by firm and primary benefits.&#10;ADW Johnson, an engineering firm, had primary benefits of Remote working from multi-site offices and from home, with increased ability to work collaboratively on large engineering design files.&#10;Catholic Education Tasmania, education services, had primary benefits of Equity of access to services across large number of sites has allowed roll out of new digital learning and administration tools using cloud services.&#10;BIG4 Easts Beach, an accommodation provider, had primary benefits of increased customer satisfaction through expanded services offerings such as video streaming and 'working from holiday'.&#10;Forico, in forestry management, had primary benefits of hybrid NBN solutions supporting new technology in remote sites and reduced manual processes.&#10;Bureau of Meteorology, weather services, primary benefits are better satellite services increase use of cloud-based applications and VoIP, but also allow for social use which increases satisfaction for workers.&#10;Cumulus Visual Effects, a visual effects firm, primary benefits were access to critical higher upload speeds that allows new ways of collaboration with customers and increase in competitivenes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Overview of case studies by firm and primary benefits.&#10;ADW Johnson, an engineering firm, had primary benefits of Remote working from multi-site offices and from home, with increased ability to work collaboratively on large engineering design files.&#10;Catholic Education Tasmania, education services, had primary benefits of Equity of access to services across large number of sites has allowed roll out of new digital learning and administration tools using cloud services.&#10;BIG4 Easts Beach, an accommodation provider, had primary benefits of increased customer satisfaction through expanded services offerings such as video streaming and 'working from holiday'.&#10;Forico, in forestry management, had primary benefits of hybrid NBN solutions supporting new technology in remote sites and reduced manual processes.&#10;Bureau of Meteorology, weather services, primary benefits are better satellite services increase use of cloud-based applications and VoIP, but also allow for social use which increases satisfaction for workers.&#10;Cumulus Visual Effects, a visual effects firm, primary benefits were access to critical higher upload speeds that allows new ways of collaboration with customers and increase in competitiveness.&#10;&#1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74080" cy="3573780"/>
                    </a:xfrm>
                    <a:prstGeom prst="rect">
                      <a:avLst/>
                    </a:prstGeom>
                    <a:noFill/>
                  </pic:spPr>
                </pic:pic>
              </a:graphicData>
            </a:graphic>
          </wp:inline>
        </w:drawing>
      </w:r>
    </w:p>
    <w:p w14:paraId="15EB4E45" w14:textId="340C9F29" w:rsidR="00DE35A6" w:rsidRDefault="00DE35A6">
      <w:pPr>
        <w:spacing w:before="0" w:after="0" w:line="240" w:lineRule="auto"/>
        <w:jc w:val="left"/>
      </w:pPr>
      <w:r>
        <w:br w:type="page"/>
      </w:r>
    </w:p>
    <w:p w14:paraId="7F266EA0" w14:textId="6E18C019" w:rsidR="00E96A1D" w:rsidRDefault="00E96A1D" w:rsidP="00493075">
      <w:pPr>
        <w:pStyle w:val="Caption"/>
      </w:pPr>
      <w:bookmarkStart w:id="25" w:name="_Toc518853199"/>
      <w:bookmarkStart w:id="26" w:name="_Toc79585066"/>
      <w:r w:rsidRPr="007C5D2E">
        <w:rPr>
          <w:rStyle w:val="Bold"/>
        </w:rPr>
        <w:lastRenderedPageBreak/>
        <w:t xml:space="preserve">Figure </w:t>
      </w:r>
      <w:r w:rsidRPr="007C5D2E">
        <w:rPr>
          <w:rStyle w:val="Bold"/>
        </w:rPr>
        <w:fldChar w:fldCharType="begin"/>
      </w:r>
      <w:r w:rsidRPr="007C5D2E">
        <w:rPr>
          <w:rStyle w:val="Bold"/>
        </w:rPr>
        <w:instrText xml:space="preserve"> SEQ Figure \* ARABIC </w:instrText>
      </w:r>
      <w:r w:rsidRPr="007C5D2E">
        <w:rPr>
          <w:rStyle w:val="Bold"/>
        </w:rPr>
        <w:fldChar w:fldCharType="separate"/>
      </w:r>
      <w:r w:rsidR="00DD5715">
        <w:rPr>
          <w:rStyle w:val="Bold"/>
          <w:noProof/>
        </w:rPr>
        <w:t>5</w:t>
      </w:r>
      <w:r w:rsidRPr="007C5D2E">
        <w:rPr>
          <w:rStyle w:val="Bold"/>
        </w:rPr>
        <w:fldChar w:fldCharType="end"/>
      </w:r>
      <w:r w:rsidRPr="00BE496A">
        <w:t xml:space="preserve">: </w:t>
      </w:r>
      <w:bookmarkEnd w:id="25"/>
      <w:r>
        <w:t>Quotes from case studies</w:t>
      </w:r>
      <w:r w:rsidR="00E0614D">
        <w:t xml:space="preserve"> – ADW Johnson, </w:t>
      </w:r>
      <w:r w:rsidR="0072529A">
        <w:t>Cumulus Visual Effects</w:t>
      </w:r>
      <w:r w:rsidR="002D47EF">
        <w:t xml:space="preserve"> and Catholic Education Tasmania</w:t>
      </w:r>
      <w:bookmarkEnd w:id="26"/>
    </w:p>
    <w:p w14:paraId="006EEDDC" w14:textId="30849961" w:rsidR="00E96A1D" w:rsidRDefault="002F2134" w:rsidP="00791AEA">
      <w:pPr>
        <w:rPr>
          <w:color w:val="E83F35" w:themeColor="accent1"/>
        </w:rPr>
      </w:pPr>
      <w:r>
        <w:rPr>
          <w:noProof/>
          <w:color w:val="E83F35" w:themeColor="accent1"/>
          <w:lang w:eastAsia="en-AU"/>
        </w:rPr>
        <w:drawing>
          <wp:inline distT="0" distB="0" distL="0" distR="0" wp14:anchorId="10D14C76" wp14:editId="6E756F4F">
            <wp:extent cx="5939976" cy="3028493"/>
            <wp:effectExtent l="0" t="0" r="3810" b="635"/>
            <wp:docPr id="7" name="Picture 7" descr="Image of three quotes from case studies – ADW Johnson, Cumulus Visual Effects and Catholic Education Tasmania. &#10;Quote 1-“We value reliability and stability so highly because we understand that the cost of downtime can be immense. Downtime can mean a loss of productive output from staff, up to 30%, or it can mean the loss of direct revenue to the business if downtime happens at a critical moment in working with a new client”&#10;Scott Robinson, Director at ADW Johnson&#10;Quote 2 - “It’s really empowered us. We’ve been able to compete with some of the big kids in the big cities. The same opportunities that you would have had out of CBD Sydney. We’ve now engaged clients that we’ve never been able to get before”&#10;Nicky Ladas, Senior IT Manager at Cumulus Visual Effects&#10;Quote 3 - “Students at Holy Rosary [Catholic School] have the opportunity to do robotics and to learn from people in America, they have the opportunity to have coaches in Japan – the connection that they can have with people as global citizens is quite phenomenal&quot; &#10;Catherine Midson, Digital Technologies Teacher at Holy Rosary Catholic School&#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Image of three quotes from case studies – ADW Johnson, Cumulus Visual Effects and Catholic Education Tasmania. &#10;Quote 1-“We value reliability and stability so highly because we understand that the cost of downtime can be immense. Downtime can mean a loss of productive output from staff, up to 30%, or it can mean the loss of direct revenue to the business if downtime happens at a critical moment in working with a new client”&#10;Scott Robinson, Director at ADW Johnson&#10;Quote 2 - “It’s really empowered us. We’ve been able to compete with some of the big kids in the big cities. The same opportunities that you would have had out of CBD Sydney. We’ve now engaged clients that we’ve never been able to get before”&#10;Nicky Ladas, Senior IT Manager at Cumulus Visual Effects&#10;Quote 3 - “Students at Holy Rosary [Catholic School] have the opportunity to do robotics and to learn from people in America, they have the opportunity to have coaches in Japan – the connection that they can have with people as global citizens is quite phenomenal&quot; &#10;Catherine Midson, Digital Technologies Teacher at Holy Rosary Catholic School&#10;&#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60624" cy="3039021"/>
                    </a:xfrm>
                    <a:prstGeom prst="rect">
                      <a:avLst/>
                    </a:prstGeom>
                    <a:noFill/>
                  </pic:spPr>
                </pic:pic>
              </a:graphicData>
            </a:graphic>
          </wp:inline>
        </w:drawing>
      </w:r>
    </w:p>
    <w:p w14:paraId="2616AC1B" w14:textId="50BD437E" w:rsidR="002F2134" w:rsidRDefault="002F2134" w:rsidP="00791AEA">
      <w:pPr>
        <w:rPr>
          <w:color w:val="E83F35" w:themeColor="accent1"/>
        </w:rPr>
      </w:pPr>
    </w:p>
    <w:p w14:paraId="39A20C1C" w14:textId="5D2876E5" w:rsidR="002F2134" w:rsidRPr="00B62325" w:rsidRDefault="002F2134" w:rsidP="00791AEA">
      <w:pPr>
        <w:rPr>
          <w:color w:val="E83F35" w:themeColor="accent1"/>
        </w:rPr>
      </w:pPr>
    </w:p>
    <w:p w14:paraId="4FFB5C2D" w14:textId="67B91F22" w:rsidR="00464D02" w:rsidRPr="00597EDA" w:rsidRDefault="00222FEC" w:rsidP="00D41A56">
      <w:pPr>
        <w:pStyle w:val="Heading2"/>
      </w:pPr>
      <w:bookmarkStart w:id="27" w:name="_Ref74325531"/>
      <w:bookmarkStart w:id="28" w:name="_Toc74574305"/>
      <w:bookmarkStart w:id="29" w:name="_Toc79671805"/>
      <w:bookmarkEnd w:id="6"/>
      <w:r>
        <w:lastRenderedPageBreak/>
        <w:t xml:space="preserve">1. </w:t>
      </w:r>
      <w:r w:rsidR="00B117BE">
        <w:t>Introduction</w:t>
      </w:r>
      <w:bookmarkEnd w:id="27"/>
      <w:bookmarkEnd w:id="28"/>
      <w:bookmarkEnd w:id="29"/>
    </w:p>
    <w:p w14:paraId="790C15CB" w14:textId="34B0207B" w:rsidR="00B117BE" w:rsidRDefault="00B117BE" w:rsidP="00D41A56">
      <w:pPr>
        <w:pStyle w:val="Heading3"/>
      </w:pPr>
      <w:bookmarkStart w:id="30" w:name="_Toc74574306"/>
      <w:bookmarkStart w:id="31" w:name="_Toc79671806"/>
      <w:r>
        <w:t>Background</w:t>
      </w:r>
      <w:r w:rsidR="003A1834">
        <w:t>:</w:t>
      </w:r>
      <w:r>
        <w:t xml:space="preserve"> network upgrades and fibre initiatives</w:t>
      </w:r>
      <w:bookmarkEnd w:id="30"/>
      <w:bookmarkEnd w:id="31"/>
    </w:p>
    <w:p w14:paraId="5FACF8B7" w14:textId="77777777" w:rsidR="003A1834" w:rsidRDefault="003A1834" w:rsidP="003A1834">
      <w:pPr>
        <w:pStyle w:val="BodyText"/>
      </w:pPr>
      <w:r>
        <w:t xml:space="preserve">In September 2020, NBN Co announced a $4.5 billion investment </w:t>
      </w:r>
      <w:r w:rsidR="00AE4DDB">
        <w:t>in service improvements</w:t>
      </w:r>
      <w:r w:rsidR="00FB4E11">
        <w:t>, including network upgrades</w:t>
      </w:r>
      <w:r w:rsidR="00AE4DDB">
        <w:t xml:space="preserve">. </w:t>
      </w:r>
      <w:r w:rsidR="0091379D">
        <w:t>Th</w:t>
      </w:r>
      <w:r w:rsidR="00DD71B2">
        <w:t>e</w:t>
      </w:r>
      <w:r w:rsidR="0091379D">
        <w:t>s</w:t>
      </w:r>
      <w:r w:rsidR="00DD71B2">
        <w:t>e investments were endorsed by Government</w:t>
      </w:r>
      <w:r w:rsidR="00DD71B2">
        <w:rPr>
          <w:rStyle w:val="FootnoteReference"/>
        </w:rPr>
        <w:footnoteReference w:id="2"/>
      </w:r>
      <w:r>
        <w:t xml:space="preserve"> </w:t>
      </w:r>
      <w:r w:rsidR="007A730C">
        <w:t xml:space="preserve">and </w:t>
      </w:r>
      <w:r>
        <w:t>include</w:t>
      </w:r>
      <w:r w:rsidR="0091379D">
        <w:t>d</w:t>
      </w:r>
      <w:r>
        <w:t>:</w:t>
      </w:r>
    </w:p>
    <w:p w14:paraId="09CE7AF2" w14:textId="77777777" w:rsidR="003A1834" w:rsidRDefault="003A1834" w:rsidP="003A1834">
      <w:pPr>
        <w:pStyle w:val="ListBullet1"/>
      </w:pPr>
      <w:proofErr w:type="gramStart"/>
      <w:r>
        <w:t>upgrades</w:t>
      </w:r>
      <w:proofErr w:type="gramEnd"/>
      <w:r>
        <w:t xml:space="preserve"> to deliver ultra-fast broadband to </w:t>
      </w:r>
      <w:r w:rsidR="00656462">
        <w:t xml:space="preserve">75% of </w:t>
      </w:r>
      <w:r>
        <w:t>Australian businesses and households</w:t>
      </w:r>
      <w:r w:rsidR="00656462">
        <w:t xml:space="preserve"> connected t</w:t>
      </w:r>
      <w:r w:rsidR="002955FF">
        <w:t>o</w:t>
      </w:r>
      <w:r w:rsidR="00656462">
        <w:t xml:space="preserve"> NBN </w:t>
      </w:r>
      <w:proofErr w:type="spellStart"/>
      <w:r w:rsidR="00656462">
        <w:t>Co’s</w:t>
      </w:r>
      <w:proofErr w:type="spellEnd"/>
      <w:r w:rsidR="00656462">
        <w:t xml:space="preserve"> fixed line network</w:t>
      </w:r>
      <w:r>
        <w:t>.</w:t>
      </w:r>
    </w:p>
    <w:p w14:paraId="514F500F" w14:textId="77777777" w:rsidR="004615C7" w:rsidRDefault="003A1834" w:rsidP="003A1834">
      <w:pPr>
        <w:pStyle w:val="ListBullet1"/>
      </w:pPr>
      <w:r>
        <w:t xml:space="preserve">the </w:t>
      </w:r>
      <w:r w:rsidR="004700E1">
        <w:t>Business Fibre Initiative</w:t>
      </w:r>
      <w:r>
        <w:t xml:space="preserve">, a $700 million investment </w:t>
      </w:r>
      <w:r w:rsidR="0091379D">
        <w:t>over three years</w:t>
      </w:r>
      <w:r>
        <w:t xml:space="preserve"> to provide</w:t>
      </w:r>
      <w:r w:rsidR="004615C7">
        <w:t>:</w:t>
      </w:r>
      <w:r>
        <w:t xml:space="preserve"> </w:t>
      </w:r>
    </w:p>
    <w:p w14:paraId="6ABF277D" w14:textId="77777777" w:rsidR="004615C7" w:rsidRDefault="00FB4E11" w:rsidP="004615C7">
      <w:pPr>
        <w:pStyle w:val="ParaBullet2"/>
      </w:pPr>
      <w:r>
        <w:t xml:space="preserve">an estimated 90% of </w:t>
      </w:r>
      <w:r w:rsidR="003A1834">
        <w:t xml:space="preserve">businesses with access to symmetrical business grade fibre at no upfront cost, and </w:t>
      </w:r>
    </w:p>
    <w:p w14:paraId="425AD0A9" w14:textId="77777777" w:rsidR="003A1834" w:rsidRDefault="003A1834" w:rsidP="004615C7">
      <w:pPr>
        <w:pStyle w:val="ParaBullet2"/>
      </w:pPr>
      <w:r>
        <w:t xml:space="preserve">CBD-equivalent wholesale Enterprise Ethernet pricing for businesses located within 240 </w:t>
      </w:r>
      <w:r w:rsidR="00FD7E22">
        <w:t>Business Fibre Zone</w:t>
      </w:r>
      <w:r w:rsidR="00187C23">
        <w:t>s</w:t>
      </w:r>
      <w:r w:rsidR="00656462">
        <w:t>, with 85 located in regional Australia</w:t>
      </w:r>
      <w:r>
        <w:t xml:space="preserve">. </w:t>
      </w:r>
    </w:p>
    <w:p w14:paraId="3103AC9A" w14:textId="77777777" w:rsidR="003070CF" w:rsidRDefault="003070CF" w:rsidP="00322939">
      <w:pPr>
        <w:pStyle w:val="ParaBullet1"/>
      </w:pPr>
      <w:r w:rsidRPr="003070CF">
        <w:rPr>
          <w:lang w:eastAsia="en-AU"/>
        </w:rPr>
        <w:t>$300 million of co-investment funding for NBN Co to partner with governments and local councils to further improve broadband services in regional Australia.</w:t>
      </w:r>
    </w:p>
    <w:p w14:paraId="7501552D" w14:textId="783CCE40" w:rsidR="003A1834" w:rsidRDefault="003A1834" w:rsidP="003A1834">
      <w:pPr>
        <w:pStyle w:val="BodyText"/>
      </w:pPr>
      <w:r>
        <w:t>As identified in</w:t>
      </w:r>
      <w:r w:rsidR="006D5E70">
        <w:t xml:space="preserve"> </w:t>
      </w:r>
      <w:r w:rsidR="006D5E70">
        <w:fldChar w:fldCharType="begin"/>
      </w:r>
      <w:r w:rsidR="006D5E70">
        <w:instrText xml:space="preserve"> REF _Ref75802145 \h </w:instrText>
      </w:r>
      <w:r w:rsidR="006D5E70">
        <w:fldChar w:fldCharType="separate"/>
      </w:r>
      <w:r w:rsidR="00DD5715" w:rsidRPr="007C5D2E">
        <w:rPr>
          <w:rStyle w:val="Bold"/>
        </w:rPr>
        <w:t xml:space="preserve">Figure </w:t>
      </w:r>
      <w:r w:rsidR="00DD5715">
        <w:rPr>
          <w:rStyle w:val="Bold"/>
          <w:noProof/>
        </w:rPr>
        <w:t>6</w:t>
      </w:r>
      <w:r w:rsidR="006D5E70">
        <w:fldChar w:fldCharType="end"/>
      </w:r>
      <w:r>
        <w:t>, the investments should markedly increase the availability of higher speeds to residential and business users</w:t>
      </w:r>
      <w:r w:rsidR="00656462">
        <w:t xml:space="preserve"> on the fixed-line network</w:t>
      </w:r>
      <w:r>
        <w:t xml:space="preserve">, with up to 75% obtaining speeds </w:t>
      </w:r>
      <w:r w:rsidR="00656462">
        <w:t xml:space="preserve">up to </w:t>
      </w:r>
      <w:r>
        <w:t>100</w:t>
      </w:r>
      <w:r w:rsidR="00656462">
        <w:t>0</w:t>
      </w:r>
      <w:r>
        <w:t xml:space="preserve">Mbps. </w:t>
      </w:r>
    </w:p>
    <w:p w14:paraId="4F2D9941" w14:textId="43A0BC1F" w:rsidR="003A1834" w:rsidRDefault="003A1834" w:rsidP="009645AD">
      <w:pPr>
        <w:pStyle w:val="Caption"/>
      </w:pPr>
      <w:bookmarkStart w:id="32" w:name="_Ref70951739"/>
      <w:bookmarkStart w:id="33" w:name="_Ref75802145"/>
      <w:bookmarkStart w:id="34" w:name="_Toc74684923"/>
      <w:bookmarkStart w:id="35" w:name="_Toc79585067"/>
      <w:r w:rsidRPr="007C5D2E">
        <w:rPr>
          <w:rStyle w:val="Bold"/>
        </w:rPr>
        <w:t xml:space="preserve">Figure </w:t>
      </w:r>
      <w:bookmarkEnd w:id="32"/>
      <w:r w:rsidR="006D5E70">
        <w:rPr>
          <w:rStyle w:val="Bold"/>
        </w:rPr>
        <w:fldChar w:fldCharType="begin"/>
      </w:r>
      <w:r w:rsidR="006D5E70">
        <w:rPr>
          <w:rStyle w:val="Bold"/>
        </w:rPr>
        <w:instrText xml:space="preserve"> SEQ Figure \* ARABIC </w:instrText>
      </w:r>
      <w:r w:rsidR="006D5E70">
        <w:rPr>
          <w:rStyle w:val="Bold"/>
        </w:rPr>
        <w:fldChar w:fldCharType="separate"/>
      </w:r>
      <w:r w:rsidR="00DD5715">
        <w:rPr>
          <w:rStyle w:val="Bold"/>
          <w:noProof/>
        </w:rPr>
        <w:t>6</w:t>
      </w:r>
      <w:r w:rsidR="006D5E70">
        <w:rPr>
          <w:rStyle w:val="Bold"/>
        </w:rPr>
        <w:fldChar w:fldCharType="end"/>
      </w:r>
      <w:bookmarkEnd w:id="33"/>
      <w:r w:rsidRPr="00BE496A">
        <w:t xml:space="preserve">: </w:t>
      </w:r>
      <w:bookmarkEnd w:id="34"/>
      <w:r w:rsidR="00D93537">
        <w:t>Increase in available speeds following network investments</w:t>
      </w:r>
      <w:bookmarkEnd w:id="35"/>
    </w:p>
    <w:p w14:paraId="235D40D6" w14:textId="6EEA90BB" w:rsidR="003A1834" w:rsidRDefault="007A5BCD" w:rsidP="00B3250E">
      <w:r>
        <w:rPr>
          <w:noProof/>
          <w:lang w:eastAsia="en-AU"/>
        </w:rPr>
        <w:drawing>
          <wp:inline distT="0" distB="0" distL="0" distR="0" wp14:anchorId="3068ACB6" wp14:editId="19332D64">
            <wp:extent cx="5457139" cy="2178272"/>
            <wp:effectExtent l="0" t="0" r="0" b="0"/>
            <wp:docPr id="35" name="Picture 35" descr="A graphic setting out an overview of network investments. The total nbn fixed-line premises in Australia - speeds potentially available are represented in a bar chart. Today, the fastest wholesale internet plans are accessible to 20% of total nbn fixed line premises. Following implementation of the network investment plan, this figure increases to up to 75% of total nbn fixed line premis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graphic setting out an overview of network investments. The total nbn fixed-line premises in Australia - speeds potentially available are represented in a bar chart. Today, the fastest wholesale internet plans are accessible to 20% of total nbn fixed line premises. Following implementation of the network investment plan, this figure increases to up to 75% of total nbn fixed line premises. "/>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92248" cy="2192286"/>
                    </a:xfrm>
                    <a:prstGeom prst="rect">
                      <a:avLst/>
                    </a:prstGeom>
                    <a:noFill/>
                  </pic:spPr>
                </pic:pic>
              </a:graphicData>
            </a:graphic>
          </wp:inline>
        </w:drawing>
      </w:r>
    </w:p>
    <w:p w14:paraId="4B8D0CA3" w14:textId="77777777" w:rsidR="003A1834" w:rsidRPr="003335D6" w:rsidRDefault="003A1834" w:rsidP="003335D6">
      <w:pPr>
        <w:pStyle w:val="Source"/>
      </w:pPr>
      <w:r w:rsidRPr="003335D6">
        <w:t>Source: NBN Co</w:t>
      </w:r>
    </w:p>
    <w:p w14:paraId="7D2A9A35" w14:textId="77777777" w:rsidR="00224590" w:rsidRDefault="00224590" w:rsidP="00BB449A">
      <w:pPr>
        <w:pStyle w:val="Heading4"/>
      </w:pPr>
      <w:r>
        <w:lastRenderedPageBreak/>
        <w:t>Enhanced business-grade services</w:t>
      </w:r>
    </w:p>
    <w:p w14:paraId="666AF104" w14:textId="18BDE9DD" w:rsidR="002A77BA" w:rsidRPr="005D0C86" w:rsidRDefault="00224590" w:rsidP="00791AEA">
      <w:pPr>
        <w:pStyle w:val="BodyText"/>
      </w:pPr>
      <w:r>
        <w:t xml:space="preserve">The business initiatives will </w:t>
      </w:r>
      <w:r w:rsidR="002A77BA">
        <w:t xml:space="preserve">substantially increase the availability of higher quality business grade services </w:t>
      </w:r>
      <w:r>
        <w:t>around Australia. Th</w:t>
      </w:r>
      <w:r w:rsidR="00175B6A">
        <w:t>e distinguishing features of business-grade services are described in</w:t>
      </w:r>
      <w:r w:rsidR="005D0C86">
        <w:rPr>
          <w:b/>
          <w:bCs/>
        </w:rPr>
        <w:t xml:space="preserve"> </w:t>
      </w:r>
      <w:r w:rsidR="005D0C86" w:rsidRPr="005D0C86">
        <w:t>the box below</w:t>
      </w:r>
      <w:r w:rsidR="00175B6A" w:rsidRPr="005D0C86">
        <w:t>.</w:t>
      </w:r>
    </w:p>
    <w:p w14:paraId="7DF666D5" w14:textId="77777777" w:rsidR="00222FEC" w:rsidRDefault="00222FEC" w:rsidP="00CD031D">
      <w:pPr>
        <w:pStyle w:val="CalloutBoxcaption"/>
        <w:pBdr>
          <w:top w:val="single" w:sz="4" w:space="1" w:color="9BA1A5" w:themeColor="accent4"/>
          <w:left w:val="single" w:sz="4" w:space="4" w:color="9BA1A5" w:themeColor="accent4"/>
          <w:bottom w:val="single" w:sz="4" w:space="1" w:color="9BA1A5" w:themeColor="accent4"/>
          <w:right w:val="single" w:sz="4" w:space="4" w:color="9BA1A5" w:themeColor="accent4"/>
        </w:pBdr>
        <w:shd w:val="clear" w:color="auto" w:fill="F2F2F2" w:themeFill="background2"/>
        <w:tabs>
          <w:tab w:val="num" w:pos="360"/>
        </w:tabs>
      </w:pPr>
      <w:bookmarkStart w:id="36" w:name="_Ref79503938"/>
      <w:bookmarkStart w:id="37" w:name="_Toc79585091"/>
      <w:r w:rsidRPr="00C55545">
        <w:rPr>
          <w:b/>
          <w:bCs/>
        </w:rPr>
        <w:t>:</w:t>
      </w:r>
      <w:r>
        <w:rPr>
          <w:b/>
          <w:bCs/>
        </w:rPr>
        <w:t xml:space="preserve"> </w:t>
      </w:r>
      <w:r w:rsidRPr="00322939">
        <w:t xml:space="preserve">NBN </w:t>
      </w:r>
      <w:proofErr w:type="spellStart"/>
      <w:r w:rsidRPr="00322939">
        <w:t>Co’s</w:t>
      </w:r>
      <w:proofErr w:type="spellEnd"/>
      <w:r>
        <w:t xml:space="preserve"> Business grade services</w:t>
      </w:r>
      <w:bookmarkEnd w:id="36"/>
      <w:bookmarkEnd w:id="37"/>
    </w:p>
    <w:p w14:paraId="7BD24B07" w14:textId="77777777" w:rsidR="00222FEC" w:rsidRDefault="00222FEC" w:rsidP="00CD031D">
      <w:pPr>
        <w:pStyle w:val="BodyText"/>
        <w:pBdr>
          <w:top w:val="single" w:sz="4" w:space="1" w:color="9BA1A5" w:themeColor="accent4"/>
          <w:left w:val="single" w:sz="4" w:space="4" w:color="9BA1A5" w:themeColor="accent4"/>
          <w:bottom w:val="single" w:sz="4" w:space="1" w:color="9BA1A5" w:themeColor="accent4"/>
          <w:right w:val="single" w:sz="4" w:space="4" w:color="9BA1A5" w:themeColor="accent4"/>
        </w:pBdr>
        <w:shd w:val="clear" w:color="auto" w:fill="F2F2F2" w:themeFill="background2"/>
      </w:pPr>
      <w:r>
        <w:t xml:space="preserve">NBN Co provides services to businesses using its multi-technology mix (MTM) network and supplies Enterprise Ethernet via a fibre optic network (with point-to-point fibre connections from fibre access nodes). The recently-introduced business satellite services round out NBN </w:t>
      </w:r>
      <w:proofErr w:type="spellStart"/>
      <w:r>
        <w:t>Co’s</w:t>
      </w:r>
      <w:proofErr w:type="spellEnd"/>
      <w:r>
        <w:t xml:space="preserve"> suite of business services.</w:t>
      </w:r>
    </w:p>
    <w:p w14:paraId="4D95357E" w14:textId="77777777" w:rsidR="00222FEC" w:rsidRDefault="00222FEC" w:rsidP="00CD031D">
      <w:pPr>
        <w:pStyle w:val="BodyText"/>
        <w:pBdr>
          <w:top w:val="single" w:sz="4" w:space="1" w:color="9BA1A5" w:themeColor="accent4"/>
          <w:left w:val="single" w:sz="4" w:space="4" w:color="9BA1A5" w:themeColor="accent4"/>
          <w:bottom w:val="single" w:sz="4" w:space="1" w:color="9BA1A5" w:themeColor="accent4"/>
          <w:right w:val="single" w:sz="4" w:space="4" w:color="9BA1A5" w:themeColor="accent4"/>
        </w:pBdr>
        <w:shd w:val="clear" w:color="auto" w:fill="F2F2F2" w:themeFill="background2"/>
      </w:pPr>
      <w:r>
        <w:t>At the time of this study, Enterprise Ethernet offers the highest grade of service, including:</w:t>
      </w:r>
    </w:p>
    <w:p w14:paraId="7031F69E" w14:textId="77777777" w:rsidR="00222FEC" w:rsidRDefault="00222FEC" w:rsidP="00CD031D">
      <w:pPr>
        <w:pStyle w:val="ListBullet1"/>
        <w:pBdr>
          <w:top w:val="single" w:sz="4" w:space="1" w:color="9BA1A5" w:themeColor="accent4"/>
          <w:left w:val="single" w:sz="4" w:space="4" w:color="9BA1A5" w:themeColor="accent4"/>
          <w:bottom w:val="single" w:sz="4" w:space="1" w:color="9BA1A5" w:themeColor="accent4"/>
          <w:right w:val="single" w:sz="4" w:space="4" w:color="9BA1A5" w:themeColor="accent4"/>
        </w:pBdr>
        <w:shd w:val="clear" w:color="auto" w:fill="F2F2F2" w:themeFill="background2"/>
      </w:pPr>
      <w:proofErr w:type="gramStart"/>
      <w:r w:rsidRPr="009C7C44">
        <w:t>wholesale</w:t>
      </w:r>
      <w:proofErr w:type="gramEnd"/>
      <w:r w:rsidRPr="009C7C44">
        <w:t xml:space="preserve"> speed tiers from 10/10Mbps to nearly 1/1Gbps. </w:t>
      </w:r>
    </w:p>
    <w:p w14:paraId="47CEEF0E" w14:textId="77777777" w:rsidR="00222FEC" w:rsidRDefault="00222FEC" w:rsidP="00CD031D">
      <w:pPr>
        <w:pStyle w:val="ListBullet1"/>
        <w:pBdr>
          <w:top w:val="single" w:sz="4" w:space="1" w:color="9BA1A5" w:themeColor="accent4"/>
          <w:left w:val="single" w:sz="4" w:space="4" w:color="9BA1A5" w:themeColor="accent4"/>
          <w:bottom w:val="single" w:sz="4" w:space="1" w:color="9BA1A5" w:themeColor="accent4"/>
          <w:right w:val="single" w:sz="4" w:space="4" w:color="9BA1A5" w:themeColor="accent4"/>
        </w:pBdr>
        <w:shd w:val="clear" w:color="auto" w:fill="F2F2F2" w:themeFill="background2"/>
      </w:pPr>
      <w:proofErr w:type="gramStart"/>
      <w:r>
        <w:t>o</w:t>
      </w:r>
      <w:r w:rsidRPr="009C7C44">
        <w:t>pportunity</w:t>
      </w:r>
      <w:proofErr w:type="gramEnd"/>
      <w:r w:rsidRPr="009C7C44">
        <w:t xml:space="preserve"> to configure services to suit the specific needs of a business</w:t>
      </w:r>
      <w:r>
        <w:t xml:space="preserve"> including aggregation of</w:t>
      </w:r>
      <w:r w:rsidRPr="009C7C44">
        <w:t xml:space="preserve"> 1Gbps services </w:t>
      </w:r>
      <w:r>
        <w:t>at</w:t>
      </w:r>
      <w:r w:rsidRPr="009C7C44">
        <w:t xml:space="preserve"> a single premise.</w:t>
      </w:r>
      <w:r>
        <w:t xml:space="preserve"> In future, there is a clear technology path towards to faster speeds from 10Gbps and beyond.</w:t>
      </w:r>
    </w:p>
    <w:p w14:paraId="68B5B60A" w14:textId="77777777" w:rsidR="00222FEC" w:rsidRDefault="00222FEC" w:rsidP="00CD031D">
      <w:pPr>
        <w:pStyle w:val="ListBullet1"/>
        <w:pBdr>
          <w:top w:val="single" w:sz="4" w:space="1" w:color="9BA1A5" w:themeColor="accent4"/>
          <w:left w:val="single" w:sz="4" w:space="4" w:color="9BA1A5" w:themeColor="accent4"/>
          <w:bottom w:val="single" w:sz="4" w:space="1" w:color="9BA1A5" w:themeColor="accent4"/>
          <w:right w:val="single" w:sz="4" w:space="4" w:color="9BA1A5" w:themeColor="accent4"/>
        </w:pBdr>
        <w:shd w:val="clear" w:color="auto" w:fill="F2F2F2" w:themeFill="background2"/>
      </w:pPr>
      <w:r>
        <w:t>Ability to access priority data using “</w:t>
      </w:r>
      <w:r w:rsidRPr="008A2F03">
        <w:t>Class of Service – High</w:t>
      </w:r>
      <w:r>
        <w:t>” (committed information rates, or CIR)</w:t>
      </w:r>
      <w:r w:rsidRPr="008A2F03">
        <w:t>: all data allocated to this class of service is given priority over best efforts residential and business traffic</w:t>
      </w:r>
      <w:r>
        <w:t>.</w:t>
      </w:r>
    </w:p>
    <w:p w14:paraId="1E158230" w14:textId="77777777" w:rsidR="00222FEC" w:rsidRDefault="00222FEC" w:rsidP="00CD031D">
      <w:pPr>
        <w:pStyle w:val="ListBullet1"/>
        <w:pBdr>
          <w:top w:val="single" w:sz="4" w:space="1" w:color="9BA1A5" w:themeColor="accent4"/>
          <w:left w:val="single" w:sz="4" w:space="4" w:color="9BA1A5" w:themeColor="accent4"/>
          <w:bottom w:val="single" w:sz="4" w:space="1" w:color="9BA1A5" w:themeColor="accent4"/>
          <w:right w:val="single" w:sz="4" w:space="4" w:color="9BA1A5" w:themeColor="accent4"/>
        </w:pBdr>
        <w:shd w:val="clear" w:color="auto" w:fill="F2F2F2" w:themeFill="background2"/>
      </w:pPr>
      <w:proofErr w:type="gramStart"/>
      <w:r w:rsidRPr="00A24A31">
        <w:t>a</w:t>
      </w:r>
      <w:proofErr w:type="gramEnd"/>
      <w:r w:rsidRPr="00A24A31">
        <w:t xml:space="preserve"> 99.95% network availability target</w:t>
      </w:r>
      <w:r>
        <w:t>.</w:t>
      </w:r>
    </w:p>
    <w:p w14:paraId="3A303C23" w14:textId="77777777" w:rsidR="00222FEC" w:rsidRDefault="00222FEC" w:rsidP="00CD031D">
      <w:pPr>
        <w:pStyle w:val="BodyText"/>
        <w:pBdr>
          <w:top w:val="single" w:sz="4" w:space="1" w:color="9BA1A5" w:themeColor="accent4"/>
          <w:left w:val="single" w:sz="4" w:space="4" w:color="9BA1A5" w:themeColor="accent4"/>
          <w:bottom w:val="single" w:sz="4" w:space="1" w:color="9BA1A5" w:themeColor="accent4"/>
          <w:right w:val="single" w:sz="4" w:space="4" w:color="9BA1A5" w:themeColor="accent4"/>
        </w:pBdr>
        <w:shd w:val="clear" w:color="auto" w:fill="F2F2F2" w:themeFill="background2"/>
      </w:pPr>
      <w:r>
        <w:t>NBN Co also supplies TC-2 and TC-4 services to businesses over its MTM network. TC-2 services are offered with CIR, symmetric speeds and with optional higher service levels, but cannot achieve the higher speeds of Enterprise Ethernet.</w:t>
      </w:r>
    </w:p>
    <w:p w14:paraId="677FD63E" w14:textId="77777777" w:rsidR="00222FEC" w:rsidRDefault="00222FEC" w:rsidP="00CD031D">
      <w:pPr>
        <w:pStyle w:val="BodyText"/>
        <w:pBdr>
          <w:top w:val="single" w:sz="4" w:space="1" w:color="9BA1A5" w:themeColor="accent4"/>
          <w:left w:val="single" w:sz="4" w:space="4" w:color="9BA1A5" w:themeColor="accent4"/>
          <w:bottom w:val="single" w:sz="4" w:space="1" w:color="9BA1A5" w:themeColor="accent4"/>
          <w:right w:val="single" w:sz="4" w:space="4" w:color="9BA1A5" w:themeColor="accent4"/>
        </w:pBdr>
        <w:shd w:val="clear" w:color="auto" w:fill="F2F2F2" w:themeFill="background2"/>
      </w:pPr>
      <w:r>
        <w:t>TC-4 services are available at fast speeds but on an asymmetric basis (download faster than upload) and on a ‘best efforts’ traffic priority basis (PIR), and are more subject to network congestion. This makes them less suitable for a range of business uses, such as voice calling and video conferencing which rely on high quality links. Outside of voice and video, each business and industry will have different use cases of what is a mission-critical application that will benefit from priority data. NBN Co indicates that some examples include:</w:t>
      </w:r>
    </w:p>
    <w:p w14:paraId="2E4AE5F6" w14:textId="77777777" w:rsidR="00222FEC" w:rsidRDefault="00222FEC" w:rsidP="00CD031D">
      <w:pPr>
        <w:pStyle w:val="ListBullet1"/>
        <w:pBdr>
          <w:top w:val="single" w:sz="4" w:space="1" w:color="9BA1A5" w:themeColor="accent4"/>
          <w:left w:val="single" w:sz="4" w:space="4" w:color="9BA1A5" w:themeColor="accent4"/>
          <w:bottom w:val="single" w:sz="4" w:space="1" w:color="9BA1A5" w:themeColor="accent4"/>
          <w:right w:val="single" w:sz="4" w:space="4" w:color="9BA1A5" w:themeColor="accent4"/>
        </w:pBdr>
        <w:shd w:val="clear" w:color="auto" w:fill="F2F2F2" w:themeFill="background2"/>
      </w:pPr>
      <w:r>
        <w:t>Point of sale (POS) data needed by retailers and supermarkets</w:t>
      </w:r>
    </w:p>
    <w:p w14:paraId="0A64D541" w14:textId="77777777" w:rsidR="00222FEC" w:rsidRDefault="00222FEC" w:rsidP="00CD031D">
      <w:pPr>
        <w:pStyle w:val="ListBullet1"/>
        <w:pBdr>
          <w:top w:val="single" w:sz="4" w:space="1" w:color="9BA1A5" w:themeColor="accent4"/>
          <w:left w:val="single" w:sz="4" w:space="4" w:color="9BA1A5" w:themeColor="accent4"/>
          <w:bottom w:val="single" w:sz="4" w:space="1" w:color="9BA1A5" w:themeColor="accent4"/>
          <w:right w:val="single" w:sz="4" w:space="4" w:color="9BA1A5" w:themeColor="accent4"/>
        </w:pBdr>
        <w:shd w:val="clear" w:color="auto" w:fill="F2F2F2" w:themeFill="background2"/>
      </w:pPr>
      <w:r>
        <w:t>Data used by sensors or robotic machines in high end manufacturers</w:t>
      </w:r>
    </w:p>
    <w:p w14:paraId="5955CBA5" w14:textId="77777777" w:rsidR="00222FEC" w:rsidRDefault="00222FEC" w:rsidP="00CD031D">
      <w:pPr>
        <w:pStyle w:val="ListBullet1"/>
        <w:pBdr>
          <w:top w:val="single" w:sz="4" w:space="1" w:color="9BA1A5" w:themeColor="accent4"/>
          <w:left w:val="single" w:sz="4" w:space="4" w:color="9BA1A5" w:themeColor="accent4"/>
          <w:bottom w:val="single" w:sz="4" w:space="1" w:color="9BA1A5" w:themeColor="accent4"/>
          <w:right w:val="single" w:sz="4" w:space="4" w:color="9BA1A5" w:themeColor="accent4"/>
        </w:pBdr>
        <w:shd w:val="clear" w:color="auto" w:fill="F2F2F2" w:themeFill="background2"/>
      </w:pPr>
      <w:r>
        <w:t>Architecture firms using data-intensive cloud-based applications in their design processes</w:t>
      </w:r>
    </w:p>
    <w:p w14:paraId="4B725926" w14:textId="77777777" w:rsidR="00222FEC" w:rsidRDefault="00222FEC" w:rsidP="00CD031D">
      <w:pPr>
        <w:pStyle w:val="ListBullet1"/>
        <w:pBdr>
          <w:top w:val="single" w:sz="4" w:space="1" w:color="9BA1A5" w:themeColor="accent4"/>
          <w:left w:val="single" w:sz="4" w:space="4" w:color="9BA1A5" w:themeColor="accent4"/>
          <w:bottom w:val="single" w:sz="4" w:space="1" w:color="9BA1A5" w:themeColor="accent4"/>
          <w:right w:val="single" w:sz="4" w:space="4" w:color="9BA1A5" w:themeColor="accent4"/>
        </w:pBdr>
        <w:shd w:val="clear" w:color="auto" w:fill="F2F2F2" w:themeFill="background2"/>
      </w:pPr>
      <w:r>
        <w:t>CRM applications used by front-of-house contact centre agents</w:t>
      </w:r>
    </w:p>
    <w:p w14:paraId="7CD2E955" w14:textId="77777777" w:rsidR="00222FEC" w:rsidRDefault="00222FEC" w:rsidP="00CD031D">
      <w:pPr>
        <w:pStyle w:val="ListBullet1"/>
        <w:pBdr>
          <w:top w:val="single" w:sz="4" w:space="1" w:color="9BA1A5" w:themeColor="accent4"/>
          <w:left w:val="single" w:sz="4" w:space="4" w:color="9BA1A5" w:themeColor="accent4"/>
          <w:bottom w:val="single" w:sz="4" w:space="1" w:color="9BA1A5" w:themeColor="accent4"/>
          <w:right w:val="single" w:sz="4" w:space="4" w:color="9BA1A5" w:themeColor="accent4"/>
        </w:pBdr>
        <w:shd w:val="clear" w:color="auto" w:fill="F2F2F2" w:themeFill="background2"/>
      </w:pPr>
      <w:r>
        <w:t>Design agencies, videographers, photographers etc regularly transferring large files</w:t>
      </w:r>
    </w:p>
    <w:p w14:paraId="424E5C9D" w14:textId="5DE3CB1D" w:rsidR="00222FEC" w:rsidRDefault="00222FEC" w:rsidP="00CD031D">
      <w:pPr>
        <w:pStyle w:val="BodyText"/>
        <w:pBdr>
          <w:top w:val="single" w:sz="4" w:space="1" w:color="9BA1A5" w:themeColor="accent4"/>
          <w:left w:val="single" w:sz="4" w:space="4" w:color="9BA1A5" w:themeColor="accent4"/>
          <w:bottom w:val="single" w:sz="4" w:space="1" w:color="9BA1A5" w:themeColor="accent4"/>
          <w:right w:val="single" w:sz="4" w:space="4" w:color="9BA1A5" w:themeColor="accent4"/>
        </w:pBdr>
        <w:shd w:val="clear" w:color="auto" w:fill="F2F2F2" w:themeFill="background2"/>
      </w:pPr>
      <w:r>
        <w:t>NBN Co further provides information to businesses about selecting products which best meet their needs. Business satellite services are described in further detail in section</w:t>
      </w:r>
      <w:r w:rsidR="000349F4">
        <w:t xml:space="preserve"> 1</w:t>
      </w:r>
      <w:r>
        <w:t>.</w:t>
      </w:r>
    </w:p>
    <w:p w14:paraId="1BF0B166" w14:textId="5343BAE4" w:rsidR="00222FEC" w:rsidRPr="00CD031D" w:rsidRDefault="00222FEC" w:rsidP="00CD031D">
      <w:pPr>
        <w:pStyle w:val="BodyText"/>
        <w:pBdr>
          <w:top w:val="single" w:sz="4" w:space="1" w:color="9BA1A5" w:themeColor="accent4"/>
          <w:left w:val="single" w:sz="4" w:space="4" w:color="9BA1A5" w:themeColor="accent4"/>
          <w:bottom w:val="single" w:sz="4" w:space="1" w:color="9BA1A5" w:themeColor="accent4"/>
          <w:right w:val="single" w:sz="4" w:space="4" w:color="9BA1A5" w:themeColor="accent4"/>
        </w:pBdr>
        <w:shd w:val="clear" w:color="auto" w:fill="F2F2F2" w:themeFill="background2"/>
        <w:rPr>
          <w:color w:val="374249" w:themeColor="text2"/>
        </w:rPr>
      </w:pPr>
      <w:r w:rsidRPr="00CD031D">
        <w:rPr>
          <w:i/>
          <w:color w:val="374249" w:themeColor="text2"/>
        </w:rPr>
        <w:t>Source: NBN Co</w:t>
      </w:r>
    </w:p>
    <w:p w14:paraId="0396E17C" w14:textId="77777777" w:rsidR="003A1834" w:rsidRDefault="003A1834" w:rsidP="00F47EF3">
      <w:pPr>
        <w:pStyle w:val="Heading4"/>
      </w:pPr>
      <w:r>
        <w:t>Business fibre initiative</w:t>
      </w:r>
    </w:p>
    <w:p w14:paraId="4E55006D" w14:textId="4F4C1E77" w:rsidR="003A1834" w:rsidRDefault="004C0F26" w:rsidP="00902F91">
      <w:pPr>
        <w:pStyle w:val="BodyText"/>
      </w:pPr>
      <w:r>
        <w:t xml:space="preserve">The </w:t>
      </w:r>
      <w:r w:rsidR="006167C5">
        <w:t>B</w:t>
      </w:r>
      <w:r>
        <w:t xml:space="preserve">usiness </w:t>
      </w:r>
      <w:r w:rsidR="006167C5">
        <w:t>F</w:t>
      </w:r>
      <w:r>
        <w:t xml:space="preserve">ibre </w:t>
      </w:r>
      <w:r w:rsidR="006167C5">
        <w:t>I</w:t>
      </w:r>
      <w:r>
        <w:t xml:space="preserve">nitiative </w:t>
      </w:r>
      <w:r w:rsidR="00835D8F">
        <w:t>has resulted in</w:t>
      </w:r>
      <w:r w:rsidR="00580C02">
        <w:t xml:space="preserve"> substantial discounts for business customers. </w:t>
      </w:r>
      <w:r w:rsidR="00902F91">
        <w:t xml:space="preserve">These are summarised in </w:t>
      </w:r>
      <w:r w:rsidR="005D0C86">
        <w:rPr>
          <w:b/>
          <w:bCs/>
        </w:rPr>
        <w:fldChar w:fldCharType="begin"/>
      </w:r>
      <w:r w:rsidR="005D0C86">
        <w:instrText xml:space="preserve"> REF _Ref79503520 \r \h </w:instrText>
      </w:r>
      <w:r w:rsidR="005D0C86">
        <w:rPr>
          <w:b/>
          <w:bCs/>
        </w:rPr>
      </w:r>
      <w:r w:rsidR="005D0C86">
        <w:rPr>
          <w:b/>
          <w:bCs/>
        </w:rPr>
        <w:fldChar w:fldCharType="separate"/>
      </w:r>
      <w:r w:rsidR="00DD5715">
        <w:t>Box 2</w:t>
      </w:r>
      <w:r w:rsidR="005D0C86">
        <w:rPr>
          <w:b/>
          <w:bCs/>
        </w:rPr>
        <w:fldChar w:fldCharType="end"/>
      </w:r>
      <w:r w:rsidR="00902F91">
        <w:t>.</w:t>
      </w:r>
    </w:p>
    <w:p w14:paraId="3F597FC1" w14:textId="77777777" w:rsidR="00CD031D" w:rsidRDefault="00CD031D" w:rsidP="00CD031D">
      <w:pPr>
        <w:pStyle w:val="CalloutBoxcaption"/>
        <w:keepNext/>
        <w:pBdr>
          <w:top w:val="single" w:sz="4" w:space="1" w:color="9BA1A5" w:themeColor="accent4"/>
          <w:left w:val="single" w:sz="4" w:space="4" w:color="9BA1A5" w:themeColor="accent4"/>
          <w:bottom w:val="single" w:sz="4" w:space="1" w:color="9BA1A5" w:themeColor="accent4"/>
          <w:right w:val="single" w:sz="4" w:space="4" w:color="9BA1A5" w:themeColor="accent4"/>
        </w:pBdr>
        <w:shd w:val="clear" w:color="auto" w:fill="F2F2F2" w:themeFill="background2"/>
        <w:tabs>
          <w:tab w:val="num" w:pos="360"/>
        </w:tabs>
        <w:jc w:val="left"/>
      </w:pPr>
      <w:bookmarkStart w:id="38" w:name="_Ref79503520"/>
      <w:bookmarkStart w:id="39" w:name="_Toc79585092"/>
      <w:r w:rsidRPr="00C55545">
        <w:rPr>
          <w:b/>
          <w:bCs/>
        </w:rPr>
        <w:lastRenderedPageBreak/>
        <w:t>:</w:t>
      </w:r>
      <w:r>
        <w:t xml:space="preserve"> Price discounts in Business Fibre Zones – from September 2020</w:t>
      </w:r>
      <w:r>
        <w:rPr>
          <w:rStyle w:val="FootnoteReference"/>
        </w:rPr>
        <w:footnoteReference w:id="3"/>
      </w:r>
      <w:bookmarkEnd w:id="38"/>
      <w:bookmarkEnd w:id="39"/>
    </w:p>
    <w:p w14:paraId="489D8CE6" w14:textId="77777777" w:rsidR="00CD031D" w:rsidRDefault="00CD031D" w:rsidP="00CD031D">
      <w:pPr>
        <w:pStyle w:val="BodyText"/>
        <w:pBdr>
          <w:top w:val="single" w:sz="4" w:space="1" w:color="9BA1A5" w:themeColor="accent4"/>
          <w:left w:val="single" w:sz="4" w:space="4" w:color="9BA1A5" w:themeColor="accent4"/>
          <w:bottom w:val="single" w:sz="4" w:space="1" w:color="9BA1A5" w:themeColor="accent4"/>
          <w:right w:val="single" w:sz="4" w:space="4" w:color="9BA1A5" w:themeColor="accent4"/>
        </w:pBdr>
        <w:shd w:val="clear" w:color="auto" w:fill="F2F2F2" w:themeFill="background2"/>
      </w:pPr>
      <w:r>
        <w:t>From September 2020, NBN Co has substantially discounted and rationalised wholesale prices for its Enterprise Ethernet services in Business Fibre Zones. The following Figure highlights that the discounts differ both by the location of the zone and the speed of the service:</w:t>
      </w:r>
    </w:p>
    <w:p w14:paraId="5F333137" w14:textId="77777777" w:rsidR="00CD031D" w:rsidRDefault="00CD031D" w:rsidP="00CD031D">
      <w:pPr>
        <w:pStyle w:val="ListBullet1"/>
        <w:pBdr>
          <w:top w:val="single" w:sz="4" w:space="1" w:color="9BA1A5" w:themeColor="accent4"/>
          <w:left w:val="single" w:sz="4" w:space="4" w:color="9BA1A5" w:themeColor="accent4"/>
          <w:bottom w:val="single" w:sz="4" w:space="1" w:color="9BA1A5" w:themeColor="accent4"/>
          <w:right w:val="single" w:sz="4" w:space="4" w:color="9BA1A5" w:themeColor="accent4"/>
        </w:pBdr>
        <w:shd w:val="clear" w:color="auto" w:fill="F2F2F2" w:themeFill="background2"/>
      </w:pPr>
      <w:r>
        <w:t>NBN Co categorises the Business Fibre Zones into different zones which effectively reflect the remoteness of the zone from CBD areas. Zone 3 was previously the most expensive zone, so the move to ‘CBD equivalent’ pricing has resulted in the largest price discounts in these areas (with all services at speeds below 250mbps receiving price discounts of more than 60%).</w:t>
      </w:r>
    </w:p>
    <w:p w14:paraId="49F3E6C4" w14:textId="77777777" w:rsidR="00CD031D" w:rsidRDefault="00CD031D" w:rsidP="00CD031D">
      <w:pPr>
        <w:pStyle w:val="ListBullet1"/>
        <w:pBdr>
          <w:top w:val="single" w:sz="4" w:space="1" w:color="9BA1A5" w:themeColor="accent4"/>
          <w:left w:val="single" w:sz="4" w:space="4" w:color="9BA1A5" w:themeColor="accent4"/>
          <w:bottom w:val="single" w:sz="4" w:space="1" w:color="9BA1A5" w:themeColor="accent4"/>
          <w:right w:val="single" w:sz="4" w:space="4" w:color="9BA1A5" w:themeColor="accent4"/>
        </w:pBdr>
        <w:shd w:val="clear" w:color="auto" w:fill="F2F2F2" w:themeFill="background2"/>
      </w:pPr>
      <w:r>
        <w:t>Services below 250mbps have received price discounts regardless of zone.</w:t>
      </w:r>
    </w:p>
    <w:p w14:paraId="2CE8DA9A" w14:textId="77777777" w:rsidR="00CD031D" w:rsidRDefault="00CD031D" w:rsidP="00CD031D">
      <w:pPr>
        <w:pBdr>
          <w:top w:val="single" w:sz="4" w:space="1" w:color="9BA1A5" w:themeColor="accent4"/>
          <w:left w:val="single" w:sz="4" w:space="4" w:color="9BA1A5" w:themeColor="accent4"/>
          <w:bottom w:val="single" w:sz="4" w:space="1" w:color="9BA1A5" w:themeColor="accent4"/>
          <w:right w:val="single" w:sz="4" w:space="4" w:color="9BA1A5" w:themeColor="accent4"/>
        </w:pBdr>
        <w:shd w:val="clear" w:color="auto" w:fill="F2F2F2" w:themeFill="background2"/>
      </w:pPr>
      <w:r>
        <w:rPr>
          <w:noProof/>
          <w:lang w:eastAsia="en-AU"/>
        </w:rPr>
        <w:drawing>
          <wp:inline distT="0" distB="0" distL="0" distR="0" wp14:anchorId="01187BE4" wp14:editId="23558EBB">
            <wp:extent cx="5467200" cy="3228975"/>
            <wp:effectExtent l="0" t="0" r="635" b="0"/>
            <wp:docPr id="257" name="Picture 257" descr="The four charts in this figure show the extent of pricing reductions in the 4 categories of zones. In the CBD zone, discounts vary by speed and are largest at 250mbps. In zone 1, discounts are up to 40%. In Zone 2, discounts are up to 50%. In Zone 3, discounts are up to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Picture 257" descr="The four charts in this figure show the extent of pricing reductions in the 4 categories of zones. In the CBD zone, discounts vary by speed and are largest at 250mbps. In zone 1, discounts are up to 40%. In Zone 2, discounts are up to 50%. In Zone 3, discounts are up to 6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475158" cy="3233675"/>
                    </a:xfrm>
                    <a:prstGeom prst="rect">
                      <a:avLst/>
                    </a:prstGeom>
                    <a:noFill/>
                  </pic:spPr>
                </pic:pic>
              </a:graphicData>
            </a:graphic>
          </wp:inline>
        </w:drawing>
      </w:r>
    </w:p>
    <w:p w14:paraId="7C1700E9" w14:textId="77777777" w:rsidR="00CD031D" w:rsidRDefault="00CD031D" w:rsidP="00CD031D">
      <w:pPr>
        <w:pStyle w:val="BodyText"/>
        <w:pBdr>
          <w:top w:val="single" w:sz="4" w:space="1" w:color="9BA1A5" w:themeColor="accent4"/>
          <w:left w:val="single" w:sz="4" w:space="4" w:color="9BA1A5" w:themeColor="accent4"/>
          <w:bottom w:val="single" w:sz="4" w:space="1" w:color="9BA1A5" w:themeColor="accent4"/>
          <w:right w:val="single" w:sz="4" w:space="4" w:color="9BA1A5" w:themeColor="accent4"/>
        </w:pBdr>
        <w:shd w:val="clear" w:color="auto" w:fill="F2F2F2" w:themeFill="background2"/>
      </w:pPr>
      <w:r>
        <w:t xml:space="preserve">Additionally, the price discounts are different by the class of service, with the lower class of service receiving larger discounts (reflected in the figure above for </w:t>
      </w:r>
      <w:proofErr w:type="spellStart"/>
      <w:r>
        <w:t>CoS</w:t>
      </w:r>
      <w:proofErr w:type="spellEnd"/>
      <w:r>
        <w:t xml:space="preserve">-L). </w:t>
      </w:r>
    </w:p>
    <w:p w14:paraId="3D74E5B8" w14:textId="198AE8FA" w:rsidR="00CD031D" w:rsidRPr="00CD031D" w:rsidRDefault="00CD031D" w:rsidP="00CD031D">
      <w:pPr>
        <w:pStyle w:val="BodyText"/>
        <w:pBdr>
          <w:top w:val="single" w:sz="4" w:space="1" w:color="9BA1A5" w:themeColor="accent4"/>
          <w:left w:val="single" w:sz="4" w:space="4" w:color="9BA1A5" w:themeColor="accent4"/>
          <w:bottom w:val="single" w:sz="4" w:space="1" w:color="9BA1A5" w:themeColor="accent4"/>
          <w:right w:val="single" w:sz="4" w:space="4" w:color="9BA1A5" w:themeColor="accent4"/>
        </w:pBdr>
        <w:shd w:val="clear" w:color="auto" w:fill="F2F2F2" w:themeFill="background2"/>
        <w:rPr>
          <w:color w:val="374249" w:themeColor="text2"/>
        </w:rPr>
      </w:pPr>
      <w:r w:rsidRPr="00CD031D">
        <w:rPr>
          <w:i/>
          <w:color w:val="374249" w:themeColor="text2"/>
        </w:rPr>
        <w:t>Source: NBN Co</w:t>
      </w:r>
    </w:p>
    <w:p w14:paraId="48438F86" w14:textId="77777777" w:rsidR="0045297D" w:rsidRDefault="0045297D" w:rsidP="00CD031D">
      <w:pPr>
        <w:pStyle w:val="Heading4"/>
      </w:pPr>
      <w:r>
        <w:t>Business satellite services</w:t>
      </w:r>
    </w:p>
    <w:p w14:paraId="62E5F5AC" w14:textId="77777777" w:rsidR="0045297D" w:rsidRPr="0045297D" w:rsidRDefault="00656462" w:rsidP="00E47D9D">
      <w:pPr>
        <w:pStyle w:val="BodyText"/>
      </w:pPr>
      <w:r>
        <w:t xml:space="preserve">The Sky Muster satellite service provides high speed broadband to all Australia through 101 spot beams.  </w:t>
      </w:r>
      <w:r w:rsidR="003B399C">
        <w:t xml:space="preserve">In March 2021, NBN Co further announced </w:t>
      </w:r>
      <w:r w:rsidR="003B399C" w:rsidRPr="003B399C">
        <w:t xml:space="preserve">plans to expand </w:t>
      </w:r>
      <w:r>
        <w:t>the number of</w:t>
      </w:r>
      <w:r w:rsidR="003B399C" w:rsidRPr="003B399C">
        <w:t xml:space="preserve"> satellite beams </w:t>
      </w:r>
      <w:r>
        <w:t>that provided access to</w:t>
      </w:r>
      <w:r w:rsidR="003B399C" w:rsidRPr="003B399C">
        <w:t xml:space="preserve"> its business satellite service (BSS)</w:t>
      </w:r>
      <w:r w:rsidR="009C3828">
        <w:t>.</w:t>
      </w:r>
      <w:r w:rsidR="003B399C" w:rsidRPr="003B399C">
        <w:t xml:space="preserve"> </w:t>
      </w:r>
      <w:r w:rsidR="003910B3">
        <w:t>These</w:t>
      </w:r>
      <w:r w:rsidR="009C3828">
        <w:t xml:space="preserve"> services will</w:t>
      </w:r>
      <w:r w:rsidR="003B399C" w:rsidRPr="003B399C">
        <w:t xml:space="preserve"> cover 100 per cent of the Australian mainland and surrounding large islands to help retail service providers deliver business-grade services to businesses with remote operations.</w:t>
      </w:r>
      <w:r w:rsidR="005833E2">
        <w:t xml:space="preserve"> </w:t>
      </w:r>
      <w:r w:rsidR="00E47D9D">
        <w:t xml:space="preserve">Along with enhanced coverage, </w:t>
      </w:r>
      <w:r w:rsidR="003910B3">
        <w:t>NBN Co</w:t>
      </w:r>
      <w:r w:rsidR="00E47D9D">
        <w:t xml:space="preserve"> </w:t>
      </w:r>
      <w:r w:rsidR="003910B3">
        <w:t>has</w:t>
      </w:r>
      <w:r w:rsidR="00E47D9D">
        <w:t xml:space="preserve"> </w:t>
      </w:r>
      <w:r w:rsidR="003910B3">
        <w:t>also</w:t>
      </w:r>
      <w:r w:rsidR="00E47D9D">
        <w:t xml:space="preserve"> </w:t>
      </w:r>
      <w:r w:rsidR="00F101B5">
        <w:t xml:space="preserve">discounted </w:t>
      </w:r>
      <w:r w:rsidR="003910B3">
        <w:t>its</w:t>
      </w:r>
      <w:r w:rsidR="00E47D9D">
        <w:t xml:space="preserve"> wholesale price by approximately 40 per cent for the </w:t>
      </w:r>
      <w:r w:rsidR="006E785D">
        <w:t>key business services</w:t>
      </w:r>
      <w:r w:rsidR="00E47D9D">
        <w:t>.</w:t>
      </w:r>
      <w:r w:rsidR="00181A0F">
        <w:t xml:space="preserve"> </w:t>
      </w:r>
    </w:p>
    <w:p w14:paraId="2B0EBA34" w14:textId="77777777" w:rsidR="00E855CB" w:rsidRDefault="00D97DE5" w:rsidP="00D31AC9">
      <w:pPr>
        <w:pStyle w:val="Heading4"/>
      </w:pPr>
      <w:r>
        <w:lastRenderedPageBreak/>
        <w:t>Businesses in Australia make use of broadband internet, but not necessarily business grade internet</w:t>
      </w:r>
    </w:p>
    <w:p w14:paraId="6F0A13E3" w14:textId="77777777" w:rsidR="000A4891" w:rsidRPr="000A4891" w:rsidRDefault="000A4891" w:rsidP="000A4891">
      <w:pPr>
        <w:pStyle w:val="BodyText"/>
      </w:pPr>
      <w:r>
        <w:t>The network upgrades and business fibre initiatives can be seen in the conte</w:t>
      </w:r>
      <w:r w:rsidR="004C10CD">
        <w:t>x</w:t>
      </w:r>
      <w:r>
        <w:t>t of internet use by Australian businesses. A</w:t>
      </w:r>
      <w:r w:rsidR="00BC1863">
        <w:t>ustralian Bureau of Statistics (A</w:t>
      </w:r>
      <w:r>
        <w:t>BS</w:t>
      </w:r>
      <w:r w:rsidR="00BC1863">
        <w:t>)</w:t>
      </w:r>
      <w:r>
        <w:t xml:space="preserve"> data indicates that</w:t>
      </w:r>
      <w:r w:rsidR="00FF036B">
        <w:t>:</w:t>
      </w:r>
    </w:p>
    <w:p w14:paraId="70A9D1BD" w14:textId="77777777" w:rsidR="007457EE" w:rsidRDefault="007457EE" w:rsidP="007457EE">
      <w:pPr>
        <w:pStyle w:val="ListBullet1"/>
      </w:pPr>
      <w:r>
        <w:t>19 in 20 businesses have internet access</w:t>
      </w:r>
    </w:p>
    <w:p w14:paraId="3DE03D9D" w14:textId="4CFB4E60" w:rsidR="00646BE7" w:rsidRPr="007457EE" w:rsidRDefault="00FF036B" w:rsidP="007457EE">
      <w:pPr>
        <w:pStyle w:val="ListBullet1"/>
      </w:pPr>
      <w:proofErr w:type="gramStart"/>
      <w:r>
        <w:t>almost</w:t>
      </w:r>
      <w:proofErr w:type="gramEnd"/>
      <w:r>
        <w:t xml:space="preserve"> </w:t>
      </w:r>
      <w:r w:rsidR="00646BE7">
        <w:t>all of these access the internet using a broadband service, and this has been true for a number of years</w:t>
      </w:r>
      <w:r>
        <w:t xml:space="preserve"> (see </w:t>
      </w:r>
      <w:r>
        <w:fldChar w:fldCharType="begin"/>
      </w:r>
      <w:r>
        <w:instrText xml:space="preserve"> REF _Ref74154035 \h </w:instrText>
      </w:r>
      <w:r>
        <w:fldChar w:fldCharType="separate"/>
      </w:r>
      <w:r w:rsidR="00DD5715" w:rsidRPr="00603BC1">
        <w:rPr>
          <w:rStyle w:val="Bold"/>
        </w:rPr>
        <w:t xml:space="preserve">Table </w:t>
      </w:r>
      <w:r w:rsidR="00DD5715">
        <w:rPr>
          <w:rStyle w:val="Bold"/>
          <w:noProof/>
        </w:rPr>
        <w:t>2</w:t>
      </w:r>
      <w:r>
        <w:fldChar w:fldCharType="end"/>
      </w:r>
      <w:r>
        <w:t>).</w:t>
      </w:r>
    </w:p>
    <w:p w14:paraId="5EA896E9" w14:textId="4846776C" w:rsidR="007762D9" w:rsidRDefault="007762D9" w:rsidP="009645AD">
      <w:pPr>
        <w:pStyle w:val="Caption"/>
      </w:pPr>
      <w:bookmarkStart w:id="40" w:name="_Ref74154035"/>
      <w:bookmarkStart w:id="41" w:name="_Toc74574333"/>
      <w:bookmarkStart w:id="42" w:name="_Toc79585050"/>
      <w:r w:rsidRPr="00603BC1">
        <w:rPr>
          <w:rStyle w:val="Bold"/>
        </w:rPr>
        <w:t xml:space="preserve">Table </w:t>
      </w:r>
      <w:r w:rsidRPr="00603BC1">
        <w:rPr>
          <w:rStyle w:val="Bold"/>
        </w:rPr>
        <w:fldChar w:fldCharType="begin"/>
      </w:r>
      <w:r w:rsidRPr="00603BC1">
        <w:rPr>
          <w:rStyle w:val="Bold"/>
        </w:rPr>
        <w:instrText xml:space="preserve"> SEQ Table \* ARABIC </w:instrText>
      </w:r>
      <w:r w:rsidRPr="00603BC1">
        <w:rPr>
          <w:rStyle w:val="Bold"/>
        </w:rPr>
        <w:fldChar w:fldCharType="separate"/>
      </w:r>
      <w:r w:rsidR="00DD5715">
        <w:rPr>
          <w:rStyle w:val="Bold"/>
          <w:noProof/>
        </w:rPr>
        <w:t>2</w:t>
      </w:r>
      <w:r w:rsidRPr="00603BC1">
        <w:rPr>
          <w:rStyle w:val="Bold"/>
        </w:rPr>
        <w:fldChar w:fldCharType="end"/>
      </w:r>
      <w:bookmarkEnd w:id="40"/>
      <w:r w:rsidRPr="00603BC1">
        <w:rPr>
          <w:rStyle w:val="Bold"/>
        </w:rPr>
        <w:t>:</w:t>
      </w:r>
      <w:r>
        <w:t xml:space="preserve"> </w:t>
      </w:r>
      <w:r w:rsidR="00EF5368">
        <w:t>Use of broadband internet in Australian businesses</w:t>
      </w:r>
      <w:bookmarkEnd w:id="41"/>
      <w:bookmarkEnd w:id="42"/>
    </w:p>
    <w:tbl>
      <w:tblPr>
        <w:tblStyle w:val="FETableStyle"/>
        <w:tblW w:w="5000" w:type="pct"/>
        <w:tblLayout w:type="fixed"/>
        <w:tblLook w:val="0420" w:firstRow="1" w:lastRow="0" w:firstColumn="0" w:lastColumn="0" w:noHBand="0" w:noVBand="1"/>
        <w:tblCaption w:val="Use of broadband internet in Australian businesses"/>
        <w:tblDescription w:val="Table 2 sets out the use of broadband internet in Australian businesses. "/>
      </w:tblPr>
      <w:tblGrid>
        <w:gridCol w:w="5103"/>
        <w:gridCol w:w="991"/>
        <w:gridCol w:w="992"/>
        <w:gridCol w:w="992"/>
        <w:gridCol w:w="992"/>
      </w:tblGrid>
      <w:tr w:rsidR="00CD031D" w:rsidRPr="00657B24" w14:paraId="74F72566" w14:textId="77777777" w:rsidTr="007D0AB4">
        <w:trPr>
          <w:cnfStyle w:val="100000000000" w:firstRow="1" w:lastRow="0" w:firstColumn="0" w:lastColumn="0" w:oddVBand="0" w:evenVBand="0" w:oddHBand="0" w:evenHBand="0" w:firstRowFirstColumn="0" w:firstRowLastColumn="0" w:lastRowFirstColumn="0" w:lastRowLastColumn="0"/>
          <w:tblHeader/>
        </w:trPr>
        <w:tc>
          <w:tcPr>
            <w:tcW w:w="5103" w:type="dxa"/>
            <w:noWrap/>
            <w:hideMark/>
          </w:tcPr>
          <w:p w14:paraId="47EF26B9" w14:textId="5B8D2CF2" w:rsidR="00CD031D" w:rsidRPr="00657B24" w:rsidRDefault="007D0AB4" w:rsidP="00EF1C88">
            <w:pPr>
              <w:pStyle w:val="TableHeading"/>
              <w:spacing w:before="0" w:after="0"/>
              <w:rPr>
                <w:b/>
              </w:rPr>
            </w:pPr>
            <w:r>
              <w:rPr>
                <w:b/>
              </w:rPr>
              <w:t>Category</w:t>
            </w:r>
          </w:p>
        </w:tc>
        <w:tc>
          <w:tcPr>
            <w:tcW w:w="991" w:type="dxa"/>
            <w:noWrap/>
            <w:hideMark/>
          </w:tcPr>
          <w:p w14:paraId="3CAD7042" w14:textId="77777777" w:rsidR="00CD031D" w:rsidRPr="00657B24" w:rsidRDefault="00CD031D" w:rsidP="00EF1C88">
            <w:pPr>
              <w:pStyle w:val="TableHeading"/>
              <w:spacing w:before="0" w:after="0"/>
              <w:rPr>
                <w:b/>
              </w:rPr>
            </w:pPr>
            <w:r w:rsidRPr="00657B24">
              <w:rPr>
                <w:b/>
              </w:rPr>
              <w:t>Unit</w:t>
            </w:r>
          </w:p>
        </w:tc>
        <w:tc>
          <w:tcPr>
            <w:tcW w:w="992" w:type="dxa"/>
            <w:noWrap/>
            <w:hideMark/>
          </w:tcPr>
          <w:p w14:paraId="64B860C7" w14:textId="77777777" w:rsidR="00CD031D" w:rsidRPr="00657B24" w:rsidRDefault="00CD031D" w:rsidP="00EF1C88">
            <w:pPr>
              <w:pStyle w:val="TableHeading"/>
              <w:spacing w:before="0" w:after="0"/>
              <w:rPr>
                <w:b/>
              </w:rPr>
            </w:pPr>
            <w:r w:rsidRPr="00657B24">
              <w:rPr>
                <w:b/>
              </w:rPr>
              <w:t>2014-15</w:t>
            </w:r>
          </w:p>
        </w:tc>
        <w:tc>
          <w:tcPr>
            <w:tcW w:w="992" w:type="dxa"/>
            <w:noWrap/>
            <w:hideMark/>
          </w:tcPr>
          <w:p w14:paraId="1065931B" w14:textId="77777777" w:rsidR="00CD031D" w:rsidRPr="00657B24" w:rsidRDefault="00CD031D" w:rsidP="00EF1C88">
            <w:pPr>
              <w:pStyle w:val="TableHeading"/>
              <w:spacing w:before="0" w:after="0"/>
              <w:rPr>
                <w:b/>
              </w:rPr>
            </w:pPr>
            <w:r w:rsidRPr="00657B24">
              <w:rPr>
                <w:b/>
              </w:rPr>
              <w:t>2015-16</w:t>
            </w:r>
          </w:p>
        </w:tc>
        <w:tc>
          <w:tcPr>
            <w:tcW w:w="992" w:type="dxa"/>
            <w:noWrap/>
            <w:hideMark/>
          </w:tcPr>
          <w:p w14:paraId="23C91A00" w14:textId="77777777" w:rsidR="00CD031D" w:rsidRPr="00657B24" w:rsidRDefault="00CD031D" w:rsidP="00EF1C88">
            <w:pPr>
              <w:pStyle w:val="TableHeading"/>
              <w:spacing w:before="0" w:after="0"/>
              <w:rPr>
                <w:b/>
              </w:rPr>
            </w:pPr>
            <w:r w:rsidRPr="00657B24">
              <w:rPr>
                <w:b/>
              </w:rPr>
              <w:t>2016-17</w:t>
            </w:r>
          </w:p>
        </w:tc>
      </w:tr>
      <w:tr w:rsidR="00BC1863" w:rsidRPr="00657B24" w14:paraId="2256E860" w14:textId="77777777" w:rsidTr="00355977">
        <w:trPr>
          <w:cnfStyle w:val="000000100000" w:firstRow="0" w:lastRow="0" w:firstColumn="0" w:lastColumn="0" w:oddVBand="0" w:evenVBand="0" w:oddHBand="1" w:evenHBand="0" w:firstRowFirstColumn="0" w:firstRowLastColumn="0" w:lastRowFirstColumn="0" w:lastRowLastColumn="0"/>
        </w:trPr>
        <w:tc>
          <w:tcPr>
            <w:tcW w:w="5103" w:type="dxa"/>
            <w:noWrap/>
            <w:hideMark/>
          </w:tcPr>
          <w:p w14:paraId="4862AB1F" w14:textId="77777777" w:rsidR="00BC1863" w:rsidRPr="00657B24" w:rsidRDefault="00BC1863" w:rsidP="00EF1C88">
            <w:pPr>
              <w:pStyle w:val="TableText"/>
              <w:spacing w:before="0" w:after="0"/>
            </w:pPr>
            <w:r w:rsidRPr="00657B24">
              <w:t>Estimated number of businesses</w:t>
            </w:r>
          </w:p>
        </w:tc>
        <w:tc>
          <w:tcPr>
            <w:tcW w:w="991" w:type="dxa"/>
            <w:noWrap/>
            <w:hideMark/>
          </w:tcPr>
          <w:p w14:paraId="0C4BA1DA" w14:textId="77777777" w:rsidR="00BC1863" w:rsidRPr="00657B24" w:rsidRDefault="00BC1863" w:rsidP="00EF1C88">
            <w:pPr>
              <w:pStyle w:val="TableText"/>
              <w:spacing w:before="0" w:after="0"/>
            </w:pPr>
            <w:r w:rsidRPr="00657B24">
              <w:t>'000</w:t>
            </w:r>
          </w:p>
        </w:tc>
        <w:tc>
          <w:tcPr>
            <w:tcW w:w="992" w:type="dxa"/>
            <w:noWrap/>
            <w:hideMark/>
          </w:tcPr>
          <w:p w14:paraId="4C8CD6A7" w14:textId="77777777" w:rsidR="00BC1863" w:rsidRPr="00657B24" w:rsidRDefault="00BC1863" w:rsidP="00EF1C88">
            <w:pPr>
              <w:pStyle w:val="TableText"/>
              <w:spacing w:before="0" w:after="0"/>
            </w:pPr>
            <w:r w:rsidRPr="00657B24">
              <w:t>776</w:t>
            </w:r>
          </w:p>
        </w:tc>
        <w:tc>
          <w:tcPr>
            <w:tcW w:w="992" w:type="dxa"/>
            <w:noWrap/>
            <w:hideMark/>
          </w:tcPr>
          <w:p w14:paraId="52138FD2" w14:textId="77777777" w:rsidR="00BC1863" w:rsidRPr="00657B24" w:rsidRDefault="00BC1863" w:rsidP="00EF1C88">
            <w:pPr>
              <w:pStyle w:val="TableText"/>
              <w:spacing w:before="0" w:after="0"/>
            </w:pPr>
            <w:r w:rsidRPr="00657B24">
              <w:t>799</w:t>
            </w:r>
          </w:p>
        </w:tc>
        <w:tc>
          <w:tcPr>
            <w:tcW w:w="992" w:type="dxa"/>
            <w:noWrap/>
            <w:hideMark/>
          </w:tcPr>
          <w:p w14:paraId="53814C3F" w14:textId="77777777" w:rsidR="00BC1863" w:rsidRPr="00657B24" w:rsidRDefault="00BC1863" w:rsidP="00EF1C88">
            <w:pPr>
              <w:pStyle w:val="TableText"/>
              <w:spacing w:before="0" w:after="0"/>
            </w:pPr>
            <w:r w:rsidRPr="00657B24">
              <w:t>831</w:t>
            </w:r>
          </w:p>
        </w:tc>
      </w:tr>
      <w:tr w:rsidR="00CD031D" w:rsidRPr="00657B24" w14:paraId="1D3E3458" w14:textId="77777777" w:rsidTr="00F22C75">
        <w:trPr>
          <w:cnfStyle w:val="000000010000" w:firstRow="0" w:lastRow="0" w:firstColumn="0" w:lastColumn="0" w:oddVBand="0" w:evenVBand="0" w:oddHBand="0" w:evenHBand="1" w:firstRowFirstColumn="0" w:firstRowLastColumn="0" w:lastRowFirstColumn="0" w:lastRowLastColumn="0"/>
        </w:trPr>
        <w:tc>
          <w:tcPr>
            <w:tcW w:w="5103" w:type="dxa"/>
            <w:noWrap/>
            <w:hideMark/>
          </w:tcPr>
          <w:p w14:paraId="353A2082" w14:textId="2E5D9F9B" w:rsidR="00CD031D" w:rsidRPr="00657B24" w:rsidRDefault="00CD031D" w:rsidP="00CD031D">
            <w:pPr>
              <w:pStyle w:val="TableText"/>
              <w:spacing w:before="0" w:after="0"/>
            </w:pPr>
            <w:r w:rsidRPr="00657B24">
              <w:t>Businesses with</w:t>
            </w:r>
            <w:r>
              <w:t xml:space="preserve"> </w:t>
            </w:r>
            <w:r w:rsidRPr="00657B24">
              <w:t>internet access</w:t>
            </w:r>
          </w:p>
        </w:tc>
        <w:tc>
          <w:tcPr>
            <w:tcW w:w="991" w:type="dxa"/>
            <w:noWrap/>
            <w:hideMark/>
          </w:tcPr>
          <w:p w14:paraId="11FDF1C6" w14:textId="77777777" w:rsidR="00CD031D" w:rsidRPr="00657B24" w:rsidRDefault="00CD031D" w:rsidP="00EF1C88">
            <w:pPr>
              <w:pStyle w:val="TableText"/>
              <w:spacing w:before="0" w:after="0"/>
            </w:pPr>
            <w:r w:rsidRPr="00657B24">
              <w:t>%</w:t>
            </w:r>
          </w:p>
        </w:tc>
        <w:tc>
          <w:tcPr>
            <w:tcW w:w="992" w:type="dxa"/>
            <w:noWrap/>
            <w:hideMark/>
          </w:tcPr>
          <w:p w14:paraId="5630E489" w14:textId="77777777" w:rsidR="00CD031D" w:rsidRPr="007457EE" w:rsidRDefault="00CD031D" w:rsidP="00EF1C88">
            <w:pPr>
              <w:pStyle w:val="TableText"/>
              <w:spacing w:before="0" w:after="0"/>
              <w:rPr>
                <w:b/>
                <w:bCs/>
              </w:rPr>
            </w:pPr>
            <w:r w:rsidRPr="007457EE">
              <w:rPr>
                <w:b/>
                <w:bCs/>
              </w:rPr>
              <w:t>94.8</w:t>
            </w:r>
          </w:p>
        </w:tc>
        <w:tc>
          <w:tcPr>
            <w:tcW w:w="992" w:type="dxa"/>
            <w:noWrap/>
            <w:hideMark/>
          </w:tcPr>
          <w:p w14:paraId="2CBC5109" w14:textId="77777777" w:rsidR="00CD031D" w:rsidRPr="007457EE" w:rsidRDefault="00CD031D" w:rsidP="00EF1C88">
            <w:pPr>
              <w:pStyle w:val="TableText"/>
              <w:spacing w:before="0" w:after="0"/>
              <w:rPr>
                <w:b/>
                <w:bCs/>
              </w:rPr>
            </w:pPr>
            <w:r w:rsidRPr="007457EE">
              <w:rPr>
                <w:b/>
                <w:bCs/>
              </w:rPr>
              <w:t>95.3</w:t>
            </w:r>
          </w:p>
        </w:tc>
        <w:tc>
          <w:tcPr>
            <w:tcW w:w="992" w:type="dxa"/>
            <w:noWrap/>
            <w:hideMark/>
          </w:tcPr>
          <w:p w14:paraId="4F7D8403" w14:textId="77777777" w:rsidR="00CD031D" w:rsidRPr="007457EE" w:rsidRDefault="00CD031D" w:rsidP="00EF1C88">
            <w:pPr>
              <w:pStyle w:val="TableText"/>
              <w:spacing w:before="0" w:after="0"/>
              <w:rPr>
                <w:b/>
                <w:bCs/>
              </w:rPr>
            </w:pPr>
            <w:r w:rsidRPr="007457EE">
              <w:rPr>
                <w:b/>
                <w:bCs/>
              </w:rPr>
              <w:t>95.4</w:t>
            </w:r>
          </w:p>
        </w:tc>
      </w:tr>
      <w:tr w:rsidR="00CD031D" w:rsidRPr="00657B24" w14:paraId="52B89F6B" w14:textId="77777777" w:rsidTr="00F22C75">
        <w:trPr>
          <w:cnfStyle w:val="000000100000" w:firstRow="0" w:lastRow="0" w:firstColumn="0" w:lastColumn="0" w:oddVBand="0" w:evenVBand="0" w:oddHBand="1" w:evenHBand="0" w:firstRowFirstColumn="0" w:firstRowLastColumn="0" w:lastRowFirstColumn="0" w:lastRowLastColumn="0"/>
        </w:trPr>
        <w:tc>
          <w:tcPr>
            <w:tcW w:w="5103" w:type="dxa"/>
            <w:noWrap/>
            <w:hideMark/>
          </w:tcPr>
          <w:p w14:paraId="7B01C01B" w14:textId="7C498369" w:rsidR="00CD031D" w:rsidRPr="00657B24" w:rsidRDefault="007D0AB4" w:rsidP="00EF1C88">
            <w:pPr>
              <w:pStyle w:val="TableText"/>
              <w:spacing w:before="0" w:after="0"/>
            </w:pPr>
            <w:r>
              <w:t xml:space="preserve">Businesses with </w:t>
            </w:r>
            <w:r w:rsidR="00CD031D" w:rsidRPr="00657B24">
              <w:t>web presence</w:t>
            </w:r>
          </w:p>
        </w:tc>
        <w:tc>
          <w:tcPr>
            <w:tcW w:w="991" w:type="dxa"/>
            <w:noWrap/>
          </w:tcPr>
          <w:p w14:paraId="0D33CE43" w14:textId="77777777" w:rsidR="00CD031D" w:rsidRPr="00657B24" w:rsidRDefault="00CD031D" w:rsidP="00EF1C88">
            <w:pPr>
              <w:pStyle w:val="TableText"/>
              <w:spacing w:before="0" w:after="0"/>
            </w:pPr>
            <w:r w:rsidRPr="00657B24">
              <w:t>%</w:t>
            </w:r>
          </w:p>
        </w:tc>
        <w:tc>
          <w:tcPr>
            <w:tcW w:w="992" w:type="dxa"/>
            <w:noWrap/>
          </w:tcPr>
          <w:p w14:paraId="177C9CF6" w14:textId="77777777" w:rsidR="00CD031D" w:rsidRPr="00657B24" w:rsidRDefault="00CD031D" w:rsidP="00EF1C88">
            <w:pPr>
              <w:pStyle w:val="TableText"/>
              <w:spacing w:before="0" w:after="0"/>
            </w:pPr>
            <w:r w:rsidRPr="00657B24">
              <w:t>48.6</w:t>
            </w:r>
          </w:p>
        </w:tc>
        <w:tc>
          <w:tcPr>
            <w:tcW w:w="992" w:type="dxa"/>
            <w:noWrap/>
          </w:tcPr>
          <w:p w14:paraId="229E3AD2" w14:textId="77777777" w:rsidR="00CD031D" w:rsidRPr="00657B24" w:rsidRDefault="00CD031D" w:rsidP="00EF1C88">
            <w:pPr>
              <w:pStyle w:val="TableText"/>
              <w:spacing w:before="0" w:after="0"/>
            </w:pPr>
            <w:r w:rsidRPr="00657B24">
              <w:t>50.1</w:t>
            </w:r>
          </w:p>
        </w:tc>
        <w:tc>
          <w:tcPr>
            <w:tcW w:w="992" w:type="dxa"/>
            <w:noWrap/>
          </w:tcPr>
          <w:p w14:paraId="2B435FA2" w14:textId="77777777" w:rsidR="00CD031D" w:rsidRPr="00657B24" w:rsidRDefault="00CD031D" w:rsidP="00EF1C88">
            <w:pPr>
              <w:pStyle w:val="TableText"/>
              <w:spacing w:before="0" w:after="0"/>
            </w:pPr>
            <w:r w:rsidRPr="00657B24">
              <w:t>51.1</w:t>
            </w:r>
          </w:p>
        </w:tc>
      </w:tr>
      <w:tr w:rsidR="00CD031D" w:rsidRPr="00657B24" w14:paraId="189BB950" w14:textId="77777777" w:rsidTr="00F22C75">
        <w:trPr>
          <w:cnfStyle w:val="000000010000" w:firstRow="0" w:lastRow="0" w:firstColumn="0" w:lastColumn="0" w:oddVBand="0" w:evenVBand="0" w:oddHBand="0" w:evenHBand="1" w:firstRowFirstColumn="0" w:firstRowLastColumn="0" w:lastRowFirstColumn="0" w:lastRowLastColumn="0"/>
        </w:trPr>
        <w:tc>
          <w:tcPr>
            <w:tcW w:w="5103" w:type="dxa"/>
            <w:noWrap/>
            <w:hideMark/>
          </w:tcPr>
          <w:p w14:paraId="22082C15" w14:textId="21E983A7" w:rsidR="00CD031D" w:rsidRPr="00657B24" w:rsidRDefault="007D0AB4" w:rsidP="00EF1C88">
            <w:pPr>
              <w:pStyle w:val="TableText"/>
              <w:spacing w:before="0" w:after="0"/>
            </w:pPr>
            <w:r>
              <w:t xml:space="preserve">Businesses with </w:t>
            </w:r>
            <w:r w:rsidR="00CD031D" w:rsidRPr="00657B24">
              <w:t>social media presence</w:t>
            </w:r>
          </w:p>
        </w:tc>
        <w:tc>
          <w:tcPr>
            <w:tcW w:w="991" w:type="dxa"/>
            <w:noWrap/>
          </w:tcPr>
          <w:p w14:paraId="2E8FDA80" w14:textId="77777777" w:rsidR="00CD031D" w:rsidRPr="00657B24" w:rsidRDefault="00CD031D" w:rsidP="00EF1C88">
            <w:pPr>
              <w:pStyle w:val="TableText"/>
              <w:spacing w:before="0" w:after="0"/>
            </w:pPr>
            <w:r w:rsidRPr="00657B24">
              <w:t>%</w:t>
            </w:r>
          </w:p>
        </w:tc>
        <w:tc>
          <w:tcPr>
            <w:tcW w:w="992" w:type="dxa"/>
            <w:noWrap/>
          </w:tcPr>
          <w:p w14:paraId="5FBE352B" w14:textId="77777777" w:rsidR="00CD031D" w:rsidRPr="00657B24" w:rsidRDefault="00CD031D" w:rsidP="00EF1C88">
            <w:pPr>
              <w:pStyle w:val="TableText"/>
              <w:spacing w:before="0" w:after="0"/>
            </w:pPr>
            <w:r w:rsidRPr="00657B24">
              <w:t>34.0</w:t>
            </w:r>
          </w:p>
        </w:tc>
        <w:tc>
          <w:tcPr>
            <w:tcW w:w="992" w:type="dxa"/>
            <w:noWrap/>
          </w:tcPr>
          <w:p w14:paraId="1F0A9634" w14:textId="77777777" w:rsidR="00CD031D" w:rsidRPr="00657B24" w:rsidRDefault="00CD031D" w:rsidP="00EF1C88">
            <w:pPr>
              <w:pStyle w:val="TableText"/>
              <w:spacing w:before="0" w:after="0"/>
            </w:pPr>
            <w:r w:rsidRPr="00657B24">
              <w:t>38.2</w:t>
            </w:r>
          </w:p>
        </w:tc>
        <w:tc>
          <w:tcPr>
            <w:tcW w:w="992" w:type="dxa"/>
            <w:noWrap/>
          </w:tcPr>
          <w:p w14:paraId="74310BB9" w14:textId="77777777" w:rsidR="00CD031D" w:rsidRPr="00657B24" w:rsidRDefault="00CD031D" w:rsidP="00EF1C88">
            <w:pPr>
              <w:pStyle w:val="TableText"/>
              <w:spacing w:before="0" w:after="0"/>
            </w:pPr>
            <w:r w:rsidRPr="00657B24">
              <w:t>40.4</w:t>
            </w:r>
          </w:p>
        </w:tc>
      </w:tr>
      <w:tr w:rsidR="007D0AB4" w:rsidRPr="00657B24" w14:paraId="63824A58" w14:textId="77777777" w:rsidTr="00F22C75">
        <w:trPr>
          <w:cnfStyle w:val="000000100000" w:firstRow="0" w:lastRow="0" w:firstColumn="0" w:lastColumn="0" w:oddVBand="0" w:evenVBand="0" w:oddHBand="1" w:evenHBand="0" w:firstRowFirstColumn="0" w:firstRowLastColumn="0" w:lastRowFirstColumn="0" w:lastRowLastColumn="0"/>
        </w:trPr>
        <w:tc>
          <w:tcPr>
            <w:tcW w:w="5103" w:type="dxa"/>
            <w:noWrap/>
            <w:hideMark/>
          </w:tcPr>
          <w:p w14:paraId="79AA16FB" w14:textId="77777777" w:rsidR="007D0AB4" w:rsidRPr="00657B24" w:rsidRDefault="007D0AB4" w:rsidP="00EF1C88">
            <w:pPr>
              <w:pStyle w:val="TableText"/>
              <w:spacing w:before="0" w:after="0"/>
            </w:pPr>
            <w:r w:rsidRPr="00657B24">
              <w:t>Businesses with internet access:</w:t>
            </w:r>
          </w:p>
          <w:p w14:paraId="6DE4B2DF" w14:textId="07F5BEEC" w:rsidR="007D0AB4" w:rsidRPr="00657B24" w:rsidRDefault="007D0AB4" w:rsidP="00EF1C88">
            <w:pPr>
              <w:pStyle w:val="TableText"/>
              <w:spacing w:before="0" w:after="0"/>
            </w:pPr>
            <w:r w:rsidRPr="007D0AB4">
              <w:t>broadband</w:t>
            </w:r>
            <w:r w:rsidRPr="00657B24">
              <w:t xml:space="preserve"> as the main type of connection</w:t>
            </w:r>
          </w:p>
        </w:tc>
        <w:tc>
          <w:tcPr>
            <w:tcW w:w="991" w:type="dxa"/>
            <w:noWrap/>
            <w:hideMark/>
          </w:tcPr>
          <w:p w14:paraId="79AF09F9" w14:textId="77777777" w:rsidR="007D0AB4" w:rsidRPr="00657B24" w:rsidRDefault="007D0AB4" w:rsidP="00EF1C88">
            <w:pPr>
              <w:pStyle w:val="TableText"/>
              <w:spacing w:before="0" w:after="0"/>
            </w:pPr>
            <w:r w:rsidRPr="00657B24">
              <w:t>%</w:t>
            </w:r>
          </w:p>
        </w:tc>
        <w:tc>
          <w:tcPr>
            <w:tcW w:w="992" w:type="dxa"/>
            <w:noWrap/>
            <w:hideMark/>
          </w:tcPr>
          <w:p w14:paraId="4B1E8420" w14:textId="77777777" w:rsidR="007D0AB4" w:rsidRPr="007457EE" w:rsidRDefault="007D0AB4" w:rsidP="00EF1C88">
            <w:pPr>
              <w:pStyle w:val="TableText"/>
              <w:spacing w:before="0" w:after="0"/>
              <w:rPr>
                <w:b/>
                <w:bCs/>
              </w:rPr>
            </w:pPr>
            <w:r w:rsidRPr="007457EE">
              <w:rPr>
                <w:b/>
                <w:bCs/>
              </w:rPr>
              <w:t>99.2</w:t>
            </w:r>
          </w:p>
        </w:tc>
        <w:tc>
          <w:tcPr>
            <w:tcW w:w="992" w:type="dxa"/>
            <w:noWrap/>
            <w:hideMark/>
          </w:tcPr>
          <w:p w14:paraId="6CBFA467" w14:textId="77777777" w:rsidR="007D0AB4" w:rsidRPr="007457EE" w:rsidRDefault="007D0AB4" w:rsidP="00EF1C88">
            <w:pPr>
              <w:pStyle w:val="TableText"/>
              <w:spacing w:before="0" w:after="0"/>
              <w:rPr>
                <w:b/>
                <w:bCs/>
              </w:rPr>
            </w:pPr>
            <w:r w:rsidRPr="007457EE">
              <w:rPr>
                <w:b/>
                <w:bCs/>
              </w:rPr>
              <w:t>99.3</w:t>
            </w:r>
          </w:p>
        </w:tc>
        <w:tc>
          <w:tcPr>
            <w:tcW w:w="992" w:type="dxa"/>
            <w:noWrap/>
            <w:hideMark/>
          </w:tcPr>
          <w:p w14:paraId="0F12E906" w14:textId="77777777" w:rsidR="007D0AB4" w:rsidRPr="007457EE" w:rsidRDefault="007D0AB4" w:rsidP="00EF1C88">
            <w:pPr>
              <w:pStyle w:val="TableText"/>
              <w:spacing w:before="0" w:after="0"/>
              <w:rPr>
                <w:b/>
                <w:bCs/>
              </w:rPr>
            </w:pPr>
            <w:r w:rsidRPr="007457EE">
              <w:rPr>
                <w:b/>
                <w:bCs/>
              </w:rPr>
              <w:t>99.4</w:t>
            </w:r>
          </w:p>
        </w:tc>
      </w:tr>
    </w:tbl>
    <w:p w14:paraId="186AF088" w14:textId="77777777" w:rsidR="007762D9" w:rsidRPr="003335D6" w:rsidRDefault="007762D9" w:rsidP="003335D6">
      <w:pPr>
        <w:pStyle w:val="Source"/>
      </w:pPr>
      <w:r w:rsidRPr="003335D6">
        <w:t xml:space="preserve">Source: </w:t>
      </w:r>
      <w:r w:rsidR="00EF5368" w:rsidRPr="003335D6">
        <w:t xml:space="preserve">ABS, Summary of </w:t>
      </w:r>
      <w:proofErr w:type="gramStart"/>
      <w:r w:rsidR="00EF5368" w:rsidRPr="003335D6">
        <w:t>IT</w:t>
      </w:r>
      <w:proofErr w:type="gramEnd"/>
      <w:r w:rsidR="00EF5368" w:rsidRPr="003335D6">
        <w:t xml:space="preserve"> Use and Innovation in Australian Business</w:t>
      </w:r>
      <w:r w:rsidR="00072496" w:rsidRPr="003335D6">
        <w:t>, 2018</w:t>
      </w:r>
    </w:p>
    <w:p w14:paraId="599A4DB9" w14:textId="743EDA18" w:rsidR="00000B99" w:rsidRPr="003A1834" w:rsidRDefault="004234F4" w:rsidP="00000B99">
      <w:pPr>
        <w:pStyle w:val="BodyText"/>
      </w:pPr>
      <w:r>
        <w:t>T</w:t>
      </w:r>
      <w:r w:rsidR="00646BE7">
        <w:t xml:space="preserve">he take-up of </w:t>
      </w:r>
      <w:r w:rsidR="00646BE7" w:rsidRPr="00322939">
        <w:rPr>
          <w:b/>
        </w:rPr>
        <w:t>business grade</w:t>
      </w:r>
      <w:r w:rsidR="00646BE7">
        <w:t xml:space="preserve"> services</w:t>
      </w:r>
      <w:r w:rsidR="00F43D9A">
        <w:t xml:space="preserve"> </w:t>
      </w:r>
      <w:r w:rsidR="001F1C36">
        <w:t>(</w:t>
      </w:r>
      <w:r w:rsidR="00AC5422">
        <w:t>described in</w:t>
      </w:r>
      <w:r w:rsidR="00842849">
        <w:t xml:space="preserve"> </w:t>
      </w:r>
      <w:r w:rsidR="00842849">
        <w:fldChar w:fldCharType="begin"/>
      </w:r>
      <w:r w:rsidR="00842849">
        <w:instrText xml:space="preserve"> REF _Ref79503938 \r \h </w:instrText>
      </w:r>
      <w:r w:rsidR="00842849">
        <w:fldChar w:fldCharType="separate"/>
      </w:r>
      <w:r w:rsidR="00DD5715">
        <w:t>Box 1</w:t>
      </w:r>
      <w:r w:rsidR="00842849">
        <w:fldChar w:fldCharType="end"/>
      </w:r>
      <w:r w:rsidR="003C4D07">
        <w:t xml:space="preserve">) </w:t>
      </w:r>
      <w:r>
        <w:t xml:space="preserve">by Australian businesses </w:t>
      </w:r>
      <w:r w:rsidR="00F43D9A">
        <w:t xml:space="preserve">has been </w:t>
      </w:r>
      <w:r w:rsidR="001666ED">
        <w:t xml:space="preserve">slower. </w:t>
      </w:r>
      <w:r w:rsidR="00000B99">
        <w:t xml:space="preserve">Data from the ACCC and NBN Co indicates that the large majority of connections on its </w:t>
      </w:r>
      <w:r w:rsidR="00864B3A">
        <w:t xml:space="preserve">MTM fixed line </w:t>
      </w:r>
      <w:r w:rsidR="00000B99">
        <w:t>network are “best effort” TC-4 services rather than the higher-quality, business-focused TC-2 services.</w:t>
      </w:r>
      <w:r w:rsidR="00000B99">
        <w:rPr>
          <w:rStyle w:val="FootnoteReference"/>
        </w:rPr>
        <w:footnoteReference w:id="4"/>
      </w:r>
      <w:r w:rsidR="00000B99">
        <w:t xml:space="preserve"> This is highlighted in</w:t>
      </w:r>
      <w:r w:rsidR="002D6C0B">
        <w:t xml:space="preserve"> </w:t>
      </w:r>
      <w:r w:rsidR="002D6C0B">
        <w:fldChar w:fldCharType="begin"/>
      </w:r>
      <w:r w:rsidR="002D6C0B">
        <w:instrText xml:space="preserve"> REF _Ref75779536 \h </w:instrText>
      </w:r>
      <w:r w:rsidR="002D6C0B">
        <w:fldChar w:fldCharType="separate"/>
      </w:r>
      <w:r w:rsidR="00DD5715" w:rsidRPr="007C5D2E">
        <w:rPr>
          <w:rStyle w:val="Bold"/>
        </w:rPr>
        <w:t xml:space="preserve">Figure </w:t>
      </w:r>
      <w:r w:rsidR="00DD5715">
        <w:rPr>
          <w:rStyle w:val="Bold"/>
          <w:noProof/>
        </w:rPr>
        <w:t>7</w:t>
      </w:r>
      <w:r w:rsidR="002D6C0B">
        <w:fldChar w:fldCharType="end"/>
      </w:r>
      <w:r w:rsidR="008C4E78">
        <w:t xml:space="preserve"> </w:t>
      </w:r>
      <w:r w:rsidR="00B26D4C">
        <w:t>(</w:t>
      </w:r>
      <w:r w:rsidR="008C4E78">
        <w:t>and excludes Enterprise Ethernet services</w:t>
      </w:r>
      <w:r w:rsidR="00B26D4C">
        <w:t>)</w:t>
      </w:r>
      <w:r w:rsidR="00000B99">
        <w:t>.</w:t>
      </w:r>
      <w:r w:rsidR="006D77AD">
        <w:t xml:space="preserve"> The significance of this is that </w:t>
      </w:r>
      <w:r w:rsidR="00465E6D">
        <w:t xml:space="preserve">many services sold to business users may not be ideal to meet the current and future needs of Australian businesses - from </w:t>
      </w:r>
      <w:r w:rsidR="00AB2257">
        <w:t>general</w:t>
      </w:r>
      <w:r w:rsidR="00465E6D">
        <w:t xml:space="preserve"> functions such as</w:t>
      </w:r>
      <w:r w:rsidR="00AB2257">
        <w:t xml:space="preserve"> multi-line voice, video conferencing and cloud services to industry-specific applications</w:t>
      </w:r>
      <w:r w:rsidR="00AC7969">
        <w:t xml:space="preserve"> that require higher quality</w:t>
      </w:r>
      <w:r w:rsidR="00AB2257">
        <w:t>.</w:t>
      </w:r>
      <w:r w:rsidR="005D2FF8">
        <w:t xml:space="preserve"> </w:t>
      </w:r>
    </w:p>
    <w:p w14:paraId="0FA49484" w14:textId="46CA6CFC" w:rsidR="00000B99" w:rsidRDefault="00000B99" w:rsidP="00000B99">
      <w:pPr>
        <w:pStyle w:val="Caption"/>
      </w:pPr>
      <w:bookmarkStart w:id="43" w:name="_Ref75779536"/>
      <w:bookmarkStart w:id="44" w:name="_Toc79585068"/>
      <w:r w:rsidRPr="007C5D2E">
        <w:rPr>
          <w:rStyle w:val="Bold"/>
        </w:rPr>
        <w:lastRenderedPageBreak/>
        <w:t xml:space="preserve">Figure </w:t>
      </w:r>
      <w:r w:rsidRPr="007C5D2E">
        <w:rPr>
          <w:rStyle w:val="Bold"/>
        </w:rPr>
        <w:fldChar w:fldCharType="begin"/>
      </w:r>
      <w:r w:rsidRPr="007C5D2E">
        <w:rPr>
          <w:rStyle w:val="Bold"/>
        </w:rPr>
        <w:instrText xml:space="preserve"> SEQ Figure \* ARABIC </w:instrText>
      </w:r>
      <w:r w:rsidRPr="007C5D2E">
        <w:rPr>
          <w:rStyle w:val="Bold"/>
        </w:rPr>
        <w:fldChar w:fldCharType="separate"/>
      </w:r>
      <w:r w:rsidR="00DD5715">
        <w:rPr>
          <w:rStyle w:val="Bold"/>
          <w:noProof/>
        </w:rPr>
        <w:t>7</w:t>
      </w:r>
      <w:r w:rsidRPr="007C5D2E">
        <w:rPr>
          <w:rStyle w:val="Bold"/>
        </w:rPr>
        <w:fldChar w:fldCharType="end"/>
      </w:r>
      <w:bookmarkEnd w:id="43"/>
      <w:r w:rsidRPr="00BE496A">
        <w:t xml:space="preserve">: </w:t>
      </w:r>
      <w:r>
        <w:t xml:space="preserve">Shares of </w:t>
      </w:r>
      <w:r w:rsidR="00864B3A">
        <w:t xml:space="preserve">fixed line </w:t>
      </w:r>
      <w:r>
        <w:t xml:space="preserve">connections (AVCs) on NBN </w:t>
      </w:r>
      <w:proofErr w:type="spellStart"/>
      <w:r>
        <w:t>Co’s</w:t>
      </w:r>
      <w:proofErr w:type="spellEnd"/>
      <w:r>
        <w:t xml:space="preserve"> </w:t>
      </w:r>
      <w:r w:rsidR="000231DA">
        <w:t xml:space="preserve">MTM </w:t>
      </w:r>
      <w:r>
        <w:t>network, December 2020</w:t>
      </w:r>
      <w:r w:rsidR="00B26D4C">
        <w:t>, ex</w:t>
      </w:r>
      <w:r w:rsidR="000231DA">
        <w:t>cludes Enterprise Ethernet</w:t>
      </w:r>
      <w:bookmarkEnd w:id="44"/>
    </w:p>
    <w:p w14:paraId="37E24B6B" w14:textId="7CC6A090" w:rsidR="00000B99" w:rsidRDefault="00F42788" w:rsidP="00000B99">
      <w:pPr>
        <w:pStyle w:val="Image-Page1fullwidth"/>
        <w:keepNext/>
        <w:framePr w:w="0" w:hSpace="0" w:wrap="auto" w:vAnchor="margin" w:yAlign="inline"/>
        <w:spacing w:after="0" w:line="240" w:lineRule="auto"/>
        <w:jc w:val="center"/>
      </w:pPr>
      <w:r>
        <w:rPr>
          <w:lang w:eastAsia="en-AU"/>
        </w:rPr>
        <w:drawing>
          <wp:inline distT="0" distB="0" distL="0" distR="0" wp14:anchorId="473EDB39" wp14:editId="7F82B36E">
            <wp:extent cx="2674089" cy="2698290"/>
            <wp:effectExtent l="0" t="0" r="0" b="6985"/>
            <wp:docPr id="17" name="Picture 17" descr="This figure shows the number of connections by to NBN's fixed network by type of connection at the end of 2020. There are more than 6.5 million residential users of TC4, around 1 million business users, and less than 30,000 specific business grade (TC2) conn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his figure shows the number of connections by to NBN's fixed network by type of connection at the end of 2020. There are more than 6.5 million residential users of TC4, around 1 million business users, and less than 30,000 specific business grade (TC2) connections."/>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682265" cy="2706540"/>
                    </a:xfrm>
                    <a:prstGeom prst="rect">
                      <a:avLst/>
                    </a:prstGeom>
                    <a:noFill/>
                  </pic:spPr>
                </pic:pic>
              </a:graphicData>
            </a:graphic>
          </wp:inline>
        </w:drawing>
      </w:r>
    </w:p>
    <w:p w14:paraId="7F741BF0" w14:textId="77777777" w:rsidR="00000B99" w:rsidRDefault="00000B99" w:rsidP="00000B99">
      <w:pPr>
        <w:pStyle w:val="Image-Page1fullwidth"/>
        <w:keepNext/>
        <w:framePr w:w="0" w:hSpace="0" w:wrap="auto" w:vAnchor="margin" w:yAlign="inline"/>
        <w:spacing w:after="0" w:line="240" w:lineRule="auto"/>
      </w:pPr>
    </w:p>
    <w:p w14:paraId="2460BEC0" w14:textId="77777777" w:rsidR="00000B99" w:rsidRPr="003335D6" w:rsidRDefault="00000B99" w:rsidP="003335D6">
      <w:pPr>
        <w:pStyle w:val="Source"/>
      </w:pPr>
      <w:r w:rsidRPr="003335D6">
        <w:t>Source: ACCC and NBN estimates</w:t>
      </w:r>
    </w:p>
    <w:p w14:paraId="2E828944" w14:textId="77777777" w:rsidR="009965EE" w:rsidRDefault="00A06D04" w:rsidP="009C30E1">
      <w:pPr>
        <w:pStyle w:val="BodyText"/>
      </w:pPr>
      <w:r>
        <w:t xml:space="preserve">In part, the services taken by business also reflects that Australian businesses are dominated by ‘microbusinesses’ </w:t>
      </w:r>
      <w:r w:rsidR="009C30E1">
        <w:t>with between 0-4 employees. ABS data for 2019-20 indicates that 93.0% of businesses had turnover of less than $2 million and 28.4% of businesses had turnover of less than $50,000.</w:t>
      </w:r>
      <w:r w:rsidR="00111CB3">
        <w:rPr>
          <w:rStyle w:val="FootnoteReference"/>
        </w:rPr>
        <w:footnoteReference w:id="5"/>
      </w:r>
      <w:r w:rsidR="006D2156">
        <w:t xml:space="preserve"> A relatively small number of businesses </w:t>
      </w:r>
      <w:r w:rsidR="00111CB3">
        <w:t xml:space="preserve">usually with many employees </w:t>
      </w:r>
      <w:r w:rsidR="006D2156">
        <w:t>are likely to demand very high grade (speed and quality)</w:t>
      </w:r>
      <w:r w:rsidR="00864B3A">
        <w:t xml:space="preserve"> TC-2 or Enterprise Ethernet</w:t>
      </w:r>
      <w:r w:rsidR="00111CB3">
        <w:t xml:space="preserve"> broadband services</w:t>
      </w:r>
      <w:r w:rsidR="00730FE7">
        <w:t xml:space="preserve">. </w:t>
      </w:r>
      <w:r w:rsidR="00396395">
        <w:t xml:space="preserve">This also highlights the importance of NBN </w:t>
      </w:r>
      <w:proofErr w:type="spellStart"/>
      <w:r w:rsidR="00396395">
        <w:t>Co’s</w:t>
      </w:r>
      <w:proofErr w:type="spellEnd"/>
      <w:r w:rsidR="00396395">
        <w:t xml:space="preserve"> TC-4 upgrades for s</w:t>
      </w:r>
      <w:r w:rsidR="00730FE7">
        <w:t>maller businesses</w:t>
      </w:r>
      <w:r w:rsidR="00396395">
        <w:t xml:space="preserve">, who will be able to access faster downland and upload speeds but without some of the other </w:t>
      </w:r>
      <w:r w:rsidR="008047A7">
        <w:t>features</w:t>
      </w:r>
      <w:r w:rsidR="00396395">
        <w:t xml:space="preserve"> of business grade offerings.</w:t>
      </w:r>
    </w:p>
    <w:p w14:paraId="60D8D469" w14:textId="77777777" w:rsidR="003A1834" w:rsidRDefault="003A1834" w:rsidP="00BD178E">
      <w:pPr>
        <w:pStyle w:val="Heading3"/>
      </w:pPr>
      <w:bookmarkStart w:id="45" w:name="_Toc74574307"/>
      <w:bookmarkStart w:id="46" w:name="_Toc79671807"/>
      <w:r>
        <w:t xml:space="preserve">The </w:t>
      </w:r>
      <w:r w:rsidR="00CE4CA5">
        <w:t xml:space="preserve">research </w:t>
      </w:r>
      <w:bookmarkEnd w:id="45"/>
      <w:r w:rsidR="00FB3489">
        <w:t>tasks</w:t>
      </w:r>
      <w:bookmarkEnd w:id="46"/>
    </w:p>
    <w:p w14:paraId="7959B0C2" w14:textId="77777777" w:rsidR="003A1834" w:rsidRDefault="00CE4CA5" w:rsidP="003A1834">
      <w:pPr>
        <w:pStyle w:val="BodyText"/>
      </w:pPr>
      <w:r>
        <w:t xml:space="preserve">Frontier Economics was engaged by the Department of </w:t>
      </w:r>
      <w:r w:rsidR="00B33461">
        <w:t xml:space="preserve">Infrastructure, Transport, Regional Development and Communications </w:t>
      </w:r>
      <w:r w:rsidR="003A1834">
        <w:t xml:space="preserve">to assess the likely economic and market impact of the Business Fibre Initiative on Australian business, as well as the impact of other recently announced fixed line upgrades on small businesses.  </w:t>
      </w:r>
    </w:p>
    <w:p w14:paraId="00DF02E8" w14:textId="77777777" w:rsidR="003A1834" w:rsidRDefault="003A1834" w:rsidP="00FE106E">
      <w:pPr>
        <w:pStyle w:val="BodyText"/>
      </w:pPr>
      <w:r>
        <w:t>Th</w:t>
      </w:r>
      <w:r w:rsidR="00A91058">
        <w:t xml:space="preserve">e research focuses </w:t>
      </w:r>
      <w:r>
        <w:t xml:space="preserve">on the impact on competition, cost and productivity to businesses at the business and aggregate level.  </w:t>
      </w:r>
      <w:r w:rsidR="00A91058">
        <w:t xml:space="preserve">Where possible, we have looked at </w:t>
      </w:r>
      <w:r>
        <w:t>impacts across industries/sectors, business type, size and geographical regions</w:t>
      </w:r>
      <w:r w:rsidR="00A91058">
        <w:t>.</w:t>
      </w:r>
      <w:r w:rsidR="00FE106E">
        <w:t xml:space="preserve"> The methodology we have developed </w:t>
      </w:r>
      <w:r w:rsidR="00FE106E" w:rsidRPr="00FE106E">
        <w:t>can</w:t>
      </w:r>
      <w:r w:rsidRPr="00FE106E">
        <w:t xml:space="preserve"> be used to assess the impact of policy options relating to the business market in future.  </w:t>
      </w:r>
    </w:p>
    <w:p w14:paraId="067F3EA6" w14:textId="77777777" w:rsidR="00252BAE" w:rsidRDefault="00252BAE" w:rsidP="00FE106E">
      <w:pPr>
        <w:pStyle w:val="BodyText"/>
      </w:pPr>
    </w:p>
    <w:p w14:paraId="5A931AE7" w14:textId="77777777" w:rsidR="008C7064" w:rsidRPr="00876CAA" w:rsidRDefault="00B117BE" w:rsidP="009D7615">
      <w:pPr>
        <w:pStyle w:val="Heading3"/>
        <w:keepNext/>
      </w:pPr>
      <w:bookmarkStart w:id="47" w:name="_Toc74574308"/>
      <w:bookmarkStart w:id="48" w:name="_Toc79671808"/>
      <w:r w:rsidRPr="00876CAA">
        <w:lastRenderedPageBreak/>
        <w:t>About this report</w:t>
      </w:r>
      <w:bookmarkEnd w:id="47"/>
      <w:bookmarkEnd w:id="48"/>
    </w:p>
    <w:p w14:paraId="587C08E2" w14:textId="77777777" w:rsidR="00FE106E" w:rsidRPr="00876CAA" w:rsidRDefault="00FE106E" w:rsidP="00FE106E">
      <w:pPr>
        <w:pStyle w:val="BodyText"/>
      </w:pPr>
      <w:r w:rsidRPr="00876CAA">
        <w:t>This report is organised into the following sections:</w:t>
      </w:r>
    </w:p>
    <w:p w14:paraId="296DB572" w14:textId="77777777" w:rsidR="00FE106E" w:rsidRPr="00876CAA" w:rsidRDefault="00FE106E" w:rsidP="00FE106E">
      <w:pPr>
        <w:pStyle w:val="ListBullet1"/>
      </w:pPr>
      <w:r w:rsidRPr="00876CAA">
        <w:t xml:space="preserve">In </w:t>
      </w:r>
      <w:r w:rsidRPr="00876CAA">
        <w:rPr>
          <w:b/>
          <w:bCs/>
        </w:rPr>
        <w:t>section 2,</w:t>
      </w:r>
      <w:r w:rsidRPr="00876CAA">
        <w:t xml:space="preserve"> we report our findings on the estimated economic benefits of the business initiatives</w:t>
      </w:r>
    </w:p>
    <w:p w14:paraId="70D6AD1A" w14:textId="77777777" w:rsidR="00FE106E" w:rsidRPr="00876CAA" w:rsidRDefault="00FE106E" w:rsidP="00FE106E">
      <w:pPr>
        <w:pStyle w:val="ListBullet1"/>
      </w:pPr>
      <w:r w:rsidRPr="00876CAA">
        <w:t xml:space="preserve">In </w:t>
      </w:r>
      <w:r w:rsidRPr="00876CAA">
        <w:rPr>
          <w:b/>
          <w:bCs/>
        </w:rPr>
        <w:t>section 3</w:t>
      </w:r>
      <w:r w:rsidRPr="00876CAA">
        <w:t xml:space="preserve">, we </w:t>
      </w:r>
      <w:r w:rsidR="00B34E68" w:rsidRPr="00876CAA">
        <w:t>consider the competition benefits associated with the business initiatives</w:t>
      </w:r>
    </w:p>
    <w:p w14:paraId="76BBC4B7" w14:textId="77777777" w:rsidR="00B34E68" w:rsidRDefault="00B34E68" w:rsidP="00FE106E">
      <w:pPr>
        <w:pStyle w:val="ListBullet1"/>
      </w:pPr>
      <w:r w:rsidRPr="00876CAA">
        <w:t xml:space="preserve">In </w:t>
      </w:r>
      <w:r w:rsidRPr="00876CAA">
        <w:rPr>
          <w:b/>
          <w:bCs/>
        </w:rPr>
        <w:t>section 4</w:t>
      </w:r>
      <w:r w:rsidRPr="00876CAA">
        <w:t xml:space="preserve">, we </w:t>
      </w:r>
      <w:r w:rsidR="002F7BCD" w:rsidRPr="00876CAA">
        <w:t xml:space="preserve">provide some case studies on the use of business services, with a focus on business fibre services. These provide </w:t>
      </w:r>
      <w:r w:rsidR="00190D56" w:rsidRPr="00876CAA">
        <w:t>more specific examples of the kinds of benefits that are likely to be received by businesses</w:t>
      </w:r>
      <w:r w:rsidR="00190D56">
        <w:t xml:space="preserve"> that are difficult to quantify in the economic analysis.</w:t>
      </w:r>
    </w:p>
    <w:p w14:paraId="1C768D81" w14:textId="77777777" w:rsidR="00190D56" w:rsidRPr="00FE106E" w:rsidRDefault="007275CD" w:rsidP="00FE106E">
      <w:pPr>
        <w:pStyle w:val="ListBullet1"/>
      </w:pPr>
      <w:r>
        <w:t xml:space="preserve">In the </w:t>
      </w:r>
      <w:r w:rsidRPr="008E3270">
        <w:rPr>
          <w:b/>
          <w:bCs/>
        </w:rPr>
        <w:t>Annexes</w:t>
      </w:r>
      <w:r>
        <w:t xml:space="preserve">, </w:t>
      </w:r>
      <w:r w:rsidR="00713C79">
        <w:t xml:space="preserve">we provide further details of our literature review (A), </w:t>
      </w:r>
      <w:r w:rsidR="008E3270">
        <w:t xml:space="preserve">estimation of benefits (B), </w:t>
      </w:r>
      <w:r w:rsidR="00AA51F8">
        <w:t>industry sectors</w:t>
      </w:r>
      <w:r w:rsidR="008E3270">
        <w:t xml:space="preserve"> (C) and references (</w:t>
      </w:r>
      <w:r w:rsidR="00AA51F8">
        <w:t>D</w:t>
      </w:r>
      <w:r w:rsidR="008E3270">
        <w:t>)</w:t>
      </w:r>
      <w:r w:rsidR="00C750B9">
        <w:t>.</w:t>
      </w:r>
    </w:p>
    <w:p w14:paraId="0B1F4C6F" w14:textId="77777777" w:rsidR="00701C34" w:rsidRPr="00701C34" w:rsidRDefault="00701C34" w:rsidP="00701C34">
      <w:pPr>
        <w:pStyle w:val="BodyText"/>
      </w:pPr>
    </w:p>
    <w:p w14:paraId="4AC3E523" w14:textId="36950E65" w:rsidR="004C6CD6" w:rsidRDefault="00876CAA" w:rsidP="00DA26A9">
      <w:pPr>
        <w:pStyle w:val="Heading2"/>
      </w:pPr>
      <w:bookmarkStart w:id="49" w:name="_Toc74574309"/>
      <w:bookmarkStart w:id="50" w:name="_Toc79671809"/>
      <w:r>
        <w:lastRenderedPageBreak/>
        <w:t xml:space="preserve">2. </w:t>
      </w:r>
      <w:r w:rsidR="004C6CD6">
        <w:t>The economic impact of the business initiatives</w:t>
      </w:r>
      <w:bookmarkEnd w:id="49"/>
      <w:bookmarkEnd w:id="50"/>
    </w:p>
    <w:p w14:paraId="583A4D00" w14:textId="28FED5CB" w:rsidR="004C6CD6" w:rsidRDefault="004C6CD6" w:rsidP="00DA26A9">
      <w:pPr>
        <w:pStyle w:val="Heading3"/>
      </w:pPr>
      <w:bookmarkStart w:id="51" w:name="_Toc74574310"/>
      <w:bookmarkStart w:id="52" w:name="_Toc79671810"/>
      <w:r>
        <w:t>Introduction</w:t>
      </w:r>
      <w:bookmarkEnd w:id="51"/>
      <w:bookmarkEnd w:id="52"/>
    </w:p>
    <w:p w14:paraId="4FA8D84F" w14:textId="77777777" w:rsidR="004C6CD6" w:rsidRDefault="004C6CD6" w:rsidP="004C6CD6">
      <w:pPr>
        <w:pStyle w:val="BodyText"/>
      </w:pPr>
      <w:r>
        <w:t xml:space="preserve">For this </w:t>
      </w:r>
      <w:r w:rsidRPr="00F07EED">
        <w:t xml:space="preserve">research, we have developed a methodology for estimating the benefits for firms of adopting </w:t>
      </w:r>
      <w:r>
        <w:t xml:space="preserve">the faster business broadband </w:t>
      </w:r>
      <w:r w:rsidRPr="00F07EED">
        <w:t>services</w:t>
      </w:r>
      <w:r>
        <w:t xml:space="preserve"> enabled by the </w:t>
      </w:r>
      <w:r w:rsidR="00FD7E22">
        <w:t>Business Fibre Zone</w:t>
      </w:r>
      <w:r>
        <w:t>s and other business</w:t>
      </w:r>
      <w:r w:rsidR="00864B3A">
        <w:t xml:space="preserve"> broadband</w:t>
      </w:r>
      <w:r>
        <w:t xml:space="preserve"> upgrades</w:t>
      </w:r>
      <w:r w:rsidRPr="00F07EED">
        <w:t xml:space="preserve">. </w:t>
      </w:r>
    </w:p>
    <w:p w14:paraId="683A5B3C" w14:textId="77777777" w:rsidR="00DB5227" w:rsidRDefault="004C6CD6" w:rsidP="009A39B0">
      <w:pPr>
        <w:pStyle w:val="BodyText"/>
      </w:pPr>
      <w:r w:rsidRPr="008866F3">
        <w:t xml:space="preserve">The </w:t>
      </w:r>
      <w:r w:rsidR="00864B3A">
        <w:t>primary benefit of</w:t>
      </w:r>
      <w:r w:rsidRPr="008866F3">
        <w:t xml:space="preserve"> better broadband on business is through its effect on </w:t>
      </w:r>
      <w:r w:rsidRPr="004904CC">
        <w:rPr>
          <w:i/>
          <w:iCs/>
        </w:rPr>
        <w:t>firm productivity</w:t>
      </w:r>
      <w:r>
        <w:t>. Higher firm productivity ultimately translates into more and higher-valued outputs (as measured in gross domestic product (GDP), and better outcomes for Australian businesses.</w:t>
      </w:r>
      <w:r w:rsidR="00D75756">
        <w:t xml:space="preserve"> </w:t>
      </w:r>
    </w:p>
    <w:p w14:paraId="21CAFE17" w14:textId="77777777" w:rsidR="004C6CD6" w:rsidRPr="00F07EED" w:rsidRDefault="004C6CD6" w:rsidP="004C6CD6">
      <w:pPr>
        <w:pStyle w:val="BodyText"/>
      </w:pPr>
      <w:r>
        <w:t xml:space="preserve">We have considered two main methods to quantify the impacts of broadband improvements. The first is to estimate the effect of better broadband on broadband speeds and then on output directly. The second is to estimate the effect of better broadband on broadband speeds and then on firm productivity directly. </w:t>
      </w:r>
      <w:r w:rsidRPr="00F07EED">
        <w:t>Th</w:t>
      </w:r>
      <w:r>
        <w:t>ese</w:t>
      </w:r>
      <w:r w:rsidRPr="00F07EED">
        <w:t xml:space="preserve"> method</w:t>
      </w:r>
      <w:r>
        <w:t>s</w:t>
      </w:r>
      <w:r w:rsidRPr="00F07EED">
        <w:t xml:space="preserve"> </w:t>
      </w:r>
      <w:r>
        <w:t>are</w:t>
      </w:r>
      <w:r w:rsidRPr="00F07EED">
        <w:t xml:space="preserve"> based on published empirical studies applied to Australian conditions. </w:t>
      </w:r>
    </w:p>
    <w:p w14:paraId="03828469" w14:textId="77777777" w:rsidR="004C6CD6" w:rsidRPr="0021389E" w:rsidRDefault="004C6CD6" w:rsidP="004C6CD6">
      <w:pPr>
        <w:pStyle w:val="BodyText"/>
      </w:pPr>
      <w:r>
        <w:t xml:space="preserve">We first set out the methodology including an overview of the relevant literature, before presenting the results. Further details on the methodology and literature are attached as Annexes </w:t>
      </w:r>
      <w:r w:rsidR="00F61293">
        <w:t>A and B</w:t>
      </w:r>
      <w:r>
        <w:t xml:space="preserve"> to the report.</w:t>
      </w:r>
    </w:p>
    <w:p w14:paraId="443A90EB" w14:textId="77777777" w:rsidR="00F42788" w:rsidRDefault="00F42788" w:rsidP="00F42788">
      <w:pPr>
        <w:pStyle w:val="Caption"/>
        <w:shd w:val="clear" w:color="auto" w:fill="F2F2F2" w:themeFill="background2"/>
        <w:spacing w:before="0" w:after="120"/>
      </w:pPr>
      <w:bookmarkStart w:id="53" w:name="_Toc74574311"/>
      <w:r>
        <w:rPr>
          <w:b/>
          <w:noProof/>
          <w:lang w:eastAsia="en-AU"/>
        </w:rPr>
        <w:drawing>
          <wp:inline distT="0" distB="0" distL="0" distR="0" wp14:anchorId="4DFE9C7B" wp14:editId="3BC6065B">
            <wp:extent cx="247650" cy="247650"/>
            <wp:effectExtent l="0" t="0" r="0" b="0"/>
            <wp:docPr id="193" name="Graphic 193" descr="Wirel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Graphic 193" descr="Wireless"/>
                    <pic:cNvPicPr/>
                  </pic:nvPicPr>
                  <pic:blipFill>
                    <a:blip r:embed="rId36"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svg="http://schemas.microsoft.com/office/drawing/2016/SVG/main" r:embed="rId37"/>
                        </a:ext>
                      </a:extLst>
                    </a:blip>
                    <a:stretch>
                      <a:fillRect/>
                    </a:stretch>
                  </pic:blipFill>
                  <pic:spPr>
                    <a:xfrm>
                      <a:off x="0" y="0"/>
                      <a:ext cx="247650" cy="247650"/>
                    </a:xfrm>
                    <a:prstGeom prst="rect">
                      <a:avLst/>
                    </a:prstGeom>
                  </pic:spPr>
                </pic:pic>
              </a:graphicData>
            </a:graphic>
          </wp:inline>
        </w:drawing>
      </w:r>
      <w:r>
        <w:rPr>
          <w:rStyle w:val="Bold"/>
        </w:rPr>
        <w:tab/>
        <w:t>How broadband can increase firm productivity</w:t>
      </w:r>
    </w:p>
    <w:p w14:paraId="15D66EC6" w14:textId="77777777" w:rsidR="00F42788" w:rsidRDefault="00F42788" w:rsidP="00F42788">
      <w:pPr>
        <w:pStyle w:val="BodyText"/>
        <w:shd w:val="clear" w:color="auto" w:fill="F2F2F2" w:themeFill="background2"/>
      </w:pPr>
      <w:r>
        <w:t>Broadband offers business a combination of general and industry-specific benefits. The main sources of benefit are likely to include improved communication tools, better data management and software applications, lower cost marketing, applications that reduce administration costs, online shops that reduce the need for bricks and mortar and reduce occupancy costs, cloud technologies than can reduce IT spending; and machine to machine technologies that can improve capital productivity.</w:t>
      </w:r>
      <w:r>
        <w:rPr>
          <w:rStyle w:val="FootnoteReference"/>
        </w:rPr>
        <w:footnoteReference w:id="6"/>
      </w:r>
    </w:p>
    <w:p w14:paraId="5E646EE1" w14:textId="77777777" w:rsidR="00F42788" w:rsidRDefault="00F42788" w:rsidP="00F42788">
      <w:pPr>
        <w:pStyle w:val="BodyText"/>
        <w:shd w:val="clear" w:color="auto" w:fill="F2F2F2" w:themeFill="background2"/>
      </w:pPr>
      <w:r>
        <w:t>Some specific examples of how broadband can increase firm productivity are provided in Section 4.</w:t>
      </w:r>
    </w:p>
    <w:p w14:paraId="411E71A2" w14:textId="77777777" w:rsidR="004C6CD6" w:rsidRDefault="004C6CD6" w:rsidP="00DA26A9">
      <w:pPr>
        <w:pStyle w:val="Heading3"/>
      </w:pPr>
      <w:bookmarkStart w:id="54" w:name="_Toc79671811"/>
      <w:r>
        <w:t>Methodology for assessing economic impacts</w:t>
      </w:r>
      <w:bookmarkEnd w:id="53"/>
      <w:bookmarkEnd w:id="54"/>
    </w:p>
    <w:p w14:paraId="47FA2440" w14:textId="77777777" w:rsidR="004C6CD6" w:rsidRDefault="004C6CD6" w:rsidP="00D31AC9">
      <w:pPr>
        <w:pStyle w:val="Heading4"/>
      </w:pPr>
      <w:r>
        <w:t>Direction</w:t>
      </w:r>
    </w:p>
    <w:p w14:paraId="624D8144" w14:textId="77777777" w:rsidR="004C6CD6" w:rsidRDefault="004C6CD6" w:rsidP="004C6CD6">
      <w:pPr>
        <w:pStyle w:val="BodyText"/>
      </w:pPr>
      <w:r>
        <w:t xml:space="preserve">The Department </w:t>
      </w:r>
      <w:r w:rsidR="00747629">
        <w:t xml:space="preserve">selected Frontier Economics through a competitive procurement process </w:t>
      </w:r>
      <w:r>
        <w:t xml:space="preserve">to assess the economic impact of NBN Business Fibre Initiative and other fixed line upgrades which will benefit small and medium businesses, </w:t>
      </w:r>
      <w:r w:rsidR="008A0C70">
        <w:t>rather than the benefits of the NBN as a whole</w:t>
      </w:r>
      <w:r w:rsidR="00747629">
        <w:t xml:space="preserve"> (</w:t>
      </w:r>
      <w:proofErr w:type="spellStart"/>
      <w:r w:rsidR="00747629">
        <w:t>Austender</w:t>
      </w:r>
      <w:proofErr w:type="spellEnd"/>
      <w:r w:rsidR="00747629">
        <w:t xml:space="preserve"> reference </w:t>
      </w:r>
      <w:r w:rsidR="008421D2">
        <w:t>CN3760979</w:t>
      </w:r>
      <w:r w:rsidR="00864B3A">
        <w:t>)</w:t>
      </w:r>
      <w:r w:rsidR="008A0C70">
        <w:t xml:space="preserve">. This </w:t>
      </w:r>
      <w:r>
        <w:t>includ</w:t>
      </w:r>
      <w:r w:rsidR="008A0C70">
        <w:t>es</w:t>
      </w:r>
      <w:r>
        <w:t xml:space="preserve"> forecasting the likely impact </w:t>
      </w:r>
      <w:r w:rsidR="008A0C70">
        <w:t xml:space="preserve">of the initiatives and upgrades </w:t>
      </w:r>
      <w:r>
        <w:t xml:space="preserve">in terms of cost, productivity and benefits with consideration to: </w:t>
      </w:r>
    </w:p>
    <w:p w14:paraId="5264FB9F" w14:textId="77777777" w:rsidR="004C6CD6" w:rsidRDefault="004C6CD6" w:rsidP="004C6CD6">
      <w:pPr>
        <w:pStyle w:val="ListBullet1"/>
      </w:pPr>
      <w:r>
        <w:lastRenderedPageBreak/>
        <w:t>location (Business Fibre Zone, state, region)</w:t>
      </w:r>
    </w:p>
    <w:p w14:paraId="0715EE83" w14:textId="77777777" w:rsidR="004C6CD6" w:rsidRDefault="004C6CD6" w:rsidP="004C6CD6">
      <w:pPr>
        <w:pStyle w:val="ListBullet1"/>
      </w:pPr>
      <w:r>
        <w:t>service type/industry</w:t>
      </w:r>
    </w:p>
    <w:p w14:paraId="6F6BD2B5" w14:textId="77777777" w:rsidR="004C6CD6" w:rsidRDefault="004C6CD6" w:rsidP="004C6CD6">
      <w:pPr>
        <w:pStyle w:val="ListBullet1"/>
      </w:pPr>
      <w:r>
        <w:t xml:space="preserve">business size </w:t>
      </w:r>
    </w:p>
    <w:p w14:paraId="167F4FA9" w14:textId="77777777" w:rsidR="004C6CD6" w:rsidRDefault="004C6CD6" w:rsidP="004C6CD6">
      <w:pPr>
        <w:pStyle w:val="ListBullet1"/>
      </w:pPr>
      <w:r>
        <w:t>aggregated economic benefits/impact</w:t>
      </w:r>
    </w:p>
    <w:p w14:paraId="2D1FBB12" w14:textId="5F2A4DEE" w:rsidR="004C6CD6" w:rsidRPr="00644841" w:rsidRDefault="004C6CD6" w:rsidP="004C6CD6">
      <w:pPr>
        <w:pStyle w:val="BodyText"/>
      </w:pPr>
      <w:r>
        <w:t xml:space="preserve">We have sought to quantify productivity and output effects as per </w:t>
      </w:r>
      <w:r>
        <w:fldChar w:fldCharType="begin"/>
      </w:r>
      <w:r>
        <w:instrText xml:space="preserve"> REF _Ref74050336 \h </w:instrText>
      </w:r>
      <w:r>
        <w:fldChar w:fldCharType="separate"/>
      </w:r>
      <w:r w:rsidR="00DD5715" w:rsidRPr="007C5D2E">
        <w:rPr>
          <w:rStyle w:val="Bold"/>
        </w:rPr>
        <w:t xml:space="preserve">Figure </w:t>
      </w:r>
      <w:r w:rsidR="00DD5715">
        <w:rPr>
          <w:rStyle w:val="Bold"/>
          <w:noProof/>
        </w:rPr>
        <w:t>8</w:t>
      </w:r>
      <w:r>
        <w:fldChar w:fldCharType="end"/>
      </w:r>
      <w:r>
        <w:t xml:space="preserve">, which is based on a categorisation developed by the </w:t>
      </w:r>
      <w:r w:rsidR="009614C1">
        <w:t>International Telecommunications Union (</w:t>
      </w:r>
      <w:r>
        <w:t>ITU</w:t>
      </w:r>
      <w:r w:rsidR="009614C1">
        <w:t>)</w:t>
      </w:r>
      <w:r>
        <w:t xml:space="preserve">. </w:t>
      </w:r>
      <w:r w:rsidRPr="004A4AC8">
        <w:t>Our analysis looks at benefits</w:t>
      </w:r>
      <w:r>
        <w:t xml:space="preserve"> to business users</w:t>
      </w:r>
      <w:r w:rsidRPr="004A4AC8">
        <w:t xml:space="preserve">. These extend beyond the purely </w:t>
      </w:r>
      <w:r>
        <w:t xml:space="preserve">direct </w:t>
      </w:r>
      <w:r w:rsidRPr="004A4AC8">
        <w:t xml:space="preserve">financial benefits to firms </w:t>
      </w:r>
      <w:r>
        <w:t xml:space="preserve">(e.g. from lower prices) to the benefits </w:t>
      </w:r>
      <w:r w:rsidRPr="004A4AC8">
        <w:t>from increased availability</w:t>
      </w:r>
      <w:r>
        <w:t xml:space="preserve"> of higher speeds that can manifest in productivity improvements</w:t>
      </w:r>
      <w:r w:rsidRPr="004A4AC8">
        <w:t>.</w:t>
      </w:r>
      <w:r>
        <w:t xml:space="preserve"> </w:t>
      </w:r>
    </w:p>
    <w:p w14:paraId="0CBEBB9D" w14:textId="31133EDF" w:rsidR="00B963F8" w:rsidRDefault="004C6CD6" w:rsidP="00B963F8">
      <w:pPr>
        <w:pStyle w:val="Caption"/>
      </w:pPr>
      <w:bookmarkStart w:id="55" w:name="_Ref74050336"/>
      <w:bookmarkStart w:id="56" w:name="_Toc74684925"/>
      <w:bookmarkStart w:id="57" w:name="_Toc79585069"/>
      <w:r w:rsidRPr="007C5D2E">
        <w:rPr>
          <w:rStyle w:val="Bold"/>
        </w:rPr>
        <w:t xml:space="preserve">Figure </w:t>
      </w:r>
      <w:r w:rsidRPr="007C5D2E">
        <w:rPr>
          <w:rStyle w:val="Bold"/>
        </w:rPr>
        <w:fldChar w:fldCharType="begin"/>
      </w:r>
      <w:r w:rsidRPr="007C5D2E">
        <w:rPr>
          <w:rStyle w:val="Bold"/>
        </w:rPr>
        <w:instrText xml:space="preserve"> SEQ Figure \* ARABIC </w:instrText>
      </w:r>
      <w:r w:rsidRPr="007C5D2E">
        <w:rPr>
          <w:rStyle w:val="Bold"/>
        </w:rPr>
        <w:fldChar w:fldCharType="separate"/>
      </w:r>
      <w:r w:rsidR="00DD5715">
        <w:rPr>
          <w:rStyle w:val="Bold"/>
          <w:noProof/>
        </w:rPr>
        <w:t>8</w:t>
      </w:r>
      <w:r w:rsidRPr="007C5D2E">
        <w:rPr>
          <w:rStyle w:val="Bold"/>
        </w:rPr>
        <w:fldChar w:fldCharType="end"/>
      </w:r>
      <w:bookmarkEnd w:id="55"/>
      <w:r w:rsidRPr="00BE496A">
        <w:t xml:space="preserve">: </w:t>
      </w:r>
      <w:r>
        <w:t>Relevant benefits estimated in this study</w:t>
      </w:r>
      <w:bookmarkEnd w:id="56"/>
      <w:bookmarkEnd w:id="57"/>
    </w:p>
    <w:p w14:paraId="1CBEBE37" w14:textId="62070F32" w:rsidR="004C6CD6" w:rsidRDefault="00B963F8" w:rsidP="00B963F8">
      <w:r>
        <w:rPr>
          <w:noProof/>
          <w:lang w:eastAsia="en-AU"/>
        </w:rPr>
        <w:drawing>
          <wp:inline distT="0" distB="0" distL="0" distR="0" wp14:anchorId="6A3937D3" wp14:editId="43DED711">
            <wp:extent cx="5701435" cy="2488688"/>
            <wp:effectExtent l="0" t="0" r="0" b="0"/>
            <wp:docPr id="222" name="Picture 222" descr="This figure charts the relevant benefits due to NBN Co’s business initiatives estimated in this study. NBN Co’s business initiatives can lead to&#10;(1) Direct benefits based on increased accessibility and affordability and&#10;(2) Deployment benefits (for example, employment, construction and spending).&#10;&#10;The relevant benefits estimated in this study focus on direct benefits. In particular, the focus is on enterprise (productivity) effects and impacts of these productivity benefits on GD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Picture 222" descr="This figure charts the relevant benefits due to NBN Co’s business initiatives estimated in this study. NBN Co’s business initiatives can lead to&#10;(1) Direct benefits based on increased accessibility and affordability and&#10;(2) Deployment benefits (for example, employment, construction and spending).&#10;&#10;The relevant benefits estimated in this study focus on direct benefits. In particular, the focus is on enterprise (productivity) effects and impacts of these productivity benefits on GDP."/>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721592" cy="2497487"/>
                    </a:xfrm>
                    <a:prstGeom prst="rect">
                      <a:avLst/>
                    </a:prstGeom>
                    <a:noFill/>
                  </pic:spPr>
                </pic:pic>
              </a:graphicData>
            </a:graphic>
          </wp:inline>
        </w:drawing>
      </w:r>
    </w:p>
    <w:p w14:paraId="5C941833" w14:textId="77777777" w:rsidR="004C6CD6" w:rsidRPr="003335D6" w:rsidRDefault="004C6CD6" w:rsidP="003335D6">
      <w:pPr>
        <w:pStyle w:val="Source"/>
      </w:pPr>
      <w:r w:rsidRPr="003335D6">
        <w:t>Source: ITU (2012)</w:t>
      </w:r>
    </w:p>
    <w:p w14:paraId="38713CA9" w14:textId="77777777" w:rsidR="004C6CD6" w:rsidRPr="00CB7560" w:rsidRDefault="004C6CD6" w:rsidP="004C6CD6">
      <w:pPr>
        <w:pStyle w:val="BodyText"/>
      </w:pPr>
    </w:p>
    <w:p w14:paraId="6B30FAF4" w14:textId="77777777" w:rsidR="004C6CD6" w:rsidRDefault="004C6CD6" w:rsidP="00D31AC9">
      <w:pPr>
        <w:pStyle w:val="Heading4"/>
      </w:pPr>
      <w:r>
        <w:t>Challenges in estimating benefits</w:t>
      </w:r>
    </w:p>
    <w:p w14:paraId="5118617E" w14:textId="0339C806" w:rsidR="004C6CD6" w:rsidRDefault="004C6CD6" w:rsidP="004C6CD6">
      <w:pPr>
        <w:pStyle w:val="BodyText"/>
      </w:pPr>
      <w:r>
        <w:t xml:space="preserve">It must be recognised that there are several challenges to estimating the economic impacts of </w:t>
      </w:r>
      <w:r w:rsidR="008421D2">
        <w:t xml:space="preserve">improvements in broadband performance on businesses, such as </w:t>
      </w:r>
      <w:r w:rsidR="00C054D6">
        <w:t xml:space="preserve">NBN </w:t>
      </w:r>
      <w:proofErr w:type="spellStart"/>
      <w:r w:rsidR="00C054D6">
        <w:t>Co’s</w:t>
      </w:r>
      <w:proofErr w:type="spellEnd"/>
      <w:r w:rsidR="00C054D6">
        <w:t xml:space="preserve"> </w:t>
      </w:r>
      <w:r>
        <w:t xml:space="preserve">investments. We have considered these challenges in developing our methodology, but we emphasise that these points should also be taken carefully into consideration when reading our results. In </w:t>
      </w:r>
      <w:r>
        <w:fldChar w:fldCharType="begin"/>
      </w:r>
      <w:r>
        <w:instrText xml:space="preserve"> REF _Ref74138188 \h </w:instrText>
      </w:r>
      <w:r>
        <w:fldChar w:fldCharType="separate"/>
      </w:r>
      <w:r w:rsidR="00DD5715" w:rsidRPr="00603BC1">
        <w:rPr>
          <w:rStyle w:val="Bold"/>
        </w:rPr>
        <w:t xml:space="preserve">Table </w:t>
      </w:r>
      <w:r w:rsidR="00DD5715">
        <w:rPr>
          <w:rStyle w:val="Bold"/>
          <w:noProof/>
        </w:rPr>
        <w:t>3</w:t>
      </w:r>
      <w:r>
        <w:fldChar w:fldCharType="end"/>
      </w:r>
      <w:r>
        <w:t xml:space="preserve"> we highlight the challenges in estimating benefits and how we have addressed them.</w:t>
      </w:r>
    </w:p>
    <w:p w14:paraId="2F610C8B" w14:textId="3BA859D5" w:rsidR="004C6CD6" w:rsidRDefault="004C6CD6" w:rsidP="004C6CD6">
      <w:pPr>
        <w:pStyle w:val="Caption"/>
      </w:pPr>
      <w:bookmarkStart w:id="58" w:name="_Ref74138188"/>
      <w:bookmarkStart w:id="59" w:name="_Toc74574334"/>
      <w:bookmarkStart w:id="60" w:name="_Toc79585051"/>
      <w:r w:rsidRPr="00603BC1">
        <w:rPr>
          <w:rStyle w:val="Bold"/>
        </w:rPr>
        <w:t xml:space="preserve">Table </w:t>
      </w:r>
      <w:r w:rsidRPr="00603BC1">
        <w:rPr>
          <w:rStyle w:val="Bold"/>
        </w:rPr>
        <w:fldChar w:fldCharType="begin"/>
      </w:r>
      <w:r w:rsidRPr="00603BC1">
        <w:rPr>
          <w:rStyle w:val="Bold"/>
        </w:rPr>
        <w:instrText xml:space="preserve"> SEQ Table \* ARABIC </w:instrText>
      </w:r>
      <w:r w:rsidRPr="00603BC1">
        <w:rPr>
          <w:rStyle w:val="Bold"/>
        </w:rPr>
        <w:fldChar w:fldCharType="separate"/>
      </w:r>
      <w:r w:rsidR="00DD5715">
        <w:rPr>
          <w:rStyle w:val="Bold"/>
          <w:noProof/>
        </w:rPr>
        <w:t>3</w:t>
      </w:r>
      <w:r w:rsidRPr="00603BC1">
        <w:rPr>
          <w:rStyle w:val="Bold"/>
        </w:rPr>
        <w:fldChar w:fldCharType="end"/>
      </w:r>
      <w:bookmarkEnd w:id="58"/>
      <w:r w:rsidRPr="00603BC1">
        <w:rPr>
          <w:rStyle w:val="Bold"/>
        </w:rPr>
        <w:t>:</w:t>
      </w:r>
      <w:r>
        <w:t xml:space="preserve"> Challenges in estimating econ</w:t>
      </w:r>
      <w:bookmarkStart w:id="61" w:name="_GoBack"/>
      <w:bookmarkEnd w:id="61"/>
      <w:r>
        <w:t>omic benefits</w:t>
      </w:r>
      <w:bookmarkEnd w:id="59"/>
      <w:bookmarkEnd w:id="60"/>
    </w:p>
    <w:tbl>
      <w:tblPr>
        <w:tblStyle w:val="FETableStyle"/>
        <w:tblW w:w="5000" w:type="pct"/>
        <w:tblLook w:val="0420" w:firstRow="1" w:lastRow="0" w:firstColumn="0" w:lastColumn="0" w:noHBand="0" w:noVBand="1"/>
        <w:tblCaption w:val="Challenges in estimating economic benefits"/>
        <w:tblDescription w:val="Challenges in estimating economic benefits"/>
      </w:tblPr>
      <w:tblGrid>
        <w:gridCol w:w="4535"/>
        <w:gridCol w:w="4535"/>
      </w:tblGrid>
      <w:tr w:rsidR="004C6CD6" w:rsidRPr="005722F1" w14:paraId="37FF149A" w14:textId="77777777" w:rsidTr="009645AD">
        <w:trPr>
          <w:cnfStyle w:val="100000000000" w:firstRow="1" w:lastRow="0" w:firstColumn="0" w:lastColumn="0" w:oddVBand="0" w:evenVBand="0" w:oddHBand="0" w:evenHBand="0" w:firstRowFirstColumn="0" w:firstRowLastColumn="0" w:lastRowFirstColumn="0" w:lastRowLastColumn="0"/>
          <w:tblHeader/>
        </w:trPr>
        <w:tc>
          <w:tcPr>
            <w:tcW w:w="4535" w:type="dxa"/>
          </w:tcPr>
          <w:p w14:paraId="392B0E4F" w14:textId="77777777" w:rsidR="004C6CD6" w:rsidRPr="005722F1" w:rsidRDefault="004C6CD6" w:rsidP="009645AD">
            <w:pPr>
              <w:pStyle w:val="TableHeading"/>
              <w:keepNext w:val="0"/>
              <w:rPr>
                <w:b/>
              </w:rPr>
            </w:pPr>
            <w:r w:rsidRPr="005722F1">
              <w:rPr>
                <w:b/>
              </w:rPr>
              <w:t>Challenge</w:t>
            </w:r>
          </w:p>
        </w:tc>
        <w:tc>
          <w:tcPr>
            <w:tcW w:w="4535" w:type="dxa"/>
          </w:tcPr>
          <w:p w14:paraId="43D0B00F" w14:textId="77777777" w:rsidR="004C6CD6" w:rsidRPr="005722F1" w:rsidRDefault="004C6CD6" w:rsidP="009645AD">
            <w:pPr>
              <w:pStyle w:val="TableHeading"/>
              <w:keepNext w:val="0"/>
              <w:rPr>
                <w:b/>
              </w:rPr>
            </w:pPr>
            <w:r w:rsidRPr="005722F1">
              <w:rPr>
                <w:b/>
              </w:rPr>
              <w:t>Mitigation strategy</w:t>
            </w:r>
          </w:p>
        </w:tc>
      </w:tr>
      <w:tr w:rsidR="004C6CD6" w:rsidRPr="005722F1" w14:paraId="3F6B88AA" w14:textId="77777777" w:rsidTr="009645AD">
        <w:trPr>
          <w:cnfStyle w:val="000000100000" w:firstRow="0" w:lastRow="0" w:firstColumn="0" w:lastColumn="0" w:oddVBand="0" w:evenVBand="0" w:oddHBand="1" w:evenHBand="0" w:firstRowFirstColumn="0" w:firstRowLastColumn="0" w:lastRowFirstColumn="0" w:lastRowLastColumn="0"/>
        </w:trPr>
        <w:tc>
          <w:tcPr>
            <w:tcW w:w="4535" w:type="dxa"/>
          </w:tcPr>
          <w:p w14:paraId="4FC63A07" w14:textId="77777777" w:rsidR="004C6CD6" w:rsidRPr="005722F1" w:rsidRDefault="004C6CD6" w:rsidP="009645AD">
            <w:pPr>
              <w:pStyle w:val="TableText"/>
              <w:keepNext w:val="0"/>
            </w:pPr>
            <w:r w:rsidRPr="005722F1">
              <w:t>Large and complex literature on economic benefits from improvements in broadband, with less on specifics of fast, symmetric, high quality business broadband</w:t>
            </w:r>
          </w:p>
        </w:tc>
        <w:tc>
          <w:tcPr>
            <w:tcW w:w="4535" w:type="dxa"/>
          </w:tcPr>
          <w:p w14:paraId="02ACEF78" w14:textId="77777777" w:rsidR="004C6CD6" w:rsidRPr="005722F1" w:rsidRDefault="004C6CD6" w:rsidP="009645AD">
            <w:pPr>
              <w:pStyle w:val="TableText"/>
              <w:keepNext w:val="0"/>
            </w:pPr>
            <w:r>
              <w:t xml:space="preserve">We have conducted a </w:t>
            </w:r>
            <w:r w:rsidRPr="005722F1">
              <w:t>wide review of literature to identify those studies most perti</w:t>
            </w:r>
            <w:r>
              <w:t>n</w:t>
            </w:r>
            <w:r w:rsidRPr="005722F1">
              <w:t xml:space="preserve">ent to business broadband, including </w:t>
            </w:r>
            <w:r>
              <w:t xml:space="preserve">those with a </w:t>
            </w:r>
            <w:r w:rsidRPr="005722F1">
              <w:t>significant fibre focus</w:t>
            </w:r>
            <w:r>
              <w:t xml:space="preserve"> (see Annex B)</w:t>
            </w:r>
          </w:p>
        </w:tc>
      </w:tr>
      <w:tr w:rsidR="004C6CD6" w:rsidRPr="005722F1" w14:paraId="4368E018" w14:textId="77777777" w:rsidTr="009645AD">
        <w:trPr>
          <w:cnfStyle w:val="000000010000" w:firstRow="0" w:lastRow="0" w:firstColumn="0" w:lastColumn="0" w:oddVBand="0" w:evenVBand="0" w:oddHBand="0" w:evenHBand="1" w:firstRowFirstColumn="0" w:firstRowLastColumn="0" w:lastRowFirstColumn="0" w:lastRowLastColumn="0"/>
        </w:trPr>
        <w:tc>
          <w:tcPr>
            <w:tcW w:w="4535" w:type="dxa"/>
          </w:tcPr>
          <w:p w14:paraId="1B66B2D6" w14:textId="77777777" w:rsidR="004C6CD6" w:rsidRPr="005722F1" w:rsidRDefault="004C6CD6" w:rsidP="009645AD">
            <w:pPr>
              <w:pStyle w:val="TableText"/>
              <w:keepNext w:val="0"/>
            </w:pPr>
            <w:r w:rsidRPr="005722F1">
              <w:lastRenderedPageBreak/>
              <w:t>Hard to predict competitive responses to business entry and pricing – which could drive further benefits</w:t>
            </w:r>
          </w:p>
        </w:tc>
        <w:tc>
          <w:tcPr>
            <w:tcW w:w="4535" w:type="dxa"/>
          </w:tcPr>
          <w:p w14:paraId="4DE77463" w14:textId="77777777" w:rsidR="004C6CD6" w:rsidRPr="005722F1" w:rsidRDefault="004C6CD6" w:rsidP="009645AD">
            <w:pPr>
              <w:pStyle w:val="TableText"/>
              <w:keepNext w:val="0"/>
            </w:pPr>
            <w:r>
              <w:t>We present results in ranges to account for uncertainty, and recognise whether results are likely to be conservative</w:t>
            </w:r>
          </w:p>
        </w:tc>
      </w:tr>
      <w:tr w:rsidR="004C6CD6" w:rsidRPr="005722F1" w14:paraId="667A2F5F" w14:textId="77777777" w:rsidTr="009645AD">
        <w:trPr>
          <w:cnfStyle w:val="000000100000" w:firstRow="0" w:lastRow="0" w:firstColumn="0" w:lastColumn="0" w:oddVBand="0" w:evenVBand="0" w:oddHBand="1" w:evenHBand="0" w:firstRowFirstColumn="0" w:firstRowLastColumn="0" w:lastRowFirstColumn="0" w:lastRowLastColumn="0"/>
        </w:trPr>
        <w:tc>
          <w:tcPr>
            <w:tcW w:w="4535" w:type="dxa"/>
          </w:tcPr>
          <w:p w14:paraId="2969C24D" w14:textId="77777777" w:rsidR="004C6CD6" w:rsidRPr="005722F1" w:rsidRDefault="004C6CD6" w:rsidP="009645AD">
            <w:pPr>
              <w:pStyle w:val="TableText"/>
              <w:keepNext w:val="0"/>
            </w:pPr>
            <w:r>
              <w:t>There are l</w:t>
            </w:r>
            <w:r w:rsidRPr="005722F1">
              <w:t xml:space="preserve">ikely </w:t>
            </w:r>
            <w:r>
              <w:t xml:space="preserve">to be </w:t>
            </w:r>
            <w:r w:rsidRPr="005722F1">
              <w:t>differences in sectoral / size / locational responses</w:t>
            </w:r>
            <w:r>
              <w:t>:</w:t>
            </w:r>
          </w:p>
          <w:p w14:paraId="594FC5AF" w14:textId="77777777" w:rsidR="004C6CD6" w:rsidRPr="005722F1" w:rsidRDefault="004C6CD6" w:rsidP="009645AD">
            <w:pPr>
              <w:pStyle w:val="ListBullet1"/>
              <w:keepNext w:val="0"/>
            </w:pPr>
            <w:r w:rsidRPr="005722F1">
              <w:t>Each region has a different business mix, and each business uses ICT differently</w:t>
            </w:r>
          </w:p>
          <w:p w14:paraId="645FAFE0" w14:textId="77777777" w:rsidR="004C6CD6" w:rsidRPr="005722F1" w:rsidRDefault="004C6CD6" w:rsidP="009645AD">
            <w:pPr>
              <w:pStyle w:val="ListBullet1"/>
              <w:keepNext w:val="0"/>
            </w:pPr>
            <w:r w:rsidRPr="005722F1">
              <w:t>Regions with more businesses that make use of ICT are likely to see larger benefits</w:t>
            </w:r>
          </w:p>
        </w:tc>
        <w:tc>
          <w:tcPr>
            <w:tcW w:w="4535" w:type="dxa"/>
          </w:tcPr>
          <w:p w14:paraId="45EB1465" w14:textId="77777777" w:rsidR="004C6CD6" w:rsidRPr="005722F1" w:rsidRDefault="004C6CD6" w:rsidP="009645AD">
            <w:pPr>
              <w:pStyle w:val="TableText"/>
              <w:keepNext w:val="0"/>
            </w:pPr>
            <w:r>
              <w:t>We i</w:t>
            </w:r>
            <w:r w:rsidRPr="005722F1">
              <w:t>dentify data that helps differentiate effects between regions</w:t>
            </w:r>
            <w:r>
              <w:t xml:space="preserve"> based on existing regional pricing</w:t>
            </w:r>
            <w:r w:rsidRPr="005722F1">
              <w:t xml:space="preserve">, </w:t>
            </w:r>
            <w:r>
              <w:t xml:space="preserve">and those </w:t>
            </w:r>
            <w:r w:rsidRPr="005722F1">
              <w:t>based on ICT intensity or proxies</w:t>
            </w:r>
          </w:p>
        </w:tc>
      </w:tr>
      <w:tr w:rsidR="004C6CD6" w:rsidRPr="005722F1" w14:paraId="75CEFFD2" w14:textId="77777777" w:rsidTr="009645AD">
        <w:trPr>
          <w:cnfStyle w:val="000000010000" w:firstRow="0" w:lastRow="0" w:firstColumn="0" w:lastColumn="0" w:oddVBand="0" w:evenVBand="0" w:oddHBand="0" w:evenHBand="1" w:firstRowFirstColumn="0" w:firstRowLastColumn="0" w:lastRowFirstColumn="0" w:lastRowLastColumn="0"/>
        </w:trPr>
        <w:tc>
          <w:tcPr>
            <w:tcW w:w="4535" w:type="dxa"/>
          </w:tcPr>
          <w:p w14:paraId="787830B1" w14:textId="77777777" w:rsidR="004C6CD6" w:rsidRPr="005722F1" w:rsidRDefault="004C6CD6" w:rsidP="009645AD">
            <w:pPr>
              <w:pStyle w:val="TableText"/>
              <w:keepNext w:val="0"/>
            </w:pPr>
            <w:r w:rsidRPr="005722F1">
              <w:t xml:space="preserve">Business services and their uses </w:t>
            </w:r>
            <w:r>
              <w:t xml:space="preserve">are </w:t>
            </w:r>
            <w:r w:rsidRPr="005722F1">
              <w:t xml:space="preserve">more complex than </w:t>
            </w:r>
            <w:r>
              <w:t xml:space="preserve">for </w:t>
            </w:r>
            <w:r w:rsidRPr="005722F1">
              <w:t>residential</w:t>
            </w:r>
            <w:r>
              <w:t xml:space="preserve"> users, which makes benefit identification more complex</w:t>
            </w:r>
          </w:p>
        </w:tc>
        <w:tc>
          <w:tcPr>
            <w:tcW w:w="4535" w:type="dxa"/>
          </w:tcPr>
          <w:p w14:paraId="35F0E6B2" w14:textId="77777777" w:rsidR="004C6CD6" w:rsidRPr="005722F1" w:rsidRDefault="004C6CD6" w:rsidP="009645AD">
            <w:pPr>
              <w:pStyle w:val="TableText"/>
              <w:keepNext w:val="0"/>
            </w:pPr>
            <w:r>
              <w:t xml:space="preserve">We use </w:t>
            </w:r>
            <w:r w:rsidRPr="005722F1">
              <w:t>case studies to present illustrative gains that are possible with business broadband services</w:t>
            </w:r>
          </w:p>
        </w:tc>
      </w:tr>
      <w:tr w:rsidR="004C6CD6" w:rsidRPr="005722F1" w14:paraId="3F6894F4" w14:textId="77777777" w:rsidTr="009645AD">
        <w:trPr>
          <w:cnfStyle w:val="000000100000" w:firstRow="0" w:lastRow="0" w:firstColumn="0" w:lastColumn="0" w:oddVBand="0" w:evenVBand="0" w:oddHBand="1" w:evenHBand="0" w:firstRowFirstColumn="0" w:firstRowLastColumn="0" w:lastRowFirstColumn="0" w:lastRowLastColumn="0"/>
          <w:trHeight w:val="2497"/>
        </w:trPr>
        <w:tc>
          <w:tcPr>
            <w:tcW w:w="4535" w:type="dxa"/>
          </w:tcPr>
          <w:p w14:paraId="21390E3B" w14:textId="77777777" w:rsidR="004C6CD6" w:rsidRPr="005722F1" w:rsidRDefault="004C6CD6" w:rsidP="009645AD">
            <w:pPr>
              <w:pStyle w:val="TableText"/>
              <w:keepNext w:val="0"/>
            </w:pPr>
            <w:r>
              <w:t xml:space="preserve">The investments compared to the overall investment </w:t>
            </w:r>
            <w:r w:rsidR="008421D2">
              <w:t xml:space="preserve">in the National Broadband Network </w:t>
            </w:r>
            <w:r w:rsidR="00503ACB">
              <w:t>are</w:t>
            </w:r>
            <w:r>
              <w:t xml:space="preserve"> relatively </w:t>
            </w:r>
            <w:r w:rsidR="007345CA">
              <w:t>modest</w:t>
            </w:r>
            <w:r>
              <w:t xml:space="preserve">, and </w:t>
            </w:r>
            <w:r w:rsidR="00503ACB">
              <w:t xml:space="preserve">so determining the </w:t>
            </w:r>
            <w:r>
              <w:t xml:space="preserve">effects </w:t>
            </w:r>
            <w:r w:rsidR="00503ACB">
              <w:t xml:space="preserve">of just the incremental investment is </w:t>
            </w:r>
            <w:r w:rsidRPr="005722F1">
              <w:t>difficult to measure</w:t>
            </w:r>
            <w:r>
              <w:t>.</w:t>
            </w:r>
          </w:p>
          <w:p w14:paraId="24E3B97D" w14:textId="77777777" w:rsidR="004C6CD6" w:rsidRPr="005722F1" w:rsidRDefault="004C6CD6" w:rsidP="009645AD">
            <w:pPr>
              <w:pStyle w:val="TableText"/>
              <w:keepNext w:val="0"/>
            </w:pPr>
            <w:r w:rsidRPr="005722F1">
              <w:t xml:space="preserve">Avoiding double counting of benefits – e.g. </w:t>
            </w:r>
            <w:r>
              <w:t xml:space="preserve">estimating an </w:t>
            </w:r>
            <w:r w:rsidRPr="005722F1">
              <w:t>increase in GDP captures firm productivity benefits</w:t>
            </w:r>
            <w:r>
              <w:t xml:space="preserve"> indirectly.</w:t>
            </w:r>
          </w:p>
        </w:tc>
        <w:tc>
          <w:tcPr>
            <w:tcW w:w="4535" w:type="dxa"/>
          </w:tcPr>
          <w:p w14:paraId="4F4FB1E6" w14:textId="77777777" w:rsidR="004C6CD6" w:rsidRPr="005722F1" w:rsidRDefault="004C6CD6" w:rsidP="009645AD">
            <w:pPr>
              <w:pStyle w:val="TableText"/>
              <w:keepNext w:val="0"/>
            </w:pPr>
            <w:r>
              <w:t>These challenges can be best addressed through c</w:t>
            </w:r>
            <w:r w:rsidRPr="005722F1">
              <w:t>areful presentation of results</w:t>
            </w:r>
            <w:r>
              <w:t>; we use different approaches and data sources where possible, and highlight where results are additive or alternative.</w:t>
            </w:r>
          </w:p>
        </w:tc>
      </w:tr>
    </w:tbl>
    <w:p w14:paraId="2A272AA9" w14:textId="77777777" w:rsidR="004C6CD6" w:rsidRPr="00885B0A" w:rsidRDefault="004C6CD6" w:rsidP="00FE4336">
      <w:pPr>
        <w:pStyle w:val="Source"/>
      </w:pPr>
      <w:r w:rsidRPr="00885B0A">
        <w:t xml:space="preserve">Source: </w:t>
      </w:r>
      <w:r>
        <w:t>Frontier Economics</w:t>
      </w:r>
    </w:p>
    <w:p w14:paraId="3B9C5CF4" w14:textId="77777777" w:rsidR="0055501F" w:rsidRDefault="0055501F" w:rsidP="00D31AC9">
      <w:pPr>
        <w:pStyle w:val="Heading4"/>
      </w:pPr>
      <w:r>
        <w:t>Existing estimates of economic benefit</w:t>
      </w:r>
    </w:p>
    <w:p w14:paraId="78A6C205" w14:textId="77777777" w:rsidR="00B549A8" w:rsidRPr="00C12D24" w:rsidRDefault="00B549A8" w:rsidP="00C12D24">
      <w:pPr>
        <w:pStyle w:val="Heading5"/>
      </w:pPr>
      <w:proofErr w:type="spellStart"/>
      <w:r w:rsidRPr="00C12D24">
        <w:t>AlphaBeta’s</w:t>
      </w:r>
      <w:proofErr w:type="spellEnd"/>
      <w:r w:rsidRPr="00C12D24">
        <w:t xml:space="preserve"> study for NBN Co</w:t>
      </w:r>
    </w:p>
    <w:p w14:paraId="306E41AA" w14:textId="662F3370" w:rsidR="00B549A8" w:rsidRDefault="00B549A8" w:rsidP="00B549A8">
      <w:pPr>
        <w:pStyle w:val="BodyText"/>
      </w:pPr>
      <w:r>
        <w:t xml:space="preserve">In September 2020, </w:t>
      </w:r>
      <w:proofErr w:type="spellStart"/>
      <w:r>
        <w:t>Alpha</w:t>
      </w:r>
      <w:r w:rsidR="0051146D">
        <w:t>B</w:t>
      </w:r>
      <w:r>
        <w:t>eta</w:t>
      </w:r>
      <w:proofErr w:type="spellEnd"/>
      <w:r>
        <w:t xml:space="preserve"> published an economic impact analysis of the </w:t>
      </w:r>
      <w:proofErr w:type="spellStart"/>
      <w:r>
        <w:t>nbn</w:t>
      </w:r>
      <w:proofErr w:type="spellEnd"/>
      <w:r>
        <w:t xml:space="preserve"> network investment plan.</w:t>
      </w:r>
      <w:r w:rsidR="00F03F8F">
        <w:rPr>
          <w:rStyle w:val="FootnoteReference"/>
        </w:rPr>
        <w:footnoteReference w:id="7"/>
      </w:r>
      <w:r>
        <w:t xml:space="preserve"> </w:t>
      </w:r>
      <w:r w:rsidR="00331E67">
        <w:t xml:space="preserve">This study was commissioned by NBNC Co, and the key </w:t>
      </w:r>
      <w:r>
        <w:t xml:space="preserve">results </w:t>
      </w:r>
      <w:r w:rsidR="00331E67">
        <w:t xml:space="preserve">were reported in NBN </w:t>
      </w:r>
      <w:proofErr w:type="spellStart"/>
      <w:r w:rsidR="00331E67">
        <w:t>Co’s</w:t>
      </w:r>
      <w:proofErr w:type="spellEnd"/>
      <w:r w:rsidR="00331E67">
        <w:t xml:space="preserve"> corporate plan and</w:t>
      </w:r>
      <w:r>
        <w:t xml:space="preserve"> summarised </w:t>
      </w:r>
      <w:r w:rsidR="00331E67">
        <w:t xml:space="preserve">here </w:t>
      </w:r>
      <w:r>
        <w:t xml:space="preserve">in </w:t>
      </w:r>
      <w:r>
        <w:fldChar w:fldCharType="begin"/>
      </w:r>
      <w:r>
        <w:instrText xml:space="preserve"> REF _Ref74310287 \h </w:instrText>
      </w:r>
      <w:r>
        <w:fldChar w:fldCharType="separate"/>
      </w:r>
      <w:r w:rsidR="00DD5715" w:rsidRPr="007C5D2E">
        <w:rPr>
          <w:rStyle w:val="Bold"/>
        </w:rPr>
        <w:t xml:space="preserve">Figure </w:t>
      </w:r>
      <w:r w:rsidR="00DD5715">
        <w:rPr>
          <w:rStyle w:val="Bold"/>
          <w:noProof/>
        </w:rPr>
        <w:t>9</w:t>
      </w:r>
      <w:r>
        <w:fldChar w:fldCharType="end"/>
      </w:r>
      <w:r>
        <w:t>.</w:t>
      </w:r>
    </w:p>
    <w:p w14:paraId="10D9D660" w14:textId="56E6E2FD" w:rsidR="00B549A8" w:rsidRDefault="00B549A8" w:rsidP="00BC1863">
      <w:pPr>
        <w:pStyle w:val="BodyText"/>
        <w:keepNext/>
      </w:pPr>
      <w:bookmarkStart w:id="62" w:name="_Ref74310287"/>
      <w:bookmarkStart w:id="63" w:name="_Toc74153171"/>
      <w:bookmarkStart w:id="64" w:name="_Toc74684926"/>
      <w:bookmarkStart w:id="65" w:name="_Toc79585070"/>
      <w:r w:rsidRPr="007C5D2E">
        <w:rPr>
          <w:rStyle w:val="Bold"/>
        </w:rPr>
        <w:lastRenderedPageBreak/>
        <w:t xml:space="preserve">Figure </w:t>
      </w:r>
      <w:r w:rsidRPr="007C5D2E">
        <w:rPr>
          <w:rStyle w:val="Bold"/>
        </w:rPr>
        <w:fldChar w:fldCharType="begin"/>
      </w:r>
      <w:r w:rsidRPr="007C5D2E">
        <w:rPr>
          <w:rStyle w:val="Bold"/>
        </w:rPr>
        <w:instrText xml:space="preserve"> SEQ Figure \* ARABIC </w:instrText>
      </w:r>
      <w:r w:rsidRPr="007C5D2E">
        <w:rPr>
          <w:rStyle w:val="Bold"/>
        </w:rPr>
        <w:fldChar w:fldCharType="separate"/>
      </w:r>
      <w:r w:rsidR="00DD5715">
        <w:rPr>
          <w:rStyle w:val="Bold"/>
          <w:noProof/>
        </w:rPr>
        <w:t>9</w:t>
      </w:r>
      <w:r w:rsidRPr="007C5D2E">
        <w:rPr>
          <w:rStyle w:val="Bold"/>
        </w:rPr>
        <w:fldChar w:fldCharType="end"/>
      </w:r>
      <w:bookmarkEnd w:id="62"/>
      <w:r w:rsidRPr="00BE496A">
        <w:t xml:space="preserve">: </w:t>
      </w:r>
      <w:r>
        <w:t xml:space="preserve">Overview of </w:t>
      </w:r>
      <w:proofErr w:type="spellStart"/>
      <w:r>
        <w:t>AlphaBeta</w:t>
      </w:r>
      <w:proofErr w:type="spellEnd"/>
      <w:r>
        <w:t xml:space="preserve"> results</w:t>
      </w:r>
      <w:bookmarkEnd w:id="63"/>
      <w:bookmarkEnd w:id="64"/>
      <w:bookmarkEnd w:id="65"/>
    </w:p>
    <w:p w14:paraId="1001DC85" w14:textId="77777777" w:rsidR="00B549A8" w:rsidRDefault="00B549A8" w:rsidP="00B549A8">
      <w:pPr>
        <w:pStyle w:val="BodyText"/>
      </w:pPr>
      <w:r w:rsidRPr="00C2105A">
        <w:rPr>
          <w:noProof/>
          <w:lang w:eastAsia="en-AU"/>
        </w:rPr>
        <w:drawing>
          <wp:inline distT="0" distB="0" distL="0" distR="0" wp14:anchorId="6F642867" wp14:editId="6C02833C">
            <wp:extent cx="4457700" cy="3315998"/>
            <wp:effectExtent l="0" t="0" r="0" b="0"/>
            <wp:docPr id="24" name="Picture 24" descr="This figure summarises the economic impacts reported by AlphaBeta. It highlights forecast uplifts in jobs, GDP and new business creation split into Australia and regional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This figure summarises the economic impacts reported by AlphaBeta. It highlights forecast uplifts in jobs, GDP and new business creation split into Australia and regional Australia."/>
                    <pic:cNvPicPr/>
                  </pic:nvPicPr>
                  <pic:blipFill>
                    <a:blip r:embed="rId39"/>
                    <a:stretch>
                      <a:fillRect/>
                    </a:stretch>
                  </pic:blipFill>
                  <pic:spPr>
                    <a:xfrm>
                      <a:off x="0" y="0"/>
                      <a:ext cx="4494124" cy="3343093"/>
                    </a:xfrm>
                    <a:prstGeom prst="rect">
                      <a:avLst/>
                    </a:prstGeom>
                  </pic:spPr>
                </pic:pic>
              </a:graphicData>
            </a:graphic>
          </wp:inline>
        </w:drawing>
      </w:r>
    </w:p>
    <w:p w14:paraId="3275A446" w14:textId="77777777" w:rsidR="00B549A8" w:rsidRPr="003335D6" w:rsidRDefault="00B549A8" w:rsidP="003335D6">
      <w:pPr>
        <w:pStyle w:val="Source"/>
      </w:pPr>
      <w:r w:rsidRPr="003335D6">
        <w:t>Source: NBN Corporate Plan, p. 46.</w:t>
      </w:r>
    </w:p>
    <w:p w14:paraId="662BCF9E" w14:textId="77777777" w:rsidR="00E822F3" w:rsidRDefault="00B549A8" w:rsidP="00B549A8">
      <w:pPr>
        <w:pStyle w:val="BodyText"/>
      </w:pPr>
      <w:r>
        <w:t>These headline findings were reached using a combination of economic analysis methodologies</w:t>
      </w:r>
      <w:r w:rsidR="00E822F3">
        <w:t>:</w:t>
      </w:r>
    </w:p>
    <w:p w14:paraId="39C8D776" w14:textId="77777777" w:rsidR="00E822F3" w:rsidRDefault="00B549A8" w:rsidP="00E822F3">
      <w:pPr>
        <w:pStyle w:val="ListBullet1"/>
      </w:pPr>
      <w:r>
        <w:t xml:space="preserve">The increase in GDP was estimated using a </w:t>
      </w:r>
      <w:r w:rsidR="006D7439">
        <w:t xml:space="preserve">computable </w:t>
      </w:r>
      <w:r>
        <w:t>general equilibrium model</w:t>
      </w:r>
      <w:r w:rsidR="00B11842">
        <w:t>,</w:t>
      </w:r>
      <w:r>
        <w:t xml:space="preserve"> with new businesses estimated based on the GDP result. </w:t>
      </w:r>
    </w:p>
    <w:p w14:paraId="68FE9565" w14:textId="77777777" w:rsidR="00E822F3" w:rsidRDefault="00B549A8" w:rsidP="00E822F3">
      <w:pPr>
        <w:pStyle w:val="ListBullet1"/>
      </w:pPr>
      <w:r>
        <w:t xml:space="preserve">The jobs calculation is based on the direct jobs at NBN Co to deliver the investment plan with indirect jobs (i.e. those supported by the investment of NBN Co) estimated through the use of input-output tables. </w:t>
      </w:r>
    </w:p>
    <w:p w14:paraId="09B62121" w14:textId="77777777" w:rsidR="00B549A8" w:rsidRDefault="00B549A8" w:rsidP="00B549A8">
      <w:pPr>
        <w:pStyle w:val="BodyText"/>
      </w:pPr>
      <w:r w:rsidRPr="00817395">
        <w:t>Computable general equilibrium model</w:t>
      </w:r>
      <w:r>
        <w:t>s and input-output tables are both macroeconomic models of the economy. The former is a dynamic sectoral model which can be “shocked” to reflect changes across the economy which result from a change in inputs. An input-output model is a static sectoral model of the economy which is most commonly used for “multiplier” analysis – a first principles estimate of the indirect and catalytic impacts of change in spending (input) in the economy. These approaches are regularly used in economic impact analysis and are best suited to projects or policies which have broad impacts across the economy.</w:t>
      </w:r>
    </w:p>
    <w:p w14:paraId="2B21B5DF" w14:textId="77777777" w:rsidR="00B549A8" w:rsidRDefault="0051146D" w:rsidP="00B549A8">
      <w:pPr>
        <w:pStyle w:val="BodyText"/>
      </w:pPr>
      <w:proofErr w:type="spellStart"/>
      <w:r>
        <w:t>AlphaBeta</w:t>
      </w:r>
      <w:r w:rsidR="00B549A8">
        <w:t>’s</w:t>
      </w:r>
      <w:proofErr w:type="spellEnd"/>
      <w:r w:rsidR="00B549A8">
        <w:t xml:space="preserve"> study focuses on the NBN Co investment plan. It does</w:t>
      </w:r>
      <w:r w:rsidR="00B11842">
        <w:t xml:space="preserve"> </w:t>
      </w:r>
      <w:r w:rsidR="00B549A8">
        <w:t>n</w:t>
      </w:r>
      <w:r w:rsidR="00B11842">
        <w:t>o</w:t>
      </w:r>
      <w:r w:rsidR="00B549A8">
        <w:t xml:space="preserve">t </w:t>
      </w:r>
      <w:r w:rsidR="00B11842">
        <w:t xml:space="preserve">specifically </w:t>
      </w:r>
      <w:r w:rsidR="00B549A8">
        <w:t xml:space="preserve">distinguish between impacts from business broadband and residential uses. The study does include high level consideration of the Business Fibre Zones. This </w:t>
      </w:r>
      <w:r w:rsidR="00714595">
        <w:t>includes</w:t>
      </w:r>
      <w:r w:rsidR="00B549A8">
        <w:t xml:space="preserve"> evidence that higher internet speeds are associated with higher average revenue growth and employment for small businesses (based on data for 2015-17). </w:t>
      </w:r>
    </w:p>
    <w:p w14:paraId="474AFF68" w14:textId="77777777" w:rsidR="00B549A8" w:rsidRPr="00DD3709" w:rsidRDefault="00B549A8" w:rsidP="00B549A8">
      <w:pPr>
        <w:pStyle w:val="BodyText"/>
        <w:rPr>
          <w:highlight w:val="yellow"/>
        </w:rPr>
      </w:pPr>
      <w:r w:rsidRPr="00364997">
        <w:t>The</w:t>
      </w:r>
      <w:r>
        <w:t xml:space="preserve"> study includes</w:t>
      </w:r>
      <w:r w:rsidRPr="00364997">
        <w:t xml:space="preserve"> e</w:t>
      </w:r>
      <w:r w:rsidRPr="00DD3709">
        <w:t xml:space="preserve">stimated </w:t>
      </w:r>
      <w:r>
        <w:t xml:space="preserve">productivity </w:t>
      </w:r>
      <w:r w:rsidRPr="00DD3709">
        <w:t>effects</w:t>
      </w:r>
      <w:r w:rsidRPr="00364997">
        <w:t xml:space="preserve"> </w:t>
      </w:r>
      <w:r>
        <w:t>which</w:t>
      </w:r>
      <w:r w:rsidRPr="00364997">
        <w:t xml:space="preserve"> </w:t>
      </w:r>
      <w:r w:rsidRPr="00DD3709">
        <w:t>are based on forecast changes and observed relationships between</w:t>
      </w:r>
      <w:r w:rsidR="00E822F3">
        <w:t xml:space="preserve"> </w:t>
      </w:r>
      <w:r w:rsidRPr="00364997">
        <w:t>Internet speeds and GDP</w:t>
      </w:r>
      <w:r w:rsidR="00E822F3">
        <w:t xml:space="preserve">, and </w:t>
      </w:r>
      <w:r w:rsidRPr="00364997">
        <w:t>Internet penetration and GDP</w:t>
      </w:r>
      <w:r w:rsidR="00E822F3">
        <w:t xml:space="preserve">. </w:t>
      </w:r>
      <w:r w:rsidRPr="00364997">
        <w:t>These e</w:t>
      </w:r>
      <w:r w:rsidRPr="00DD3709">
        <w:t>stimates use average changes in speeds/penetration across households and businesses</w:t>
      </w:r>
      <w:r>
        <w:t xml:space="preserve">. </w:t>
      </w:r>
      <w:r w:rsidRPr="00364997">
        <w:t>The e</w:t>
      </w:r>
      <w:r w:rsidRPr="00DD3709">
        <w:t xml:space="preserve">stimates are converted to overall productivity </w:t>
      </w:r>
      <w:r w:rsidR="00825B8C">
        <w:t>changes</w:t>
      </w:r>
      <w:r w:rsidR="00825B8C" w:rsidRPr="00DD3709">
        <w:t xml:space="preserve"> </w:t>
      </w:r>
      <w:r w:rsidRPr="00DD3709">
        <w:t>for modelling, then allocated between industries according to:</w:t>
      </w:r>
    </w:p>
    <w:p w14:paraId="233518FE" w14:textId="77777777" w:rsidR="00B549A8" w:rsidRPr="00DD3709" w:rsidRDefault="00B549A8" w:rsidP="00B549A8">
      <w:pPr>
        <w:pStyle w:val="ListBullet1"/>
      </w:pPr>
      <w:r w:rsidRPr="00DD3709">
        <w:t>Business use of IT (ABS data)</w:t>
      </w:r>
    </w:p>
    <w:p w14:paraId="470C8471" w14:textId="77777777" w:rsidR="00B549A8" w:rsidRPr="00DD3709" w:rsidRDefault="00B549A8" w:rsidP="00B549A8">
      <w:pPr>
        <w:pStyle w:val="ListBullet1"/>
      </w:pPr>
      <w:r w:rsidRPr="00DD3709">
        <w:lastRenderedPageBreak/>
        <w:t>Share of costs attributable to ICT (ABS input output)</w:t>
      </w:r>
    </w:p>
    <w:p w14:paraId="4641B76C" w14:textId="77777777" w:rsidR="00B549A8" w:rsidRPr="00364997" w:rsidRDefault="00E822F3" w:rsidP="00B549A8">
      <w:pPr>
        <w:pStyle w:val="ListBullet1"/>
      </w:pPr>
      <w:r>
        <w:t>The d</w:t>
      </w:r>
      <w:r w:rsidR="00B549A8" w:rsidRPr="00364997">
        <w:t xml:space="preserve">egree to which industry was underserved by </w:t>
      </w:r>
      <w:proofErr w:type="spellStart"/>
      <w:r w:rsidR="00B549A8">
        <w:t>nbn</w:t>
      </w:r>
      <w:proofErr w:type="spellEnd"/>
      <w:r>
        <w:t xml:space="preserve"> prior to the investments.</w:t>
      </w:r>
      <w:r w:rsidR="00B549A8" w:rsidRPr="00364997">
        <w:t xml:space="preserve"> </w:t>
      </w:r>
    </w:p>
    <w:p w14:paraId="622671F0" w14:textId="77777777" w:rsidR="00B549A8" w:rsidRPr="00646EE3" w:rsidRDefault="00B549A8" w:rsidP="00B549A8">
      <w:pPr>
        <w:pStyle w:val="BodyText"/>
      </w:pPr>
      <w:r w:rsidRPr="00646EE3">
        <w:t xml:space="preserve">The </w:t>
      </w:r>
      <w:proofErr w:type="spellStart"/>
      <w:r w:rsidR="0051146D">
        <w:t>AlphaBeta</w:t>
      </w:r>
      <w:proofErr w:type="spellEnd"/>
      <w:r w:rsidRPr="00646EE3">
        <w:t xml:space="preserve"> study uses these productivity effects as inputs to a computable general equilibrium model in order to estimate the economy wide impacts. </w:t>
      </w:r>
    </w:p>
    <w:p w14:paraId="77EDFDDE" w14:textId="77777777" w:rsidR="00B549A8" w:rsidRDefault="00B549A8" w:rsidP="00B549A8">
      <w:pPr>
        <w:pStyle w:val="BodyText"/>
      </w:pPr>
      <w:r>
        <w:t xml:space="preserve">Relating the </w:t>
      </w:r>
      <w:proofErr w:type="spellStart"/>
      <w:r w:rsidR="0051146D">
        <w:t>AlphaBeta</w:t>
      </w:r>
      <w:proofErr w:type="spellEnd"/>
      <w:r>
        <w:t xml:space="preserve"> study back to this study, the overarching point is that they are complementary rather than directly comparable. </w:t>
      </w:r>
      <w:r w:rsidR="00A9094F">
        <w:t xml:space="preserve">Both studies </w:t>
      </w:r>
      <w:r w:rsidR="00D0490D">
        <w:t xml:space="preserve">identify likely benefits from high speed broadband, including business grade broadband. </w:t>
      </w:r>
      <w:r>
        <w:t xml:space="preserve">The </w:t>
      </w:r>
      <w:proofErr w:type="spellStart"/>
      <w:r w:rsidR="0051146D">
        <w:t>AlphaBeta</w:t>
      </w:r>
      <w:proofErr w:type="spellEnd"/>
      <w:r>
        <w:t xml:space="preserve"> provides a high-level analysis of economy-wide impacts of the NBN Co investment plan</w:t>
      </w:r>
      <w:r w:rsidR="000C5011">
        <w:t>, with a split into metropolitan and regional areas</w:t>
      </w:r>
      <w:r>
        <w:t xml:space="preserve">. In contrast, this study drills down into the specific economic impacts of NBN </w:t>
      </w:r>
      <w:proofErr w:type="spellStart"/>
      <w:r>
        <w:t>Co’s</w:t>
      </w:r>
      <w:proofErr w:type="spellEnd"/>
      <w:r>
        <w:t xml:space="preserve"> business product investments, including analysis of sector and location impacts. Nevertheless, there a</w:t>
      </w:r>
      <w:r w:rsidR="00E822F3">
        <w:t>re</w:t>
      </w:r>
      <w:r>
        <w:t xml:space="preserve"> methodological similarities such as focus on relating internet speeds and penetration to productivity outcomes</w:t>
      </w:r>
      <w:r w:rsidR="00D17194">
        <w:t>, and an overall finding of material economic benefits</w:t>
      </w:r>
      <w:r>
        <w:t>.</w:t>
      </w:r>
    </w:p>
    <w:p w14:paraId="00312D41" w14:textId="77777777" w:rsidR="00B549A8" w:rsidRDefault="00B549A8" w:rsidP="00FC35A9">
      <w:pPr>
        <w:pStyle w:val="Heading5"/>
      </w:pPr>
      <w:r w:rsidRPr="00FC35A9">
        <w:t>Other studies</w:t>
      </w:r>
    </w:p>
    <w:p w14:paraId="79A1D6F9" w14:textId="77777777" w:rsidR="00B549A8" w:rsidRDefault="00B549A8" w:rsidP="00B549A8">
      <w:pPr>
        <w:pStyle w:val="BodyText"/>
      </w:pPr>
      <w:r>
        <w:t>Another relevant recent paper is a working paper by the Australian Government on the economic impact of high speed broadband on the agriculture sector. The paper estimated that the “additional economic benefit from broadband-supported technology could be between $3.0 and $10.6 billion per year (in 2017–18 dollars) for the agricultural sector by 2029–30, which represents an additional boost to economic activity in agriculture of between 4.7 to 16.9 per cent by 2030.” The paper estimated that this equated to an economy-wide impact in the range $64-299 increase in GDP per capita.</w:t>
      </w:r>
    </w:p>
    <w:p w14:paraId="50C10FC9" w14:textId="77777777" w:rsidR="00B549A8" w:rsidRDefault="00B549A8" w:rsidP="00B549A8">
      <w:pPr>
        <w:pStyle w:val="BodyText"/>
      </w:pPr>
      <w:r>
        <w:t>This paper drew on evidence from previous studies which specifically looked at the economic impacts of broadband-supported technology in agriculture. The methodology for estimating the economic impacts was running a series of scenarios with different high level assumptions around impact on output, investment and timing of impacts based on two published studies.</w:t>
      </w:r>
    </w:p>
    <w:p w14:paraId="19876784" w14:textId="77777777" w:rsidR="00B549A8" w:rsidRDefault="00B549A8" w:rsidP="00B549A8">
      <w:pPr>
        <w:pStyle w:val="BodyText"/>
      </w:pPr>
      <w:r>
        <w:t>The Australian Government paper, while related, has a slightly different purpose to this study. It focuses solely on agriculture and looks at long-term impacts, whereas this study covers all business and covers a shorter term timeframe.</w:t>
      </w:r>
    </w:p>
    <w:p w14:paraId="7A9AF017" w14:textId="76493807" w:rsidR="00C52D7E" w:rsidRDefault="00C52D7E" w:rsidP="00B549A8">
      <w:pPr>
        <w:pStyle w:val="BodyText"/>
      </w:pPr>
      <w:r>
        <w:t>A final touchpoint for this study is in relation to the deployment and take-up</w:t>
      </w:r>
      <w:r w:rsidR="009906F9">
        <w:t xml:space="preserve"> of business grade services in New Zealand.</w:t>
      </w:r>
      <w:r w:rsidR="00AD57A5">
        <w:t xml:space="preserve"> The largest supplier of fibre services in New Zealand, Chorus, offers business fibre services</w:t>
      </w:r>
      <w:r w:rsidR="00EF74EA">
        <w:t xml:space="preserve"> in zones that are somewhat analogous to </w:t>
      </w:r>
      <w:r w:rsidR="00FD7E22">
        <w:t>Business Fibre Zone</w:t>
      </w:r>
      <w:r w:rsidR="00EF74EA">
        <w:t xml:space="preserve">s in Australia. </w:t>
      </w:r>
      <w:r w:rsidR="004D6844">
        <w:t>T</w:t>
      </w:r>
      <w:r w:rsidR="00EF74EA">
        <w:t xml:space="preserve">he </w:t>
      </w:r>
      <w:r w:rsidR="004D6844">
        <w:t xml:space="preserve">nascent </w:t>
      </w:r>
      <w:r w:rsidR="00EF74EA">
        <w:t>experience</w:t>
      </w:r>
      <w:r w:rsidR="00F17A42">
        <w:t>s</w:t>
      </w:r>
      <w:r w:rsidR="00EF74EA">
        <w:t xml:space="preserve"> in New Zealand</w:t>
      </w:r>
      <w:r w:rsidR="005C57E7">
        <w:t xml:space="preserve"> indicate that certain sectors are likely to be key beneficiaries from these services (</w:t>
      </w:r>
      <w:r w:rsidR="005D0C86">
        <w:fldChar w:fldCharType="begin"/>
      </w:r>
      <w:r w:rsidR="005D0C86">
        <w:instrText xml:space="preserve"> REF _Ref79503656 \r \h </w:instrText>
      </w:r>
      <w:r w:rsidR="005D0C86">
        <w:fldChar w:fldCharType="separate"/>
      </w:r>
      <w:r w:rsidR="00DD5715">
        <w:t>Box 3</w:t>
      </w:r>
      <w:r w:rsidR="005D0C86">
        <w:fldChar w:fldCharType="end"/>
      </w:r>
      <w:r w:rsidR="005C57E7">
        <w:t>) which provide</w:t>
      </w:r>
      <w:r w:rsidR="002817C8">
        <w:t xml:space="preserve"> useful context for this study.</w:t>
      </w:r>
    </w:p>
    <w:p w14:paraId="78E0648E" w14:textId="77777777" w:rsidR="00876CAA" w:rsidRPr="00047287" w:rsidRDefault="00876CAA" w:rsidP="00876CAA">
      <w:pPr>
        <w:pStyle w:val="CalloutBoxcaption"/>
        <w:shd w:val="clear" w:color="auto" w:fill="F2F2F2" w:themeFill="background2"/>
        <w:jc w:val="left"/>
      </w:pPr>
      <w:bookmarkStart w:id="66" w:name="_Ref79503628"/>
      <w:bookmarkStart w:id="67" w:name="_Ref79503656"/>
      <w:bookmarkStart w:id="68" w:name="_Toc79585093"/>
      <w:r w:rsidRPr="00047287">
        <w:rPr>
          <w:b/>
          <w:bCs/>
        </w:rPr>
        <w:t>:</w:t>
      </w:r>
      <w:r w:rsidRPr="00047287">
        <w:t xml:space="preserve"> Business broadband in New Zealand</w:t>
      </w:r>
      <w:bookmarkEnd w:id="66"/>
      <w:bookmarkEnd w:id="67"/>
      <w:bookmarkEnd w:id="68"/>
    </w:p>
    <w:p w14:paraId="775724D6" w14:textId="77777777" w:rsidR="00876CAA" w:rsidRPr="00047287" w:rsidRDefault="00876CAA" w:rsidP="00876CAA">
      <w:pPr>
        <w:pStyle w:val="BodyText"/>
        <w:shd w:val="clear" w:color="auto" w:fill="F2F2F2" w:themeFill="background2"/>
      </w:pPr>
      <w:r w:rsidRPr="00047287">
        <w:t>New Zealand has undertaken a sustained effort over the last decade to upgrade the broadband infrastructure across the country. From a business broadband perspective, the key initiative has been Chorus’ roll out of a business grade fibre product to 28 major towns and cities across New Zealand (referred to as Urban Fibre Zones). This roll out was completed in November 2019 and is sold as a product called “</w:t>
      </w:r>
      <w:proofErr w:type="spellStart"/>
      <w:r w:rsidRPr="00047287">
        <w:t>Hyperfibre</w:t>
      </w:r>
      <w:proofErr w:type="spellEnd"/>
      <w:r w:rsidRPr="00047287">
        <w:t>.”</w:t>
      </w:r>
    </w:p>
    <w:p w14:paraId="652D1DA0" w14:textId="77777777" w:rsidR="00876CAA" w:rsidRPr="00047287" w:rsidRDefault="00876CAA" w:rsidP="00876CAA">
      <w:pPr>
        <w:pStyle w:val="BodyText"/>
        <w:shd w:val="clear" w:color="auto" w:fill="F2F2F2" w:themeFill="background2"/>
      </w:pPr>
      <w:proofErr w:type="spellStart"/>
      <w:r w:rsidRPr="00047287">
        <w:t>Hyperfibre</w:t>
      </w:r>
      <w:proofErr w:type="spellEnd"/>
      <w:r w:rsidRPr="00047287">
        <w:t xml:space="preserve"> offers symmetric speeds with high traffic class options and high levels of customer support including “business restore” should a customer experience a fibre outage. A 1000 Mbps symmetric product launched in 2014 followed by 2000 and 4000 Mbps products which were launched in financial year 2020. A further 8000 Mbps service has since been launched. Chorus offers access to the highest speed services at relatively modest charging increments (monthly charges) for its business 2000, 4000 and 8000 Mbps services.</w:t>
      </w:r>
      <w:r w:rsidRPr="00047287" w:rsidDel="00810C3A">
        <w:rPr>
          <w:vertAlign w:val="superscript"/>
        </w:rPr>
        <w:t xml:space="preserve"> </w:t>
      </w:r>
    </w:p>
    <w:p w14:paraId="48486941" w14:textId="77777777" w:rsidR="00876CAA" w:rsidRDefault="00876CAA" w:rsidP="00876CAA">
      <w:pPr>
        <w:pStyle w:val="ListBullet1"/>
        <w:shd w:val="clear" w:color="auto" w:fill="F2F2F2" w:themeFill="background2"/>
      </w:pPr>
      <w:r w:rsidRPr="00047287">
        <w:lastRenderedPageBreak/>
        <w:t>The change in uptake over time of businesses with a fibre-to-the premises connection is striking. According to data from Stats NZ</w:t>
      </w:r>
      <w:r w:rsidRPr="00047287">
        <w:rPr>
          <w:vertAlign w:val="superscript"/>
        </w:rPr>
        <w:footnoteReference w:id="8"/>
      </w:r>
      <w:r w:rsidRPr="00047287">
        <w:t>, take up for these business premises rose from 22% in 2014 to 52% in 2018 and then 64% in 2020. The sectors with highest uptake in 2020 were:</w:t>
      </w:r>
    </w:p>
    <w:p w14:paraId="0684EAAB" w14:textId="5C41871C" w:rsidR="00876CAA" w:rsidRDefault="00876CAA" w:rsidP="00876CAA">
      <w:pPr>
        <w:pStyle w:val="ListBullet1"/>
        <w:shd w:val="clear" w:color="auto" w:fill="F2F2F2" w:themeFill="background2"/>
      </w:pPr>
      <w:proofErr w:type="gramStart"/>
      <w:r w:rsidRPr="00047287">
        <w:t>professional</w:t>
      </w:r>
      <w:proofErr w:type="gramEnd"/>
      <w:r w:rsidRPr="00047287">
        <w:t>, scientific &amp; technical services (84%)</w:t>
      </w:r>
    </w:p>
    <w:p w14:paraId="461342D2" w14:textId="423F03E3" w:rsidR="00876CAA" w:rsidRPr="00047287" w:rsidRDefault="00876CAA" w:rsidP="00876CAA">
      <w:pPr>
        <w:pStyle w:val="ListBullet1"/>
        <w:shd w:val="clear" w:color="auto" w:fill="F2F2F2" w:themeFill="background2"/>
      </w:pPr>
      <w:proofErr w:type="gramStart"/>
      <w:r w:rsidRPr="00047287">
        <w:t>information</w:t>
      </w:r>
      <w:proofErr w:type="gramEnd"/>
      <w:r w:rsidRPr="00047287">
        <w:t xml:space="preserve"> media &amp; telecommunications (86%)</w:t>
      </w:r>
    </w:p>
    <w:p w14:paraId="6BF7454F" w14:textId="77777777" w:rsidR="00876CAA" w:rsidRPr="00047287" w:rsidRDefault="00876CAA" w:rsidP="00876CAA">
      <w:pPr>
        <w:pStyle w:val="ListBullet1"/>
        <w:shd w:val="clear" w:color="auto" w:fill="F2F2F2" w:themeFill="background2"/>
      </w:pPr>
      <w:proofErr w:type="gramStart"/>
      <w:r w:rsidRPr="00047287">
        <w:t>financial</w:t>
      </w:r>
      <w:proofErr w:type="gramEnd"/>
      <w:r w:rsidRPr="00047287">
        <w:t xml:space="preserve"> &amp; insurance services (89%).</w:t>
      </w:r>
    </w:p>
    <w:p w14:paraId="082ACB6F" w14:textId="265EB77F" w:rsidR="00876CAA" w:rsidRPr="00047287" w:rsidRDefault="00876CAA" w:rsidP="00876CAA">
      <w:pPr>
        <w:pStyle w:val="BodyText"/>
        <w:shd w:val="clear" w:color="auto" w:fill="F2F2F2" w:themeFill="background2"/>
      </w:pPr>
      <w:r w:rsidRPr="00047287">
        <w:t xml:space="preserve">We would expect that the sectors with highest take-up rates would closely correlate with those which find business broadband most beneficial. There is good alignment of these sectors with the Australian sectors estimated to have the highest total factor productivity gains in this study (see </w:t>
      </w:r>
      <w:r w:rsidRPr="00047287">
        <w:fldChar w:fldCharType="begin"/>
      </w:r>
      <w:r w:rsidRPr="00047287">
        <w:instrText xml:space="preserve"> REF _Ref74657446 \h </w:instrText>
      </w:r>
      <w:r>
        <w:instrText xml:space="preserve"> \* MERGEFORMAT </w:instrText>
      </w:r>
      <w:r w:rsidRPr="00047287">
        <w:fldChar w:fldCharType="separate"/>
      </w:r>
      <w:r w:rsidR="00DD5715" w:rsidRPr="007C5D2E">
        <w:rPr>
          <w:rStyle w:val="Bold"/>
        </w:rPr>
        <w:t xml:space="preserve">Figure </w:t>
      </w:r>
      <w:r w:rsidR="00DD5715">
        <w:rPr>
          <w:rStyle w:val="Bold"/>
          <w:noProof/>
        </w:rPr>
        <w:t>15</w:t>
      </w:r>
      <w:r w:rsidRPr="00047287">
        <w:fldChar w:fldCharType="end"/>
      </w:r>
      <w:r w:rsidRPr="00047287">
        <w:t xml:space="preserve">). </w:t>
      </w:r>
    </w:p>
    <w:p w14:paraId="6CCB0BCE" w14:textId="425BD168" w:rsidR="00876CAA" w:rsidRPr="00047287" w:rsidRDefault="00876CAA" w:rsidP="00876CAA">
      <w:pPr>
        <w:pStyle w:val="BodyText"/>
        <w:shd w:val="clear" w:color="auto" w:fill="F2F2F2" w:themeFill="background2"/>
      </w:pPr>
      <w:proofErr w:type="spellStart"/>
      <w:r w:rsidRPr="00047287">
        <w:t>Hyperfibre</w:t>
      </w:r>
      <w:proofErr w:type="spellEnd"/>
      <w:r w:rsidRPr="00047287">
        <w:t xml:space="preserve"> would be expected to have similar benefits to other high speed business broadband products, as per the literature. Although it predates the </w:t>
      </w:r>
      <w:proofErr w:type="spellStart"/>
      <w:r w:rsidRPr="00047287">
        <w:t>Hyperfibre</w:t>
      </w:r>
      <w:proofErr w:type="spellEnd"/>
      <w:r w:rsidRPr="00047287">
        <w:t xml:space="preserve"> launch, one economic study of firms in New Zealand found that only firms making complementary investment get productivity gains from ultrafast broadband; this cautions against merely assuming that deployment on its own is sufficient to produce economic benefits.</w:t>
      </w:r>
      <w:r w:rsidRPr="00047287">
        <w:rPr>
          <w:vertAlign w:val="superscript"/>
        </w:rPr>
        <w:footnoteReference w:id="9"/>
      </w:r>
      <w:r w:rsidRPr="00047287">
        <w:t xml:space="preserve"> There is other qualitative evidence (on the </w:t>
      </w:r>
      <w:proofErr w:type="spellStart"/>
      <w:r w:rsidRPr="00047287">
        <w:t>Hyperfibre</w:t>
      </w:r>
      <w:proofErr w:type="spellEnd"/>
      <w:r w:rsidRPr="00047287">
        <w:t xml:space="preserve"> website) of businesses with high end connectivity needs (graphics and visual effects companies) experiencing benefits from being able to quickly share large data files with remote collaborators. This is similar to the Australian example of Cumulus Visual Effects benefitting from a Gigabit Enterprise Ethernet product (see</w:t>
      </w:r>
      <w:r w:rsidR="005D0C86">
        <w:t xml:space="preserve"> </w:t>
      </w:r>
      <w:r w:rsidR="005D0C86">
        <w:fldChar w:fldCharType="begin"/>
      </w:r>
      <w:r w:rsidR="005D0C86">
        <w:instrText xml:space="preserve"> REF _Ref79503713 \r \h </w:instrText>
      </w:r>
      <w:r w:rsidR="005D0C86">
        <w:fldChar w:fldCharType="separate"/>
      </w:r>
      <w:r w:rsidR="00DD5715">
        <w:t>Box 5</w:t>
      </w:r>
      <w:r w:rsidR="005D0C86">
        <w:fldChar w:fldCharType="end"/>
      </w:r>
      <w:r w:rsidRPr="00047287">
        <w:t>).</w:t>
      </w:r>
    </w:p>
    <w:p w14:paraId="1A84E523" w14:textId="69F2A773" w:rsidR="00876CAA" w:rsidRDefault="00876CAA" w:rsidP="00876CAA">
      <w:pPr>
        <w:pStyle w:val="BodyText"/>
        <w:shd w:val="clear" w:color="auto" w:fill="F2F2F2" w:themeFill="background2"/>
      </w:pPr>
      <w:r w:rsidRPr="00047287">
        <w:t xml:space="preserve">The New Zealand experience is instructive for Australia. New Zealand’s business broadband roll out pre-dates the major initiatives in Australia and there are similarities in scope (e.g. urban fibre zones in New Zealand and </w:t>
      </w:r>
      <w:r>
        <w:t>Business Fibre Zone</w:t>
      </w:r>
      <w:r w:rsidRPr="00047287">
        <w:t xml:space="preserve">s in Australia). Take up of business services has been strong, particularly in sectors which we have also identified as beneficiaries of the investment. However, as yet there is no specific economic impact assessment for the New Zealand experience which could guide this study; older studies do however draw our attention to the complexity of the broadband - productivity benefits relationship (as we discuss further in </w:t>
      </w:r>
      <w:r w:rsidR="000349F4">
        <w:t>Annex B</w:t>
      </w:r>
      <w:r w:rsidRPr="00047287">
        <w:t>).</w:t>
      </w:r>
    </w:p>
    <w:p w14:paraId="58CA4DE8" w14:textId="77777777" w:rsidR="004C6CD6" w:rsidRDefault="004C6CD6" w:rsidP="00D31AC9">
      <w:pPr>
        <w:pStyle w:val="Heading4"/>
      </w:pPr>
      <w:r>
        <w:t>Review of the economic literature on estimation of economic benefits from broadband deployments</w:t>
      </w:r>
    </w:p>
    <w:p w14:paraId="641B982B" w14:textId="77777777" w:rsidR="003F582F" w:rsidRDefault="004C6CD6" w:rsidP="004C6CD6">
      <w:pPr>
        <w:pStyle w:val="BodyText"/>
      </w:pPr>
      <w:r w:rsidRPr="0029052F">
        <w:t xml:space="preserve">There is a rich and </w:t>
      </w:r>
      <w:r w:rsidR="005862F3">
        <w:t>evolving</w:t>
      </w:r>
      <w:r w:rsidRPr="0029052F">
        <w:t xml:space="preserve"> literature on the economic effects of broadband. </w:t>
      </w:r>
      <w:r w:rsidR="00B572E6">
        <w:t>Links between b</w:t>
      </w:r>
      <w:r w:rsidR="003F582F">
        <w:t>roadband investment, use and broader social benefits have been a key concern of governments</w:t>
      </w:r>
      <w:r w:rsidR="005C7340">
        <w:t xml:space="preserve"> for </w:t>
      </w:r>
      <w:r w:rsidR="00074DDE">
        <w:t>many years.</w:t>
      </w:r>
    </w:p>
    <w:p w14:paraId="11A99020" w14:textId="77777777" w:rsidR="00B5009D" w:rsidRDefault="004C6CD6" w:rsidP="004C6CD6">
      <w:pPr>
        <w:pStyle w:val="BodyText"/>
      </w:pPr>
      <w:r w:rsidRPr="0029052F">
        <w:t xml:space="preserve">For this study, we develop estimates of effects using estimated (causal) relationships between broadband and outcomes such as GDP, firm productivity and other benefits. </w:t>
      </w:r>
      <w:r w:rsidR="002E3859">
        <w:t>These estimates</w:t>
      </w:r>
      <w:r w:rsidR="0017087F">
        <w:t xml:space="preserve"> are supported by empirical studies; h</w:t>
      </w:r>
      <w:r w:rsidRPr="0029052F">
        <w:t xml:space="preserve">owever, </w:t>
      </w:r>
      <w:r w:rsidR="00633FDD">
        <w:t xml:space="preserve">the studies must be carefully applied to the circumstances of NBN </w:t>
      </w:r>
      <w:proofErr w:type="spellStart"/>
      <w:r w:rsidR="00633FDD">
        <w:t>Co’s</w:t>
      </w:r>
      <w:proofErr w:type="spellEnd"/>
      <w:r w:rsidR="00633FDD">
        <w:t xml:space="preserve"> fibre investments</w:t>
      </w:r>
      <w:r w:rsidRPr="0029052F">
        <w:t>.</w:t>
      </w:r>
      <w:r w:rsidR="00633FDD">
        <w:rPr>
          <w:rStyle w:val="FootnoteReference"/>
        </w:rPr>
        <w:footnoteReference w:id="10"/>
      </w:r>
    </w:p>
    <w:p w14:paraId="310AE1AF" w14:textId="7CF2CCFA" w:rsidR="007728BD" w:rsidRDefault="004C6CD6" w:rsidP="004C6CD6">
      <w:pPr>
        <w:pStyle w:val="BodyText"/>
      </w:pPr>
      <w:r w:rsidRPr="0029052F">
        <w:lastRenderedPageBreak/>
        <w:t>The following table highlights the key studies from our literature review</w:t>
      </w:r>
      <w:r w:rsidR="00FC4E62">
        <w:t xml:space="preserve"> (which are further discussed in Annex</w:t>
      </w:r>
      <w:r w:rsidR="00594663">
        <w:fldChar w:fldCharType="begin"/>
      </w:r>
      <w:r w:rsidR="00594663">
        <w:instrText xml:space="preserve"> REF _Ref75800085 \r \h </w:instrText>
      </w:r>
      <w:r w:rsidR="00594663">
        <w:fldChar w:fldCharType="separate"/>
      </w:r>
      <w:r w:rsidR="00DD5715">
        <w:t>0</w:t>
      </w:r>
      <w:r w:rsidR="00594663">
        <w:fldChar w:fldCharType="end"/>
      </w:r>
      <w:r w:rsidR="00594663">
        <w:t xml:space="preserve">). </w:t>
      </w:r>
      <w:r w:rsidR="00C71383">
        <w:t xml:space="preserve">It is clear that there a few studies closely related to our study question, and no studies that specific reference Australia (although there are some studies where Australia forms one of number of countries in which effects are measured). </w:t>
      </w:r>
      <w:r w:rsidR="00ED19ED">
        <w:t>Careful adaption of existing studies is required, including factoring in economy differences</w:t>
      </w:r>
      <w:r w:rsidR="00D509B0">
        <w:t xml:space="preserve"> as well as the treatments considered in the studies (i.e. the ‘driver’ of the estimated change).</w:t>
      </w:r>
    </w:p>
    <w:p w14:paraId="0980CA0C" w14:textId="77777777" w:rsidR="004C6CD6" w:rsidRDefault="00D509B0" w:rsidP="004C6CD6">
      <w:pPr>
        <w:pStyle w:val="BodyText"/>
      </w:pPr>
      <w:r>
        <w:t xml:space="preserve"> </w:t>
      </w:r>
    </w:p>
    <w:p w14:paraId="2CD3EF2D" w14:textId="77777777" w:rsidR="004C6CD6" w:rsidRDefault="004C6CD6" w:rsidP="004C6CD6">
      <w:pPr>
        <w:pStyle w:val="BodyText"/>
        <w:sectPr w:rsidR="004C6CD6" w:rsidSect="008905FC">
          <w:headerReference w:type="default" r:id="rId40"/>
          <w:pgSz w:w="11906" w:h="16838" w:code="9"/>
          <w:pgMar w:top="1871" w:right="1418" w:bottom="1134" w:left="1418" w:header="567" w:footer="567" w:gutter="0"/>
          <w:pgNumType w:chapStyle="1"/>
          <w:cols w:space="708"/>
          <w:formProt w:val="0"/>
          <w:docGrid w:linePitch="360"/>
        </w:sectPr>
      </w:pPr>
    </w:p>
    <w:p w14:paraId="598B4965" w14:textId="026BCD23" w:rsidR="002674AD" w:rsidRDefault="007728BD" w:rsidP="00322939">
      <w:pPr>
        <w:pStyle w:val="Caption"/>
      </w:pPr>
      <w:bookmarkStart w:id="69" w:name="_Toc79585052"/>
      <w:r w:rsidRPr="00603BC1">
        <w:rPr>
          <w:rStyle w:val="Bold"/>
        </w:rPr>
        <w:lastRenderedPageBreak/>
        <w:t xml:space="preserve">Table </w:t>
      </w:r>
      <w:r w:rsidRPr="00603BC1">
        <w:rPr>
          <w:rStyle w:val="Bold"/>
        </w:rPr>
        <w:fldChar w:fldCharType="begin"/>
      </w:r>
      <w:r w:rsidRPr="00603BC1">
        <w:rPr>
          <w:rStyle w:val="Bold"/>
        </w:rPr>
        <w:instrText xml:space="preserve"> SEQ Table \* ARABIC </w:instrText>
      </w:r>
      <w:r w:rsidRPr="00603BC1">
        <w:rPr>
          <w:rStyle w:val="Bold"/>
        </w:rPr>
        <w:fldChar w:fldCharType="separate"/>
      </w:r>
      <w:r w:rsidR="00DD5715">
        <w:rPr>
          <w:rStyle w:val="Bold"/>
          <w:noProof/>
        </w:rPr>
        <w:t>4</w:t>
      </w:r>
      <w:r w:rsidRPr="00603BC1">
        <w:rPr>
          <w:rStyle w:val="Bold"/>
        </w:rPr>
        <w:fldChar w:fldCharType="end"/>
      </w:r>
      <w:r w:rsidRPr="00603BC1">
        <w:rPr>
          <w:rStyle w:val="Bold"/>
        </w:rPr>
        <w:t>:</w:t>
      </w:r>
      <w:r>
        <w:t xml:space="preserve"> </w:t>
      </w:r>
      <w:r w:rsidR="002674AD">
        <w:t>Summary of findings from the literature review</w:t>
      </w:r>
      <w:bookmarkEnd w:id="69"/>
    </w:p>
    <w:tbl>
      <w:tblPr>
        <w:tblStyle w:val="FETableStyle"/>
        <w:tblW w:w="5000" w:type="pct"/>
        <w:tblLook w:val="0420" w:firstRow="1" w:lastRow="0" w:firstColumn="0" w:lastColumn="0" w:noHBand="0" w:noVBand="1"/>
        <w:tblCaption w:val="Summary of findings from the literature review"/>
        <w:tblDescription w:val="Summary of findings from the literature review"/>
      </w:tblPr>
      <w:tblGrid>
        <w:gridCol w:w="10645"/>
        <w:gridCol w:w="4753"/>
      </w:tblGrid>
      <w:tr w:rsidR="004C6CD6" w:rsidRPr="001A59FC" w14:paraId="4AC28817" w14:textId="77777777" w:rsidTr="00F10339">
        <w:trPr>
          <w:cnfStyle w:val="100000000000" w:firstRow="1" w:lastRow="0" w:firstColumn="0" w:lastColumn="0" w:oddVBand="0" w:evenVBand="0" w:oddHBand="0" w:evenHBand="0" w:firstRowFirstColumn="0" w:firstRowLastColumn="0" w:lastRowFirstColumn="0" w:lastRowLastColumn="0"/>
          <w:tblHeader/>
        </w:trPr>
        <w:tc>
          <w:tcPr>
            <w:tcW w:w="10645" w:type="dxa"/>
          </w:tcPr>
          <w:p w14:paraId="4F8B7C6F" w14:textId="77777777" w:rsidR="004C6CD6" w:rsidRPr="001A59FC" w:rsidRDefault="004C6CD6" w:rsidP="00322939">
            <w:pPr>
              <w:pStyle w:val="TableHeading"/>
              <w:keepNext w:val="0"/>
              <w:rPr>
                <w:b/>
              </w:rPr>
            </w:pPr>
            <w:r>
              <w:rPr>
                <w:b/>
              </w:rPr>
              <w:t>Type of study and key findings</w:t>
            </w:r>
          </w:p>
        </w:tc>
        <w:tc>
          <w:tcPr>
            <w:tcW w:w="4753" w:type="dxa"/>
          </w:tcPr>
          <w:p w14:paraId="353198E0" w14:textId="77777777" w:rsidR="004C6CD6" w:rsidRPr="001A59FC" w:rsidRDefault="004C6CD6" w:rsidP="00322939">
            <w:pPr>
              <w:pStyle w:val="TableHeading"/>
              <w:keepNext w:val="0"/>
              <w:rPr>
                <w:b/>
              </w:rPr>
            </w:pPr>
            <w:r>
              <w:rPr>
                <w:b/>
              </w:rPr>
              <w:t>Key authors/contributions*</w:t>
            </w:r>
          </w:p>
        </w:tc>
      </w:tr>
      <w:tr w:rsidR="004C6CD6" w:rsidRPr="001A59FC" w14:paraId="529B03C1" w14:textId="77777777" w:rsidTr="009645AD">
        <w:trPr>
          <w:cnfStyle w:val="000000100000" w:firstRow="0" w:lastRow="0" w:firstColumn="0" w:lastColumn="0" w:oddVBand="0" w:evenVBand="0" w:oddHBand="1" w:evenHBand="0" w:firstRowFirstColumn="0" w:firstRowLastColumn="0" w:lastRowFirstColumn="0" w:lastRowLastColumn="0"/>
        </w:trPr>
        <w:tc>
          <w:tcPr>
            <w:tcW w:w="10645" w:type="dxa"/>
          </w:tcPr>
          <w:p w14:paraId="23EBB578" w14:textId="77777777" w:rsidR="004C6CD6" w:rsidRPr="005A2558" w:rsidRDefault="004C6CD6" w:rsidP="00322939">
            <w:pPr>
              <w:pStyle w:val="TableText"/>
              <w:keepNext w:val="0"/>
              <w:rPr>
                <w:b/>
                <w:bCs/>
                <w:i/>
                <w:iCs/>
              </w:rPr>
            </w:pPr>
            <w:r w:rsidRPr="005A2558">
              <w:rPr>
                <w:b/>
                <w:bCs/>
                <w:i/>
                <w:iCs/>
              </w:rPr>
              <w:t>Quantifying macroeconomic impacts of broadband deployment</w:t>
            </w:r>
          </w:p>
          <w:p w14:paraId="249D91A4" w14:textId="77777777" w:rsidR="004C6CD6" w:rsidRPr="00922DAE" w:rsidRDefault="004C6CD6" w:rsidP="00322939">
            <w:pPr>
              <w:pStyle w:val="BodyText"/>
              <w:keepNext w:val="0"/>
            </w:pPr>
            <w:r>
              <w:t>There is strong evidence that broadband deployment and increases in broadband speeds contribute to economic growth (GDP), but relatively few studies on the impact on going to faster fibre services from existing broadband. Some r</w:t>
            </w:r>
            <w:r w:rsidRPr="00922DAE">
              <w:t>ecent estimates suggest:</w:t>
            </w:r>
          </w:p>
          <w:p w14:paraId="4BE8FA46" w14:textId="77777777" w:rsidR="004C6CD6" w:rsidRPr="00922DAE" w:rsidRDefault="004C6CD6" w:rsidP="00322939">
            <w:pPr>
              <w:pStyle w:val="ListBullet1"/>
              <w:keepNext w:val="0"/>
            </w:pPr>
            <w:r w:rsidRPr="00922DAE">
              <w:t>(ITU</w:t>
            </w:r>
            <w:r>
              <w:t xml:space="preserve"> 2018</w:t>
            </w:r>
            <w:r w:rsidRPr="00922DAE">
              <w:t xml:space="preserve">) </w:t>
            </w:r>
            <w:r>
              <w:t xml:space="preserve">a cross-country study estimates </w:t>
            </w:r>
            <w:r w:rsidRPr="00922DAE">
              <w:t>the impact of increasing broadband penetration by 10% is to add 0.8% to 1.4% to GDP (</w:t>
            </w:r>
            <w:r>
              <w:t xml:space="preserve">AUD </w:t>
            </w:r>
            <w:r w:rsidRPr="00922DAE">
              <w:t>$13 to $23 billion)</w:t>
            </w:r>
          </w:p>
          <w:p w14:paraId="43D62406" w14:textId="77777777" w:rsidR="004C6CD6" w:rsidRDefault="004C6CD6" w:rsidP="00322939">
            <w:pPr>
              <w:pStyle w:val="ListBullet1"/>
              <w:keepNext w:val="0"/>
            </w:pPr>
            <w:r w:rsidRPr="00922DAE">
              <w:t>(</w:t>
            </w:r>
            <w:proofErr w:type="spellStart"/>
            <w:r w:rsidRPr="00922DAE">
              <w:t>Briglauer</w:t>
            </w:r>
            <w:proofErr w:type="spellEnd"/>
            <w:r w:rsidRPr="00922DAE">
              <w:t xml:space="preserve"> </w:t>
            </w:r>
            <w:r>
              <w:t>2019</w:t>
            </w:r>
            <w:r w:rsidRPr="00922DAE">
              <w:t xml:space="preserve">) </w:t>
            </w:r>
            <w:r>
              <w:t xml:space="preserve">a cross-country study estimates </w:t>
            </w:r>
            <w:r w:rsidRPr="00922DAE">
              <w:t>the impact of moving from basic broadband to 100% fibre broadband would increase GDP by 0.2%-0.3% per year (</w:t>
            </w:r>
            <w:r>
              <w:t xml:space="preserve">AUD </w:t>
            </w:r>
            <w:r w:rsidRPr="00922DAE">
              <w:t>$3.6-$5.4 billion)</w:t>
            </w:r>
          </w:p>
          <w:p w14:paraId="0930D6CB" w14:textId="77777777" w:rsidR="004C6CD6" w:rsidRPr="004F37C8" w:rsidRDefault="004C6CD6" w:rsidP="00322939">
            <w:pPr>
              <w:pStyle w:val="ListBullet1"/>
              <w:keepNext w:val="0"/>
            </w:pPr>
            <w:r>
              <w:t>(</w:t>
            </w:r>
            <w:proofErr w:type="spellStart"/>
            <w:r>
              <w:t>Briglauer</w:t>
            </w:r>
            <w:proofErr w:type="spellEnd"/>
            <w:r>
              <w:t xml:space="preserve"> 2021) a within-country (regional) study estimates that a</w:t>
            </w:r>
            <w:r w:rsidRPr="00F23EC7">
              <w:t xml:space="preserve">n increase in average bandwidth speed by one unit (1 </w:t>
            </w:r>
            <w:r w:rsidR="002D3DE4">
              <w:t>Mbps</w:t>
            </w:r>
            <w:r w:rsidRPr="00F23EC7">
              <w:t>) induces a rise in regional GDP of 0.18%.</w:t>
            </w:r>
            <w:r w:rsidRPr="00922DAE">
              <w:t xml:space="preserve"> </w:t>
            </w:r>
          </w:p>
        </w:tc>
        <w:tc>
          <w:tcPr>
            <w:tcW w:w="4753" w:type="dxa"/>
          </w:tcPr>
          <w:p w14:paraId="31ACF0B4" w14:textId="77777777" w:rsidR="004C6CD6" w:rsidRPr="004F37C8" w:rsidRDefault="004C6CD6" w:rsidP="00322939">
            <w:pPr>
              <w:pStyle w:val="BodyText"/>
              <w:keepNext w:val="0"/>
            </w:pPr>
            <w:proofErr w:type="spellStart"/>
            <w:r w:rsidRPr="004F37C8">
              <w:t>Briglauer</w:t>
            </w:r>
            <w:proofErr w:type="spellEnd"/>
            <w:r w:rsidRPr="004F37C8">
              <w:t xml:space="preserve"> et al. (2019), </w:t>
            </w:r>
            <w:proofErr w:type="spellStart"/>
            <w:r>
              <w:t>Briglauer</w:t>
            </w:r>
            <w:proofErr w:type="spellEnd"/>
            <w:r>
              <w:t xml:space="preserve"> et al (2021)</w:t>
            </w:r>
            <w:r w:rsidR="00FC4E62">
              <w:t>*</w:t>
            </w:r>
            <w:r>
              <w:t xml:space="preserve">, ITU (2018), </w:t>
            </w:r>
            <w:proofErr w:type="spellStart"/>
            <w:r w:rsidRPr="004F37C8">
              <w:t>Soza</w:t>
            </w:r>
            <w:proofErr w:type="spellEnd"/>
            <w:r w:rsidRPr="004F37C8">
              <w:t xml:space="preserve"> and Analysis Group (2015), Gruber et al. (2014), </w:t>
            </w:r>
            <w:proofErr w:type="spellStart"/>
            <w:r w:rsidRPr="004F37C8">
              <w:t>Rohman</w:t>
            </w:r>
            <w:proofErr w:type="spellEnd"/>
            <w:r w:rsidRPr="004F37C8">
              <w:t xml:space="preserve"> and </w:t>
            </w:r>
            <w:proofErr w:type="spellStart"/>
            <w:r w:rsidRPr="004F37C8">
              <w:t>Bohlin</w:t>
            </w:r>
            <w:proofErr w:type="spellEnd"/>
            <w:r w:rsidRPr="004F37C8">
              <w:t xml:space="preserve"> (2012), </w:t>
            </w:r>
            <w:r w:rsidRPr="004F37C8">
              <w:rPr>
                <w:lang w:val="en-SG"/>
              </w:rPr>
              <w:t>UK Broadband Impact Study (2013)</w:t>
            </w:r>
          </w:p>
        </w:tc>
      </w:tr>
      <w:tr w:rsidR="004C6CD6" w:rsidRPr="001A59FC" w14:paraId="3ECE8A17" w14:textId="77777777" w:rsidTr="009645AD">
        <w:trPr>
          <w:cnfStyle w:val="000000010000" w:firstRow="0" w:lastRow="0" w:firstColumn="0" w:lastColumn="0" w:oddVBand="0" w:evenVBand="0" w:oddHBand="0" w:evenHBand="1" w:firstRowFirstColumn="0" w:firstRowLastColumn="0" w:lastRowFirstColumn="0" w:lastRowLastColumn="0"/>
        </w:trPr>
        <w:tc>
          <w:tcPr>
            <w:tcW w:w="10645" w:type="dxa"/>
          </w:tcPr>
          <w:p w14:paraId="1FEBDF34" w14:textId="77777777" w:rsidR="004C6CD6" w:rsidRPr="005A2558" w:rsidRDefault="004C6CD6" w:rsidP="00322939">
            <w:pPr>
              <w:pStyle w:val="TableText"/>
              <w:keepNext w:val="0"/>
              <w:rPr>
                <w:b/>
                <w:bCs/>
                <w:i/>
                <w:iCs/>
              </w:rPr>
            </w:pPr>
            <w:r w:rsidRPr="005A2558">
              <w:rPr>
                <w:b/>
                <w:bCs/>
                <w:i/>
                <w:iCs/>
              </w:rPr>
              <w:t>Firm productivity impacts of broadband deployment</w:t>
            </w:r>
          </w:p>
          <w:p w14:paraId="36DE8A6F" w14:textId="77777777" w:rsidR="004C6CD6" w:rsidRPr="003C79FC" w:rsidRDefault="004C6CD6" w:rsidP="00322939">
            <w:pPr>
              <w:pStyle w:val="BodyText"/>
              <w:keepNext w:val="0"/>
            </w:pPr>
            <w:r w:rsidRPr="003C79FC">
              <w:t xml:space="preserve">A number of studies suggest broadband deployment increases firm productivity, with estimates between </w:t>
            </w:r>
            <w:r>
              <w:t>7</w:t>
            </w:r>
            <w:r w:rsidRPr="003C79FC">
              <w:t xml:space="preserve"> and </w:t>
            </w:r>
            <w:r>
              <w:t>10 percent improvements in firm productivity due to broadband deployment</w:t>
            </w:r>
            <w:r w:rsidRPr="003C79FC">
              <w:t>.</w:t>
            </w:r>
            <w:r>
              <w:t xml:space="preserve"> The </w:t>
            </w:r>
            <w:proofErr w:type="spellStart"/>
            <w:r>
              <w:t>Canzian</w:t>
            </w:r>
            <w:proofErr w:type="spellEnd"/>
            <w:r>
              <w:t xml:space="preserve"> et al study finds an effect of 9.1% based on approximately 18 months of availability of faster broadband.</w:t>
            </w:r>
          </w:p>
          <w:p w14:paraId="1271952D" w14:textId="77777777" w:rsidR="004C6CD6" w:rsidRPr="004F37C8" w:rsidRDefault="004C6CD6" w:rsidP="00322939">
            <w:pPr>
              <w:pStyle w:val="BodyText"/>
              <w:keepNext w:val="0"/>
            </w:pPr>
            <w:r w:rsidRPr="0011409D">
              <w:t>Some caveats, with other studies finding no direct impact on productivity or positive impacts are available only for ‘skilled’ workers or firms that make complementary investments to improve ICT utilisation</w:t>
            </w:r>
          </w:p>
        </w:tc>
        <w:tc>
          <w:tcPr>
            <w:tcW w:w="4753" w:type="dxa"/>
          </w:tcPr>
          <w:p w14:paraId="2A749273" w14:textId="77777777" w:rsidR="004C6CD6" w:rsidRDefault="004C6CD6" w:rsidP="00322939">
            <w:pPr>
              <w:pStyle w:val="BodyText"/>
              <w:keepNext w:val="0"/>
            </w:pPr>
            <w:r>
              <w:t xml:space="preserve">Positive impact: </w:t>
            </w:r>
            <w:proofErr w:type="spellStart"/>
            <w:r w:rsidRPr="004F37C8">
              <w:t>Canzian</w:t>
            </w:r>
            <w:proofErr w:type="spellEnd"/>
            <w:r w:rsidRPr="004F37C8">
              <w:t xml:space="preserve"> et al. (2019), </w:t>
            </w:r>
            <w:proofErr w:type="spellStart"/>
            <w:r w:rsidRPr="004F37C8">
              <w:t>Mölleryd</w:t>
            </w:r>
            <w:proofErr w:type="spellEnd"/>
            <w:r w:rsidRPr="004F37C8">
              <w:t xml:space="preserve"> (2015)</w:t>
            </w:r>
            <w:r>
              <w:t xml:space="preserve">, </w:t>
            </w:r>
            <w:r w:rsidRPr="004F37C8">
              <w:t>Grimes et al. (2012)</w:t>
            </w:r>
            <w:r>
              <w:t xml:space="preserve">, </w:t>
            </w:r>
            <w:proofErr w:type="spellStart"/>
            <w:r w:rsidRPr="004F37C8">
              <w:t>Ipsos</w:t>
            </w:r>
            <w:proofErr w:type="spellEnd"/>
            <w:r w:rsidRPr="004F37C8">
              <w:t xml:space="preserve"> MORI (2018)</w:t>
            </w:r>
          </w:p>
          <w:p w14:paraId="55231AF8" w14:textId="77777777" w:rsidR="004C6CD6" w:rsidRPr="004F37C8" w:rsidRDefault="004C6CD6" w:rsidP="00322939">
            <w:pPr>
              <w:pStyle w:val="BodyText"/>
              <w:keepNext w:val="0"/>
            </w:pPr>
            <w:r>
              <w:t xml:space="preserve">No/conditional impact: </w:t>
            </w:r>
            <w:proofErr w:type="spellStart"/>
            <w:r w:rsidRPr="004F37C8">
              <w:t>Akerman</w:t>
            </w:r>
            <w:proofErr w:type="spellEnd"/>
            <w:r w:rsidRPr="004F37C8">
              <w:t xml:space="preserve"> et al. (2015)</w:t>
            </w:r>
            <w:r>
              <w:t xml:space="preserve">, </w:t>
            </w:r>
            <w:r w:rsidRPr="004F37C8">
              <w:t>Haller and Lyons (2015)</w:t>
            </w:r>
            <w:r>
              <w:t xml:space="preserve">, </w:t>
            </w:r>
            <w:r w:rsidRPr="004F37C8">
              <w:t>Motu Economic and Public Policy Research (2016)</w:t>
            </w:r>
            <w:r>
              <w:t xml:space="preserve">, </w:t>
            </w:r>
          </w:p>
        </w:tc>
      </w:tr>
      <w:tr w:rsidR="004C6CD6" w:rsidRPr="001A59FC" w14:paraId="0C00F51A" w14:textId="77777777" w:rsidTr="009645AD">
        <w:trPr>
          <w:cnfStyle w:val="000000100000" w:firstRow="0" w:lastRow="0" w:firstColumn="0" w:lastColumn="0" w:oddVBand="0" w:evenVBand="0" w:oddHBand="1" w:evenHBand="0" w:firstRowFirstColumn="0" w:firstRowLastColumn="0" w:lastRowFirstColumn="0" w:lastRowLastColumn="0"/>
        </w:trPr>
        <w:tc>
          <w:tcPr>
            <w:tcW w:w="10645" w:type="dxa"/>
          </w:tcPr>
          <w:p w14:paraId="149460B6" w14:textId="77777777" w:rsidR="004C6CD6" w:rsidRPr="005A2558" w:rsidRDefault="004C6CD6" w:rsidP="00322939">
            <w:pPr>
              <w:pStyle w:val="TableText"/>
              <w:keepNext w:val="0"/>
              <w:rPr>
                <w:b/>
                <w:bCs/>
                <w:i/>
                <w:iCs/>
              </w:rPr>
            </w:pPr>
            <w:r w:rsidRPr="005A2558">
              <w:rPr>
                <w:b/>
                <w:bCs/>
                <w:i/>
                <w:iCs/>
              </w:rPr>
              <w:t>Employment, job creation and wages impact of broadband deployment</w:t>
            </w:r>
          </w:p>
          <w:p w14:paraId="1B4EDD1E" w14:textId="77777777" w:rsidR="004C6CD6" w:rsidRDefault="004C6CD6" w:rsidP="00322939">
            <w:pPr>
              <w:pStyle w:val="BodyText"/>
              <w:keepNext w:val="0"/>
            </w:pPr>
            <w:r>
              <w:t>Lack of evidence that moving from fast to very fast broadband boosts employment or job creation, even where the same studies find broadband deployment increases GDP</w:t>
            </w:r>
          </w:p>
          <w:p w14:paraId="3B8587D0" w14:textId="77777777" w:rsidR="004C6CD6" w:rsidRPr="004F37C8" w:rsidRDefault="004C6CD6" w:rsidP="00322939">
            <w:pPr>
              <w:pStyle w:val="BodyText"/>
              <w:keepNext w:val="0"/>
            </w:pPr>
            <w:r>
              <w:t>However, some studies find a positive association between broadband penetration and employment within countries. For example evidence from the UK suggested a 0.8% positive employment impact on relevant postcodes receiving subsidised fibre deployment</w:t>
            </w:r>
          </w:p>
        </w:tc>
        <w:tc>
          <w:tcPr>
            <w:tcW w:w="4753" w:type="dxa"/>
          </w:tcPr>
          <w:p w14:paraId="0CB80E15" w14:textId="77777777" w:rsidR="004C6CD6" w:rsidRPr="004F37C8" w:rsidRDefault="004C6CD6" w:rsidP="00322939">
            <w:pPr>
              <w:pStyle w:val="BodyText"/>
              <w:keepNext w:val="0"/>
            </w:pPr>
            <w:proofErr w:type="spellStart"/>
            <w:r w:rsidRPr="003F1DEC">
              <w:t>Briglauer</w:t>
            </w:r>
            <w:proofErr w:type="spellEnd"/>
            <w:r w:rsidRPr="003F1DEC">
              <w:t xml:space="preserve"> et al. (2019)</w:t>
            </w:r>
            <w:r>
              <w:t xml:space="preserve">*, </w:t>
            </w:r>
            <w:r w:rsidRPr="003F1DEC">
              <w:t>Bai (2016)</w:t>
            </w:r>
            <w:r>
              <w:t xml:space="preserve">, </w:t>
            </w:r>
            <w:proofErr w:type="spellStart"/>
            <w:r w:rsidRPr="003F1DEC">
              <w:t>Mölleryd</w:t>
            </w:r>
            <w:proofErr w:type="spellEnd"/>
            <w:r w:rsidRPr="003F1DEC">
              <w:t xml:space="preserve"> (2015)</w:t>
            </w:r>
            <w:r>
              <w:t xml:space="preserve">*, </w:t>
            </w:r>
            <w:proofErr w:type="spellStart"/>
            <w:r w:rsidRPr="002343F0">
              <w:t>Ipsos</w:t>
            </w:r>
            <w:proofErr w:type="spellEnd"/>
            <w:r w:rsidRPr="002343F0">
              <w:t xml:space="preserve"> MORI (2018)</w:t>
            </w:r>
          </w:p>
        </w:tc>
      </w:tr>
      <w:tr w:rsidR="004C6CD6" w:rsidRPr="001A59FC" w14:paraId="586EAE42" w14:textId="77777777" w:rsidTr="009645AD">
        <w:trPr>
          <w:cnfStyle w:val="000000010000" w:firstRow="0" w:lastRow="0" w:firstColumn="0" w:lastColumn="0" w:oddVBand="0" w:evenVBand="0" w:oddHBand="0" w:evenHBand="1" w:firstRowFirstColumn="0" w:firstRowLastColumn="0" w:lastRowFirstColumn="0" w:lastRowLastColumn="0"/>
        </w:trPr>
        <w:tc>
          <w:tcPr>
            <w:tcW w:w="10645" w:type="dxa"/>
          </w:tcPr>
          <w:p w14:paraId="1BC7A623" w14:textId="77777777" w:rsidR="004C6CD6" w:rsidRPr="005A2558" w:rsidRDefault="004C6CD6" w:rsidP="00322939">
            <w:pPr>
              <w:pStyle w:val="TableText"/>
              <w:keepNext w:val="0"/>
              <w:rPr>
                <w:b/>
                <w:bCs/>
                <w:i/>
                <w:iCs/>
              </w:rPr>
            </w:pPr>
            <w:r w:rsidRPr="005A2558">
              <w:rPr>
                <w:b/>
                <w:bCs/>
                <w:i/>
                <w:iCs/>
              </w:rPr>
              <w:lastRenderedPageBreak/>
              <w:t>Business creation impacts of broadband deployment</w:t>
            </w:r>
          </w:p>
          <w:p w14:paraId="553D4F53" w14:textId="77777777" w:rsidR="004C6CD6" w:rsidRPr="004F37C8" w:rsidRDefault="004C6CD6" w:rsidP="00322939">
            <w:pPr>
              <w:pStyle w:val="BodyText"/>
              <w:keepNext w:val="0"/>
              <w:rPr>
                <w:b/>
                <w:bCs/>
                <w:i/>
                <w:iCs/>
                <w:sz w:val="16"/>
                <w:szCs w:val="16"/>
              </w:rPr>
            </w:pPr>
            <w:r>
              <w:t xml:space="preserve">There is mixed evidence for business creation impact of deployment, though a number of studies suggest broadband deployment increases firm productivity. </w:t>
            </w:r>
            <w:proofErr w:type="spellStart"/>
            <w:r w:rsidRPr="009937E9">
              <w:t>Mölleryd</w:t>
            </w:r>
            <w:proofErr w:type="spellEnd"/>
            <w:r w:rsidRPr="009937E9">
              <w:t xml:space="preserve"> (2015) finds 10% higher fibre penetration Increased business creation is correlated with 0.08 more company registrations per 1000 inhabitants per year.</w:t>
            </w:r>
          </w:p>
        </w:tc>
        <w:tc>
          <w:tcPr>
            <w:tcW w:w="4753" w:type="dxa"/>
          </w:tcPr>
          <w:p w14:paraId="2C190F5A" w14:textId="77777777" w:rsidR="004C6CD6" w:rsidRPr="004F37C8" w:rsidRDefault="004C6CD6" w:rsidP="00322939">
            <w:pPr>
              <w:pStyle w:val="BodyText"/>
              <w:keepNext w:val="0"/>
            </w:pPr>
            <w:proofErr w:type="spellStart"/>
            <w:r w:rsidRPr="004F37C8">
              <w:t>Hasbi</w:t>
            </w:r>
            <w:proofErr w:type="spellEnd"/>
            <w:r w:rsidRPr="004F37C8">
              <w:t xml:space="preserve"> (2017)</w:t>
            </w:r>
            <w:r>
              <w:t xml:space="preserve">*, </w:t>
            </w:r>
            <w:r w:rsidRPr="004F37C8">
              <w:t>McCoy et al. (2016)</w:t>
            </w:r>
            <w:r>
              <w:t xml:space="preserve">*, </w:t>
            </w:r>
            <w:proofErr w:type="spellStart"/>
            <w:r w:rsidRPr="004F37C8">
              <w:t>Mölleryd</w:t>
            </w:r>
            <w:proofErr w:type="spellEnd"/>
            <w:r w:rsidRPr="004F37C8">
              <w:t xml:space="preserve"> (2015)</w:t>
            </w:r>
            <w:r>
              <w:t xml:space="preserve">*, </w:t>
            </w:r>
            <w:proofErr w:type="spellStart"/>
            <w:r w:rsidRPr="004F37C8">
              <w:t>AlphaBeta</w:t>
            </w:r>
            <w:proofErr w:type="spellEnd"/>
            <w:r w:rsidRPr="004F37C8">
              <w:t xml:space="preserve"> Advisors (2018)</w:t>
            </w:r>
          </w:p>
        </w:tc>
      </w:tr>
      <w:tr w:rsidR="004C6CD6" w:rsidRPr="001A59FC" w14:paraId="6AA402F7" w14:textId="77777777" w:rsidTr="009645AD">
        <w:trPr>
          <w:cnfStyle w:val="000000100000" w:firstRow="0" w:lastRow="0" w:firstColumn="0" w:lastColumn="0" w:oddVBand="0" w:evenVBand="0" w:oddHBand="1" w:evenHBand="0" w:firstRowFirstColumn="0" w:firstRowLastColumn="0" w:lastRowFirstColumn="0" w:lastRowLastColumn="0"/>
        </w:trPr>
        <w:tc>
          <w:tcPr>
            <w:tcW w:w="10645" w:type="dxa"/>
          </w:tcPr>
          <w:p w14:paraId="29200D85" w14:textId="77777777" w:rsidR="004C6CD6" w:rsidRPr="005A2558" w:rsidRDefault="004C6CD6" w:rsidP="00322939">
            <w:pPr>
              <w:pStyle w:val="TableText"/>
              <w:keepNext w:val="0"/>
              <w:rPr>
                <w:b/>
                <w:bCs/>
                <w:i/>
                <w:iCs/>
              </w:rPr>
            </w:pPr>
            <w:r w:rsidRPr="005A2558">
              <w:rPr>
                <w:b/>
                <w:bCs/>
                <w:i/>
                <w:iCs/>
              </w:rPr>
              <w:t>Competition benefits of broadband deployment</w:t>
            </w:r>
          </w:p>
          <w:p w14:paraId="4DB35E3D" w14:textId="77777777" w:rsidR="004C6CD6" w:rsidRDefault="004C6CD6" w:rsidP="00322939">
            <w:pPr>
              <w:pStyle w:val="BodyText"/>
              <w:keepNext w:val="0"/>
            </w:pPr>
            <w:r>
              <w:t>Country-level studies indicate that (1) more competition (as measured by reduced market concentration) increases fixed broadband penetration and that (2) penetration increase GDP (as above). Moving from monopoly to duopoly could increase penetration by 17%.</w:t>
            </w:r>
          </w:p>
          <w:p w14:paraId="75332977" w14:textId="77777777" w:rsidR="004C6CD6" w:rsidRPr="004F77D4" w:rsidRDefault="004C6CD6" w:rsidP="00322939">
            <w:pPr>
              <w:pStyle w:val="BodyText"/>
              <w:keepNext w:val="0"/>
            </w:pPr>
            <w:r w:rsidRPr="0030341C">
              <w:t>US cross-section (state</w:t>
            </w:r>
            <w:r>
              <w:t>-level</w:t>
            </w:r>
            <w:r w:rsidRPr="0030341C">
              <w:t>) stud</w:t>
            </w:r>
            <w:r>
              <w:t>y</w:t>
            </w:r>
            <w:r w:rsidRPr="0030341C">
              <w:t xml:space="preserve"> identif</w:t>
            </w:r>
            <w:r>
              <w:t>ies</w:t>
            </w:r>
            <w:r w:rsidRPr="0030341C">
              <w:t xml:space="preserve"> significant reduction in residential prices for markets with more providers of gigabit internet (&gt;1Gbps), 34-37% for 1</w:t>
            </w:r>
            <w:r>
              <w:t>=&gt;</w:t>
            </w:r>
            <w:r w:rsidRPr="0030341C">
              <w:t>2</w:t>
            </w:r>
            <w:r>
              <w:t xml:space="preserve"> suppliers</w:t>
            </w:r>
          </w:p>
        </w:tc>
        <w:tc>
          <w:tcPr>
            <w:tcW w:w="4753" w:type="dxa"/>
          </w:tcPr>
          <w:p w14:paraId="46CABC3B" w14:textId="77777777" w:rsidR="004C6CD6" w:rsidRPr="004F37C8" w:rsidRDefault="004C6CD6" w:rsidP="00322939">
            <w:pPr>
              <w:pStyle w:val="BodyText"/>
              <w:keepNext w:val="0"/>
            </w:pPr>
            <w:r>
              <w:t xml:space="preserve">ITU (2018), </w:t>
            </w:r>
            <w:proofErr w:type="spellStart"/>
            <w:r w:rsidRPr="004F77D4">
              <w:t>Lebourges</w:t>
            </w:r>
            <w:proofErr w:type="spellEnd"/>
            <w:r w:rsidRPr="004F77D4">
              <w:t xml:space="preserve"> and Liang (2018)</w:t>
            </w:r>
            <w:r>
              <w:t xml:space="preserve">, </w:t>
            </w:r>
            <w:proofErr w:type="spellStart"/>
            <w:r w:rsidRPr="004F77D4">
              <w:t>Aimene</w:t>
            </w:r>
            <w:proofErr w:type="spellEnd"/>
            <w:r w:rsidRPr="004F77D4">
              <w:t xml:space="preserve"> at el. (2020)</w:t>
            </w:r>
            <w:r>
              <w:t xml:space="preserve">, </w:t>
            </w:r>
            <w:r w:rsidRPr="0030341C">
              <w:t xml:space="preserve">Mahoney and </w:t>
            </w:r>
            <w:proofErr w:type="spellStart"/>
            <w:r w:rsidRPr="0030341C">
              <w:t>Rafert</w:t>
            </w:r>
            <w:proofErr w:type="spellEnd"/>
            <w:r w:rsidRPr="0030341C">
              <w:t xml:space="preserve"> (2016)</w:t>
            </w:r>
          </w:p>
        </w:tc>
      </w:tr>
      <w:tr w:rsidR="004C6CD6" w:rsidRPr="001A59FC" w14:paraId="6F1CB3B2" w14:textId="77777777" w:rsidTr="009645AD">
        <w:trPr>
          <w:cnfStyle w:val="000000010000" w:firstRow="0" w:lastRow="0" w:firstColumn="0" w:lastColumn="0" w:oddVBand="0" w:evenVBand="0" w:oddHBand="0" w:evenHBand="1" w:firstRowFirstColumn="0" w:firstRowLastColumn="0" w:lastRowFirstColumn="0" w:lastRowLastColumn="0"/>
        </w:trPr>
        <w:tc>
          <w:tcPr>
            <w:tcW w:w="10645" w:type="dxa"/>
          </w:tcPr>
          <w:p w14:paraId="3112AE46" w14:textId="77777777" w:rsidR="004C6CD6" w:rsidRPr="00777BCA" w:rsidRDefault="004C6CD6" w:rsidP="00322939">
            <w:pPr>
              <w:pStyle w:val="TableText"/>
              <w:keepNext w:val="0"/>
              <w:rPr>
                <w:b/>
                <w:bCs/>
                <w:i/>
                <w:iCs/>
              </w:rPr>
            </w:pPr>
            <w:r w:rsidRPr="00777BCA">
              <w:rPr>
                <w:b/>
                <w:bCs/>
                <w:i/>
                <w:iCs/>
              </w:rPr>
              <w:t>Labour productivity</w:t>
            </w:r>
          </w:p>
          <w:p w14:paraId="34B48687" w14:textId="77777777" w:rsidR="004C6CD6" w:rsidRPr="00777BCA" w:rsidRDefault="004C6CD6" w:rsidP="00322939">
            <w:pPr>
              <w:pStyle w:val="BodyText"/>
              <w:keepNext w:val="0"/>
            </w:pPr>
            <w:r w:rsidRPr="00777BCA">
              <w:t>Some studies focus on the relationship between broadband and labour productivity – such as output per worker. This can translate to higher GDP, given certain assumptions.</w:t>
            </w:r>
          </w:p>
          <w:p w14:paraId="0C99AD62" w14:textId="77777777" w:rsidR="004C6CD6" w:rsidRDefault="004C6CD6" w:rsidP="00322939">
            <w:pPr>
              <w:pStyle w:val="BodyText"/>
              <w:keepNext w:val="0"/>
              <w:rPr>
                <w:b/>
                <w:bCs/>
                <w:i/>
                <w:iCs/>
                <w:sz w:val="16"/>
                <w:szCs w:val="16"/>
              </w:rPr>
            </w:pPr>
            <w:proofErr w:type="spellStart"/>
            <w:r w:rsidRPr="00777BCA">
              <w:t>Sap</w:t>
            </w:r>
            <w:r>
              <w:t>e</w:t>
            </w:r>
            <w:r w:rsidRPr="00777BCA">
              <w:t>re</w:t>
            </w:r>
            <w:proofErr w:type="spellEnd"/>
            <w:r w:rsidRPr="00777BCA">
              <w:t xml:space="preserve"> has data set that identifies labour productivity is 29% higher for firms with fibre connections (but cannot establish causality)</w:t>
            </w:r>
          </w:p>
        </w:tc>
        <w:tc>
          <w:tcPr>
            <w:tcW w:w="4753" w:type="dxa"/>
          </w:tcPr>
          <w:p w14:paraId="7E9D2EE3" w14:textId="77777777" w:rsidR="004C6CD6" w:rsidRDefault="004C6CD6" w:rsidP="00322939">
            <w:pPr>
              <w:pStyle w:val="BodyText"/>
              <w:keepNext w:val="0"/>
            </w:pPr>
            <w:proofErr w:type="spellStart"/>
            <w:r w:rsidRPr="009937E9">
              <w:t>Sapere</w:t>
            </w:r>
            <w:proofErr w:type="spellEnd"/>
            <w:r w:rsidRPr="009937E9">
              <w:t xml:space="preserve"> (2018), </w:t>
            </w:r>
            <w:proofErr w:type="spellStart"/>
            <w:r w:rsidRPr="009937E9">
              <w:t>Hagsten</w:t>
            </w:r>
            <w:proofErr w:type="spellEnd"/>
            <w:r w:rsidRPr="009937E9">
              <w:t xml:space="preserve"> (2015)</w:t>
            </w:r>
          </w:p>
        </w:tc>
      </w:tr>
      <w:tr w:rsidR="004C6CD6" w:rsidRPr="001A59FC" w14:paraId="25344E49" w14:textId="77777777" w:rsidTr="009645AD">
        <w:trPr>
          <w:cnfStyle w:val="000000100000" w:firstRow="0" w:lastRow="0" w:firstColumn="0" w:lastColumn="0" w:oddVBand="0" w:evenVBand="0" w:oddHBand="1" w:evenHBand="0" w:firstRowFirstColumn="0" w:firstRowLastColumn="0" w:lastRowFirstColumn="0" w:lastRowLastColumn="0"/>
        </w:trPr>
        <w:tc>
          <w:tcPr>
            <w:tcW w:w="10645" w:type="dxa"/>
          </w:tcPr>
          <w:p w14:paraId="3B26AFF9" w14:textId="77777777" w:rsidR="004C6CD6" w:rsidRPr="005A2558" w:rsidRDefault="004C6CD6" w:rsidP="00322939">
            <w:pPr>
              <w:pStyle w:val="TableText"/>
              <w:keepNext w:val="0"/>
              <w:rPr>
                <w:b/>
                <w:bCs/>
                <w:i/>
                <w:iCs/>
              </w:rPr>
            </w:pPr>
            <w:r w:rsidRPr="005A2558">
              <w:rPr>
                <w:b/>
                <w:bCs/>
                <w:i/>
                <w:iCs/>
              </w:rPr>
              <w:t>Ancillary benefits of broadband deployment</w:t>
            </w:r>
          </w:p>
          <w:p w14:paraId="5639A41E" w14:textId="77777777" w:rsidR="004C6CD6" w:rsidRPr="004F37C8" w:rsidRDefault="004C6CD6" w:rsidP="00322939">
            <w:pPr>
              <w:pStyle w:val="BodyText"/>
              <w:keepNext w:val="0"/>
            </w:pPr>
            <w:r>
              <w:t>A wide range of ancillary benefits may result from broadband deployment, including: decreased driving (due to e-commerce substituting physical trips), improvements in school performance (passing rates), as well as potential benefits of additional teleworking, reduced job-search times and additional online education participation as a result of broadband deployment</w:t>
            </w:r>
          </w:p>
        </w:tc>
        <w:tc>
          <w:tcPr>
            <w:tcW w:w="4753" w:type="dxa"/>
          </w:tcPr>
          <w:p w14:paraId="7C5A09BB" w14:textId="77777777" w:rsidR="004C6CD6" w:rsidRPr="004F37C8" w:rsidRDefault="004C6CD6" w:rsidP="00322939">
            <w:pPr>
              <w:pStyle w:val="BodyText"/>
              <w:keepNext w:val="0"/>
            </w:pPr>
            <w:proofErr w:type="spellStart"/>
            <w:r w:rsidRPr="003F1DEC">
              <w:t>Mölleryd</w:t>
            </w:r>
            <w:proofErr w:type="spellEnd"/>
            <w:r w:rsidRPr="003F1DEC">
              <w:t xml:space="preserve"> (2015)</w:t>
            </w:r>
            <w:r>
              <w:t xml:space="preserve">*, </w:t>
            </w:r>
            <w:r w:rsidRPr="003F1DEC">
              <w:t>Grimes and Townsend (2018)</w:t>
            </w:r>
            <w:r>
              <w:t xml:space="preserve">*, </w:t>
            </w:r>
            <w:proofErr w:type="spellStart"/>
            <w:r w:rsidRPr="003F1DEC">
              <w:t>AlphaBeta</w:t>
            </w:r>
            <w:proofErr w:type="spellEnd"/>
            <w:r w:rsidRPr="003F1DEC">
              <w:t xml:space="preserve"> Advisors (2018)</w:t>
            </w:r>
          </w:p>
        </w:tc>
      </w:tr>
      <w:tr w:rsidR="004C6CD6" w:rsidRPr="001A59FC" w14:paraId="758A9DB0" w14:textId="77777777" w:rsidTr="009645AD">
        <w:trPr>
          <w:cnfStyle w:val="000000010000" w:firstRow="0" w:lastRow="0" w:firstColumn="0" w:lastColumn="0" w:oddVBand="0" w:evenVBand="0" w:oddHBand="0" w:evenHBand="1" w:firstRowFirstColumn="0" w:firstRowLastColumn="0" w:lastRowFirstColumn="0" w:lastRowLastColumn="0"/>
        </w:trPr>
        <w:tc>
          <w:tcPr>
            <w:tcW w:w="10645" w:type="dxa"/>
          </w:tcPr>
          <w:p w14:paraId="62AC0A07" w14:textId="77777777" w:rsidR="004C6CD6" w:rsidRDefault="004C6CD6" w:rsidP="00322939">
            <w:pPr>
              <w:pStyle w:val="ListBullet1"/>
              <w:keepNext w:val="0"/>
              <w:numPr>
                <w:ilvl w:val="0"/>
                <w:numId w:val="0"/>
              </w:numPr>
              <w:spacing w:after="0"/>
              <w:ind w:left="284" w:hanging="284"/>
              <w:rPr>
                <w:b/>
                <w:bCs/>
                <w:i/>
                <w:iCs/>
                <w:sz w:val="16"/>
                <w:szCs w:val="16"/>
              </w:rPr>
            </w:pPr>
            <w:r w:rsidRPr="009937E9">
              <w:rPr>
                <w:b/>
                <w:bCs/>
                <w:i/>
                <w:iCs/>
                <w:sz w:val="16"/>
                <w:szCs w:val="16"/>
              </w:rPr>
              <w:t>Note: Asterisked (*) studies examine impacts of moving from existing (basic) broadband to fibre-based / ultrafast broadband</w:t>
            </w:r>
          </w:p>
        </w:tc>
        <w:tc>
          <w:tcPr>
            <w:tcW w:w="4753" w:type="dxa"/>
          </w:tcPr>
          <w:p w14:paraId="7D09A1A1" w14:textId="77777777" w:rsidR="004C6CD6" w:rsidRPr="003F1DEC" w:rsidRDefault="004C6CD6" w:rsidP="00322939">
            <w:pPr>
              <w:pStyle w:val="TableText"/>
              <w:keepNext w:val="0"/>
              <w:rPr>
                <w:sz w:val="16"/>
                <w:szCs w:val="16"/>
              </w:rPr>
            </w:pPr>
          </w:p>
        </w:tc>
      </w:tr>
    </w:tbl>
    <w:p w14:paraId="61D0610C" w14:textId="77777777" w:rsidR="004C6CD6" w:rsidRDefault="004C6CD6" w:rsidP="004C6CD6">
      <w:pPr>
        <w:pStyle w:val="BodyText"/>
      </w:pPr>
    </w:p>
    <w:p w14:paraId="1227E9CC" w14:textId="77777777" w:rsidR="004C6CD6" w:rsidRDefault="004C6CD6" w:rsidP="004C6CD6">
      <w:pPr>
        <w:pStyle w:val="BodyText"/>
        <w:sectPr w:rsidR="004C6CD6" w:rsidSect="00FF54E6">
          <w:pgSz w:w="16838" w:h="11906" w:orient="landscape" w:code="9"/>
          <w:pgMar w:top="720" w:right="720" w:bottom="720" w:left="720" w:header="567" w:footer="567" w:gutter="0"/>
          <w:pgNumType w:chapStyle="1"/>
          <w:cols w:space="708"/>
          <w:formProt w:val="0"/>
          <w:docGrid w:linePitch="360"/>
        </w:sectPr>
      </w:pPr>
    </w:p>
    <w:p w14:paraId="2040E1D2" w14:textId="77777777" w:rsidR="002E1A1F" w:rsidRDefault="002E1A1F" w:rsidP="00D31AC9">
      <w:pPr>
        <w:pStyle w:val="Heading4"/>
      </w:pPr>
      <w:r>
        <w:lastRenderedPageBreak/>
        <w:t>Methodological approach</w:t>
      </w:r>
    </w:p>
    <w:p w14:paraId="7423FD4B" w14:textId="77777777" w:rsidR="002E1A1F" w:rsidRDefault="002E1A1F" w:rsidP="0060387D">
      <w:pPr>
        <w:pStyle w:val="Heading5"/>
      </w:pPr>
      <w:r w:rsidRPr="00FC35A9">
        <w:t>Existing studies may understate effects of business broadband</w:t>
      </w:r>
    </w:p>
    <w:p w14:paraId="23B91571" w14:textId="77777777" w:rsidR="002E1A1F" w:rsidRPr="002E1A1F" w:rsidRDefault="002E1A1F" w:rsidP="002E1A1F">
      <w:pPr>
        <w:pStyle w:val="BodyText"/>
      </w:pPr>
      <w:r w:rsidRPr="00A63352">
        <w:t>The relationship between improvements in broadband penetration and quality on economic growth are well-</w:t>
      </w:r>
      <w:r w:rsidRPr="002E1A1F">
        <w:t xml:space="preserve">established in the numerous studies cited. These reduced-form studies examine changes in broadband </w:t>
      </w:r>
      <w:r w:rsidRPr="00F86056">
        <w:t>penetration</w:t>
      </w:r>
      <w:r w:rsidRPr="002E1A1F">
        <w:t xml:space="preserve"> and </w:t>
      </w:r>
      <w:r w:rsidRPr="00F86056">
        <w:t>speed/quality</w:t>
      </w:r>
      <w:r w:rsidRPr="002E1A1F">
        <w:t xml:space="preserve"> across the economy, i.e. on average across all users and locations. This includes </w:t>
      </w:r>
      <w:r w:rsidRPr="00F86056">
        <w:t>residential</w:t>
      </w:r>
      <w:r w:rsidRPr="002E1A1F">
        <w:t xml:space="preserve"> as well as </w:t>
      </w:r>
      <w:r w:rsidRPr="00F86056">
        <w:t>business</w:t>
      </w:r>
      <w:r w:rsidRPr="002E1A1F">
        <w:t xml:space="preserve"> use, and</w:t>
      </w:r>
      <w:r>
        <w:t>,</w:t>
      </w:r>
      <w:r w:rsidRPr="002E1A1F">
        <w:t xml:space="preserve"> </w:t>
      </w:r>
      <w:r>
        <w:t>commonly,</w:t>
      </w:r>
      <w:r w:rsidRPr="002E1A1F">
        <w:t xml:space="preserve"> not the incremental benefits of fibre </w:t>
      </w:r>
      <w:r>
        <w:t>or</w:t>
      </w:r>
      <w:r w:rsidRPr="002E1A1F">
        <w:t xml:space="preserve"> business services.</w:t>
      </w:r>
    </w:p>
    <w:p w14:paraId="0E7858CF" w14:textId="77777777" w:rsidR="002E1A1F" w:rsidRDefault="002E1A1F" w:rsidP="002E1A1F">
      <w:pPr>
        <w:pStyle w:val="BodyText"/>
      </w:pPr>
      <w:r w:rsidRPr="002E1A1F">
        <w:t xml:space="preserve">Applying tested empirical relationships that are derived from aggregate household </w:t>
      </w:r>
      <w:r>
        <w:t>and</w:t>
      </w:r>
      <w:r w:rsidRPr="002E1A1F">
        <w:t xml:space="preserve"> business data appears likely to </w:t>
      </w:r>
      <w:r w:rsidRPr="00F86056">
        <w:t>understate</w:t>
      </w:r>
      <w:r w:rsidRPr="002E1A1F">
        <w:t xml:space="preserve"> potential benefits to the economy</w:t>
      </w:r>
      <w:r>
        <w:t xml:space="preserve"> as</w:t>
      </w:r>
      <w:r w:rsidRPr="002E1A1F">
        <w:t>:</w:t>
      </w:r>
    </w:p>
    <w:p w14:paraId="39F3BEFD" w14:textId="77777777" w:rsidR="002E1A1F" w:rsidRDefault="002E1A1F" w:rsidP="008C7A5E">
      <w:pPr>
        <w:pStyle w:val="BodyText"/>
        <w:numPr>
          <w:ilvl w:val="0"/>
          <w:numId w:val="17"/>
        </w:numPr>
      </w:pPr>
      <w:r w:rsidRPr="002E1A1F">
        <w:t xml:space="preserve">there are relatively few business connections, but </w:t>
      </w:r>
    </w:p>
    <w:p w14:paraId="56F2B5D1" w14:textId="77777777" w:rsidR="002E1A1F" w:rsidRPr="00A63352" w:rsidRDefault="002E1A1F" w:rsidP="008C7A5E">
      <w:pPr>
        <w:pStyle w:val="BodyText"/>
        <w:numPr>
          <w:ilvl w:val="0"/>
          <w:numId w:val="17"/>
        </w:numPr>
      </w:pPr>
      <w:proofErr w:type="gramStart"/>
      <w:r w:rsidRPr="002E1A1F">
        <w:t>businesses</w:t>
      </w:r>
      <w:proofErr w:type="gramEnd"/>
      <w:r w:rsidRPr="002E1A1F">
        <w:t xml:space="preserve"> that use </w:t>
      </w:r>
      <w:r w:rsidR="004B03CD">
        <w:t>Enterprise Ethernet</w:t>
      </w:r>
      <w:r w:rsidRPr="00A63352">
        <w:t xml:space="preserve"> have more employees and use higher quality services that are more likely to benefit from better broadband.</w:t>
      </w:r>
    </w:p>
    <w:p w14:paraId="3835FED3" w14:textId="77777777" w:rsidR="002E1A1F" w:rsidRDefault="002E1A1F" w:rsidP="002E1A1F">
      <w:pPr>
        <w:pStyle w:val="BodyText"/>
      </w:pPr>
      <w:r w:rsidRPr="00A63352">
        <w:t>Against this, we must also recognise that many businesses that value broadband very highly will already have access to business-grade broadband (including through location choice)</w:t>
      </w:r>
      <w:r w:rsidR="00963F13">
        <w:t>, although even these firms may benefit by reduced prices as a result of a more competitive market for ultrafast broadband.</w:t>
      </w:r>
    </w:p>
    <w:p w14:paraId="0A7DADB6" w14:textId="77777777" w:rsidR="002E1A1F" w:rsidRDefault="002E1A1F" w:rsidP="0060387D">
      <w:pPr>
        <w:pStyle w:val="Heading5"/>
      </w:pPr>
      <w:r w:rsidRPr="0060387D">
        <w:t>Our approach</w:t>
      </w:r>
    </w:p>
    <w:p w14:paraId="127DD66B" w14:textId="77777777" w:rsidR="002E1A1F" w:rsidRDefault="002E1A1F" w:rsidP="002E1A1F">
      <w:pPr>
        <w:pStyle w:val="BodyText"/>
      </w:pPr>
      <w:r>
        <w:t>We adopt a methodology based on the findings of a study which examined the impact of high-speed broadband adoption on the output of 401 German counties over the period 2010 to 2015.</w:t>
      </w:r>
      <w:r>
        <w:rPr>
          <w:rStyle w:val="FootnoteReference"/>
        </w:rPr>
        <w:footnoteReference w:id="11"/>
      </w:r>
      <w:r w:rsidR="00634442">
        <w:rPr>
          <w:vertAlign w:val="superscript"/>
        </w:rPr>
        <w:t>,</w:t>
      </w:r>
      <w:r w:rsidR="00481B17">
        <w:rPr>
          <w:rStyle w:val="FootnoteReference"/>
        </w:rPr>
        <w:footnoteReference w:id="12"/>
      </w:r>
      <w:r>
        <w:t xml:space="preserve"> The study found that an increase in average bandwidth speeds of 1 </w:t>
      </w:r>
      <w:r w:rsidR="002D3DE4">
        <w:t>Mbps</w:t>
      </w:r>
      <w:r>
        <w:t xml:space="preserve"> induces a rise in regional GDP of 0.18%, </w:t>
      </w:r>
      <w:r w:rsidR="002F6FE4">
        <w:t>with smaller increases in urban counties (0.05%) than rural counties (</w:t>
      </w:r>
      <w:r>
        <w:t>0.23%</w:t>
      </w:r>
      <w:r w:rsidR="002F6FE4">
        <w:t>)</w:t>
      </w:r>
      <w:r>
        <w:t xml:space="preserve">. Accordingly, to apply a similar approach we require a forecast impact of NBN </w:t>
      </w:r>
      <w:proofErr w:type="spellStart"/>
      <w:r>
        <w:t>Co’s</w:t>
      </w:r>
      <w:proofErr w:type="spellEnd"/>
      <w:r>
        <w:t xml:space="preserve"> business investments on bandwidth speeds.</w:t>
      </w:r>
    </w:p>
    <w:p w14:paraId="00977C4D" w14:textId="77777777" w:rsidR="002E1A1F" w:rsidRDefault="002E1A1F" w:rsidP="002E1A1F">
      <w:pPr>
        <w:pStyle w:val="BodyText"/>
      </w:pPr>
      <w:r>
        <w:t>To determine the impact on bandwidth speeds, we used forecasts provided by NBN Co of speeds of TC-4, TC-2 and Enterprise Ethernet connections, the number of TC-2 and Enterprise Ethernet business connections, and the total number of connections.</w:t>
      </w:r>
      <w:r>
        <w:rPr>
          <w:rStyle w:val="FootnoteReference"/>
        </w:rPr>
        <w:footnoteReference w:id="13"/>
      </w:r>
      <w:r w:rsidR="004B03CD">
        <w:t xml:space="preserve"> We then estimated the average speed increase that was attributable to the fibre initiatives and other network upgrades; this is the key driver of the productivity benefits and increases in </w:t>
      </w:r>
      <w:r w:rsidR="004B03CD" w:rsidRPr="002D3DE4">
        <w:t>ou</w:t>
      </w:r>
      <w:r w:rsidR="00D01334" w:rsidRPr="002D3DE4">
        <w:t>t</w:t>
      </w:r>
      <w:r w:rsidR="004B03CD" w:rsidRPr="002D3DE4">
        <w:t>put</w:t>
      </w:r>
      <w:r w:rsidR="004B03CD">
        <w:t>.</w:t>
      </w:r>
    </w:p>
    <w:p w14:paraId="4E8836A4" w14:textId="77777777" w:rsidR="00836854" w:rsidRDefault="00836854" w:rsidP="00836854">
      <w:pPr>
        <w:pStyle w:val="BodyText"/>
      </w:pPr>
      <w:r>
        <w:t xml:space="preserve">To apply the </w:t>
      </w:r>
      <w:proofErr w:type="spellStart"/>
      <w:r>
        <w:t>Briglauer</w:t>
      </w:r>
      <w:proofErr w:type="spellEnd"/>
      <w:r>
        <w:t xml:space="preserve"> </w:t>
      </w:r>
      <w:r w:rsidR="004E0CCA">
        <w:t xml:space="preserve">et al. </w:t>
      </w:r>
      <w:r>
        <w:t xml:space="preserve">results to Australia we first attempt to account for differences between Australia and Germany. </w:t>
      </w:r>
      <w:r w:rsidR="00E16E4A">
        <w:t>This includes which parts of Australia would be classified as urban or rural counties.</w:t>
      </w:r>
    </w:p>
    <w:p w14:paraId="5AA512E9" w14:textId="04D67A3A" w:rsidR="00836854" w:rsidRDefault="00836854" w:rsidP="00836854">
      <w:pPr>
        <w:pStyle w:val="BodyText"/>
      </w:pPr>
      <w:r>
        <w:t xml:space="preserve">The </w:t>
      </w:r>
      <w:proofErr w:type="spellStart"/>
      <w:r>
        <w:t>Briglauer</w:t>
      </w:r>
      <w:proofErr w:type="spellEnd"/>
      <w:r>
        <w:t xml:space="preserve"> study considered regions as urban if they were denoted as “</w:t>
      </w:r>
      <w:proofErr w:type="spellStart"/>
      <w:r>
        <w:t>Kreisfreie</w:t>
      </w:r>
      <w:proofErr w:type="spellEnd"/>
      <w:r>
        <w:t xml:space="preserve"> </w:t>
      </w:r>
      <w:proofErr w:type="spellStart"/>
      <w:r>
        <w:t>Stadt</w:t>
      </w:r>
      <w:proofErr w:type="spellEnd"/>
      <w:r>
        <w:t xml:space="preserve">” in the German administrative language; these counties typically have population of at least 100,000. We accordingly consider as urban the significant urban areas within Australia with population of at </w:t>
      </w:r>
      <w:r>
        <w:lastRenderedPageBreak/>
        <w:t>least 100,000 as at 2020.</w:t>
      </w:r>
      <w:r>
        <w:rPr>
          <w:rStyle w:val="FootnoteReference"/>
        </w:rPr>
        <w:footnoteReference w:id="14"/>
      </w:r>
      <w:r>
        <w:t xml:space="preserve"> This yields 19 significant urban areas, the smallest being Bendigo with a population of 102,499 as at 2020.</w:t>
      </w:r>
      <w:r>
        <w:rPr>
          <w:rStyle w:val="FootnoteReference"/>
        </w:rPr>
        <w:footnoteReference w:id="15"/>
      </w:r>
      <w:r w:rsidR="00642C76">
        <w:t xml:space="preserve"> </w:t>
      </w:r>
      <w:r>
        <w:t xml:space="preserve">We then determine the </w:t>
      </w:r>
      <w:r w:rsidR="00E16E4A">
        <w:t>gross value added (GVA</w:t>
      </w:r>
      <w:r w:rsidR="009C001D">
        <w:rPr>
          <w:rStyle w:val="FootnoteReference"/>
        </w:rPr>
        <w:footnoteReference w:id="16"/>
      </w:r>
      <w:r w:rsidR="00E16E4A">
        <w:t xml:space="preserve">) </w:t>
      </w:r>
      <w:r>
        <w:t xml:space="preserve">within the 19 selected </w:t>
      </w:r>
      <w:r w:rsidR="00E16E4A">
        <w:t>urban areas</w:t>
      </w:r>
      <w:r>
        <w:t xml:space="preserve">, and obtain GVA estimates in 2020 as shown in </w:t>
      </w:r>
      <w:r>
        <w:fldChar w:fldCharType="begin"/>
      </w:r>
      <w:r>
        <w:instrText xml:space="preserve"> REF _Ref75347820 \h </w:instrText>
      </w:r>
      <w:r>
        <w:fldChar w:fldCharType="separate"/>
      </w:r>
      <w:r w:rsidR="00DD5715" w:rsidRPr="00603BC1">
        <w:rPr>
          <w:rStyle w:val="Bold"/>
        </w:rPr>
        <w:t xml:space="preserve">Table </w:t>
      </w:r>
      <w:r w:rsidR="00DD5715">
        <w:rPr>
          <w:rStyle w:val="Bold"/>
          <w:noProof/>
        </w:rPr>
        <w:t>5</w:t>
      </w:r>
      <w:r>
        <w:fldChar w:fldCharType="end"/>
      </w:r>
      <w:r>
        <w:t>.</w:t>
      </w:r>
    </w:p>
    <w:p w14:paraId="09D35814" w14:textId="5BF94D58" w:rsidR="00836854" w:rsidRDefault="00836854" w:rsidP="00836854">
      <w:pPr>
        <w:pStyle w:val="Caption"/>
      </w:pPr>
      <w:bookmarkStart w:id="70" w:name="_Ref75347820"/>
      <w:bookmarkStart w:id="71" w:name="_Toc79585053"/>
      <w:r w:rsidRPr="00603BC1">
        <w:rPr>
          <w:rStyle w:val="Bold"/>
        </w:rPr>
        <w:t xml:space="preserve">Table </w:t>
      </w:r>
      <w:r w:rsidRPr="00603BC1">
        <w:rPr>
          <w:rStyle w:val="Bold"/>
        </w:rPr>
        <w:fldChar w:fldCharType="begin"/>
      </w:r>
      <w:r w:rsidRPr="00603BC1">
        <w:rPr>
          <w:rStyle w:val="Bold"/>
        </w:rPr>
        <w:instrText xml:space="preserve"> SEQ Table \* ARABIC </w:instrText>
      </w:r>
      <w:r w:rsidRPr="00603BC1">
        <w:rPr>
          <w:rStyle w:val="Bold"/>
        </w:rPr>
        <w:fldChar w:fldCharType="separate"/>
      </w:r>
      <w:r w:rsidR="00DD5715">
        <w:rPr>
          <w:rStyle w:val="Bold"/>
          <w:noProof/>
        </w:rPr>
        <w:t>5</w:t>
      </w:r>
      <w:r w:rsidRPr="00603BC1">
        <w:rPr>
          <w:rStyle w:val="Bold"/>
        </w:rPr>
        <w:fldChar w:fldCharType="end"/>
      </w:r>
      <w:bookmarkEnd w:id="70"/>
      <w:r w:rsidRPr="00603BC1">
        <w:rPr>
          <w:rStyle w:val="Bold"/>
        </w:rPr>
        <w:t>:</w:t>
      </w:r>
      <w:r>
        <w:t xml:space="preserve"> Output or urban and rural areas</w:t>
      </w:r>
      <w:bookmarkEnd w:id="71"/>
    </w:p>
    <w:tbl>
      <w:tblPr>
        <w:tblStyle w:val="FETableStyle"/>
        <w:tblW w:w="5000" w:type="pct"/>
        <w:tblLook w:val="0420" w:firstRow="1" w:lastRow="0" w:firstColumn="0" w:lastColumn="0" w:noHBand="0" w:noVBand="1"/>
        <w:tblCaption w:val="Output or urban and rural areas"/>
        <w:tblDescription w:val="Output or urban and rural areas"/>
      </w:tblPr>
      <w:tblGrid>
        <w:gridCol w:w="4253"/>
        <w:gridCol w:w="4817"/>
      </w:tblGrid>
      <w:tr w:rsidR="00836854" w:rsidRPr="005F70E4" w14:paraId="42FABDFA" w14:textId="77777777" w:rsidTr="00FB7E25">
        <w:trPr>
          <w:cnfStyle w:val="100000000000" w:firstRow="1" w:lastRow="0" w:firstColumn="0" w:lastColumn="0" w:oddVBand="0" w:evenVBand="0" w:oddHBand="0" w:evenHBand="0" w:firstRowFirstColumn="0" w:firstRowLastColumn="0" w:lastRowFirstColumn="0" w:lastRowLastColumn="0"/>
          <w:tblHeader/>
        </w:trPr>
        <w:tc>
          <w:tcPr>
            <w:tcW w:w="4253" w:type="dxa"/>
            <w:noWrap/>
            <w:hideMark/>
          </w:tcPr>
          <w:p w14:paraId="0BE6AC2B" w14:textId="77777777" w:rsidR="00836854" w:rsidRPr="005F70E4" w:rsidRDefault="00836854" w:rsidP="00D614EC">
            <w:pPr>
              <w:pStyle w:val="TableHeading"/>
              <w:jc w:val="center"/>
              <w:rPr>
                <w:b/>
              </w:rPr>
            </w:pPr>
            <w:r w:rsidRPr="005F70E4">
              <w:rPr>
                <w:b/>
              </w:rPr>
              <w:t>Area</w:t>
            </w:r>
          </w:p>
        </w:tc>
        <w:tc>
          <w:tcPr>
            <w:tcW w:w="4817" w:type="dxa"/>
            <w:noWrap/>
            <w:hideMark/>
          </w:tcPr>
          <w:p w14:paraId="2B67AA3D" w14:textId="77777777" w:rsidR="00836854" w:rsidRPr="005F70E4" w:rsidRDefault="00836854" w:rsidP="00D614EC">
            <w:pPr>
              <w:pStyle w:val="TableHeading"/>
              <w:jc w:val="center"/>
              <w:rPr>
                <w:b/>
              </w:rPr>
            </w:pPr>
            <w:r w:rsidRPr="00FB7E25">
              <w:rPr>
                <w:b/>
              </w:rPr>
              <w:t>GVA ($M)</w:t>
            </w:r>
          </w:p>
        </w:tc>
      </w:tr>
      <w:tr w:rsidR="00836854" w:rsidRPr="005F70E4" w14:paraId="7206861F" w14:textId="77777777" w:rsidTr="00F22121">
        <w:trPr>
          <w:cnfStyle w:val="000000100000" w:firstRow="0" w:lastRow="0" w:firstColumn="0" w:lastColumn="0" w:oddVBand="0" w:evenVBand="0" w:oddHBand="1" w:evenHBand="0" w:firstRowFirstColumn="0" w:firstRowLastColumn="0" w:lastRowFirstColumn="0" w:lastRowLastColumn="0"/>
        </w:trPr>
        <w:tc>
          <w:tcPr>
            <w:tcW w:w="4253" w:type="dxa"/>
            <w:noWrap/>
            <w:hideMark/>
          </w:tcPr>
          <w:p w14:paraId="2856F52A" w14:textId="77777777" w:rsidR="00836854" w:rsidRPr="00F70AC1" w:rsidRDefault="00836854" w:rsidP="00D614EC">
            <w:pPr>
              <w:pStyle w:val="TableText"/>
              <w:jc w:val="center"/>
            </w:pPr>
            <w:r w:rsidRPr="00F70AC1">
              <w:t>Urban</w:t>
            </w:r>
          </w:p>
        </w:tc>
        <w:tc>
          <w:tcPr>
            <w:tcW w:w="4817" w:type="dxa"/>
            <w:noWrap/>
            <w:hideMark/>
          </w:tcPr>
          <w:p w14:paraId="2B0821D4" w14:textId="374EA3EF" w:rsidR="00836854" w:rsidRPr="00F70AC1" w:rsidRDefault="00FB7E25" w:rsidP="00F10339">
            <w:pPr>
              <w:pStyle w:val="TableText"/>
              <w:tabs>
                <w:tab w:val="right" w:pos="2864"/>
              </w:tabs>
            </w:pPr>
            <w:r>
              <w:tab/>
            </w:r>
            <w:r w:rsidR="00836854" w:rsidRPr="00F70AC1">
              <w:t>$1,</w:t>
            </w:r>
            <w:r w:rsidR="00836854">
              <w:t>228,189</w:t>
            </w:r>
          </w:p>
        </w:tc>
      </w:tr>
      <w:tr w:rsidR="00836854" w:rsidRPr="005F70E4" w14:paraId="371F8427" w14:textId="77777777" w:rsidTr="00F22121">
        <w:trPr>
          <w:cnfStyle w:val="000000010000" w:firstRow="0" w:lastRow="0" w:firstColumn="0" w:lastColumn="0" w:oddVBand="0" w:evenVBand="0" w:oddHBand="0" w:evenHBand="1" w:firstRowFirstColumn="0" w:firstRowLastColumn="0" w:lastRowFirstColumn="0" w:lastRowLastColumn="0"/>
        </w:trPr>
        <w:tc>
          <w:tcPr>
            <w:tcW w:w="4253" w:type="dxa"/>
            <w:noWrap/>
            <w:hideMark/>
          </w:tcPr>
          <w:p w14:paraId="7F5457BB" w14:textId="77777777" w:rsidR="00836854" w:rsidRPr="005F70E4" w:rsidRDefault="00836854" w:rsidP="00D614EC">
            <w:pPr>
              <w:pStyle w:val="TableText"/>
              <w:jc w:val="center"/>
            </w:pPr>
            <w:r w:rsidRPr="005F70E4">
              <w:t>Rural</w:t>
            </w:r>
          </w:p>
        </w:tc>
        <w:tc>
          <w:tcPr>
            <w:tcW w:w="4817" w:type="dxa"/>
            <w:noWrap/>
            <w:hideMark/>
          </w:tcPr>
          <w:p w14:paraId="61B6A687" w14:textId="100C85FB" w:rsidR="00836854" w:rsidRPr="005F70E4" w:rsidRDefault="00FB7E25" w:rsidP="00F10339">
            <w:pPr>
              <w:pStyle w:val="TableText"/>
              <w:tabs>
                <w:tab w:val="right" w:pos="2864"/>
              </w:tabs>
            </w:pPr>
            <w:r>
              <w:tab/>
            </w:r>
            <w:r w:rsidR="00836854" w:rsidRPr="005F70E4">
              <w:t>$469,</w:t>
            </w:r>
            <w:r w:rsidR="00836854">
              <w:t>349</w:t>
            </w:r>
          </w:p>
        </w:tc>
      </w:tr>
      <w:tr w:rsidR="00836854" w:rsidRPr="005F70E4" w14:paraId="3FABD40B" w14:textId="77777777" w:rsidTr="00F22121">
        <w:trPr>
          <w:cnfStyle w:val="000000100000" w:firstRow="0" w:lastRow="0" w:firstColumn="0" w:lastColumn="0" w:oddVBand="0" w:evenVBand="0" w:oddHBand="1" w:evenHBand="0" w:firstRowFirstColumn="0" w:firstRowLastColumn="0" w:lastRowFirstColumn="0" w:lastRowLastColumn="0"/>
        </w:trPr>
        <w:tc>
          <w:tcPr>
            <w:tcW w:w="4253" w:type="dxa"/>
            <w:noWrap/>
            <w:hideMark/>
          </w:tcPr>
          <w:p w14:paraId="4F1D905A" w14:textId="77777777" w:rsidR="00836854" w:rsidRPr="005F70E4" w:rsidRDefault="00836854" w:rsidP="00D614EC">
            <w:pPr>
              <w:pStyle w:val="TableText"/>
              <w:jc w:val="center"/>
            </w:pPr>
            <w:r w:rsidRPr="005F70E4">
              <w:t>Total</w:t>
            </w:r>
          </w:p>
        </w:tc>
        <w:tc>
          <w:tcPr>
            <w:tcW w:w="4817" w:type="dxa"/>
            <w:noWrap/>
            <w:hideMark/>
          </w:tcPr>
          <w:p w14:paraId="3C37B1C6" w14:textId="4CBD8D16" w:rsidR="00836854" w:rsidRPr="005F70E4" w:rsidRDefault="00FB7E25" w:rsidP="00F10339">
            <w:pPr>
              <w:pStyle w:val="TableText"/>
              <w:tabs>
                <w:tab w:val="right" w:pos="2864"/>
              </w:tabs>
            </w:pPr>
            <w:r>
              <w:tab/>
            </w:r>
            <w:r w:rsidR="00836854" w:rsidRPr="005F70E4">
              <w:t>$1,</w:t>
            </w:r>
            <w:r w:rsidR="00836854">
              <w:t>697,537</w:t>
            </w:r>
          </w:p>
        </w:tc>
      </w:tr>
    </w:tbl>
    <w:p w14:paraId="3DF27F0A" w14:textId="77777777" w:rsidR="00836854" w:rsidRPr="003335D6" w:rsidRDefault="00836854" w:rsidP="003335D6">
      <w:pPr>
        <w:pStyle w:val="Source"/>
      </w:pPr>
      <w:r w:rsidRPr="003335D6">
        <w:t>Source: Frontier Economics analysis of ABS data</w:t>
      </w:r>
    </w:p>
    <w:p w14:paraId="1B0082B2" w14:textId="77777777" w:rsidR="00492135" w:rsidRDefault="00492135" w:rsidP="00D31AC9">
      <w:pPr>
        <w:pStyle w:val="Heading4"/>
      </w:pPr>
      <w:r>
        <w:t>Key results</w:t>
      </w:r>
    </w:p>
    <w:p w14:paraId="7DA294E4" w14:textId="77777777" w:rsidR="00492135" w:rsidRPr="00202F17" w:rsidRDefault="00492135" w:rsidP="00631A1A">
      <w:pPr>
        <w:pStyle w:val="BodyText"/>
        <w:rPr>
          <w:color w:val="9BA1A5"/>
        </w:rPr>
      </w:pPr>
      <w:r>
        <w:t xml:space="preserve">In applying the estimates of </w:t>
      </w:r>
      <w:proofErr w:type="spellStart"/>
      <w:r>
        <w:t>Briglauer</w:t>
      </w:r>
      <w:proofErr w:type="spellEnd"/>
      <w:r>
        <w:t xml:space="preserve"> et al (2021), we note that directly multiplying the coefficient by the average broadband speed change may not be appropriate: the speeds in Australia in FY2020 are considerably higher than that of German counties over the sample period</w:t>
      </w:r>
      <w:r w:rsidR="00FF3099">
        <w:t>.</w:t>
      </w:r>
    </w:p>
    <w:p w14:paraId="6136F1CD" w14:textId="67F9029E" w:rsidR="00492135" w:rsidRDefault="00492135" w:rsidP="00492135">
      <w:pPr>
        <w:pStyle w:val="BodyText"/>
      </w:pPr>
      <w:r>
        <w:t xml:space="preserve">To account for this difference, we normalise </w:t>
      </w:r>
      <w:r w:rsidR="008871D6">
        <w:t>using percentages, so a</w:t>
      </w:r>
      <w:r>
        <w:t xml:space="preserve"> 1% increase in download speeds is associated with some percentage increase in GDP.</w:t>
      </w:r>
      <w:r>
        <w:rPr>
          <w:rStyle w:val="FootnoteReference"/>
        </w:rPr>
        <w:footnoteReference w:id="17"/>
      </w:r>
      <w:r>
        <w:t xml:space="preserve"> The impacts differ </w:t>
      </w:r>
      <w:r w:rsidR="00562251">
        <w:t>materially</w:t>
      </w:r>
      <w:r>
        <w:t xml:space="preserve"> when either rural or urban counties are considered, as shown in</w:t>
      </w:r>
      <w:r w:rsidR="00EF1083">
        <w:t xml:space="preserve"> </w:t>
      </w:r>
      <w:r w:rsidR="00EF1083">
        <w:fldChar w:fldCharType="begin"/>
      </w:r>
      <w:r w:rsidR="00EF1083">
        <w:instrText xml:space="preserve"> REF _Ref75800580 \h </w:instrText>
      </w:r>
      <w:r w:rsidR="00EF1083">
        <w:fldChar w:fldCharType="separate"/>
      </w:r>
      <w:r w:rsidR="00DD5715" w:rsidRPr="00603BC1">
        <w:rPr>
          <w:rStyle w:val="Bold"/>
        </w:rPr>
        <w:t xml:space="preserve">Table </w:t>
      </w:r>
      <w:r w:rsidR="00DD5715">
        <w:rPr>
          <w:rStyle w:val="Bold"/>
          <w:noProof/>
        </w:rPr>
        <w:t>6</w:t>
      </w:r>
      <w:r w:rsidR="00EF1083">
        <w:fldChar w:fldCharType="end"/>
      </w:r>
      <w:r>
        <w:t>.</w:t>
      </w:r>
    </w:p>
    <w:p w14:paraId="13E732CC" w14:textId="560DA920" w:rsidR="00492135" w:rsidRDefault="00492135" w:rsidP="00492135">
      <w:pPr>
        <w:pStyle w:val="Caption"/>
      </w:pPr>
      <w:bookmarkStart w:id="72" w:name="_Ref75800580"/>
      <w:bookmarkStart w:id="73" w:name="_Toc79585054"/>
      <w:r w:rsidRPr="00603BC1">
        <w:rPr>
          <w:rStyle w:val="Bold"/>
        </w:rPr>
        <w:t xml:space="preserve">Table </w:t>
      </w:r>
      <w:r w:rsidRPr="00603BC1">
        <w:rPr>
          <w:rStyle w:val="Bold"/>
        </w:rPr>
        <w:fldChar w:fldCharType="begin"/>
      </w:r>
      <w:r w:rsidRPr="00603BC1">
        <w:rPr>
          <w:rStyle w:val="Bold"/>
        </w:rPr>
        <w:instrText xml:space="preserve"> SEQ Table \* ARABIC </w:instrText>
      </w:r>
      <w:r w:rsidRPr="00603BC1">
        <w:rPr>
          <w:rStyle w:val="Bold"/>
        </w:rPr>
        <w:fldChar w:fldCharType="separate"/>
      </w:r>
      <w:r w:rsidR="00DD5715">
        <w:rPr>
          <w:rStyle w:val="Bold"/>
          <w:noProof/>
        </w:rPr>
        <w:t>6</w:t>
      </w:r>
      <w:r w:rsidRPr="00603BC1">
        <w:rPr>
          <w:rStyle w:val="Bold"/>
        </w:rPr>
        <w:fldChar w:fldCharType="end"/>
      </w:r>
      <w:bookmarkEnd w:id="72"/>
      <w:r w:rsidRPr="00603BC1">
        <w:rPr>
          <w:rStyle w:val="Bold"/>
        </w:rPr>
        <w:t>:</w:t>
      </w:r>
      <w:r>
        <w:t xml:space="preserve"> Central impact of increases in broadband speed and output, including urban-rural</w:t>
      </w:r>
      <w:bookmarkEnd w:id="73"/>
    </w:p>
    <w:tbl>
      <w:tblPr>
        <w:tblStyle w:val="FETableStyle"/>
        <w:tblW w:w="4923" w:type="pct"/>
        <w:tblLayout w:type="fixed"/>
        <w:tblLook w:val="0420" w:firstRow="1" w:lastRow="0" w:firstColumn="0" w:lastColumn="0" w:noHBand="0" w:noVBand="1"/>
        <w:tblCaption w:val="Central impact of increases in broadband speed and output, including urban-rural"/>
        <w:tblDescription w:val="Central impact of increases in broadband speed and output, including urban-rural"/>
      </w:tblPr>
      <w:tblGrid>
        <w:gridCol w:w="3261"/>
        <w:gridCol w:w="2835"/>
        <w:gridCol w:w="2834"/>
      </w:tblGrid>
      <w:tr w:rsidR="00492135" w:rsidRPr="00F611FF" w14:paraId="2AF8CAF3" w14:textId="77777777" w:rsidTr="003335D6">
        <w:trPr>
          <w:cnfStyle w:val="100000000000" w:firstRow="1" w:lastRow="0" w:firstColumn="0" w:lastColumn="0" w:oddVBand="0" w:evenVBand="0" w:oddHBand="0" w:evenHBand="0" w:firstRowFirstColumn="0" w:firstRowLastColumn="0" w:lastRowFirstColumn="0" w:lastRowLastColumn="0"/>
          <w:tblHeader/>
        </w:trPr>
        <w:tc>
          <w:tcPr>
            <w:tcW w:w="3261" w:type="dxa"/>
            <w:noWrap/>
            <w:hideMark/>
          </w:tcPr>
          <w:p w14:paraId="2794701D" w14:textId="77777777" w:rsidR="00492135" w:rsidRPr="00F611FF" w:rsidRDefault="00492135" w:rsidP="00F22121">
            <w:pPr>
              <w:pStyle w:val="TableHeading"/>
              <w:rPr>
                <w:b/>
              </w:rPr>
            </w:pPr>
            <w:r>
              <w:rPr>
                <w:b/>
              </w:rPr>
              <w:t>Result</w:t>
            </w:r>
          </w:p>
        </w:tc>
        <w:tc>
          <w:tcPr>
            <w:tcW w:w="2835" w:type="dxa"/>
            <w:noWrap/>
            <w:hideMark/>
          </w:tcPr>
          <w:p w14:paraId="049DBE43" w14:textId="77777777" w:rsidR="00492135" w:rsidRPr="00F611FF" w:rsidRDefault="00492135" w:rsidP="00F22121">
            <w:pPr>
              <w:pStyle w:val="TableHeading"/>
              <w:jc w:val="center"/>
              <w:rPr>
                <w:b/>
              </w:rPr>
            </w:pPr>
            <w:r>
              <w:rPr>
                <w:b/>
              </w:rPr>
              <w:t xml:space="preserve">Impact of 1 </w:t>
            </w:r>
            <w:r w:rsidR="002D3DE4">
              <w:rPr>
                <w:b/>
              </w:rPr>
              <w:t>Mbps</w:t>
            </w:r>
            <w:r>
              <w:rPr>
                <w:b/>
              </w:rPr>
              <w:t xml:space="preserve"> increase</w:t>
            </w:r>
          </w:p>
        </w:tc>
        <w:tc>
          <w:tcPr>
            <w:tcW w:w="2834" w:type="dxa"/>
            <w:noWrap/>
            <w:hideMark/>
          </w:tcPr>
          <w:p w14:paraId="3298CCE2" w14:textId="77777777" w:rsidR="00492135" w:rsidRPr="00F611FF" w:rsidRDefault="00492135" w:rsidP="00F22121">
            <w:pPr>
              <w:pStyle w:val="TableHeading"/>
              <w:jc w:val="center"/>
              <w:rPr>
                <w:b/>
              </w:rPr>
            </w:pPr>
            <w:r>
              <w:rPr>
                <w:b/>
              </w:rPr>
              <w:t>Impact of 1% increase</w:t>
            </w:r>
          </w:p>
        </w:tc>
      </w:tr>
      <w:tr w:rsidR="00492135" w:rsidRPr="00F611FF" w14:paraId="45FA592C" w14:textId="77777777" w:rsidTr="00F22121">
        <w:trPr>
          <w:cnfStyle w:val="000000100000" w:firstRow="0" w:lastRow="0" w:firstColumn="0" w:lastColumn="0" w:oddVBand="0" w:evenVBand="0" w:oddHBand="1" w:evenHBand="0" w:firstRowFirstColumn="0" w:firstRowLastColumn="0" w:lastRowFirstColumn="0" w:lastRowLastColumn="0"/>
        </w:trPr>
        <w:tc>
          <w:tcPr>
            <w:tcW w:w="3261" w:type="dxa"/>
            <w:noWrap/>
            <w:hideMark/>
          </w:tcPr>
          <w:p w14:paraId="258EA5BE" w14:textId="77777777" w:rsidR="00492135" w:rsidRPr="00F611FF" w:rsidRDefault="00492135" w:rsidP="00F22121">
            <w:pPr>
              <w:pStyle w:val="TableText"/>
            </w:pPr>
            <w:proofErr w:type="spellStart"/>
            <w:r>
              <w:t>Briglauer</w:t>
            </w:r>
            <w:proofErr w:type="spellEnd"/>
            <w:r>
              <w:t xml:space="preserve"> et al – rural counties</w:t>
            </w:r>
          </w:p>
        </w:tc>
        <w:tc>
          <w:tcPr>
            <w:tcW w:w="2835" w:type="dxa"/>
            <w:noWrap/>
            <w:hideMark/>
          </w:tcPr>
          <w:p w14:paraId="6C793F37" w14:textId="77777777" w:rsidR="00492135" w:rsidRPr="00F611FF" w:rsidRDefault="00492135" w:rsidP="00F22121">
            <w:pPr>
              <w:pStyle w:val="TableText"/>
              <w:jc w:val="center"/>
            </w:pPr>
            <w:r>
              <w:t>0.23</w:t>
            </w:r>
            <w:r w:rsidRPr="00F611FF">
              <w:t>%</w:t>
            </w:r>
          </w:p>
        </w:tc>
        <w:tc>
          <w:tcPr>
            <w:tcW w:w="2834" w:type="dxa"/>
            <w:noWrap/>
            <w:hideMark/>
          </w:tcPr>
          <w:p w14:paraId="027B0EFB" w14:textId="77777777" w:rsidR="00492135" w:rsidRPr="00F611FF" w:rsidRDefault="00492135" w:rsidP="00F22121">
            <w:pPr>
              <w:pStyle w:val="TableText"/>
              <w:jc w:val="center"/>
            </w:pPr>
            <w:r>
              <w:t>0.058</w:t>
            </w:r>
            <w:r w:rsidRPr="00F611FF">
              <w:t>%</w:t>
            </w:r>
          </w:p>
        </w:tc>
      </w:tr>
      <w:tr w:rsidR="00492135" w:rsidRPr="00F611FF" w14:paraId="1809ABB0" w14:textId="77777777" w:rsidTr="00F22121">
        <w:trPr>
          <w:cnfStyle w:val="000000010000" w:firstRow="0" w:lastRow="0" w:firstColumn="0" w:lastColumn="0" w:oddVBand="0" w:evenVBand="0" w:oddHBand="0" w:evenHBand="1" w:firstRowFirstColumn="0" w:firstRowLastColumn="0" w:lastRowFirstColumn="0" w:lastRowLastColumn="0"/>
        </w:trPr>
        <w:tc>
          <w:tcPr>
            <w:tcW w:w="3261" w:type="dxa"/>
            <w:noWrap/>
          </w:tcPr>
          <w:p w14:paraId="303BCA59" w14:textId="77777777" w:rsidR="00492135" w:rsidRDefault="00492135" w:rsidP="00F22121">
            <w:pPr>
              <w:pStyle w:val="TableText"/>
            </w:pPr>
            <w:proofErr w:type="spellStart"/>
            <w:r>
              <w:t>Briglauer</w:t>
            </w:r>
            <w:proofErr w:type="spellEnd"/>
            <w:r>
              <w:t xml:space="preserve"> et al – urban counties</w:t>
            </w:r>
          </w:p>
        </w:tc>
        <w:tc>
          <w:tcPr>
            <w:tcW w:w="2835" w:type="dxa"/>
            <w:noWrap/>
          </w:tcPr>
          <w:p w14:paraId="00CE8F41" w14:textId="77777777" w:rsidR="00492135" w:rsidRDefault="00492135" w:rsidP="00F22121">
            <w:pPr>
              <w:pStyle w:val="TableText"/>
              <w:jc w:val="center"/>
            </w:pPr>
            <w:r>
              <w:t>0.05%</w:t>
            </w:r>
          </w:p>
        </w:tc>
        <w:tc>
          <w:tcPr>
            <w:tcW w:w="2834" w:type="dxa"/>
            <w:noWrap/>
          </w:tcPr>
          <w:p w14:paraId="0F5A58B4" w14:textId="77777777" w:rsidR="00492135" w:rsidRDefault="00492135" w:rsidP="00F22121">
            <w:pPr>
              <w:pStyle w:val="TableText"/>
              <w:jc w:val="center"/>
            </w:pPr>
            <w:r>
              <w:t>0.024%</w:t>
            </w:r>
          </w:p>
        </w:tc>
      </w:tr>
    </w:tbl>
    <w:p w14:paraId="460C4A0E" w14:textId="77777777" w:rsidR="00492135" w:rsidRPr="003335D6" w:rsidRDefault="00492135" w:rsidP="003335D6">
      <w:pPr>
        <w:pStyle w:val="Source"/>
      </w:pPr>
      <w:r w:rsidRPr="003335D6">
        <w:t>Source: Frontier Economics</w:t>
      </w:r>
    </w:p>
    <w:p w14:paraId="6081C560" w14:textId="77777777" w:rsidR="00492135" w:rsidRDefault="00492135" w:rsidP="00492135">
      <w:pPr>
        <w:pStyle w:val="BodyText"/>
      </w:pPr>
      <w:proofErr w:type="spellStart"/>
      <w:r>
        <w:t>Briglauer</w:t>
      </w:r>
      <w:proofErr w:type="spellEnd"/>
      <w:r>
        <w:t xml:space="preserve"> </w:t>
      </w:r>
      <w:r w:rsidR="00DB1F7B">
        <w:t>at al note</w:t>
      </w:r>
      <w:r>
        <w:t xml:space="preserve"> that the lower coefficient estimates for urban regions can be explained by diminishing returns and the comparatively low speeds in rural counties.</w:t>
      </w:r>
      <w:r>
        <w:rPr>
          <w:rStyle w:val="FootnoteReference"/>
        </w:rPr>
        <w:footnoteReference w:id="18"/>
      </w:r>
      <w:r>
        <w:t xml:space="preserve"> </w:t>
      </w:r>
      <w:r w:rsidR="00647969">
        <w:t xml:space="preserve">We consider that the as </w:t>
      </w:r>
      <w:r w:rsidR="00647969">
        <w:lastRenderedPageBreak/>
        <w:t xml:space="preserve">the gap between </w:t>
      </w:r>
      <w:r>
        <w:t xml:space="preserve">urban and rural areas </w:t>
      </w:r>
      <w:r w:rsidR="00647969">
        <w:t xml:space="preserve">are smaller than the observed </w:t>
      </w:r>
      <w:r>
        <w:t>German differences</w:t>
      </w:r>
      <w:r>
        <w:rPr>
          <w:rStyle w:val="FootnoteReference"/>
        </w:rPr>
        <w:footnoteReference w:id="19"/>
      </w:r>
      <w:r w:rsidR="00647969">
        <w:t>,</w:t>
      </w:r>
      <w:r>
        <w:t xml:space="preserve"> and that</w:t>
      </w:r>
      <w:r w:rsidR="00FB7626">
        <w:t xml:space="preserve"> current</w:t>
      </w:r>
      <w:r>
        <w:t xml:space="preserve"> speeds </w:t>
      </w:r>
      <w:r w:rsidR="00575AEC">
        <w:t xml:space="preserve">in both areas </w:t>
      </w:r>
      <w:r>
        <w:t xml:space="preserve">are similar to German urban speeds, we apply the </w:t>
      </w:r>
      <w:r w:rsidR="00DC3CBB">
        <w:t xml:space="preserve">smaller </w:t>
      </w:r>
      <w:r>
        <w:t xml:space="preserve">urban coefficient to all areas of Australia. </w:t>
      </w:r>
    </w:p>
    <w:p w14:paraId="6D7DE491" w14:textId="77777777" w:rsidR="00492135" w:rsidRDefault="00575AEC" w:rsidP="00492135">
      <w:pPr>
        <w:pStyle w:val="BodyText"/>
      </w:pPr>
      <w:r>
        <w:t>T</w:t>
      </w:r>
      <w:r w:rsidR="00492135">
        <w:t>hese</w:t>
      </w:r>
      <w:r w:rsidR="00DC3CBB">
        <w:t xml:space="preserve"> still</w:t>
      </w:r>
      <w:r w:rsidR="00492135">
        <w:t xml:space="preserve"> effects appear larger than those using earlier studies (e.g. </w:t>
      </w:r>
      <w:proofErr w:type="spellStart"/>
      <w:r w:rsidR="00492135" w:rsidRPr="007F5020">
        <w:t>Rohman</w:t>
      </w:r>
      <w:proofErr w:type="spellEnd"/>
      <w:r w:rsidR="00492135" w:rsidRPr="007F5020">
        <w:t xml:space="preserve"> and </w:t>
      </w:r>
      <w:proofErr w:type="spellStart"/>
      <w:r w:rsidR="00492135" w:rsidRPr="007F5020">
        <w:t>Bohlin</w:t>
      </w:r>
      <w:proofErr w:type="spellEnd"/>
      <w:r w:rsidR="00492135">
        <w:t xml:space="preserve"> (</w:t>
      </w:r>
      <w:r w:rsidR="00492135" w:rsidRPr="007F5020">
        <w:t>2012</w:t>
      </w:r>
      <w:r w:rsidR="00492135">
        <w:t>)</w:t>
      </w:r>
      <w:r w:rsidR="00492135">
        <w:rPr>
          <w:rStyle w:val="FootnoteReference"/>
        </w:rPr>
        <w:footnoteReference w:id="20"/>
      </w:r>
      <w:r w:rsidR="00492135">
        <w:t>)</w:t>
      </w:r>
      <w:r>
        <w:t>. However</w:t>
      </w:r>
      <w:r w:rsidR="00492135">
        <w:t>, this study is more recent and uses changes in speeds that are larger in Mb</w:t>
      </w:r>
      <w:r w:rsidR="007C505F">
        <w:t>ps</w:t>
      </w:r>
      <w:r w:rsidR="00492135">
        <w:t xml:space="preserve"> than earlier studies, while considering speeds that are somewhat comparable to those adopted in the NBN.</w:t>
      </w:r>
    </w:p>
    <w:p w14:paraId="11B66FB6" w14:textId="2173CE1A" w:rsidR="00492135" w:rsidRDefault="00492135" w:rsidP="00492135">
      <w:pPr>
        <w:pStyle w:val="BodyText"/>
      </w:pPr>
      <w:r>
        <w:t xml:space="preserve">Applying the impacts of </w:t>
      </w:r>
      <w:proofErr w:type="spellStart"/>
      <w:r>
        <w:t>Briglauer</w:t>
      </w:r>
      <w:proofErr w:type="spellEnd"/>
      <w:r>
        <w:t xml:space="preserve"> et al to the percentage impact of speeds attributable to NBN business investments </w:t>
      </w:r>
      <w:r w:rsidR="008871D6">
        <w:t xml:space="preserve">of around 10% </w:t>
      </w:r>
      <w:r>
        <w:t>yields output impacts of 0.23% in both urban and rural areas</w:t>
      </w:r>
      <w:r w:rsidRPr="005F70E4">
        <w:t>.</w:t>
      </w:r>
      <w:r w:rsidRPr="005F70E4">
        <w:rPr>
          <w:rStyle w:val="FootnoteReference"/>
        </w:rPr>
        <w:footnoteReference w:id="21"/>
      </w:r>
      <w:r w:rsidRPr="005F70E4">
        <w:t xml:space="preserve"> </w:t>
      </w:r>
      <w:r>
        <w:t xml:space="preserve"> These impacts can be translated into dollar terms by applying to forecast GVA of each area, yielding </w:t>
      </w:r>
      <w:r>
        <w:fldChar w:fldCharType="begin"/>
      </w:r>
      <w:r>
        <w:instrText xml:space="preserve"> REF _Ref75348588 \h </w:instrText>
      </w:r>
      <w:r>
        <w:fldChar w:fldCharType="separate"/>
      </w:r>
      <w:r w:rsidR="00DD5715" w:rsidRPr="00603BC1">
        <w:rPr>
          <w:rStyle w:val="Bold"/>
        </w:rPr>
        <w:t xml:space="preserve">Table </w:t>
      </w:r>
      <w:r w:rsidR="00DD5715">
        <w:rPr>
          <w:rStyle w:val="Bold"/>
          <w:noProof/>
        </w:rPr>
        <w:t>8</w:t>
      </w:r>
      <w:r>
        <w:fldChar w:fldCharType="end"/>
      </w:r>
      <w:r>
        <w:t>.</w:t>
      </w:r>
      <w:r>
        <w:rPr>
          <w:rStyle w:val="FootnoteReference"/>
        </w:rPr>
        <w:footnoteReference w:id="22"/>
      </w:r>
    </w:p>
    <w:p w14:paraId="1EE85549" w14:textId="36F11EE0" w:rsidR="00492135" w:rsidRDefault="00492135" w:rsidP="00492135">
      <w:pPr>
        <w:pStyle w:val="Caption"/>
      </w:pPr>
      <w:bookmarkStart w:id="74" w:name="_Toc79585055"/>
      <w:r w:rsidRPr="00603BC1">
        <w:rPr>
          <w:rStyle w:val="Bold"/>
        </w:rPr>
        <w:t xml:space="preserve">Table </w:t>
      </w:r>
      <w:r w:rsidRPr="00603BC1">
        <w:rPr>
          <w:rStyle w:val="Bold"/>
        </w:rPr>
        <w:fldChar w:fldCharType="begin"/>
      </w:r>
      <w:r w:rsidRPr="00603BC1">
        <w:rPr>
          <w:rStyle w:val="Bold"/>
        </w:rPr>
        <w:instrText xml:space="preserve"> SEQ Table \* ARABIC </w:instrText>
      </w:r>
      <w:r w:rsidRPr="00603BC1">
        <w:rPr>
          <w:rStyle w:val="Bold"/>
        </w:rPr>
        <w:fldChar w:fldCharType="separate"/>
      </w:r>
      <w:r w:rsidR="00DD5715">
        <w:rPr>
          <w:rStyle w:val="Bold"/>
          <w:noProof/>
        </w:rPr>
        <w:t>7</w:t>
      </w:r>
      <w:r w:rsidRPr="00603BC1">
        <w:rPr>
          <w:rStyle w:val="Bold"/>
        </w:rPr>
        <w:fldChar w:fldCharType="end"/>
      </w:r>
      <w:r w:rsidRPr="00603BC1">
        <w:rPr>
          <w:rStyle w:val="Bold"/>
        </w:rPr>
        <w:t>:</w:t>
      </w:r>
      <w:r>
        <w:t xml:space="preserve"> Impacts on GDP growth by 2024</w:t>
      </w:r>
      <w:bookmarkEnd w:id="74"/>
    </w:p>
    <w:tbl>
      <w:tblPr>
        <w:tblStyle w:val="FETableStyle"/>
        <w:tblW w:w="3334" w:type="pct"/>
        <w:tblLook w:val="0420" w:firstRow="1" w:lastRow="0" w:firstColumn="0" w:lastColumn="0" w:noHBand="0" w:noVBand="1"/>
        <w:tblCaption w:val="Impacts on GDP growth by 2024"/>
        <w:tblDescription w:val="Impacts on GDP growth by 2024"/>
      </w:tblPr>
      <w:tblGrid>
        <w:gridCol w:w="3025"/>
        <w:gridCol w:w="3023"/>
      </w:tblGrid>
      <w:tr w:rsidR="00492135" w:rsidRPr="00AC5654" w14:paraId="2C69D217" w14:textId="77777777" w:rsidTr="003335D6">
        <w:trPr>
          <w:cnfStyle w:val="100000000000" w:firstRow="1" w:lastRow="0" w:firstColumn="0" w:lastColumn="0" w:oddVBand="0" w:evenVBand="0" w:oddHBand="0" w:evenHBand="0" w:firstRowFirstColumn="0" w:firstRowLastColumn="0" w:lastRowFirstColumn="0" w:lastRowLastColumn="0"/>
          <w:tblHeader/>
        </w:trPr>
        <w:tc>
          <w:tcPr>
            <w:tcW w:w="3025" w:type="dxa"/>
            <w:noWrap/>
            <w:hideMark/>
          </w:tcPr>
          <w:p w14:paraId="521CA5E3" w14:textId="161AA532" w:rsidR="00492135" w:rsidRPr="00AC5654" w:rsidRDefault="003335D6" w:rsidP="00F22121">
            <w:pPr>
              <w:pStyle w:val="TableHeading"/>
              <w:rPr>
                <w:b/>
              </w:rPr>
            </w:pPr>
            <w:r>
              <w:rPr>
                <w:b/>
              </w:rPr>
              <w:t>Location</w:t>
            </w:r>
          </w:p>
        </w:tc>
        <w:tc>
          <w:tcPr>
            <w:tcW w:w="3023" w:type="dxa"/>
            <w:noWrap/>
            <w:hideMark/>
          </w:tcPr>
          <w:p w14:paraId="3014E389" w14:textId="77777777" w:rsidR="00492135" w:rsidRPr="00AC5654" w:rsidRDefault="00492135" w:rsidP="00F22121">
            <w:pPr>
              <w:pStyle w:val="TableHeading"/>
              <w:jc w:val="center"/>
              <w:rPr>
                <w:b/>
              </w:rPr>
            </w:pPr>
            <w:r>
              <w:rPr>
                <w:b/>
              </w:rPr>
              <w:t>Estimate of GDP increment per annum, FY2024</w:t>
            </w:r>
          </w:p>
        </w:tc>
      </w:tr>
      <w:tr w:rsidR="00492135" w:rsidRPr="00AC5654" w14:paraId="1F1D1529" w14:textId="77777777" w:rsidTr="00F22121">
        <w:trPr>
          <w:cnfStyle w:val="000000100000" w:firstRow="0" w:lastRow="0" w:firstColumn="0" w:lastColumn="0" w:oddVBand="0" w:evenVBand="0" w:oddHBand="1" w:evenHBand="0" w:firstRowFirstColumn="0" w:firstRowLastColumn="0" w:lastRowFirstColumn="0" w:lastRowLastColumn="0"/>
        </w:trPr>
        <w:tc>
          <w:tcPr>
            <w:tcW w:w="3025" w:type="dxa"/>
            <w:noWrap/>
            <w:hideMark/>
          </w:tcPr>
          <w:p w14:paraId="72AD9598" w14:textId="77777777" w:rsidR="00492135" w:rsidRPr="00AC5654" w:rsidRDefault="00492135" w:rsidP="00F22121">
            <w:pPr>
              <w:pStyle w:val="TableText"/>
            </w:pPr>
            <w:r w:rsidRPr="00AC5654">
              <w:t>Rural</w:t>
            </w:r>
            <w:r>
              <w:t xml:space="preserve"> areas</w:t>
            </w:r>
          </w:p>
        </w:tc>
        <w:tc>
          <w:tcPr>
            <w:tcW w:w="3023" w:type="dxa"/>
            <w:noWrap/>
            <w:hideMark/>
          </w:tcPr>
          <w:p w14:paraId="0850CEE0" w14:textId="77777777" w:rsidR="00492135" w:rsidRPr="00AC5654" w:rsidRDefault="00492135" w:rsidP="00F22121">
            <w:pPr>
              <w:pStyle w:val="TableText"/>
              <w:jc w:val="center"/>
            </w:pPr>
            <w:r w:rsidRPr="00AC5654">
              <w:t>0.</w:t>
            </w:r>
            <w:r>
              <w:t>23</w:t>
            </w:r>
            <w:r w:rsidRPr="00AC5654">
              <w:t>%</w:t>
            </w:r>
          </w:p>
        </w:tc>
      </w:tr>
      <w:tr w:rsidR="00492135" w:rsidRPr="00AC5654" w14:paraId="0DBF4273" w14:textId="77777777" w:rsidTr="00F22121">
        <w:trPr>
          <w:cnfStyle w:val="000000010000" w:firstRow="0" w:lastRow="0" w:firstColumn="0" w:lastColumn="0" w:oddVBand="0" w:evenVBand="0" w:oddHBand="0" w:evenHBand="1" w:firstRowFirstColumn="0" w:firstRowLastColumn="0" w:lastRowFirstColumn="0" w:lastRowLastColumn="0"/>
        </w:trPr>
        <w:tc>
          <w:tcPr>
            <w:tcW w:w="3025" w:type="dxa"/>
            <w:noWrap/>
            <w:hideMark/>
          </w:tcPr>
          <w:p w14:paraId="39C178B2" w14:textId="77777777" w:rsidR="00492135" w:rsidRPr="00AC5654" w:rsidRDefault="00492135" w:rsidP="00F22121">
            <w:pPr>
              <w:pStyle w:val="TableText"/>
            </w:pPr>
            <w:r w:rsidRPr="00AC5654">
              <w:t>Urban</w:t>
            </w:r>
            <w:r>
              <w:t xml:space="preserve"> areas</w:t>
            </w:r>
          </w:p>
        </w:tc>
        <w:tc>
          <w:tcPr>
            <w:tcW w:w="3023" w:type="dxa"/>
            <w:noWrap/>
            <w:hideMark/>
          </w:tcPr>
          <w:p w14:paraId="4E402459" w14:textId="77777777" w:rsidR="00492135" w:rsidRPr="00AC5654" w:rsidRDefault="00492135" w:rsidP="00F22121">
            <w:pPr>
              <w:pStyle w:val="TableText"/>
              <w:jc w:val="center"/>
            </w:pPr>
            <w:r w:rsidRPr="00AC5654">
              <w:t>0.23%</w:t>
            </w:r>
          </w:p>
        </w:tc>
      </w:tr>
    </w:tbl>
    <w:p w14:paraId="7D6500A1" w14:textId="77777777" w:rsidR="00492135" w:rsidRDefault="00492135" w:rsidP="003335D6">
      <w:pPr>
        <w:pStyle w:val="Source"/>
      </w:pPr>
      <w:r w:rsidRPr="00885B0A">
        <w:t xml:space="preserve">Source: </w:t>
      </w:r>
      <w:r>
        <w:t>Frontier Economics</w:t>
      </w:r>
    </w:p>
    <w:p w14:paraId="26D60BF0" w14:textId="12B859A1" w:rsidR="00492135" w:rsidRDefault="00492135" w:rsidP="00492135">
      <w:pPr>
        <w:pStyle w:val="Caption"/>
      </w:pPr>
      <w:bookmarkStart w:id="75" w:name="_Ref75348588"/>
      <w:bookmarkStart w:id="76" w:name="_Toc79585056"/>
      <w:r w:rsidRPr="00603BC1">
        <w:rPr>
          <w:rStyle w:val="Bold"/>
        </w:rPr>
        <w:t xml:space="preserve">Table </w:t>
      </w:r>
      <w:r w:rsidRPr="00603BC1">
        <w:rPr>
          <w:rStyle w:val="Bold"/>
        </w:rPr>
        <w:fldChar w:fldCharType="begin"/>
      </w:r>
      <w:r w:rsidRPr="00603BC1">
        <w:rPr>
          <w:rStyle w:val="Bold"/>
        </w:rPr>
        <w:instrText xml:space="preserve"> SEQ Table \* ARABIC </w:instrText>
      </w:r>
      <w:r w:rsidRPr="00603BC1">
        <w:rPr>
          <w:rStyle w:val="Bold"/>
        </w:rPr>
        <w:fldChar w:fldCharType="separate"/>
      </w:r>
      <w:r w:rsidR="00DD5715">
        <w:rPr>
          <w:rStyle w:val="Bold"/>
          <w:noProof/>
        </w:rPr>
        <w:t>8</w:t>
      </w:r>
      <w:r w:rsidRPr="00603BC1">
        <w:rPr>
          <w:rStyle w:val="Bold"/>
        </w:rPr>
        <w:fldChar w:fldCharType="end"/>
      </w:r>
      <w:bookmarkEnd w:id="75"/>
      <w:r w:rsidRPr="00603BC1">
        <w:rPr>
          <w:rStyle w:val="Bold"/>
        </w:rPr>
        <w:t>:</w:t>
      </w:r>
      <w:r>
        <w:t xml:space="preserve"> GDP impacts</w:t>
      </w:r>
      <w:bookmarkEnd w:id="76"/>
    </w:p>
    <w:tbl>
      <w:tblPr>
        <w:tblStyle w:val="FETableStyle"/>
        <w:tblW w:w="5000" w:type="pct"/>
        <w:tblLook w:val="0420" w:firstRow="1" w:lastRow="0" w:firstColumn="0" w:lastColumn="0" w:noHBand="0" w:noVBand="1"/>
        <w:tblCaption w:val="GDP impacts"/>
        <w:tblDescription w:val="GDP impacts"/>
      </w:tblPr>
      <w:tblGrid>
        <w:gridCol w:w="1390"/>
        <w:gridCol w:w="1452"/>
        <w:gridCol w:w="1452"/>
        <w:gridCol w:w="1592"/>
        <w:gridCol w:w="1592"/>
        <w:gridCol w:w="1592"/>
      </w:tblGrid>
      <w:tr w:rsidR="00492135" w:rsidRPr="005F70E4" w14:paraId="1DD8DE7A" w14:textId="77777777" w:rsidTr="00FB0690">
        <w:trPr>
          <w:cnfStyle w:val="100000000000" w:firstRow="1" w:lastRow="0" w:firstColumn="0" w:lastColumn="0" w:oddVBand="0" w:evenVBand="0" w:oddHBand="0" w:evenHBand="0" w:firstRowFirstColumn="0" w:firstRowLastColumn="0" w:lastRowFirstColumn="0" w:lastRowLastColumn="0"/>
          <w:tblHeader/>
        </w:trPr>
        <w:tc>
          <w:tcPr>
            <w:tcW w:w="1390" w:type="dxa"/>
            <w:noWrap/>
            <w:hideMark/>
          </w:tcPr>
          <w:p w14:paraId="7C94BBF1" w14:textId="77777777" w:rsidR="00492135" w:rsidRPr="005F70E4" w:rsidRDefault="00492135" w:rsidP="00F22121">
            <w:pPr>
              <w:pStyle w:val="TableHeading"/>
              <w:rPr>
                <w:b/>
              </w:rPr>
            </w:pPr>
            <w:r w:rsidRPr="005F70E4">
              <w:rPr>
                <w:b/>
              </w:rPr>
              <w:t>Area</w:t>
            </w:r>
          </w:p>
        </w:tc>
        <w:tc>
          <w:tcPr>
            <w:tcW w:w="1452" w:type="dxa"/>
            <w:noWrap/>
            <w:hideMark/>
          </w:tcPr>
          <w:p w14:paraId="70FB10DF" w14:textId="77777777" w:rsidR="00492135" w:rsidRPr="005F70E4" w:rsidRDefault="00492135" w:rsidP="00F22121">
            <w:pPr>
              <w:pStyle w:val="TableHeading"/>
              <w:rPr>
                <w:b/>
              </w:rPr>
            </w:pPr>
            <w:r w:rsidRPr="005F70E4">
              <w:rPr>
                <w:b/>
              </w:rPr>
              <w:t>FY20</w:t>
            </w:r>
          </w:p>
        </w:tc>
        <w:tc>
          <w:tcPr>
            <w:tcW w:w="1452" w:type="dxa"/>
            <w:noWrap/>
            <w:hideMark/>
          </w:tcPr>
          <w:p w14:paraId="6AC332D2" w14:textId="77777777" w:rsidR="00492135" w:rsidRPr="005F70E4" w:rsidRDefault="00492135" w:rsidP="00F22121">
            <w:pPr>
              <w:pStyle w:val="TableHeading"/>
              <w:rPr>
                <w:b/>
              </w:rPr>
            </w:pPr>
            <w:r w:rsidRPr="005F70E4">
              <w:rPr>
                <w:b/>
              </w:rPr>
              <w:t>FY21</w:t>
            </w:r>
          </w:p>
        </w:tc>
        <w:tc>
          <w:tcPr>
            <w:tcW w:w="1592" w:type="dxa"/>
            <w:noWrap/>
            <w:hideMark/>
          </w:tcPr>
          <w:p w14:paraId="5D818D36" w14:textId="77777777" w:rsidR="00492135" w:rsidRPr="005F70E4" w:rsidRDefault="00492135" w:rsidP="00F22121">
            <w:pPr>
              <w:pStyle w:val="TableHeading"/>
              <w:rPr>
                <w:b/>
              </w:rPr>
            </w:pPr>
            <w:r w:rsidRPr="005F70E4">
              <w:rPr>
                <w:b/>
              </w:rPr>
              <w:t>FY22</w:t>
            </w:r>
          </w:p>
        </w:tc>
        <w:tc>
          <w:tcPr>
            <w:tcW w:w="1592" w:type="dxa"/>
            <w:noWrap/>
            <w:hideMark/>
          </w:tcPr>
          <w:p w14:paraId="4E13322C" w14:textId="77777777" w:rsidR="00492135" w:rsidRPr="005F70E4" w:rsidRDefault="00492135" w:rsidP="00F22121">
            <w:pPr>
              <w:pStyle w:val="TableHeading"/>
              <w:rPr>
                <w:b/>
              </w:rPr>
            </w:pPr>
            <w:r w:rsidRPr="005F70E4">
              <w:rPr>
                <w:b/>
              </w:rPr>
              <w:t>FY23</w:t>
            </w:r>
          </w:p>
        </w:tc>
        <w:tc>
          <w:tcPr>
            <w:tcW w:w="1592" w:type="dxa"/>
            <w:noWrap/>
            <w:hideMark/>
          </w:tcPr>
          <w:p w14:paraId="5178AEDB" w14:textId="77777777" w:rsidR="00492135" w:rsidRPr="005F70E4" w:rsidRDefault="00492135" w:rsidP="00F22121">
            <w:pPr>
              <w:pStyle w:val="TableHeading"/>
              <w:rPr>
                <w:b/>
              </w:rPr>
            </w:pPr>
            <w:r w:rsidRPr="005F70E4">
              <w:rPr>
                <w:b/>
              </w:rPr>
              <w:t>FY24</w:t>
            </w:r>
          </w:p>
        </w:tc>
      </w:tr>
      <w:tr w:rsidR="00492135" w:rsidRPr="005F70E4" w14:paraId="53E5CCC5" w14:textId="77777777" w:rsidTr="00F22121">
        <w:trPr>
          <w:cnfStyle w:val="000000100000" w:firstRow="0" w:lastRow="0" w:firstColumn="0" w:lastColumn="0" w:oddVBand="0" w:evenVBand="0" w:oddHBand="1" w:evenHBand="0" w:firstRowFirstColumn="0" w:firstRowLastColumn="0" w:lastRowFirstColumn="0" w:lastRowLastColumn="0"/>
        </w:trPr>
        <w:tc>
          <w:tcPr>
            <w:tcW w:w="1390" w:type="dxa"/>
            <w:noWrap/>
            <w:hideMark/>
          </w:tcPr>
          <w:p w14:paraId="23DBBCC6" w14:textId="77777777" w:rsidR="00492135" w:rsidRPr="005F70E4" w:rsidRDefault="00492135" w:rsidP="00F22121">
            <w:pPr>
              <w:pStyle w:val="TableText"/>
            </w:pPr>
            <w:r w:rsidRPr="005F70E4">
              <w:t>Urban</w:t>
            </w:r>
          </w:p>
        </w:tc>
        <w:tc>
          <w:tcPr>
            <w:tcW w:w="1452" w:type="dxa"/>
            <w:noWrap/>
            <w:vAlign w:val="top"/>
            <w:hideMark/>
          </w:tcPr>
          <w:p w14:paraId="3FE5B239" w14:textId="7C30FEA1" w:rsidR="00492135" w:rsidRPr="005F70E4" w:rsidRDefault="00492135" w:rsidP="00F22121">
            <w:pPr>
              <w:pStyle w:val="TableText"/>
            </w:pPr>
            <w:r w:rsidRPr="00A40454">
              <w:t>$0m</w:t>
            </w:r>
          </w:p>
        </w:tc>
        <w:tc>
          <w:tcPr>
            <w:tcW w:w="1452" w:type="dxa"/>
            <w:noWrap/>
            <w:vAlign w:val="top"/>
            <w:hideMark/>
          </w:tcPr>
          <w:p w14:paraId="69F31AAF" w14:textId="4416A37C" w:rsidR="00492135" w:rsidRPr="005F70E4" w:rsidRDefault="00492135" w:rsidP="00F22121">
            <w:pPr>
              <w:pStyle w:val="TableText"/>
            </w:pPr>
            <w:r w:rsidRPr="00A40454">
              <w:t>$257m</w:t>
            </w:r>
          </w:p>
        </w:tc>
        <w:tc>
          <w:tcPr>
            <w:tcW w:w="1592" w:type="dxa"/>
            <w:noWrap/>
            <w:vAlign w:val="top"/>
            <w:hideMark/>
          </w:tcPr>
          <w:p w14:paraId="2E538D95" w14:textId="730DC157" w:rsidR="00492135" w:rsidRPr="005F70E4" w:rsidRDefault="00492135" w:rsidP="00F22121">
            <w:pPr>
              <w:pStyle w:val="TableText"/>
            </w:pPr>
            <w:r w:rsidRPr="00A40454">
              <w:t>$1,365m</w:t>
            </w:r>
          </w:p>
        </w:tc>
        <w:tc>
          <w:tcPr>
            <w:tcW w:w="1592" w:type="dxa"/>
            <w:noWrap/>
            <w:vAlign w:val="top"/>
            <w:hideMark/>
          </w:tcPr>
          <w:p w14:paraId="566B5715" w14:textId="5E33AA75" w:rsidR="00492135" w:rsidRPr="005F70E4" w:rsidRDefault="00492135" w:rsidP="00F22121">
            <w:pPr>
              <w:pStyle w:val="TableText"/>
            </w:pPr>
            <w:r w:rsidRPr="00A40454">
              <w:t>$2,086m</w:t>
            </w:r>
          </w:p>
        </w:tc>
        <w:tc>
          <w:tcPr>
            <w:tcW w:w="1592" w:type="dxa"/>
            <w:noWrap/>
            <w:vAlign w:val="top"/>
            <w:hideMark/>
          </w:tcPr>
          <w:p w14:paraId="6EF8A52E" w14:textId="48D0837A" w:rsidR="00492135" w:rsidRPr="005F70E4" w:rsidRDefault="00492135" w:rsidP="00F22121">
            <w:pPr>
              <w:pStyle w:val="TableText"/>
            </w:pPr>
            <w:r w:rsidRPr="00A40454">
              <w:t>$3,238m</w:t>
            </w:r>
          </w:p>
        </w:tc>
      </w:tr>
      <w:tr w:rsidR="00492135" w:rsidRPr="005F70E4" w14:paraId="0BDB4393" w14:textId="77777777" w:rsidTr="00F22121">
        <w:trPr>
          <w:cnfStyle w:val="000000010000" w:firstRow="0" w:lastRow="0" w:firstColumn="0" w:lastColumn="0" w:oddVBand="0" w:evenVBand="0" w:oddHBand="0" w:evenHBand="1" w:firstRowFirstColumn="0" w:firstRowLastColumn="0" w:lastRowFirstColumn="0" w:lastRowLastColumn="0"/>
        </w:trPr>
        <w:tc>
          <w:tcPr>
            <w:tcW w:w="1390" w:type="dxa"/>
            <w:noWrap/>
            <w:hideMark/>
          </w:tcPr>
          <w:p w14:paraId="31ED9389" w14:textId="77777777" w:rsidR="00492135" w:rsidRPr="005F70E4" w:rsidRDefault="00492135" w:rsidP="00F22121">
            <w:pPr>
              <w:pStyle w:val="TableText"/>
            </w:pPr>
            <w:r w:rsidRPr="005F70E4">
              <w:t>Rural</w:t>
            </w:r>
          </w:p>
        </w:tc>
        <w:tc>
          <w:tcPr>
            <w:tcW w:w="1452" w:type="dxa"/>
            <w:noWrap/>
            <w:vAlign w:val="top"/>
            <w:hideMark/>
          </w:tcPr>
          <w:p w14:paraId="0241ACD0" w14:textId="7EA5712D" w:rsidR="00492135" w:rsidRPr="005F70E4" w:rsidRDefault="00492135" w:rsidP="00F22121">
            <w:pPr>
              <w:pStyle w:val="TableText"/>
            </w:pPr>
            <w:r w:rsidRPr="00A40454">
              <w:t>$0m</w:t>
            </w:r>
          </w:p>
        </w:tc>
        <w:tc>
          <w:tcPr>
            <w:tcW w:w="1452" w:type="dxa"/>
            <w:noWrap/>
            <w:vAlign w:val="top"/>
            <w:hideMark/>
          </w:tcPr>
          <w:p w14:paraId="2C8F6A53" w14:textId="338AAB35" w:rsidR="00492135" w:rsidRPr="005F70E4" w:rsidRDefault="00492135" w:rsidP="00F22121">
            <w:pPr>
              <w:pStyle w:val="TableText"/>
            </w:pPr>
            <w:r w:rsidRPr="00A40454">
              <w:t>$98m</w:t>
            </w:r>
          </w:p>
        </w:tc>
        <w:tc>
          <w:tcPr>
            <w:tcW w:w="1592" w:type="dxa"/>
            <w:noWrap/>
            <w:vAlign w:val="top"/>
            <w:hideMark/>
          </w:tcPr>
          <w:p w14:paraId="14EEC5ED" w14:textId="71BF0F6D" w:rsidR="00492135" w:rsidRPr="005F70E4" w:rsidRDefault="00492135" w:rsidP="00F22121">
            <w:pPr>
              <w:pStyle w:val="TableText"/>
            </w:pPr>
            <w:r w:rsidRPr="00A40454">
              <w:t>$522m</w:t>
            </w:r>
          </w:p>
        </w:tc>
        <w:tc>
          <w:tcPr>
            <w:tcW w:w="1592" w:type="dxa"/>
            <w:noWrap/>
            <w:vAlign w:val="top"/>
            <w:hideMark/>
          </w:tcPr>
          <w:p w14:paraId="272BE26D" w14:textId="7F1F4023" w:rsidR="00492135" w:rsidRPr="005F70E4" w:rsidRDefault="00492135" w:rsidP="00F22121">
            <w:pPr>
              <w:pStyle w:val="TableText"/>
            </w:pPr>
            <w:r w:rsidRPr="00A40454">
              <w:t>$797m</w:t>
            </w:r>
          </w:p>
        </w:tc>
        <w:tc>
          <w:tcPr>
            <w:tcW w:w="1592" w:type="dxa"/>
            <w:noWrap/>
            <w:vAlign w:val="top"/>
            <w:hideMark/>
          </w:tcPr>
          <w:p w14:paraId="599A3475" w14:textId="0250CC7F" w:rsidR="00492135" w:rsidRPr="005F70E4" w:rsidRDefault="00492135" w:rsidP="00F22121">
            <w:pPr>
              <w:pStyle w:val="TableText"/>
            </w:pPr>
            <w:r w:rsidRPr="00A40454">
              <w:t>$1,237m</w:t>
            </w:r>
          </w:p>
        </w:tc>
      </w:tr>
      <w:tr w:rsidR="00492135" w:rsidRPr="005F70E4" w14:paraId="6A15E8AE" w14:textId="77777777" w:rsidTr="00F22121">
        <w:trPr>
          <w:cnfStyle w:val="000000100000" w:firstRow="0" w:lastRow="0" w:firstColumn="0" w:lastColumn="0" w:oddVBand="0" w:evenVBand="0" w:oddHBand="1" w:evenHBand="0" w:firstRowFirstColumn="0" w:firstRowLastColumn="0" w:lastRowFirstColumn="0" w:lastRowLastColumn="0"/>
        </w:trPr>
        <w:tc>
          <w:tcPr>
            <w:tcW w:w="1390" w:type="dxa"/>
            <w:noWrap/>
            <w:hideMark/>
          </w:tcPr>
          <w:p w14:paraId="75BC146C" w14:textId="77777777" w:rsidR="00492135" w:rsidRPr="005F70E4" w:rsidRDefault="00492135" w:rsidP="00F22121">
            <w:pPr>
              <w:pStyle w:val="TableText"/>
            </w:pPr>
            <w:r w:rsidRPr="005F70E4">
              <w:t>Total</w:t>
            </w:r>
          </w:p>
        </w:tc>
        <w:tc>
          <w:tcPr>
            <w:tcW w:w="1452" w:type="dxa"/>
            <w:noWrap/>
            <w:vAlign w:val="top"/>
            <w:hideMark/>
          </w:tcPr>
          <w:p w14:paraId="4B687203" w14:textId="2BF3D3F2" w:rsidR="00492135" w:rsidRPr="005F70E4" w:rsidRDefault="00492135" w:rsidP="00F22121">
            <w:pPr>
              <w:pStyle w:val="TableText"/>
            </w:pPr>
            <w:r w:rsidRPr="00A40454">
              <w:t>$0m</w:t>
            </w:r>
          </w:p>
        </w:tc>
        <w:tc>
          <w:tcPr>
            <w:tcW w:w="1452" w:type="dxa"/>
            <w:noWrap/>
            <w:vAlign w:val="top"/>
            <w:hideMark/>
          </w:tcPr>
          <w:p w14:paraId="00EAC3D2" w14:textId="69D6DDF4" w:rsidR="00492135" w:rsidRPr="005F70E4" w:rsidRDefault="00492135" w:rsidP="00F22121">
            <w:pPr>
              <w:pStyle w:val="TableText"/>
            </w:pPr>
            <w:r w:rsidRPr="00A40454">
              <w:t>$355m</w:t>
            </w:r>
          </w:p>
        </w:tc>
        <w:tc>
          <w:tcPr>
            <w:tcW w:w="1592" w:type="dxa"/>
            <w:noWrap/>
            <w:vAlign w:val="top"/>
            <w:hideMark/>
          </w:tcPr>
          <w:p w14:paraId="496703E3" w14:textId="49BFCD4C" w:rsidR="00492135" w:rsidRPr="005F70E4" w:rsidRDefault="00492135" w:rsidP="00F22121">
            <w:pPr>
              <w:pStyle w:val="TableText"/>
            </w:pPr>
            <w:r w:rsidRPr="00A40454">
              <w:t>$1,887m</w:t>
            </w:r>
          </w:p>
        </w:tc>
        <w:tc>
          <w:tcPr>
            <w:tcW w:w="1592" w:type="dxa"/>
            <w:noWrap/>
            <w:vAlign w:val="top"/>
            <w:hideMark/>
          </w:tcPr>
          <w:p w14:paraId="100D08F1" w14:textId="6CEC85A9" w:rsidR="00492135" w:rsidRPr="005F70E4" w:rsidRDefault="00492135" w:rsidP="00F22121">
            <w:pPr>
              <w:pStyle w:val="TableText"/>
            </w:pPr>
            <w:r w:rsidRPr="00A40454">
              <w:t>$2,883m</w:t>
            </w:r>
          </w:p>
        </w:tc>
        <w:tc>
          <w:tcPr>
            <w:tcW w:w="1592" w:type="dxa"/>
            <w:noWrap/>
            <w:vAlign w:val="top"/>
            <w:hideMark/>
          </w:tcPr>
          <w:p w14:paraId="5F1CAC96" w14:textId="70C1CA33" w:rsidR="00492135" w:rsidRPr="005F70E4" w:rsidRDefault="00492135" w:rsidP="00F22121">
            <w:pPr>
              <w:pStyle w:val="TableText"/>
            </w:pPr>
            <w:r w:rsidRPr="00A40454">
              <w:t>$4,476m</w:t>
            </w:r>
          </w:p>
        </w:tc>
      </w:tr>
    </w:tbl>
    <w:p w14:paraId="658C5485" w14:textId="77777777" w:rsidR="00492135" w:rsidRPr="00885B0A" w:rsidRDefault="00492135" w:rsidP="00FB0690">
      <w:pPr>
        <w:pStyle w:val="Source"/>
      </w:pPr>
      <w:r w:rsidRPr="00885B0A">
        <w:t xml:space="preserve">Source: </w:t>
      </w:r>
      <w:r>
        <w:t xml:space="preserve">Frontier Economics of ABS data, Consensus Economics data and </w:t>
      </w:r>
      <w:proofErr w:type="spellStart"/>
      <w:r>
        <w:t>Briglauer</w:t>
      </w:r>
      <w:proofErr w:type="spellEnd"/>
      <w:r>
        <w:t xml:space="preserve"> (2021)</w:t>
      </w:r>
    </w:p>
    <w:p w14:paraId="53934F14" w14:textId="2E89EBF1" w:rsidR="00492135" w:rsidRDefault="00443DFD" w:rsidP="00492135">
      <w:pPr>
        <w:pStyle w:val="BodyText"/>
      </w:pPr>
      <w:r>
        <w:lastRenderedPageBreak/>
        <w:t xml:space="preserve">To accommodate uncertainty in the </w:t>
      </w:r>
      <w:proofErr w:type="spellStart"/>
      <w:r w:rsidR="004443CD">
        <w:t>Briglauer</w:t>
      </w:r>
      <w:proofErr w:type="spellEnd"/>
      <w:r w:rsidR="004443CD">
        <w:t xml:space="preserve"> results, we produce </w:t>
      </w:r>
      <w:r w:rsidR="00492135">
        <w:t>bounds on the impact</w:t>
      </w:r>
      <w:r w:rsidR="004443CD">
        <w:t xml:space="preserve"> by using</w:t>
      </w:r>
      <w:r w:rsidR="00492135">
        <w:t xml:space="preserve"> estimates one standard error below and above the central estimate. This approach yields impacts as in </w:t>
      </w:r>
      <w:r w:rsidR="00492135">
        <w:fldChar w:fldCharType="begin"/>
      </w:r>
      <w:r w:rsidR="00492135">
        <w:instrText xml:space="preserve"> REF _Ref75348254 \h </w:instrText>
      </w:r>
      <w:r w:rsidR="00492135">
        <w:fldChar w:fldCharType="separate"/>
      </w:r>
      <w:r w:rsidR="00DD5715" w:rsidRPr="00603BC1">
        <w:rPr>
          <w:rStyle w:val="Bold"/>
        </w:rPr>
        <w:t xml:space="preserve">Table </w:t>
      </w:r>
      <w:r w:rsidR="00DD5715">
        <w:rPr>
          <w:rStyle w:val="Bold"/>
          <w:noProof/>
        </w:rPr>
        <w:t>9</w:t>
      </w:r>
      <w:r w:rsidR="00492135">
        <w:fldChar w:fldCharType="end"/>
      </w:r>
      <w:r w:rsidR="00492135">
        <w:t>.</w:t>
      </w:r>
    </w:p>
    <w:p w14:paraId="554D8729" w14:textId="5C83DD10" w:rsidR="00492135" w:rsidRDefault="00492135" w:rsidP="00492135">
      <w:pPr>
        <w:pStyle w:val="Caption"/>
      </w:pPr>
      <w:bookmarkStart w:id="77" w:name="_Ref75348254"/>
      <w:bookmarkStart w:id="78" w:name="_Toc79585057"/>
      <w:r w:rsidRPr="00603BC1">
        <w:rPr>
          <w:rStyle w:val="Bold"/>
        </w:rPr>
        <w:t xml:space="preserve">Table </w:t>
      </w:r>
      <w:r w:rsidRPr="00603BC1">
        <w:rPr>
          <w:rStyle w:val="Bold"/>
        </w:rPr>
        <w:fldChar w:fldCharType="begin"/>
      </w:r>
      <w:r w:rsidRPr="00603BC1">
        <w:rPr>
          <w:rStyle w:val="Bold"/>
        </w:rPr>
        <w:instrText xml:space="preserve"> SEQ Table \* ARABIC </w:instrText>
      </w:r>
      <w:r w:rsidRPr="00603BC1">
        <w:rPr>
          <w:rStyle w:val="Bold"/>
        </w:rPr>
        <w:fldChar w:fldCharType="separate"/>
      </w:r>
      <w:r w:rsidR="00DD5715">
        <w:rPr>
          <w:rStyle w:val="Bold"/>
          <w:noProof/>
        </w:rPr>
        <w:t>9</w:t>
      </w:r>
      <w:r w:rsidRPr="00603BC1">
        <w:rPr>
          <w:rStyle w:val="Bold"/>
        </w:rPr>
        <w:fldChar w:fldCharType="end"/>
      </w:r>
      <w:bookmarkEnd w:id="77"/>
      <w:r w:rsidRPr="00603BC1">
        <w:rPr>
          <w:rStyle w:val="Bold"/>
        </w:rPr>
        <w:t>:</w:t>
      </w:r>
      <w:r>
        <w:t xml:space="preserve"> Low</w:t>
      </w:r>
      <w:r w:rsidR="00A04E68">
        <w:t xml:space="preserve">, central </w:t>
      </w:r>
      <w:r>
        <w:t>and high estimates</w:t>
      </w:r>
      <w:bookmarkEnd w:id="78"/>
    </w:p>
    <w:tbl>
      <w:tblPr>
        <w:tblStyle w:val="FETableStyle"/>
        <w:tblW w:w="5000" w:type="pct"/>
        <w:tblLayout w:type="fixed"/>
        <w:tblLook w:val="0420" w:firstRow="1" w:lastRow="0" w:firstColumn="0" w:lastColumn="0" w:noHBand="0" w:noVBand="1"/>
        <w:tblCaption w:val="Low, central and high estimates"/>
        <w:tblDescription w:val="Low, central and high estimates"/>
      </w:tblPr>
      <w:tblGrid>
        <w:gridCol w:w="940"/>
        <w:gridCol w:w="2710"/>
        <w:gridCol w:w="2710"/>
        <w:gridCol w:w="2710"/>
      </w:tblGrid>
      <w:tr w:rsidR="001E6C0A" w:rsidRPr="001E6C0A" w14:paraId="34073E40" w14:textId="77777777" w:rsidTr="006F1A3F">
        <w:trPr>
          <w:cnfStyle w:val="100000000000" w:firstRow="1" w:lastRow="0" w:firstColumn="0" w:lastColumn="0" w:oddVBand="0" w:evenVBand="0" w:oddHBand="0" w:evenHBand="0" w:firstRowFirstColumn="0" w:firstRowLastColumn="0" w:lastRowFirstColumn="0" w:lastRowLastColumn="0"/>
          <w:tblHeader/>
        </w:trPr>
        <w:tc>
          <w:tcPr>
            <w:tcW w:w="940" w:type="dxa"/>
            <w:noWrap/>
            <w:hideMark/>
          </w:tcPr>
          <w:p w14:paraId="1A470205" w14:textId="77777777" w:rsidR="00686A4D" w:rsidRPr="00322939" w:rsidRDefault="00686A4D" w:rsidP="00A04E68">
            <w:pPr>
              <w:pStyle w:val="TableHeading"/>
              <w:jc w:val="center"/>
              <w:rPr>
                <w:b/>
              </w:rPr>
            </w:pPr>
            <w:r w:rsidRPr="00322939">
              <w:rPr>
                <w:b/>
              </w:rPr>
              <w:t>Area</w:t>
            </w:r>
          </w:p>
        </w:tc>
        <w:tc>
          <w:tcPr>
            <w:tcW w:w="2710" w:type="dxa"/>
            <w:noWrap/>
            <w:hideMark/>
          </w:tcPr>
          <w:p w14:paraId="3125304A" w14:textId="77777777" w:rsidR="00686A4D" w:rsidRPr="00322939" w:rsidRDefault="00686A4D" w:rsidP="00A04E68">
            <w:pPr>
              <w:pStyle w:val="TableHeading"/>
              <w:jc w:val="center"/>
              <w:rPr>
                <w:b/>
              </w:rPr>
            </w:pPr>
            <w:r w:rsidRPr="00322939">
              <w:rPr>
                <w:b/>
              </w:rPr>
              <w:t xml:space="preserve">Low – impact of </w:t>
            </w:r>
            <w:r w:rsidR="00A04E68">
              <w:rPr>
                <w:b/>
              </w:rPr>
              <w:t xml:space="preserve">speed </w:t>
            </w:r>
            <w:r w:rsidRPr="00322939">
              <w:rPr>
                <w:b/>
              </w:rPr>
              <w:t>increase</w:t>
            </w:r>
          </w:p>
        </w:tc>
        <w:tc>
          <w:tcPr>
            <w:tcW w:w="2710" w:type="dxa"/>
          </w:tcPr>
          <w:p w14:paraId="7ABA62BE" w14:textId="77777777" w:rsidR="00686A4D" w:rsidRPr="00322939" w:rsidRDefault="00686A4D" w:rsidP="00A04E68">
            <w:pPr>
              <w:pStyle w:val="TableHeading"/>
              <w:jc w:val="center"/>
              <w:rPr>
                <w:b/>
              </w:rPr>
            </w:pPr>
            <w:r w:rsidRPr="00322939">
              <w:rPr>
                <w:b/>
              </w:rPr>
              <w:t>Central</w:t>
            </w:r>
          </w:p>
        </w:tc>
        <w:tc>
          <w:tcPr>
            <w:tcW w:w="2710" w:type="dxa"/>
            <w:noWrap/>
            <w:hideMark/>
          </w:tcPr>
          <w:p w14:paraId="5B6B0763" w14:textId="77777777" w:rsidR="00686A4D" w:rsidRPr="00322939" w:rsidRDefault="00686A4D" w:rsidP="00A04E68">
            <w:pPr>
              <w:pStyle w:val="TableHeading"/>
              <w:jc w:val="center"/>
              <w:rPr>
                <w:b/>
              </w:rPr>
            </w:pPr>
            <w:r w:rsidRPr="00322939">
              <w:rPr>
                <w:b/>
              </w:rPr>
              <w:t>High</w:t>
            </w:r>
          </w:p>
        </w:tc>
      </w:tr>
      <w:tr w:rsidR="00686A4D" w:rsidRPr="001E6C0A" w14:paraId="1FA0B36A" w14:textId="77777777" w:rsidTr="00322939">
        <w:trPr>
          <w:cnfStyle w:val="000000100000" w:firstRow="0" w:lastRow="0" w:firstColumn="0" w:lastColumn="0" w:oddVBand="0" w:evenVBand="0" w:oddHBand="1" w:evenHBand="0" w:firstRowFirstColumn="0" w:firstRowLastColumn="0" w:lastRowFirstColumn="0" w:lastRowLastColumn="0"/>
        </w:trPr>
        <w:tc>
          <w:tcPr>
            <w:tcW w:w="940" w:type="dxa"/>
            <w:noWrap/>
            <w:hideMark/>
          </w:tcPr>
          <w:p w14:paraId="14EBFC90" w14:textId="77777777" w:rsidR="00686A4D" w:rsidRPr="001E6C0A" w:rsidRDefault="00686A4D" w:rsidP="00A04E68">
            <w:pPr>
              <w:pStyle w:val="TableText"/>
              <w:jc w:val="center"/>
            </w:pPr>
            <w:r w:rsidRPr="001E6C0A">
              <w:t>Rural / Urban</w:t>
            </w:r>
          </w:p>
        </w:tc>
        <w:tc>
          <w:tcPr>
            <w:tcW w:w="2710" w:type="dxa"/>
            <w:noWrap/>
            <w:hideMark/>
          </w:tcPr>
          <w:p w14:paraId="3C44D596" w14:textId="77777777" w:rsidR="00686A4D" w:rsidRPr="001E6C0A" w:rsidRDefault="00686A4D" w:rsidP="00A04E68">
            <w:pPr>
              <w:pStyle w:val="TableText"/>
              <w:jc w:val="center"/>
            </w:pPr>
            <w:r w:rsidRPr="001E6C0A">
              <w:t>0.10%</w:t>
            </w:r>
          </w:p>
        </w:tc>
        <w:tc>
          <w:tcPr>
            <w:tcW w:w="2710" w:type="dxa"/>
          </w:tcPr>
          <w:p w14:paraId="37C2BAF4" w14:textId="77777777" w:rsidR="00686A4D" w:rsidRPr="001E6C0A" w:rsidRDefault="00686A4D" w:rsidP="00A04E68">
            <w:pPr>
              <w:pStyle w:val="TableText"/>
              <w:jc w:val="center"/>
            </w:pPr>
            <w:r w:rsidRPr="001E6C0A">
              <w:t>0.2</w:t>
            </w:r>
            <w:r w:rsidR="00C22888" w:rsidRPr="001E6C0A">
              <w:t>4</w:t>
            </w:r>
            <w:r w:rsidRPr="001E6C0A">
              <w:t>%</w:t>
            </w:r>
          </w:p>
        </w:tc>
        <w:tc>
          <w:tcPr>
            <w:tcW w:w="2710" w:type="dxa"/>
            <w:noWrap/>
            <w:hideMark/>
          </w:tcPr>
          <w:p w14:paraId="448AE5DA" w14:textId="77777777" w:rsidR="00686A4D" w:rsidRPr="001E6C0A" w:rsidRDefault="00686A4D" w:rsidP="00A04E68">
            <w:pPr>
              <w:pStyle w:val="TableText"/>
              <w:jc w:val="center"/>
            </w:pPr>
            <w:r w:rsidRPr="001E6C0A">
              <w:t>0.39%</w:t>
            </w:r>
          </w:p>
        </w:tc>
      </w:tr>
    </w:tbl>
    <w:p w14:paraId="730FAD77" w14:textId="77777777" w:rsidR="00492135" w:rsidRPr="00885B0A" w:rsidRDefault="00492135" w:rsidP="00FB0690">
      <w:pPr>
        <w:pStyle w:val="Source"/>
      </w:pPr>
      <w:r w:rsidRPr="00885B0A">
        <w:t xml:space="preserve">Source: </w:t>
      </w:r>
      <w:r>
        <w:t>Frontier Economics</w:t>
      </w:r>
    </w:p>
    <w:p w14:paraId="3B7EA4C5" w14:textId="39F842E2" w:rsidR="00492135" w:rsidRDefault="00492135" w:rsidP="00492135">
      <w:pPr>
        <w:pStyle w:val="BodyText"/>
      </w:pPr>
      <w:r>
        <w:t>Applying these impacts yields estimates ranging from $1.8</w:t>
      </w:r>
      <w:r w:rsidR="002E618E">
        <w:t>bn</w:t>
      </w:r>
      <w:r>
        <w:t xml:space="preserve"> to $7.2</w:t>
      </w:r>
      <w:r w:rsidR="002E618E">
        <w:t>bn</w:t>
      </w:r>
      <w:r>
        <w:t xml:space="preserve"> in FY2024, as shown in </w:t>
      </w:r>
      <w:r>
        <w:fldChar w:fldCharType="begin"/>
      </w:r>
      <w:r>
        <w:instrText xml:space="preserve"> REF _Ref75348823 \h </w:instrText>
      </w:r>
      <w:r>
        <w:fldChar w:fldCharType="separate"/>
      </w:r>
      <w:r w:rsidR="00DD5715" w:rsidRPr="007C5D2E">
        <w:rPr>
          <w:rStyle w:val="Bold"/>
        </w:rPr>
        <w:t xml:space="preserve">Figure </w:t>
      </w:r>
      <w:r w:rsidR="00DD5715">
        <w:rPr>
          <w:rStyle w:val="Bold"/>
          <w:noProof/>
        </w:rPr>
        <w:t>10</w:t>
      </w:r>
      <w:r>
        <w:fldChar w:fldCharType="end"/>
      </w:r>
      <w:r>
        <w:t>.</w:t>
      </w:r>
    </w:p>
    <w:p w14:paraId="0483DAD5" w14:textId="5A4E4003" w:rsidR="00492135" w:rsidRDefault="00492135" w:rsidP="00492135">
      <w:pPr>
        <w:pStyle w:val="Caption"/>
      </w:pPr>
      <w:bookmarkStart w:id="79" w:name="_Ref75348823"/>
      <w:bookmarkStart w:id="80" w:name="_Toc79585071"/>
      <w:r w:rsidRPr="007C5D2E">
        <w:rPr>
          <w:rStyle w:val="Bold"/>
        </w:rPr>
        <w:t xml:space="preserve">Figure </w:t>
      </w:r>
      <w:r w:rsidRPr="007C5D2E">
        <w:rPr>
          <w:rStyle w:val="Bold"/>
        </w:rPr>
        <w:fldChar w:fldCharType="begin"/>
      </w:r>
      <w:r w:rsidRPr="007C5D2E">
        <w:rPr>
          <w:rStyle w:val="Bold"/>
        </w:rPr>
        <w:instrText xml:space="preserve"> SEQ Figure \* ARABIC </w:instrText>
      </w:r>
      <w:r w:rsidRPr="007C5D2E">
        <w:rPr>
          <w:rStyle w:val="Bold"/>
        </w:rPr>
        <w:fldChar w:fldCharType="separate"/>
      </w:r>
      <w:r w:rsidR="00DD5715">
        <w:rPr>
          <w:rStyle w:val="Bold"/>
          <w:noProof/>
        </w:rPr>
        <w:t>10</w:t>
      </w:r>
      <w:r w:rsidRPr="007C5D2E">
        <w:rPr>
          <w:rStyle w:val="Bold"/>
        </w:rPr>
        <w:fldChar w:fldCharType="end"/>
      </w:r>
      <w:bookmarkEnd w:id="79"/>
      <w:r w:rsidRPr="00BE496A">
        <w:t xml:space="preserve">: </w:t>
      </w:r>
      <w:r>
        <w:t>Impact on Australian GDP</w:t>
      </w:r>
      <w:bookmarkEnd w:id="80"/>
    </w:p>
    <w:p w14:paraId="516ED8DF" w14:textId="4DDF04E6" w:rsidR="00492135" w:rsidRDefault="00382C82" w:rsidP="00492135">
      <w:pPr>
        <w:pStyle w:val="Image-Page1fullwidth"/>
        <w:keepNext/>
        <w:framePr w:w="0" w:hSpace="0" w:wrap="auto" w:vAnchor="margin" w:yAlign="inline"/>
        <w:spacing w:after="0" w:line="240" w:lineRule="auto"/>
      </w:pPr>
      <w:r>
        <w:rPr>
          <w:lang w:eastAsia="en-AU"/>
        </w:rPr>
        <w:drawing>
          <wp:inline distT="0" distB="0" distL="0" distR="0" wp14:anchorId="14E6ABD2" wp14:editId="406FE390">
            <wp:extent cx="5444490" cy="2828925"/>
            <wp:effectExtent l="0" t="0" r="3810" b="9525"/>
            <wp:docPr id="58" name="Picture 58" descr="This figure charts the impact on Australian GDP of NBN Co’s business initiatives over the period financial year 2020 to financial year to financial year 2024. Each scenario - high, central and low - start at $0 billion of impact in financial year 2020. By financial year 2024, the high scenario forecasts a GDP impact of $7.2 billion, the central scenario forecasts a GDP impact of $4.5 billion, and the low scenario forecasts a GDP of $1.8 billl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This figure charts the impact on Australian GDP of NBN Co’s business initiatives over the period financial year 2020 to financial year to financial year 2024. Each scenario - high, central and low - start at $0 billion of impact in financial year 2020. By financial year 2024, the high scenario forecasts a GDP impact of $7.2 billion, the central scenario forecasts a GDP impact of $4.5 billion, and the low scenario forecasts a GDP of $1.8 billlion."/>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444490" cy="2828925"/>
                    </a:xfrm>
                    <a:prstGeom prst="rect">
                      <a:avLst/>
                    </a:prstGeom>
                    <a:noFill/>
                  </pic:spPr>
                </pic:pic>
              </a:graphicData>
            </a:graphic>
          </wp:inline>
        </w:drawing>
      </w:r>
    </w:p>
    <w:p w14:paraId="2482C565" w14:textId="77777777" w:rsidR="00492135" w:rsidRPr="003335D6" w:rsidRDefault="00492135" w:rsidP="003335D6">
      <w:pPr>
        <w:pStyle w:val="Source"/>
      </w:pPr>
      <w:r w:rsidRPr="003335D6">
        <w:t xml:space="preserve">Source: Frontier Economics of ABS data, Consensus Economics data and </w:t>
      </w:r>
      <w:proofErr w:type="spellStart"/>
      <w:r w:rsidRPr="003335D6">
        <w:t>Briglauer</w:t>
      </w:r>
      <w:proofErr w:type="spellEnd"/>
      <w:r w:rsidRPr="003335D6">
        <w:t xml:space="preserve"> (2021)</w:t>
      </w:r>
    </w:p>
    <w:p w14:paraId="47DB7A20" w14:textId="1B66F2C7" w:rsidR="00492135" w:rsidRDefault="008B0C63">
      <w:pPr>
        <w:pStyle w:val="BodyText"/>
      </w:pPr>
      <w:r>
        <w:t>There is also some uncertainty regarding the</w:t>
      </w:r>
      <w:r w:rsidR="00492135">
        <w:t xml:space="preserve"> actual impact of the initiative on speed increases. In particular, the adoption of</w:t>
      </w:r>
      <w:r w:rsidR="00060220">
        <w:t xml:space="preserve"> new</w:t>
      </w:r>
      <w:r w:rsidR="00492135">
        <w:t xml:space="preserve"> </w:t>
      </w:r>
      <w:r w:rsidR="00695BF9">
        <w:t xml:space="preserve">Enterprise Ethernet </w:t>
      </w:r>
      <w:r w:rsidR="00060220">
        <w:t xml:space="preserve">services </w:t>
      </w:r>
      <w:r w:rsidR="00492135">
        <w:t>is responsible for almost all of the speed increases</w:t>
      </w:r>
      <w:r w:rsidR="002F6F20">
        <w:t xml:space="preserve">. </w:t>
      </w:r>
      <w:r w:rsidR="00492135">
        <w:t xml:space="preserve">It is plausible that some of the additional </w:t>
      </w:r>
      <w:r w:rsidR="007525FF">
        <w:t xml:space="preserve">Enterprise Ethernet </w:t>
      </w:r>
      <w:r w:rsidR="00492135">
        <w:t>connections would have been served</w:t>
      </w:r>
      <w:r w:rsidR="00D57318">
        <w:t xml:space="preserve"> by other fibre suppliers. The results we report largely scale with alternative estimates; for example,</w:t>
      </w:r>
      <w:r w:rsidR="00492135">
        <w:t xml:space="preserve"> </w:t>
      </w:r>
      <w:r w:rsidR="00D57318">
        <w:t>i</w:t>
      </w:r>
      <w:r w:rsidR="00492135">
        <w:t xml:space="preserve">f additional connections would be served in the counterfactual </w:t>
      </w:r>
      <w:r w:rsidR="00060220">
        <w:t xml:space="preserve">by other suppliers </w:t>
      </w:r>
      <w:r w:rsidR="00492135">
        <w:t>(</w:t>
      </w:r>
      <w:r w:rsidR="00060220">
        <w:t xml:space="preserve">and </w:t>
      </w:r>
      <w:r w:rsidR="00492135">
        <w:t xml:space="preserve">retaining the same speeds for </w:t>
      </w:r>
      <w:r w:rsidR="004B03CD">
        <w:t>Enterprise Ethernet</w:t>
      </w:r>
      <w:r w:rsidR="00492135">
        <w:t xml:space="preserve"> connections) the benefits as in </w:t>
      </w:r>
      <w:r w:rsidR="00492135">
        <w:fldChar w:fldCharType="begin"/>
      </w:r>
      <w:r w:rsidR="00492135">
        <w:instrText xml:space="preserve"> REF _Ref75348588 \h </w:instrText>
      </w:r>
      <w:r w:rsidR="00492135">
        <w:fldChar w:fldCharType="separate"/>
      </w:r>
      <w:r w:rsidR="00DD5715" w:rsidRPr="00603BC1">
        <w:rPr>
          <w:rStyle w:val="Bold"/>
        </w:rPr>
        <w:t xml:space="preserve">Table </w:t>
      </w:r>
      <w:r w:rsidR="00DD5715">
        <w:rPr>
          <w:rStyle w:val="Bold"/>
          <w:noProof/>
        </w:rPr>
        <w:t>8</w:t>
      </w:r>
      <w:r w:rsidR="00492135">
        <w:fldChar w:fldCharType="end"/>
      </w:r>
      <w:r w:rsidR="00492135">
        <w:t xml:space="preserve"> </w:t>
      </w:r>
      <w:r w:rsidR="007C505F">
        <w:t>would be reduced</w:t>
      </w:r>
      <w:r w:rsidR="00492135">
        <w:t>.</w:t>
      </w:r>
    </w:p>
    <w:p w14:paraId="49E8ED93" w14:textId="77777777" w:rsidR="009F3570" w:rsidRPr="00885B0A" w:rsidRDefault="009F3570" w:rsidP="002E1A1F">
      <w:pPr>
        <w:spacing w:after="320"/>
        <w:rPr>
          <w:color w:val="9BA1A5"/>
        </w:rPr>
      </w:pPr>
    </w:p>
    <w:p w14:paraId="363A36A3" w14:textId="77777777" w:rsidR="00915579" w:rsidRDefault="00915579">
      <w:pPr>
        <w:spacing w:before="0" w:after="0" w:line="240" w:lineRule="auto"/>
        <w:jc w:val="left"/>
        <w:rPr>
          <w:rFonts w:ascii="Open Sans SemiBold" w:hAnsi="Open Sans SemiBold"/>
          <w:color w:val="207BA1" w:themeColor="accent2"/>
          <w:sz w:val="28"/>
        </w:rPr>
      </w:pPr>
      <w:bookmarkStart w:id="81" w:name="_Toc74574313"/>
      <w:r>
        <w:br w:type="page"/>
      </w:r>
    </w:p>
    <w:p w14:paraId="07EEF2FA" w14:textId="0EBAFAF5" w:rsidR="004C6CD6" w:rsidRDefault="004C6CD6" w:rsidP="000C63D0">
      <w:pPr>
        <w:pStyle w:val="Heading3"/>
      </w:pPr>
      <w:bookmarkStart w:id="82" w:name="_Toc79671812"/>
      <w:r>
        <w:lastRenderedPageBreak/>
        <w:t>Benefits for firm productivity</w:t>
      </w:r>
      <w:bookmarkEnd w:id="81"/>
      <w:bookmarkEnd w:id="82"/>
    </w:p>
    <w:p w14:paraId="74EC1ABD" w14:textId="77777777" w:rsidR="004C6CD6" w:rsidRDefault="004C6CD6" w:rsidP="00915579">
      <w:pPr>
        <w:pStyle w:val="Heading4"/>
      </w:pPr>
      <w:r>
        <w:t>Methodological approach</w:t>
      </w:r>
    </w:p>
    <w:p w14:paraId="20CAAE29" w14:textId="77777777" w:rsidR="00377EFC" w:rsidRDefault="00377EFC" w:rsidP="004C6CD6">
      <w:pPr>
        <w:pStyle w:val="BodyText"/>
      </w:pPr>
      <w:r>
        <w:t xml:space="preserve">A second type of approach to </w:t>
      </w:r>
      <w:r w:rsidR="00C530B0">
        <w:t xml:space="preserve">estimation of </w:t>
      </w:r>
      <w:r>
        <w:t xml:space="preserve">economic benefits is to directly examine the likely gains in </w:t>
      </w:r>
      <w:r w:rsidR="00C530B0">
        <w:t xml:space="preserve">firm </w:t>
      </w:r>
      <w:r>
        <w:t xml:space="preserve">productivity from </w:t>
      </w:r>
      <w:r w:rsidR="0015608C">
        <w:t xml:space="preserve">better broadband. As identified in the literature review, there are a range of </w:t>
      </w:r>
      <w:r w:rsidR="00C530B0">
        <w:t xml:space="preserve">‘micro’ </w:t>
      </w:r>
      <w:r w:rsidR="0015608C">
        <w:t xml:space="preserve">empirical studies that examine causal relationships between broadband availability and adoption and </w:t>
      </w:r>
      <w:r w:rsidR="00B85C0B">
        <w:t xml:space="preserve">changes in firm </w:t>
      </w:r>
      <w:proofErr w:type="gramStart"/>
      <w:r w:rsidR="00B85C0B">
        <w:t>productivity, where that</w:t>
      </w:r>
      <w:proofErr w:type="gramEnd"/>
      <w:r w:rsidR="00B85C0B">
        <w:t xml:space="preserve"> is commonly measured as multi-factor productivity.</w:t>
      </w:r>
      <w:r w:rsidR="00F9459B">
        <w:rPr>
          <w:rStyle w:val="FootnoteReference"/>
        </w:rPr>
        <w:footnoteReference w:id="23"/>
      </w:r>
    </w:p>
    <w:p w14:paraId="1A882B25" w14:textId="77777777" w:rsidR="004C6CD6" w:rsidRPr="00272F6D" w:rsidRDefault="00F64059" w:rsidP="004C6CD6">
      <w:pPr>
        <w:pStyle w:val="BodyText"/>
      </w:pPr>
      <w:r>
        <w:t xml:space="preserve">Although there is no specific Australian data that we can use to estimate changes in productivity from broadband use, we can apply the results of some overseas studies to Australian data. This can provide a reasonable prediction of the kinds of effects that we </w:t>
      </w:r>
      <w:r w:rsidR="001D4FF8">
        <w:t xml:space="preserve">should see from NBN </w:t>
      </w:r>
      <w:proofErr w:type="spellStart"/>
      <w:r w:rsidR="001D4FF8">
        <w:t>Co’s</w:t>
      </w:r>
      <w:proofErr w:type="spellEnd"/>
      <w:r w:rsidR="001D4FF8">
        <w:t xml:space="preserve"> business initiatives.</w:t>
      </w:r>
      <w:r w:rsidR="00F611FF">
        <w:t xml:space="preserve"> </w:t>
      </w:r>
    </w:p>
    <w:p w14:paraId="74EBF285" w14:textId="4AA396D6" w:rsidR="004C6CD6" w:rsidRDefault="002B45AA" w:rsidP="004C6CD6">
      <w:pPr>
        <w:pStyle w:val="BodyText"/>
      </w:pPr>
      <w:r>
        <w:t>Given the nature of the business initiatives, w</w:t>
      </w:r>
      <w:r w:rsidR="001D4FF8">
        <w:t xml:space="preserve">e caution that the firm-specific effects </w:t>
      </w:r>
      <w:r w:rsidR="004C6CD6" w:rsidRPr="00272F6D">
        <w:t>are still complex</w:t>
      </w:r>
      <w:r>
        <w:t xml:space="preserve">. They will depend </w:t>
      </w:r>
      <w:r w:rsidR="004C6CD6" w:rsidRPr="00272F6D">
        <w:t xml:space="preserve">on </w:t>
      </w:r>
      <w:r>
        <w:t xml:space="preserve">matters such as the extent of </w:t>
      </w:r>
      <w:r w:rsidR="004C6CD6" w:rsidRPr="00272F6D">
        <w:t xml:space="preserve">existing </w:t>
      </w:r>
      <w:proofErr w:type="spellStart"/>
      <w:r w:rsidR="004C6CD6" w:rsidRPr="00272F6D">
        <w:t>infrastructure,</w:t>
      </w:r>
      <w:proofErr w:type="spellEnd"/>
      <w:r w:rsidR="004C6CD6" w:rsidRPr="00272F6D">
        <w:t xml:space="preserve"> </w:t>
      </w:r>
      <w:r>
        <w:t xml:space="preserve">firm </w:t>
      </w:r>
      <w:r w:rsidR="004C6CD6" w:rsidRPr="00272F6D">
        <w:t xml:space="preserve">location and </w:t>
      </w:r>
      <w:r>
        <w:t xml:space="preserve">on specific </w:t>
      </w:r>
      <w:r w:rsidR="004C6CD6" w:rsidRPr="00272F6D">
        <w:t>business decisions</w:t>
      </w:r>
      <w:r>
        <w:t xml:space="preserve"> about </w:t>
      </w:r>
      <w:r w:rsidR="00D14FF7">
        <w:t>whether and how higher quality broadband can be used</w:t>
      </w:r>
      <w:r w:rsidR="001D4FF8">
        <w:t>.</w:t>
      </w:r>
      <w:r w:rsidR="00026EE2">
        <w:t xml:space="preserve"> As an example, in </w:t>
      </w:r>
      <w:r w:rsidR="0043103A">
        <w:fldChar w:fldCharType="begin"/>
      </w:r>
      <w:r w:rsidR="0043103A">
        <w:instrText xml:space="preserve"> REF _Ref79504583 \h </w:instrText>
      </w:r>
      <w:r w:rsidR="0043103A">
        <w:fldChar w:fldCharType="separate"/>
      </w:r>
      <w:r w:rsidR="00DD5715" w:rsidRPr="007C5D2E">
        <w:rPr>
          <w:rStyle w:val="Bold"/>
        </w:rPr>
        <w:t xml:space="preserve">Figure </w:t>
      </w:r>
      <w:r w:rsidR="00DD5715">
        <w:rPr>
          <w:rStyle w:val="Bold"/>
          <w:noProof/>
        </w:rPr>
        <w:t>11</w:t>
      </w:r>
      <w:r w:rsidR="00DD5715" w:rsidRPr="00BE496A">
        <w:t xml:space="preserve">: </w:t>
      </w:r>
      <w:r w:rsidR="00DD5715">
        <w:t>Sources of differences in business benefits</w:t>
      </w:r>
      <w:r w:rsidR="0043103A">
        <w:fldChar w:fldCharType="end"/>
      </w:r>
      <w:r w:rsidR="0043103A">
        <w:t xml:space="preserve"> </w:t>
      </w:r>
      <w:r w:rsidR="00026EE2">
        <w:t>we highlight that the specific benefits to a business</w:t>
      </w:r>
      <w:r w:rsidR="001D4FF8">
        <w:t xml:space="preserve"> </w:t>
      </w:r>
      <w:r w:rsidR="00026EE2">
        <w:t xml:space="preserve">can really only be understood in the context of its location and existing </w:t>
      </w:r>
      <w:r w:rsidR="000D22D7">
        <w:t xml:space="preserve">supplier of broadband services. </w:t>
      </w:r>
      <w:r w:rsidR="00221F60">
        <w:t>Because this granularity of detail is not available</w:t>
      </w:r>
      <w:r w:rsidR="001003C6">
        <w:t xml:space="preserve"> </w:t>
      </w:r>
      <w:r w:rsidR="000B16C5">
        <w:t>–</w:t>
      </w:r>
      <w:r w:rsidR="001003C6">
        <w:t xml:space="preserve"> for example, we know </w:t>
      </w:r>
      <w:r w:rsidR="00B6307F">
        <w:t>a firm’s current broadband service but not its p</w:t>
      </w:r>
      <w:r w:rsidR="000B16C5">
        <w:t>receding</w:t>
      </w:r>
      <w:r w:rsidR="00B6307F">
        <w:t xml:space="preserve"> service </w:t>
      </w:r>
      <w:r w:rsidR="000B16C5">
        <w:t>–</w:t>
      </w:r>
      <w:r w:rsidR="00B6307F">
        <w:t xml:space="preserve"> </w:t>
      </w:r>
      <w:r w:rsidR="00DB4015">
        <w:t>we have to average the effects</w:t>
      </w:r>
      <w:r w:rsidR="00A713D6">
        <w:t xml:space="preserve"> based on available data. </w:t>
      </w:r>
    </w:p>
    <w:p w14:paraId="5B1AAFDC" w14:textId="045ED013" w:rsidR="00FB0690" w:rsidRDefault="00FB0690" w:rsidP="00F22C75">
      <w:pPr>
        <w:pStyle w:val="Caption"/>
      </w:pPr>
      <w:bookmarkStart w:id="83" w:name="_Ref79504583"/>
      <w:bookmarkStart w:id="84" w:name="_Toc79585072"/>
      <w:r w:rsidRPr="007C5D2E">
        <w:rPr>
          <w:rStyle w:val="Bold"/>
        </w:rPr>
        <w:t xml:space="preserve">Figure </w:t>
      </w:r>
      <w:r w:rsidRPr="007C5D2E">
        <w:rPr>
          <w:rStyle w:val="Bold"/>
        </w:rPr>
        <w:fldChar w:fldCharType="begin"/>
      </w:r>
      <w:r w:rsidRPr="007C5D2E">
        <w:rPr>
          <w:rStyle w:val="Bold"/>
        </w:rPr>
        <w:instrText xml:space="preserve"> SEQ Figure \* ARABIC </w:instrText>
      </w:r>
      <w:r w:rsidRPr="007C5D2E">
        <w:rPr>
          <w:rStyle w:val="Bold"/>
        </w:rPr>
        <w:fldChar w:fldCharType="separate"/>
      </w:r>
      <w:r w:rsidR="00DD5715">
        <w:rPr>
          <w:rStyle w:val="Bold"/>
          <w:noProof/>
        </w:rPr>
        <w:t>11</w:t>
      </w:r>
      <w:r w:rsidRPr="007C5D2E">
        <w:rPr>
          <w:rStyle w:val="Bold"/>
        </w:rPr>
        <w:fldChar w:fldCharType="end"/>
      </w:r>
      <w:r w:rsidRPr="00BE496A">
        <w:t xml:space="preserve">: </w:t>
      </w:r>
      <w:r>
        <w:t>Sources of differences in business benefits</w:t>
      </w:r>
      <w:bookmarkEnd w:id="83"/>
      <w:bookmarkEnd w:id="84"/>
    </w:p>
    <w:p w14:paraId="29D97446" w14:textId="2B4A7957" w:rsidR="00FB0690" w:rsidRDefault="00FB0690" w:rsidP="00F22C75">
      <w:pPr>
        <w:pStyle w:val="Image-Page1fullwidth"/>
        <w:keepNext/>
        <w:framePr w:w="0" w:hSpace="0" w:wrap="auto" w:vAnchor="margin" w:yAlign="inline"/>
        <w:spacing w:after="0" w:line="240" w:lineRule="auto"/>
      </w:pPr>
      <w:r w:rsidRPr="00FB0690">
        <w:rPr>
          <w:lang w:eastAsia="en-AU"/>
        </w:rPr>
        <w:drawing>
          <wp:inline distT="0" distB="0" distL="0" distR="0" wp14:anchorId="64EA938E" wp14:editId="697F63C1">
            <wp:extent cx="5759450" cy="2807566"/>
            <wp:effectExtent l="0" t="0" r="0" b="0"/>
            <wp:docPr id="43" name="Picture 43" descr="This highlights the possible upgrade paths for business within and outside business fibre zones. From (list of options) Non-NBN fibre; NBN residential service; Non-fixed line supplier to (list of options) NBN Enterprise Ethernet or Upgraded NBN MTM service (TC-4 or T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This highlights the possible upgrade paths for business within and outside business fibre zones. From (list of options) Non-NBN fibre; NBN residential service; Non-fixed line supplier to (list of options) NBN Enterprise Ethernet or Upgraded NBN MTM service (TC-4 or TC-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59450" cy="2807566"/>
                    </a:xfrm>
                    <a:prstGeom prst="rect">
                      <a:avLst/>
                    </a:prstGeom>
                    <a:noFill/>
                    <a:ln>
                      <a:noFill/>
                    </a:ln>
                  </pic:spPr>
                </pic:pic>
              </a:graphicData>
            </a:graphic>
          </wp:inline>
        </w:drawing>
      </w:r>
    </w:p>
    <w:p w14:paraId="164E63BE" w14:textId="161D9493" w:rsidR="00FB0690" w:rsidRPr="00FB0690" w:rsidRDefault="00FB0690" w:rsidP="00FB0690">
      <w:pPr>
        <w:pStyle w:val="Source"/>
      </w:pPr>
      <w:r w:rsidRPr="00FB0690">
        <w:t>Source: Frontier Economics</w:t>
      </w:r>
    </w:p>
    <w:p w14:paraId="431BCCEB" w14:textId="080F62D1" w:rsidR="004C6CD6" w:rsidRPr="001E58E1" w:rsidRDefault="00B6307F" w:rsidP="004C6CD6">
      <w:pPr>
        <w:pStyle w:val="BodyText"/>
      </w:pPr>
      <w:r>
        <w:t xml:space="preserve">Our overall approach to estimation of firm productivity benefits is summarised in </w:t>
      </w:r>
      <w:r w:rsidR="00D4650E">
        <w:fldChar w:fldCharType="begin"/>
      </w:r>
      <w:r w:rsidR="00D4650E">
        <w:instrText xml:space="preserve"> REF _Ref74574301 \h </w:instrText>
      </w:r>
      <w:r w:rsidR="00D4650E">
        <w:fldChar w:fldCharType="separate"/>
      </w:r>
      <w:r w:rsidR="00DD5715" w:rsidRPr="007C5D2E">
        <w:rPr>
          <w:rStyle w:val="Bold"/>
        </w:rPr>
        <w:t xml:space="preserve">Figure </w:t>
      </w:r>
      <w:r w:rsidR="00DD5715">
        <w:rPr>
          <w:rStyle w:val="Bold"/>
          <w:noProof/>
        </w:rPr>
        <w:t>12</w:t>
      </w:r>
      <w:r w:rsidR="00D4650E">
        <w:fldChar w:fldCharType="end"/>
      </w:r>
      <w:r w:rsidR="00D4650E">
        <w:t>.</w:t>
      </w:r>
    </w:p>
    <w:p w14:paraId="1C912B0A" w14:textId="49DC0A59" w:rsidR="004C6CD6" w:rsidRDefault="004C6CD6" w:rsidP="004C6CD6">
      <w:pPr>
        <w:pStyle w:val="Caption"/>
      </w:pPr>
      <w:bookmarkStart w:id="85" w:name="_Ref74574301"/>
      <w:bookmarkStart w:id="86" w:name="_Toc74684927"/>
      <w:bookmarkStart w:id="87" w:name="_Toc79585073"/>
      <w:r w:rsidRPr="007C5D2E">
        <w:rPr>
          <w:rStyle w:val="Bold"/>
        </w:rPr>
        <w:lastRenderedPageBreak/>
        <w:t xml:space="preserve">Figure </w:t>
      </w:r>
      <w:r w:rsidRPr="007C5D2E">
        <w:rPr>
          <w:rStyle w:val="Bold"/>
        </w:rPr>
        <w:fldChar w:fldCharType="begin"/>
      </w:r>
      <w:r w:rsidRPr="007C5D2E">
        <w:rPr>
          <w:rStyle w:val="Bold"/>
        </w:rPr>
        <w:instrText xml:space="preserve"> SEQ Figure \* ARABIC </w:instrText>
      </w:r>
      <w:r w:rsidRPr="007C5D2E">
        <w:rPr>
          <w:rStyle w:val="Bold"/>
        </w:rPr>
        <w:fldChar w:fldCharType="separate"/>
      </w:r>
      <w:r w:rsidR="00DD5715">
        <w:rPr>
          <w:rStyle w:val="Bold"/>
          <w:noProof/>
        </w:rPr>
        <w:t>12</w:t>
      </w:r>
      <w:r w:rsidRPr="007C5D2E">
        <w:rPr>
          <w:rStyle w:val="Bold"/>
        </w:rPr>
        <w:fldChar w:fldCharType="end"/>
      </w:r>
      <w:bookmarkEnd w:id="85"/>
      <w:r w:rsidRPr="00BE496A">
        <w:t xml:space="preserve">: </w:t>
      </w:r>
      <w:r>
        <w:t>Methodology to estimate firm productivity effects</w:t>
      </w:r>
      <w:bookmarkEnd w:id="86"/>
      <w:bookmarkEnd w:id="87"/>
    </w:p>
    <w:p w14:paraId="082CE60B" w14:textId="77777777" w:rsidR="004C6CD6" w:rsidRDefault="00F86056" w:rsidP="004C6CD6">
      <w:pPr>
        <w:pStyle w:val="Image-Page1fullwidth"/>
        <w:keepNext/>
        <w:framePr w:w="0" w:hSpace="0" w:wrap="auto" w:vAnchor="margin" w:yAlign="inline"/>
        <w:spacing w:after="0" w:line="240" w:lineRule="auto"/>
      </w:pPr>
      <w:r w:rsidRPr="00F86056">
        <w:t xml:space="preserve"> </w:t>
      </w:r>
      <w:r>
        <w:rPr>
          <w:lang w:eastAsia="en-AU"/>
        </w:rPr>
        <w:drawing>
          <wp:inline distT="0" distB="0" distL="0" distR="0" wp14:anchorId="7B44DFF5" wp14:editId="5835B5D4">
            <wp:extent cx="5401250" cy="3533241"/>
            <wp:effectExtent l="0" t="0" r="9525" b="0"/>
            <wp:docPr id="61" name="Picture 61" descr="This figure summarises the methodology used to estimate firm productivity effects. An objective is identified, and general approach developed applied with reference to economic theory, economic literature and existing data on broadband speeds, by type and lo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This figure summarises the methodology used to estimate firm productivity effects. An objective is identified, and general approach developed applied with reference to economic theory, economic literature and existing data on broadband speeds, by type and location."/>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408714" cy="3538123"/>
                    </a:xfrm>
                    <a:prstGeom prst="rect">
                      <a:avLst/>
                    </a:prstGeom>
                    <a:noFill/>
                  </pic:spPr>
                </pic:pic>
              </a:graphicData>
            </a:graphic>
          </wp:inline>
        </w:drawing>
      </w:r>
    </w:p>
    <w:p w14:paraId="3D81EB72" w14:textId="77777777" w:rsidR="004C6CD6" w:rsidRPr="00FB0690" w:rsidRDefault="004C6CD6" w:rsidP="00FB0690">
      <w:pPr>
        <w:pStyle w:val="Source"/>
      </w:pPr>
      <w:r w:rsidRPr="00FB0690">
        <w:t>Source: Frontier Economics</w:t>
      </w:r>
    </w:p>
    <w:p w14:paraId="3C3237C6" w14:textId="77777777" w:rsidR="00D4650E" w:rsidRPr="00D4650E" w:rsidRDefault="00D4650E" w:rsidP="002D7129">
      <w:pPr>
        <w:pStyle w:val="BodyText"/>
      </w:pPr>
      <w:r>
        <w:t>Two particular matters are worth addressing</w:t>
      </w:r>
      <w:r w:rsidR="002D7129">
        <w:t xml:space="preserve"> from this figure (in bold):</w:t>
      </w:r>
    </w:p>
    <w:p w14:paraId="6D928C15" w14:textId="77777777" w:rsidR="004C6CD6" w:rsidRPr="00F43A9B" w:rsidRDefault="004C6CD6" w:rsidP="005F4E2B">
      <w:pPr>
        <w:pStyle w:val="ListBullet1"/>
      </w:pPr>
      <w:r w:rsidRPr="00F43A9B">
        <w:rPr>
          <w:b/>
          <w:bCs/>
        </w:rPr>
        <w:t>General purpose technologies</w:t>
      </w:r>
      <w:r w:rsidR="002D7129">
        <w:rPr>
          <w:b/>
          <w:bCs/>
        </w:rPr>
        <w:t>:</w:t>
      </w:r>
      <w:r w:rsidRPr="00F43A9B">
        <w:rPr>
          <w:b/>
          <w:bCs/>
        </w:rPr>
        <w:t xml:space="preserve"> </w:t>
      </w:r>
      <w:r w:rsidRPr="00F43A9B">
        <w:t xml:space="preserve">Broadband </w:t>
      </w:r>
      <w:r w:rsidR="00DE24E7">
        <w:t xml:space="preserve">internet </w:t>
      </w:r>
      <w:r w:rsidRPr="00F43A9B">
        <w:t xml:space="preserve">is a general-purpose technology </w:t>
      </w:r>
      <w:r w:rsidR="00A96159">
        <w:t>(</w:t>
      </w:r>
      <w:proofErr w:type="spellStart"/>
      <w:r w:rsidR="008F7053">
        <w:t>Bresnahan</w:t>
      </w:r>
      <w:proofErr w:type="spellEnd"/>
      <w:r w:rsidR="008F7053">
        <w:t xml:space="preserve"> and </w:t>
      </w:r>
      <w:proofErr w:type="spellStart"/>
      <w:r w:rsidR="008F7053">
        <w:t>Trajtenberg</w:t>
      </w:r>
      <w:proofErr w:type="spellEnd"/>
      <w:r w:rsidR="008F7053">
        <w:t xml:space="preserve">, 1995) that is </w:t>
      </w:r>
      <w:r w:rsidRPr="00F43A9B">
        <w:t>used in many different applications. Like transport and energy innovations, general purpose technologies induce positive externalities and have a more significant impact on innovation because its effects apply to many other major sectors of the economy.</w:t>
      </w:r>
      <w:r w:rsidR="002D7129">
        <w:t xml:space="preserve"> </w:t>
      </w:r>
      <w:r w:rsidR="005F4E2B">
        <w:t>“</w:t>
      </w:r>
      <w:r w:rsidR="005F4E2B" w:rsidRPr="005F4E2B">
        <w:t>Firms grow faster and are more productive in countries where Internet access is better</w:t>
      </w:r>
      <w:r w:rsidR="00E63E1C">
        <w:t>.</w:t>
      </w:r>
      <w:r w:rsidR="005F4E2B">
        <w:t>”</w:t>
      </w:r>
      <w:r w:rsidR="00DE24E7">
        <w:rPr>
          <w:rStyle w:val="FootnoteReference"/>
        </w:rPr>
        <w:footnoteReference w:id="24"/>
      </w:r>
    </w:p>
    <w:p w14:paraId="2A14E3B6" w14:textId="5359A0A7" w:rsidR="004C6CD6" w:rsidRDefault="004C6CD6" w:rsidP="009645AD">
      <w:pPr>
        <w:pStyle w:val="ListBullet1"/>
      </w:pPr>
      <w:r w:rsidRPr="00F43A9B">
        <w:t>Measuring productivity (TFP)</w:t>
      </w:r>
      <w:r>
        <w:t xml:space="preserve">: </w:t>
      </w:r>
      <w:r w:rsidR="000638A7">
        <w:t>An</w:t>
      </w:r>
      <w:r w:rsidRPr="00F43A9B">
        <w:t xml:space="preserve"> economy’s production function can be written as Y = A </w:t>
      </w:r>
      <w:proofErr w:type="gramStart"/>
      <w:r w:rsidRPr="00F43A9B">
        <w:t>f(</w:t>
      </w:r>
      <w:proofErr w:type="gramEnd"/>
      <w:r w:rsidRPr="00F43A9B">
        <w:t xml:space="preserve">K,L), where output Y is a function of technology / productivity (A), capital (K) and Labour (L). The </w:t>
      </w:r>
      <w:r w:rsidRPr="00C2383A">
        <w:rPr>
          <w:b/>
          <w:bCs/>
        </w:rPr>
        <w:t xml:space="preserve">change in </w:t>
      </w:r>
      <w:proofErr w:type="spellStart"/>
      <w:r w:rsidRPr="00C2383A">
        <w:rPr>
          <w:b/>
          <w:bCs/>
        </w:rPr>
        <w:t>A</w:t>
      </w:r>
      <w:proofErr w:type="spellEnd"/>
      <w:r w:rsidRPr="00C2383A">
        <w:rPr>
          <w:b/>
          <w:bCs/>
        </w:rPr>
        <w:t xml:space="preserve"> over time</w:t>
      </w:r>
      <w:r w:rsidRPr="00F43A9B">
        <w:t xml:space="preserve"> is a measure of multi- or total-factor productivity (MFP / TFP).</w:t>
      </w:r>
      <w:r w:rsidR="00C2383A">
        <w:t xml:space="preserve"> MFP is a central variable is studies of the impact of broadband on productivity.</w:t>
      </w:r>
      <w:r w:rsidR="00E038A0">
        <w:t xml:space="preserve"> This can also be interpreted as an increase in output (see</w:t>
      </w:r>
      <w:r w:rsidR="0043103A">
        <w:t xml:space="preserve"> </w:t>
      </w:r>
      <w:r w:rsidR="0043103A">
        <w:fldChar w:fldCharType="begin"/>
      </w:r>
      <w:r w:rsidR="0043103A">
        <w:instrText xml:space="preserve"> REF _Ref79504660 \r \h </w:instrText>
      </w:r>
      <w:r w:rsidR="0043103A">
        <w:fldChar w:fldCharType="separate"/>
      </w:r>
      <w:r w:rsidR="00DD5715">
        <w:t>Box 4</w:t>
      </w:r>
      <w:r w:rsidR="0043103A">
        <w:fldChar w:fldCharType="end"/>
      </w:r>
      <w:r w:rsidR="0043103A">
        <w:t>)</w:t>
      </w:r>
      <w:r w:rsidR="00E038A0">
        <w:t>.</w:t>
      </w:r>
    </w:p>
    <w:p w14:paraId="5B6A0687" w14:textId="0D895612" w:rsidR="00FB0690" w:rsidRDefault="00FB0690">
      <w:pPr>
        <w:spacing w:before="0" w:after="0" w:line="240" w:lineRule="auto"/>
        <w:jc w:val="left"/>
        <w:rPr>
          <w:rFonts w:eastAsia="Calibri" w:cs="Arial"/>
          <w:szCs w:val="22"/>
          <w:lang w:val="en-GB"/>
        </w:rPr>
      </w:pPr>
      <w:r>
        <w:br w:type="page"/>
      </w:r>
    </w:p>
    <w:p w14:paraId="18F11354" w14:textId="77777777" w:rsidR="00FB0690" w:rsidRDefault="00FB0690" w:rsidP="00FB0690">
      <w:pPr>
        <w:pStyle w:val="CalloutBoxcaption"/>
        <w:keepNext/>
        <w:pBdr>
          <w:top w:val="single" w:sz="4" w:space="1" w:color="9BA1A5" w:themeColor="accent4"/>
          <w:left w:val="single" w:sz="4" w:space="4" w:color="9BA1A5" w:themeColor="accent4"/>
          <w:bottom w:val="single" w:sz="4" w:space="1" w:color="9BA1A5" w:themeColor="accent4"/>
          <w:right w:val="single" w:sz="4" w:space="4" w:color="9BA1A5" w:themeColor="accent4"/>
        </w:pBdr>
        <w:shd w:val="clear" w:color="auto" w:fill="F2F2F2" w:themeFill="background2"/>
        <w:tabs>
          <w:tab w:val="num" w:pos="360"/>
        </w:tabs>
        <w:jc w:val="left"/>
      </w:pPr>
      <w:bookmarkStart w:id="88" w:name="_Ref79504660"/>
      <w:bookmarkStart w:id="89" w:name="_Toc79585094"/>
      <w:r w:rsidRPr="00C55545">
        <w:rPr>
          <w:b/>
          <w:bCs/>
        </w:rPr>
        <w:lastRenderedPageBreak/>
        <w:t>:</w:t>
      </w:r>
      <w:r>
        <w:t xml:space="preserve"> Understanding increases in firm productivity and output</w:t>
      </w:r>
      <w:bookmarkEnd w:id="88"/>
      <w:bookmarkEnd w:id="89"/>
    </w:p>
    <w:p w14:paraId="23168821" w14:textId="77777777" w:rsidR="00FB0690" w:rsidRDefault="00FB0690" w:rsidP="00FB0690">
      <w:pPr>
        <w:pBdr>
          <w:top w:val="single" w:sz="4" w:space="1" w:color="9BA1A5" w:themeColor="accent4"/>
          <w:left w:val="single" w:sz="4" w:space="4" w:color="9BA1A5" w:themeColor="accent4"/>
          <w:bottom w:val="single" w:sz="4" w:space="1" w:color="9BA1A5" w:themeColor="accent4"/>
          <w:right w:val="single" w:sz="4" w:space="4" w:color="9BA1A5" w:themeColor="accent4"/>
        </w:pBdr>
        <w:shd w:val="clear" w:color="auto" w:fill="F2F2F2" w:themeFill="background2"/>
      </w:pPr>
      <w:r>
        <w:t xml:space="preserve">A firm’s production </w:t>
      </w:r>
      <w:r w:rsidRPr="00F43A9B">
        <w:t xml:space="preserve">function can be written as Y = </w:t>
      </w:r>
      <w:proofErr w:type="spellStart"/>
      <w:proofErr w:type="gramStart"/>
      <w:r w:rsidRPr="00F43A9B">
        <w:t>A</w:t>
      </w:r>
      <w:r w:rsidRPr="00E56407">
        <w:rPr>
          <w:i/>
          <w:iCs/>
        </w:rPr>
        <w:t>f</w:t>
      </w:r>
      <w:proofErr w:type="spellEnd"/>
      <w:r w:rsidRPr="00F43A9B">
        <w:t>(</w:t>
      </w:r>
      <w:proofErr w:type="gramEnd"/>
      <w:r w:rsidRPr="00F43A9B">
        <w:t xml:space="preserve">K,L), where output Y is a function of technology / productivity (A), capital (K) and Labour (L). The </w:t>
      </w:r>
      <w:r w:rsidRPr="00F43A9B">
        <w:rPr>
          <w:b/>
          <w:bCs/>
        </w:rPr>
        <w:t xml:space="preserve">change in </w:t>
      </w:r>
      <w:proofErr w:type="spellStart"/>
      <w:r w:rsidRPr="00F43A9B">
        <w:rPr>
          <w:b/>
          <w:bCs/>
        </w:rPr>
        <w:t>A</w:t>
      </w:r>
      <w:proofErr w:type="spellEnd"/>
      <w:r w:rsidRPr="00F43A9B">
        <w:rPr>
          <w:b/>
          <w:bCs/>
        </w:rPr>
        <w:t xml:space="preserve"> over time</w:t>
      </w:r>
      <w:r w:rsidRPr="00F43A9B">
        <w:t xml:space="preserve"> is a measure of multi- or total-factor productivity (MFP </w:t>
      </w:r>
      <w:r>
        <w:t>or</w:t>
      </w:r>
      <w:r w:rsidRPr="00F43A9B">
        <w:t xml:space="preserve"> TFP).</w:t>
      </w:r>
    </w:p>
    <w:p w14:paraId="32711C14" w14:textId="77777777" w:rsidR="00FB0690" w:rsidRDefault="00FB0690" w:rsidP="00FB0690">
      <w:pPr>
        <w:pBdr>
          <w:top w:val="single" w:sz="4" w:space="1" w:color="9BA1A5" w:themeColor="accent4"/>
          <w:left w:val="single" w:sz="4" w:space="4" w:color="9BA1A5" w:themeColor="accent4"/>
          <w:bottom w:val="single" w:sz="4" w:space="1" w:color="9BA1A5" w:themeColor="accent4"/>
          <w:right w:val="single" w:sz="4" w:space="4" w:color="9BA1A5" w:themeColor="accent4"/>
        </w:pBdr>
        <w:shd w:val="clear" w:color="auto" w:fill="F2F2F2" w:themeFill="background2"/>
      </w:pPr>
      <w:r>
        <w:t xml:space="preserve">Using some simple growth accounting and the common Cobb-Douglas production function </w:t>
      </w:r>
      <w:proofErr w:type="gramStart"/>
      <w:r>
        <w:t xml:space="preserve">where </w:t>
      </w:r>
      <w:proofErr w:type="gramEnd"/>
      <m:oMath>
        <m:r>
          <w:rPr>
            <w:rFonts w:ascii="Cambria Math" w:hAnsi="Cambria Math"/>
          </w:rPr>
          <m:t>Y=A</m:t>
        </m:r>
        <m:sSup>
          <m:sSupPr>
            <m:ctrlPr>
              <w:rPr>
                <w:rFonts w:ascii="Cambria Math" w:hAnsi="Cambria Math"/>
                <w:i/>
              </w:rPr>
            </m:ctrlPr>
          </m:sSupPr>
          <m:e>
            <m:r>
              <w:rPr>
                <w:rFonts w:ascii="Cambria Math" w:hAnsi="Cambria Math"/>
              </w:rPr>
              <m:t>K</m:t>
            </m:r>
          </m:e>
          <m:sup>
            <m:r>
              <w:rPr>
                <w:rFonts w:ascii="Cambria Math" w:hAnsi="Cambria Math"/>
              </w:rPr>
              <m:t>α</m:t>
            </m:r>
          </m:sup>
        </m:sSup>
        <m:sSup>
          <m:sSupPr>
            <m:ctrlPr>
              <w:rPr>
                <w:rFonts w:ascii="Cambria Math" w:hAnsi="Cambria Math"/>
                <w:i/>
              </w:rPr>
            </m:ctrlPr>
          </m:sSupPr>
          <m:e>
            <m:r>
              <w:rPr>
                <w:rFonts w:ascii="Cambria Math" w:hAnsi="Cambria Math"/>
              </w:rPr>
              <m:t>L</m:t>
            </m:r>
          </m:e>
          <m:sup>
            <m:r>
              <w:rPr>
                <w:rFonts w:ascii="Cambria Math" w:hAnsi="Cambria Math"/>
              </w:rPr>
              <m:t>β</m:t>
            </m:r>
          </m:sup>
        </m:sSup>
      </m:oMath>
      <w:r>
        <w:t>, we can see that the change in A over time has a direct influence on output growth, Y. That is, taking logs and differentiating with respect to time:</w:t>
      </w:r>
    </w:p>
    <w:p w14:paraId="384EE6AF" w14:textId="77777777" w:rsidR="00FB0690" w:rsidRDefault="00E031EF" w:rsidP="00FB0690">
      <w:pPr>
        <w:pBdr>
          <w:top w:val="single" w:sz="4" w:space="1" w:color="9BA1A5" w:themeColor="accent4"/>
          <w:left w:val="single" w:sz="4" w:space="4" w:color="9BA1A5" w:themeColor="accent4"/>
          <w:bottom w:val="single" w:sz="4" w:space="1" w:color="9BA1A5" w:themeColor="accent4"/>
          <w:right w:val="single" w:sz="4" w:space="4" w:color="9BA1A5" w:themeColor="accent4"/>
        </w:pBdr>
        <w:shd w:val="clear" w:color="auto" w:fill="F2F2F2" w:themeFill="background2"/>
      </w:pPr>
      <m:oMathPara>
        <m:oMath>
          <m:f>
            <m:fPr>
              <m:ctrlPr>
                <w:rPr>
                  <w:rFonts w:ascii="Cambria Math" w:hAnsi="Cambria Math"/>
                  <w:i/>
                </w:rPr>
              </m:ctrlPr>
            </m:fPr>
            <m:num>
              <m:acc>
                <m:accPr>
                  <m:chr m:val="̇"/>
                  <m:ctrlPr>
                    <w:rPr>
                      <w:rFonts w:ascii="Cambria Math" w:hAnsi="Cambria Math"/>
                      <w:i/>
                    </w:rPr>
                  </m:ctrlPr>
                </m:accPr>
                <m:e>
                  <m:r>
                    <w:rPr>
                      <w:rFonts w:ascii="Cambria Math" w:hAnsi="Cambria Math"/>
                    </w:rPr>
                    <m:t>Y</m:t>
                  </m:r>
                </m:e>
              </m:acc>
            </m:num>
            <m:den>
              <m:r>
                <w:rPr>
                  <w:rFonts w:ascii="Cambria Math" w:hAnsi="Cambria Math"/>
                </w:rPr>
                <m:t>Y</m:t>
              </m:r>
            </m:den>
          </m:f>
          <m:r>
            <w:rPr>
              <w:rFonts w:ascii="Cambria Math" w:hAnsi="Cambria Math"/>
            </w:rPr>
            <m:t>=</m:t>
          </m:r>
          <m:f>
            <m:fPr>
              <m:ctrlPr>
                <w:rPr>
                  <w:rFonts w:ascii="Cambria Math" w:hAnsi="Cambria Math"/>
                  <w:i/>
                </w:rPr>
              </m:ctrlPr>
            </m:fPr>
            <m:num>
              <m:acc>
                <m:accPr>
                  <m:chr m:val="̇"/>
                  <m:ctrlPr>
                    <w:rPr>
                      <w:rFonts w:ascii="Cambria Math" w:hAnsi="Cambria Math"/>
                      <w:i/>
                    </w:rPr>
                  </m:ctrlPr>
                </m:accPr>
                <m:e>
                  <m:r>
                    <w:rPr>
                      <w:rFonts w:ascii="Cambria Math" w:hAnsi="Cambria Math"/>
                    </w:rPr>
                    <m:t>A</m:t>
                  </m:r>
                </m:e>
              </m:acc>
            </m:num>
            <m:den>
              <m:r>
                <w:rPr>
                  <w:rFonts w:ascii="Cambria Math" w:hAnsi="Cambria Math"/>
                </w:rPr>
                <m:t>A</m:t>
              </m:r>
            </m:den>
          </m:f>
          <m:r>
            <w:rPr>
              <w:rFonts w:ascii="Cambria Math" w:hAnsi="Cambria Math"/>
            </w:rPr>
            <m:t>+α</m:t>
          </m:r>
          <m:f>
            <m:fPr>
              <m:ctrlPr>
                <w:rPr>
                  <w:rFonts w:ascii="Cambria Math" w:hAnsi="Cambria Math"/>
                  <w:i/>
                </w:rPr>
              </m:ctrlPr>
            </m:fPr>
            <m:num>
              <m:acc>
                <m:accPr>
                  <m:chr m:val="̇"/>
                  <m:ctrlPr>
                    <w:rPr>
                      <w:rFonts w:ascii="Cambria Math" w:hAnsi="Cambria Math"/>
                      <w:i/>
                    </w:rPr>
                  </m:ctrlPr>
                </m:accPr>
                <m:e>
                  <m:r>
                    <w:rPr>
                      <w:rFonts w:ascii="Cambria Math" w:hAnsi="Cambria Math"/>
                    </w:rPr>
                    <m:t>K</m:t>
                  </m:r>
                </m:e>
              </m:acc>
            </m:num>
            <m:den>
              <m:r>
                <w:rPr>
                  <w:rFonts w:ascii="Cambria Math" w:hAnsi="Cambria Math"/>
                </w:rPr>
                <m:t>K</m:t>
              </m:r>
            </m:den>
          </m:f>
          <m:r>
            <w:rPr>
              <w:rFonts w:ascii="Cambria Math" w:hAnsi="Cambria Math"/>
            </w:rPr>
            <m:t>+β</m:t>
          </m:r>
          <m:f>
            <m:fPr>
              <m:ctrlPr>
                <w:rPr>
                  <w:rFonts w:ascii="Cambria Math" w:hAnsi="Cambria Math"/>
                  <w:i/>
                </w:rPr>
              </m:ctrlPr>
            </m:fPr>
            <m:num>
              <m:acc>
                <m:accPr>
                  <m:chr m:val="̇"/>
                  <m:ctrlPr>
                    <w:rPr>
                      <w:rFonts w:ascii="Cambria Math" w:hAnsi="Cambria Math"/>
                      <w:i/>
                    </w:rPr>
                  </m:ctrlPr>
                </m:accPr>
                <m:e>
                  <m:r>
                    <w:rPr>
                      <w:rFonts w:ascii="Cambria Math" w:hAnsi="Cambria Math"/>
                    </w:rPr>
                    <m:t>L</m:t>
                  </m:r>
                </m:e>
              </m:acc>
            </m:num>
            <m:den>
              <m:r>
                <w:rPr>
                  <w:rFonts w:ascii="Cambria Math" w:hAnsi="Cambria Math"/>
                </w:rPr>
                <m:t>L</m:t>
              </m:r>
            </m:den>
          </m:f>
        </m:oMath>
      </m:oMathPara>
    </w:p>
    <w:p w14:paraId="45F4A2FD" w14:textId="77777777" w:rsidR="00FB0690" w:rsidRDefault="00FB0690" w:rsidP="00FB0690">
      <w:pPr>
        <w:pBdr>
          <w:top w:val="single" w:sz="4" w:space="1" w:color="9BA1A5" w:themeColor="accent4"/>
          <w:left w:val="single" w:sz="4" w:space="4" w:color="9BA1A5" w:themeColor="accent4"/>
          <w:bottom w:val="single" w:sz="4" w:space="1" w:color="9BA1A5" w:themeColor="accent4"/>
          <w:right w:val="single" w:sz="4" w:space="4" w:color="9BA1A5" w:themeColor="accent4"/>
        </w:pBdr>
        <w:shd w:val="clear" w:color="auto" w:fill="F2F2F2" w:themeFill="background2"/>
      </w:pPr>
      <w:r>
        <w:t xml:space="preserve">Given fixed inputs (i.e. K and L), we can see that output growth </w:t>
      </w:r>
      <m:oMath>
        <m:f>
          <m:fPr>
            <m:ctrlPr>
              <w:rPr>
                <w:rFonts w:ascii="Cambria Math" w:hAnsi="Cambria Math"/>
                <w:i/>
              </w:rPr>
            </m:ctrlPr>
          </m:fPr>
          <m:num>
            <m:acc>
              <m:accPr>
                <m:chr m:val="̇"/>
                <m:ctrlPr>
                  <w:rPr>
                    <w:rFonts w:ascii="Cambria Math" w:hAnsi="Cambria Math"/>
                    <w:i/>
                  </w:rPr>
                </m:ctrlPr>
              </m:accPr>
              <m:e>
                <m:r>
                  <w:rPr>
                    <w:rFonts w:ascii="Cambria Math" w:hAnsi="Cambria Math"/>
                  </w:rPr>
                  <m:t>Y</m:t>
                </m:r>
              </m:e>
            </m:acc>
          </m:num>
          <m:den>
            <m:r>
              <w:rPr>
                <w:rFonts w:ascii="Cambria Math" w:hAnsi="Cambria Math"/>
              </w:rPr>
              <m:t>Y</m:t>
            </m:r>
          </m:den>
        </m:f>
      </m:oMath>
      <w:r>
        <w:t xml:space="preserve"> is determined by MFP </w:t>
      </w:r>
      <w:proofErr w:type="gramStart"/>
      <w:r>
        <w:t xml:space="preserve">growth </w:t>
      </w:r>
      <w:proofErr w:type="gramEnd"/>
      <m:oMath>
        <m:f>
          <m:fPr>
            <m:ctrlPr>
              <w:rPr>
                <w:rFonts w:ascii="Cambria Math" w:hAnsi="Cambria Math"/>
                <w:i/>
              </w:rPr>
            </m:ctrlPr>
          </m:fPr>
          <m:num>
            <m:acc>
              <m:accPr>
                <m:chr m:val="̇"/>
                <m:ctrlPr>
                  <w:rPr>
                    <w:rFonts w:ascii="Cambria Math" w:hAnsi="Cambria Math"/>
                    <w:i/>
                  </w:rPr>
                </m:ctrlPr>
              </m:accPr>
              <m:e>
                <m:r>
                  <w:rPr>
                    <w:rFonts w:ascii="Cambria Math" w:hAnsi="Cambria Math"/>
                  </w:rPr>
                  <m:t>A</m:t>
                </m:r>
              </m:e>
            </m:acc>
          </m:num>
          <m:den>
            <m:r>
              <w:rPr>
                <w:rFonts w:ascii="Cambria Math" w:hAnsi="Cambria Math"/>
              </w:rPr>
              <m:t>A</m:t>
            </m:r>
          </m:den>
        </m:f>
      </m:oMath>
      <w:r>
        <w:t>. So the results can also be interpreted in this manner; a 10% increase in MFP growth increases output growth by 10%.</w:t>
      </w:r>
    </w:p>
    <w:p w14:paraId="551D8E76" w14:textId="77777777" w:rsidR="00FB0690" w:rsidRDefault="00FB0690" w:rsidP="00FB0690">
      <w:pPr>
        <w:pBdr>
          <w:top w:val="single" w:sz="4" w:space="1" w:color="9BA1A5" w:themeColor="accent4"/>
          <w:left w:val="single" w:sz="4" w:space="4" w:color="9BA1A5" w:themeColor="accent4"/>
          <w:bottom w:val="single" w:sz="4" w:space="1" w:color="9BA1A5" w:themeColor="accent4"/>
          <w:right w:val="single" w:sz="4" w:space="4" w:color="9BA1A5" w:themeColor="accent4"/>
        </w:pBdr>
        <w:shd w:val="clear" w:color="auto" w:fill="F2F2F2" w:themeFill="background2"/>
      </w:pPr>
      <w:r>
        <w:t>The forecast productivity gain may also be converted into a cost saving by using a Cobb Douglas cost function, which is the cost minimising solution to the Cobb Douglas production function. This assumes that firms maintain their output but benefit from being able to use fewer inputs to produce that output at unchanged prices. For small percentage changes in A and assuming constant returns the cost reductions will be similar to the changes in A, but of the opposite sign (i.e. a 1% increase in A will reduce costs by 1%).</w:t>
      </w:r>
    </w:p>
    <w:p w14:paraId="27AFECA7" w14:textId="69EF3ACD" w:rsidR="00FB0690" w:rsidRPr="00FB0690" w:rsidRDefault="00FB0690" w:rsidP="00FB0690">
      <w:pPr>
        <w:pStyle w:val="ListBullet1"/>
        <w:numPr>
          <w:ilvl w:val="0"/>
          <w:numId w:val="0"/>
        </w:numPr>
        <w:pBdr>
          <w:top w:val="single" w:sz="4" w:space="1" w:color="9BA1A5" w:themeColor="accent4"/>
          <w:left w:val="single" w:sz="4" w:space="4" w:color="9BA1A5" w:themeColor="accent4"/>
          <w:bottom w:val="single" w:sz="4" w:space="1" w:color="9BA1A5" w:themeColor="accent4"/>
          <w:right w:val="single" w:sz="4" w:space="4" w:color="9BA1A5" w:themeColor="accent4"/>
        </w:pBdr>
        <w:shd w:val="clear" w:color="auto" w:fill="F2F2F2" w:themeFill="background2"/>
        <w:ind w:left="284" w:hanging="284"/>
        <w:rPr>
          <w:rFonts w:cs="Open Sans"/>
          <w:color w:val="374249" w:themeColor="text2"/>
          <w:sz w:val="22"/>
          <w:szCs w:val="24"/>
        </w:rPr>
      </w:pPr>
      <w:r w:rsidRPr="00FB0690">
        <w:rPr>
          <w:rFonts w:cs="Open Sans"/>
          <w:i/>
          <w:color w:val="374249" w:themeColor="text2"/>
          <w:sz w:val="18"/>
          <w:szCs w:val="18"/>
        </w:rPr>
        <w:t>Source: Frontier Economics</w:t>
      </w:r>
    </w:p>
    <w:p w14:paraId="7EC53642" w14:textId="77777777" w:rsidR="004C6CD6" w:rsidRDefault="004C6CD6" w:rsidP="00FB0690">
      <w:pPr>
        <w:pStyle w:val="Heading4"/>
        <w:rPr>
          <w:rStyle w:val="Bold"/>
          <w:b w:val="0"/>
          <w:bCs/>
        </w:rPr>
      </w:pPr>
      <w:r w:rsidRPr="00215858">
        <w:rPr>
          <w:rStyle w:val="Bold"/>
          <w:b w:val="0"/>
          <w:bCs/>
        </w:rPr>
        <w:t xml:space="preserve">The methodology for estimating specific firm </w:t>
      </w:r>
      <w:r w:rsidRPr="00384BC1">
        <w:rPr>
          <w:rStyle w:val="Bold"/>
          <w:b w:val="0"/>
        </w:rPr>
        <w:t>productivity</w:t>
      </w:r>
      <w:r w:rsidRPr="00215858">
        <w:rPr>
          <w:rStyle w:val="Bold"/>
          <w:b w:val="0"/>
          <w:bCs/>
        </w:rPr>
        <w:t xml:space="preserve"> effects</w:t>
      </w:r>
    </w:p>
    <w:p w14:paraId="6EBF707E" w14:textId="70799B2B" w:rsidR="004C6CD6" w:rsidRPr="002D3DE4" w:rsidRDefault="004C6CD6" w:rsidP="004C6CD6">
      <w:pPr>
        <w:pStyle w:val="BodyText"/>
      </w:pPr>
      <w:r w:rsidRPr="002D3DE4">
        <w:t xml:space="preserve">Our methodology is </w:t>
      </w:r>
      <w:r w:rsidR="00E038A0" w:rsidRPr="002D3DE4">
        <w:t>summarised</w:t>
      </w:r>
      <w:r w:rsidRPr="002D3DE4">
        <w:t xml:space="preserve"> in </w:t>
      </w:r>
      <w:r w:rsidRPr="002D3DE4">
        <w:fldChar w:fldCharType="begin"/>
      </w:r>
      <w:r w:rsidRPr="002D3DE4">
        <w:instrText xml:space="preserve"> REF _Ref74138642 \h </w:instrText>
      </w:r>
      <w:r w:rsidR="002D3DE4">
        <w:instrText xml:space="preserve"> \* MERGEFORMAT </w:instrText>
      </w:r>
      <w:r w:rsidRPr="002D3DE4">
        <w:fldChar w:fldCharType="separate"/>
      </w:r>
      <w:r w:rsidR="00DD5715" w:rsidRPr="002D3DE4">
        <w:rPr>
          <w:rStyle w:val="Bold"/>
        </w:rPr>
        <w:t xml:space="preserve">Figure </w:t>
      </w:r>
      <w:r w:rsidR="00DD5715">
        <w:rPr>
          <w:rStyle w:val="Bold"/>
          <w:noProof/>
        </w:rPr>
        <w:t>13</w:t>
      </w:r>
      <w:r w:rsidRPr="002D3DE4">
        <w:fldChar w:fldCharType="end"/>
      </w:r>
      <w:r w:rsidRPr="002D3DE4">
        <w:t>.</w:t>
      </w:r>
      <w:r w:rsidR="00F86C71" w:rsidRPr="002D3DE4">
        <w:t xml:space="preserve"> In summary, we:</w:t>
      </w:r>
    </w:p>
    <w:p w14:paraId="414B8EFB" w14:textId="77777777" w:rsidR="00F86C71" w:rsidRPr="002D3DE4" w:rsidRDefault="00F86C71" w:rsidP="00F86C71">
      <w:pPr>
        <w:pStyle w:val="ListBullet1"/>
      </w:pPr>
      <w:r w:rsidRPr="002D3DE4">
        <w:t>Estimate</w:t>
      </w:r>
      <w:r w:rsidR="00CD2209" w:rsidRPr="002D3DE4">
        <w:t>d</w:t>
      </w:r>
      <w:r w:rsidRPr="002D3DE4">
        <w:t xml:space="preserve"> an average productivity gain from the </w:t>
      </w:r>
      <w:r w:rsidR="00905611" w:rsidRPr="002D3DE4">
        <w:t xml:space="preserve">“treatment” - NBN </w:t>
      </w:r>
      <w:proofErr w:type="spellStart"/>
      <w:r w:rsidR="00905611" w:rsidRPr="002D3DE4">
        <w:t>Co’s</w:t>
      </w:r>
      <w:proofErr w:type="spellEnd"/>
      <w:r w:rsidR="00905611" w:rsidRPr="002D3DE4">
        <w:t xml:space="preserve"> relevant business investments and their impact on the internet speed of firms</w:t>
      </w:r>
      <w:r w:rsidR="006E1014" w:rsidRPr="002D3DE4">
        <w:t xml:space="preserve"> that take up its services</w:t>
      </w:r>
    </w:p>
    <w:p w14:paraId="0AB8FABE" w14:textId="77777777" w:rsidR="00FB4CE1" w:rsidRPr="002D3DE4" w:rsidRDefault="00CD2209" w:rsidP="00F86C71">
      <w:pPr>
        <w:pStyle w:val="ListBullet1"/>
      </w:pPr>
      <w:r w:rsidRPr="002D3DE4">
        <w:t xml:space="preserve">Broke </w:t>
      </w:r>
      <w:r w:rsidR="008871D6" w:rsidRPr="002D3DE4">
        <w:t xml:space="preserve">down </w:t>
      </w:r>
      <w:r w:rsidR="00FB4CE1" w:rsidRPr="002D3DE4">
        <w:t>that impact by firm industry type and by location.</w:t>
      </w:r>
    </w:p>
    <w:p w14:paraId="75781067" w14:textId="5CAAC7B9" w:rsidR="004C6CD6" w:rsidRPr="002D3DE4" w:rsidRDefault="004C6CD6" w:rsidP="004C6CD6">
      <w:pPr>
        <w:pStyle w:val="Caption"/>
      </w:pPr>
      <w:bookmarkStart w:id="90" w:name="_Ref74138642"/>
      <w:bookmarkStart w:id="91" w:name="_Toc74684928"/>
      <w:bookmarkStart w:id="92" w:name="_Toc79585074"/>
      <w:r w:rsidRPr="002D3DE4">
        <w:rPr>
          <w:rStyle w:val="Bold"/>
        </w:rPr>
        <w:t xml:space="preserve">Figure </w:t>
      </w:r>
      <w:r w:rsidRPr="002D3DE4">
        <w:rPr>
          <w:rStyle w:val="Bold"/>
        </w:rPr>
        <w:fldChar w:fldCharType="begin"/>
      </w:r>
      <w:r w:rsidRPr="002D3DE4">
        <w:rPr>
          <w:rStyle w:val="Bold"/>
        </w:rPr>
        <w:instrText xml:space="preserve"> SEQ Figure \* ARABIC </w:instrText>
      </w:r>
      <w:r w:rsidRPr="002D3DE4">
        <w:rPr>
          <w:rStyle w:val="Bold"/>
        </w:rPr>
        <w:fldChar w:fldCharType="separate"/>
      </w:r>
      <w:r w:rsidR="00DD5715">
        <w:rPr>
          <w:rStyle w:val="Bold"/>
          <w:noProof/>
        </w:rPr>
        <w:t>13</w:t>
      </w:r>
      <w:r w:rsidRPr="002D3DE4">
        <w:rPr>
          <w:rStyle w:val="Bold"/>
        </w:rPr>
        <w:fldChar w:fldCharType="end"/>
      </w:r>
      <w:bookmarkEnd w:id="90"/>
      <w:r w:rsidRPr="002D3DE4">
        <w:t>: Methodology for estimating specific firm productivity effects</w:t>
      </w:r>
      <w:bookmarkEnd w:id="91"/>
      <w:bookmarkEnd w:id="92"/>
    </w:p>
    <w:p w14:paraId="1A1A4744" w14:textId="68E4F52A" w:rsidR="004C6CD6" w:rsidRPr="002D3DE4" w:rsidRDefault="00C61C88" w:rsidP="004C6CD6">
      <w:pPr>
        <w:pStyle w:val="Image-Page1fullwidth"/>
        <w:keepNext/>
        <w:framePr w:w="0" w:hSpace="0" w:wrap="auto" w:vAnchor="margin" w:yAlign="inline"/>
        <w:spacing w:after="0" w:line="240" w:lineRule="auto"/>
      </w:pPr>
      <w:r>
        <w:rPr>
          <w:lang w:eastAsia="en-AU"/>
        </w:rPr>
        <w:drawing>
          <wp:inline distT="0" distB="0" distL="0" distR="0" wp14:anchorId="304B9606" wp14:editId="4A0A2C44">
            <wp:extent cx="5488305" cy="2005573"/>
            <wp:effectExtent l="0" t="0" r="0" b="0"/>
            <wp:docPr id="258" name="Picture 258" descr="This figure highlights the method used for estimating firm productivity effects by sector and location. An average productivity effect is decomposed into sector and location effects using indexes for IT intensity and forecast change in speeds. A measure of complementary investment was also considered, but not adopted due to a lack of relevant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Picture 258" descr="This figure highlights the method used for estimating firm productivity effects by sector and location. An average productivity effect is decomposed into sector and location effects using indexes for IT intensity and forecast change in speeds. A measure of complementary investment was also considered, but not adopted due to a lack of relevant data."/>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498836" cy="2009421"/>
                    </a:xfrm>
                    <a:prstGeom prst="rect">
                      <a:avLst/>
                    </a:prstGeom>
                    <a:noFill/>
                  </pic:spPr>
                </pic:pic>
              </a:graphicData>
            </a:graphic>
          </wp:inline>
        </w:drawing>
      </w:r>
    </w:p>
    <w:p w14:paraId="7D2CBB50" w14:textId="77777777" w:rsidR="004C6CD6" w:rsidRPr="00FB0690" w:rsidRDefault="004C6CD6" w:rsidP="00FB0690">
      <w:pPr>
        <w:pStyle w:val="Source"/>
      </w:pPr>
      <w:r w:rsidRPr="00FB0690">
        <w:t>Source: Frontier Economics</w:t>
      </w:r>
    </w:p>
    <w:p w14:paraId="381AF46F" w14:textId="77777777" w:rsidR="00F611FF" w:rsidRPr="002D3DE4" w:rsidRDefault="00F611FF" w:rsidP="00F611FF">
      <w:pPr>
        <w:pStyle w:val="BodyText"/>
      </w:pPr>
      <w:r w:rsidRPr="002D3DE4">
        <w:t>We focus</w:t>
      </w:r>
      <w:r w:rsidR="00CD2209" w:rsidRPr="002D3DE4">
        <w:t>sed</w:t>
      </w:r>
      <w:r w:rsidRPr="002D3DE4">
        <w:t xml:space="preserve"> our estimations on firms within </w:t>
      </w:r>
      <w:r w:rsidR="008871D6" w:rsidRPr="002D3DE4">
        <w:t>Business Fibre Zones</w:t>
      </w:r>
      <w:r w:rsidRPr="002D3DE4">
        <w:t xml:space="preserve">, as we have the most information on these firms. However, the average results across sectors are also relevant to those firms outside </w:t>
      </w:r>
      <w:r w:rsidR="00FD7E22" w:rsidRPr="002D3DE4">
        <w:t>Business Fibre Zone</w:t>
      </w:r>
      <w:r w:rsidRPr="002D3DE4">
        <w:t>s.</w:t>
      </w:r>
    </w:p>
    <w:p w14:paraId="7D201046" w14:textId="77777777" w:rsidR="004C6CD6" w:rsidRPr="002D3DE4" w:rsidRDefault="004C6CD6" w:rsidP="00D31AC9">
      <w:pPr>
        <w:pStyle w:val="Heading4"/>
      </w:pPr>
      <w:r w:rsidRPr="002D3DE4">
        <w:lastRenderedPageBreak/>
        <w:t xml:space="preserve">Forecast </w:t>
      </w:r>
      <w:r w:rsidR="00AC0018" w:rsidRPr="002D3DE4">
        <w:t xml:space="preserve">average </w:t>
      </w:r>
      <w:r w:rsidRPr="002D3DE4">
        <w:t>productivity gain</w:t>
      </w:r>
    </w:p>
    <w:p w14:paraId="521D5859" w14:textId="77777777" w:rsidR="00CC007A" w:rsidRPr="002D3DE4" w:rsidRDefault="00ED00F0" w:rsidP="004C6CD6">
      <w:pPr>
        <w:pStyle w:val="BodyText"/>
      </w:pPr>
      <w:r w:rsidRPr="002D3DE4">
        <w:t xml:space="preserve">To derive a </w:t>
      </w:r>
      <w:r w:rsidR="00CC042D" w:rsidRPr="002D3DE4">
        <w:t xml:space="preserve">forecast </w:t>
      </w:r>
      <w:r w:rsidRPr="002D3DE4">
        <w:t xml:space="preserve">for the </w:t>
      </w:r>
      <w:r w:rsidR="00CC042D" w:rsidRPr="002D3DE4">
        <w:t>average productivity gain</w:t>
      </w:r>
      <w:r w:rsidRPr="002D3DE4">
        <w:t xml:space="preserve">, we </w:t>
      </w:r>
      <w:r w:rsidR="005D2499" w:rsidRPr="002D3DE4">
        <w:t>adapt</w:t>
      </w:r>
      <w:r w:rsidR="00CD2209" w:rsidRPr="002D3DE4">
        <w:t>ed</w:t>
      </w:r>
      <w:r w:rsidRPr="002D3DE4">
        <w:t xml:space="preserve"> the study of </w:t>
      </w:r>
      <w:proofErr w:type="spellStart"/>
      <w:r w:rsidRPr="002D3DE4">
        <w:t>Canzian</w:t>
      </w:r>
      <w:proofErr w:type="spellEnd"/>
      <w:r w:rsidRPr="002D3DE4">
        <w:t xml:space="preserve"> et al (2019) </w:t>
      </w:r>
      <w:r w:rsidR="00211C5D" w:rsidRPr="002D3DE4">
        <w:t>to Australian data</w:t>
      </w:r>
      <w:r w:rsidR="00BC26BC" w:rsidRPr="002D3DE4">
        <w:t>.</w:t>
      </w:r>
      <w:r w:rsidR="00703F00" w:rsidRPr="002D3DE4">
        <w:t xml:space="preserve"> </w:t>
      </w:r>
      <w:r w:rsidR="00AB0A95" w:rsidRPr="002D3DE4">
        <w:t>T</w:t>
      </w:r>
      <w:r w:rsidR="00841526" w:rsidRPr="002D3DE4">
        <w:t xml:space="preserve">his is the only available </w:t>
      </w:r>
      <w:r w:rsidR="001469B7" w:rsidRPr="002D3DE4">
        <w:t xml:space="preserve">published </w:t>
      </w:r>
      <w:r w:rsidR="00841526" w:rsidRPr="002D3DE4">
        <w:t xml:space="preserve">study that provides recent data on </w:t>
      </w:r>
      <w:r w:rsidR="009C5A59" w:rsidRPr="002D3DE4">
        <w:t xml:space="preserve">the </w:t>
      </w:r>
      <w:r w:rsidR="0017469A" w:rsidRPr="002D3DE4">
        <w:t>relationship between</w:t>
      </w:r>
      <w:r w:rsidR="009C5A59" w:rsidRPr="002D3DE4">
        <w:t xml:space="preserve"> </w:t>
      </w:r>
      <w:r w:rsidR="00624110" w:rsidRPr="002D3DE4">
        <w:t xml:space="preserve">faster </w:t>
      </w:r>
      <w:r w:rsidR="009C5A59" w:rsidRPr="002D3DE4">
        <w:t>broadband</w:t>
      </w:r>
      <w:r w:rsidR="0017469A" w:rsidRPr="002D3DE4">
        <w:t xml:space="preserve"> and </w:t>
      </w:r>
      <w:r w:rsidR="009C5A59" w:rsidRPr="002D3DE4">
        <w:t>firm productivity</w:t>
      </w:r>
      <w:r w:rsidR="00624110" w:rsidRPr="002D3DE4">
        <w:t xml:space="preserve"> (see Annex</w:t>
      </w:r>
      <w:r w:rsidR="002F054B" w:rsidRPr="002D3DE4">
        <w:t xml:space="preserve"> B for the literature review)</w:t>
      </w:r>
      <w:r w:rsidR="00AB0A95" w:rsidRPr="002D3DE4">
        <w:t xml:space="preserve"> although we must recognise that it does </w:t>
      </w:r>
      <w:r w:rsidR="00F61293" w:rsidRPr="002D3DE4">
        <w:t xml:space="preserve">not </w:t>
      </w:r>
      <w:r w:rsidR="00AB0A95" w:rsidRPr="002D3DE4">
        <w:t>specifically identify benefits of fibre broadband</w:t>
      </w:r>
      <w:r w:rsidR="009C5A59" w:rsidRPr="002D3DE4">
        <w:t>.</w:t>
      </w:r>
      <w:r w:rsidR="00624110" w:rsidRPr="002D3DE4">
        <w:t xml:space="preserve"> </w:t>
      </w:r>
      <w:r w:rsidR="00703F00" w:rsidRPr="002D3DE4">
        <w:t xml:space="preserve">This study </w:t>
      </w:r>
      <w:r w:rsidR="00B76CA0" w:rsidRPr="002D3DE4">
        <w:t>use</w:t>
      </w:r>
      <w:r w:rsidR="00CD2209" w:rsidRPr="002D3DE4">
        <w:t>d</w:t>
      </w:r>
      <w:r w:rsidR="00B76CA0" w:rsidRPr="002D3DE4">
        <w:t xml:space="preserve"> Italian data based on </w:t>
      </w:r>
      <w:r w:rsidR="00414C6A" w:rsidRPr="002D3DE4">
        <w:t>firm responses to increases in broadband speed for a period of two years</w:t>
      </w:r>
      <w:r w:rsidR="007A26FD" w:rsidRPr="002D3DE4">
        <w:t xml:space="preserve"> after</w:t>
      </w:r>
      <w:r w:rsidR="00F9169D" w:rsidRPr="002D3DE4">
        <w:t xml:space="preserve"> services became available</w:t>
      </w:r>
      <w:r w:rsidR="00414C6A" w:rsidRPr="002D3DE4">
        <w:t>.</w:t>
      </w:r>
      <w:r w:rsidR="00C60842" w:rsidRPr="002D3DE4">
        <w:t xml:space="preserve"> Two key results were that </w:t>
      </w:r>
      <w:r w:rsidR="00C47852" w:rsidRPr="002D3DE4">
        <w:t xml:space="preserve">the </w:t>
      </w:r>
      <w:r w:rsidR="00A80882" w:rsidRPr="002D3DE4">
        <w:t xml:space="preserve">firms in regions subject to the speed increases (of between 2 to </w:t>
      </w:r>
      <w:r w:rsidR="00C62509" w:rsidRPr="002D3DE4">
        <w:t>10</w:t>
      </w:r>
      <w:r w:rsidR="00A80882" w:rsidRPr="002D3DE4">
        <w:t xml:space="preserve"> times</w:t>
      </w:r>
      <w:r w:rsidR="005401B0" w:rsidRPr="002D3DE4">
        <w:rPr>
          <w:rStyle w:val="FootnoteReference"/>
        </w:rPr>
        <w:footnoteReference w:id="25"/>
      </w:r>
      <w:r w:rsidR="00A80882" w:rsidRPr="002D3DE4">
        <w:t>)</w:t>
      </w:r>
      <w:r w:rsidR="00A060F4" w:rsidRPr="002D3DE4">
        <w:t xml:space="preserve"> </w:t>
      </w:r>
      <w:r w:rsidR="00CC007A" w:rsidRPr="002D3DE4">
        <w:t>experienced</w:t>
      </w:r>
      <w:r w:rsidR="0060601B" w:rsidRPr="002D3DE4">
        <w:t>:</w:t>
      </w:r>
    </w:p>
    <w:p w14:paraId="4AD31F2E" w14:textId="77777777" w:rsidR="00CC007A" w:rsidRPr="002D3DE4" w:rsidRDefault="00CC007A" w:rsidP="00CC007A">
      <w:pPr>
        <w:pStyle w:val="ListBullet1"/>
      </w:pPr>
      <w:r w:rsidRPr="002D3DE4">
        <w:t xml:space="preserve">Increased </w:t>
      </w:r>
      <w:r w:rsidR="00A060F4" w:rsidRPr="002D3DE4">
        <w:t xml:space="preserve">revenues by 14.8% </w:t>
      </w:r>
      <w:r w:rsidR="00BF335E" w:rsidRPr="002D3DE4">
        <w:t xml:space="preserve">(or between 1.6% </w:t>
      </w:r>
      <w:r w:rsidR="00A060F4" w:rsidRPr="002D3DE4">
        <w:t xml:space="preserve">and </w:t>
      </w:r>
      <w:r w:rsidR="00BF335E" w:rsidRPr="002D3DE4">
        <w:t>28.0%)</w:t>
      </w:r>
      <w:r w:rsidRPr="002D3DE4">
        <w:rPr>
          <w:rStyle w:val="FootnoteReference"/>
        </w:rPr>
        <w:footnoteReference w:id="26"/>
      </w:r>
    </w:p>
    <w:p w14:paraId="2060012D" w14:textId="77777777" w:rsidR="00CC007A" w:rsidRPr="002D3DE4" w:rsidRDefault="00CC007A" w:rsidP="00CC007A">
      <w:pPr>
        <w:pStyle w:val="ListBullet1"/>
      </w:pPr>
      <w:r w:rsidRPr="002D3DE4">
        <w:t xml:space="preserve">Increased MFP by </w:t>
      </w:r>
      <w:r w:rsidR="00A060F4" w:rsidRPr="002D3DE4">
        <w:t xml:space="preserve">9.1% </w:t>
      </w:r>
      <w:r w:rsidR="00BF335E" w:rsidRPr="002D3DE4">
        <w:t xml:space="preserve">(or between 3.3% and 14.9%) </w:t>
      </w:r>
      <w:r w:rsidRPr="002D3DE4">
        <w:rPr>
          <w:rStyle w:val="FootnoteReference"/>
        </w:rPr>
        <w:footnoteReference w:id="27"/>
      </w:r>
    </w:p>
    <w:p w14:paraId="1E19F08B" w14:textId="77777777" w:rsidR="004C6CD6" w:rsidRPr="002D3DE4" w:rsidRDefault="00CC007A" w:rsidP="00322939">
      <w:pPr>
        <w:pStyle w:val="BodyText"/>
      </w:pPr>
      <w:r w:rsidRPr="002D3DE4">
        <w:t>O</w:t>
      </w:r>
      <w:r w:rsidR="003826FD" w:rsidRPr="002D3DE4">
        <w:t>ver a period</w:t>
      </w:r>
      <w:r w:rsidR="000A4C52" w:rsidRPr="002D3DE4">
        <w:t xml:space="preserve"> up until one year after increase</w:t>
      </w:r>
      <w:r w:rsidR="00CB4BFB" w:rsidRPr="002D3DE4">
        <w:t>d</w:t>
      </w:r>
      <w:r w:rsidR="000A4C52" w:rsidRPr="002D3DE4">
        <w:t xml:space="preserve"> ADSL2+ availability</w:t>
      </w:r>
      <w:r w:rsidR="00A060F4" w:rsidRPr="002D3DE4">
        <w:t>.</w:t>
      </w:r>
    </w:p>
    <w:p w14:paraId="642DCC20" w14:textId="77777777" w:rsidR="00533822" w:rsidRPr="002D3DE4" w:rsidRDefault="00FE563E" w:rsidP="00322939">
      <w:pPr>
        <w:pStyle w:val="BodyText"/>
      </w:pPr>
      <w:r w:rsidRPr="002D3DE4">
        <w:t>We</w:t>
      </w:r>
      <w:r w:rsidR="00533822" w:rsidRPr="002D3DE4">
        <w:t xml:space="preserve"> adjust</w:t>
      </w:r>
      <w:r w:rsidR="00CD2209" w:rsidRPr="002D3DE4">
        <w:t>ed</w:t>
      </w:r>
      <w:r w:rsidR="00533822" w:rsidRPr="002D3DE4">
        <w:t xml:space="preserve"> </w:t>
      </w:r>
      <w:r w:rsidRPr="002D3DE4">
        <w:t>these</w:t>
      </w:r>
      <w:r w:rsidR="00533822" w:rsidRPr="002D3DE4">
        <w:t xml:space="preserve"> estimates </w:t>
      </w:r>
      <w:r w:rsidR="00A16654" w:rsidRPr="002D3DE4">
        <w:t>to reflect two factors: (</w:t>
      </w:r>
      <w:proofErr w:type="spellStart"/>
      <w:r w:rsidR="00A16654" w:rsidRPr="002D3DE4">
        <w:t>i</w:t>
      </w:r>
      <w:proofErr w:type="spellEnd"/>
      <w:r w:rsidR="00A16654" w:rsidRPr="002D3DE4">
        <w:t xml:space="preserve">) </w:t>
      </w:r>
      <w:r w:rsidR="00533822" w:rsidRPr="002D3DE4">
        <w:t xml:space="preserve">the likely speed effects of the </w:t>
      </w:r>
      <w:r w:rsidR="008A2B70" w:rsidRPr="002D3DE4">
        <w:t xml:space="preserve">NBN Co </w:t>
      </w:r>
      <w:r w:rsidR="00533822" w:rsidRPr="002D3DE4">
        <w:t xml:space="preserve">upgrades, </w:t>
      </w:r>
      <w:r w:rsidR="00703719" w:rsidRPr="002D3DE4">
        <w:t xml:space="preserve">and </w:t>
      </w:r>
      <w:r w:rsidR="0050018D" w:rsidRPr="002D3DE4">
        <w:t xml:space="preserve">(ii) </w:t>
      </w:r>
      <w:r w:rsidR="00703719" w:rsidRPr="002D3DE4">
        <w:t xml:space="preserve">for the </w:t>
      </w:r>
      <w:r w:rsidR="003F2C5C" w:rsidRPr="002D3DE4">
        <w:t xml:space="preserve">industry composition in Australia, which is different from </w:t>
      </w:r>
      <w:r w:rsidR="002E092B" w:rsidRPr="002D3DE4">
        <w:t>Italy.</w:t>
      </w:r>
      <w:r w:rsidR="002E092B" w:rsidRPr="002D3DE4">
        <w:rPr>
          <w:rStyle w:val="FootnoteReference"/>
        </w:rPr>
        <w:footnoteReference w:id="28"/>
      </w:r>
      <w:r w:rsidR="00533822" w:rsidRPr="002D3DE4">
        <w:t xml:space="preserve"> </w:t>
      </w:r>
    </w:p>
    <w:p w14:paraId="4BFCDA57" w14:textId="77777777" w:rsidR="004C6CD6" w:rsidRPr="002D3DE4" w:rsidRDefault="004C6CD6" w:rsidP="00D31AC9">
      <w:pPr>
        <w:pStyle w:val="Heading4"/>
      </w:pPr>
      <w:r w:rsidRPr="002D3DE4">
        <w:t xml:space="preserve">Sectoral effect - </w:t>
      </w:r>
      <w:r w:rsidR="00BF55E9" w:rsidRPr="002D3DE4">
        <w:t>IT</w:t>
      </w:r>
      <w:r w:rsidRPr="002D3DE4">
        <w:t xml:space="preserve"> intensity of a sector</w:t>
      </w:r>
    </w:p>
    <w:p w14:paraId="3E5118F7" w14:textId="77777777" w:rsidR="005B435B" w:rsidRPr="002D3DE4" w:rsidRDefault="005B435B" w:rsidP="005B435B">
      <w:pPr>
        <w:pStyle w:val="BodyText"/>
      </w:pPr>
      <w:r w:rsidRPr="002D3DE4">
        <w:t xml:space="preserve">To </w:t>
      </w:r>
      <w:r w:rsidR="008871D6" w:rsidRPr="002D3DE4">
        <w:t xml:space="preserve">break down </w:t>
      </w:r>
      <w:r w:rsidRPr="002D3DE4">
        <w:t>the forecast effects by sector, we calculate</w:t>
      </w:r>
      <w:r w:rsidR="00CD2209" w:rsidRPr="002D3DE4">
        <w:t>d</w:t>
      </w:r>
      <w:r w:rsidRPr="002D3DE4">
        <w:t xml:space="preserve"> data on IT intensity </w:t>
      </w:r>
      <w:r w:rsidR="00A64FCD" w:rsidRPr="002D3DE4">
        <w:t xml:space="preserve">by dividing net IT capital stock </w:t>
      </w:r>
      <w:r w:rsidR="0090667C" w:rsidRPr="002D3DE4">
        <w:t>by the net capital stock, by industry. We then use</w:t>
      </w:r>
      <w:r w:rsidR="00CD2209" w:rsidRPr="002D3DE4">
        <w:t>d</w:t>
      </w:r>
      <w:r w:rsidR="0090667C" w:rsidRPr="002D3DE4">
        <w:t xml:space="preserve"> this </w:t>
      </w:r>
      <w:r w:rsidR="00075545" w:rsidRPr="002D3DE4">
        <w:t xml:space="preserve">index (where the average industry = 100) to scale the effects by industry sector. This adjustment simply reflects that the industries likely to receive the largest benefit are those that </w:t>
      </w:r>
      <w:r w:rsidR="00416A35" w:rsidRPr="002D3DE4">
        <w:t xml:space="preserve">invest relatively more </w:t>
      </w:r>
      <w:r w:rsidR="006919E0" w:rsidRPr="002D3DE4">
        <w:t xml:space="preserve">capital </w:t>
      </w:r>
      <w:r w:rsidR="00416A35" w:rsidRPr="002D3DE4">
        <w:t>in</w:t>
      </w:r>
      <w:r w:rsidR="00075545" w:rsidRPr="002D3DE4">
        <w:t xml:space="preserve"> IT</w:t>
      </w:r>
      <w:r w:rsidR="004E7AAD" w:rsidRPr="002D3DE4">
        <w:t xml:space="preserve"> (</w:t>
      </w:r>
      <w:proofErr w:type="spellStart"/>
      <w:r w:rsidR="004E7AAD" w:rsidRPr="002D3DE4">
        <w:t>Mollyerd</w:t>
      </w:r>
      <w:proofErr w:type="spellEnd"/>
      <w:r w:rsidR="004E7AAD" w:rsidRPr="002D3DE4">
        <w:t>, 2015)</w:t>
      </w:r>
      <w:r w:rsidR="00075545" w:rsidRPr="002D3DE4">
        <w:t>.</w:t>
      </w:r>
    </w:p>
    <w:p w14:paraId="4837A202" w14:textId="77777777" w:rsidR="006919E0" w:rsidRPr="002D3DE4" w:rsidRDefault="006919E0" w:rsidP="00D31AC9">
      <w:pPr>
        <w:pStyle w:val="Heading4"/>
      </w:pPr>
      <w:r w:rsidRPr="002D3DE4">
        <w:t>Existing quality effect - area remoteness</w:t>
      </w:r>
    </w:p>
    <w:p w14:paraId="194EFE3F" w14:textId="77777777" w:rsidR="004C6CD6" w:rsidRPr="002D3DE4" w:rsidRDefault="005171EC" w:rsidP="004C6CD6">
      <w:pPr>
        <w:pStyle w:val="BodyText"/>
      </w:pPr>
      <w:r w:rsidRPr="002D3DE4">
        <w:t xml:space="preserve">We think there are good reasons to expect the impact of NBN </w:t>
      </w:r>
      <w:proofErr w:type="spellStart"/>
      <w:r w:rsidRPr="002D3DE4">
        <w:t>Co’s</w:t>
      </w:r>
      <w:proofErr w:type="spellEnd"/>
      <w:r w:rsidRPr="002D3DE4">
        <w:t xml:space="preserve"> investments to be significantly greater in areas that </w:t>
      </w:r>
      <w:r w:rsidR="00947B2E" w:rsidRPr="002D3DE4">
        <w:t>currently have access to only basic</w:t>
      </w:r>
      <w:r w:rsidRPr="002D3DE4">
        <w:t xml:space="preserve"> broadband. This is not simply a function of price </w:t>
      </w:r>
      <w:r w:rsidR="003D547E" w:rsidRPr="002D3DE4">
        <w:t>discounts</w:t>
      </w:r>
      <w:r w:rsidR="00A47C3E" w:rsidRPr="002D3DE4">
        <w:t xml:space="preserve">, but rather the greater quality differential expected. So, for example, in CBD areas that are already well served by fibre, the </w:t>
      </w:r>
      <w:r w:rsidR="00116EB5" w:rsidRPr="002D3DE4">
        <w:t xml:space="preserve">economic benefits are likely to be relatively smaller than in Ballina in regional NSW, which has </w:t>
      </w:r>
      <w:r w:rsidR="00947B2E" w:rsidRPr="002D3DE4">
        <w:t>does not presently have</w:t>
      </w:r>
      <w:r w:rsidR="00116EB5" w:rsidRPr="002D3DE4">
        <w:t xml:space="preserve"> access for enterprise-grade fibre services</w:t>
      </w:r>
      <w:r w:rsidR="00947B2E" w:rsidRPr="002D3DE4">
        <w:t xml:space="preserve"> at no upfront cost</w:t>
      </w:r>
      <w:r w:rsidR="00116EB5" w:rsidRPr="002D3DE4">
        <w:t>.</w:t>
      </w:r>
      <w:r w:rsidR="00DD6D3C" w:rsidRPr="002D3DE4">
        <w:t xml:space="preserve"> To account for these locational effects, we construct</w:t>
      </w:r>
      <w:r w:rsidR="00CD2209" w:rsidRPr="002D3DE4">
        <w:t>ed</w:t>
      </w:r>
      <w:r w:rsidR="00DD6D3C" w:rsidRPr="002D3DE4">
        <w:t xml:space="preserve"> an index for the rem</w:t>
      </w:r>
      <w:r w:rsidR="00626C6A" w:rsidRPr="002D3DE4">
        <w:t xml:space="preserve">oteness of the </w:t>
      </w:r>
      <w:r w:rsidR="00FD7E22" w:rsidRPr="002D3DE4">
        <w:t>Business Fibre Zone</w:t>
      </w:r>
      <w:r w:rsidR="00626C6A" w:rsidRPr="002D3DE4">
        <w:t>s</w:t>
      </w:r>
      <w:r w:rsidR="00D111FA" w:rsidRPr="002D3DE4">
        <w:t xml:space="preserve"> based on NBN </w:t>
      </w:r>
      <w:proofErr w:type="spellStart"/>
      <w:r w:rsidR="00D111FA" w:rsidRPr="002D3DE4">
        <w:t>Co’s</w:t>
      </w:r>
      <w:proofErr w:type="spellEnd"/>
      <w:r w:rsidR="00D111FA" w:rsidRPr="002D3DE4">
        <w:t xml:space="preserve"> categorisations</w:t>
      </w:r>
      <w:r w:rsidR="00626C6A" w:rsidRPr="002D3DE4">
        <w:rPr>
          <w:rStyle w:val="FootnoteReference"/>
        </w:rPr>
        <w:footnoteReference w:id="29"/>
      </w:r>
      <w:r w:rsidR="00626C6A" w:rsidRPr="002D3DE4">
        <w:t xml:space="preserve"> and use</w:t>
      </w:r>
      <w:r w:rsidR="00CD2209" w:rsidRPr="002D3DE4">
        <w:t>d</w:t>
      </w:r>
      <w:r w:rsidR="00626C6A" w:rsidRPr="002D3DE4">
        <w:t xml:space="preserve"> these to proxy </w:t>
      </w:r>
      <w:r w:rsidR="00AE3B7E" w:rsidRPr="002D3DE4">
        <w:t>for</w:t>
      </w:r>
      <w:r w:rsidR="008B43D2" w:rsidRPr="002D3DE4">
        <w:t xml:space="preserve"> pre-upgrade</w:t>
      </w:r>
      <w:r w:rsidR="00AE3B7E" w:rsidRPr="002D3DE4">
        <w:t xml:space="preserve"> business internet quality.</w:t>
      </w:r>
      <w:r w:rsidR="00AE3B7E" w:rsidRPr="002D3DE4">
        <w:rPr>
          <w:rStyle w:val="FootnoteReference"/>
        </w:rPr>
        <w:footnoteReference w:id="30"/>
      </w:r>
    </w:p>
    <w:p w14:paraId="067C705C" w14:textId="77777777" w:rsidR="004C6CD6" w:rsidRDefault="004C6CD6" w:rsidP="00D31AC9">
      <w:pPr>
        <w:pStyle w:val="Heading4"/>
      </w:pPr>
      <w:r w:rsidRPr="002D3DE4">
        <w:lastRenderedPageBreak/>
        <w:t>Complementary investment effects</w:t>
      </w:r>
    </w:p>
    <w:p w14:paraId="6EEF391C" w14:textId="77777777" w:rsidR="004C6CD6" w:rsidRPr="00A9277C" w:rsidRDefault="00264F04" w:rsidP="004C6CD6">
      <w:pPr>
        <w:pStyle w:val="BodyText"/>
      </w:pPr>
      <w:r>
        <w:t>The economic literature also tells us the importance of firms making complementary investments to get the most out of higher broadband speeds.</w:t>
      </w:r>
      <w:r w:rsidR="00340252">
        <w:t xml:space="preserve"> </w:t>
      </w:r>
      <w:r w:rsidR="005A34E0">
        <w:t>While we consider that this effect is important, it is complex to forecast which firms are likely to undertake more of that investment</w:t>
      </w:r>
      <w:r w:rsidR="00340252">
        <w:t xml:space="preserve"> and we could not find suitable data</w:t>
      </w:r>
      <w:r w:rsidR="005A34E0">
        <w:t>.</w:t>
      </w:r>
      <w:r w:rsidR="00340252">
        <w:rPr>
          <w:rStyle w:val="FootnoteReference"/>
        </w:rPr>
        <w:footnoteReference w:id="31"/>
      </w:r>
      <w:r w:rsidR="005A34E0">
        <w:t xml:space="preserve"> </w:t>
      </w:r>
      <w:r w:rsidR="005A31D5">
        <w:t xml:space="preserve">One approach may be to </w:t>
      </w:r>
      <w:r w:rsidR="004C6CD6">
        <w:t xml:space="preserve">treat </w:t>
      </w:r>
      <w:r w:rsidR="005A31D5">
        <w:t>such investment</w:t>
      </w:r>
      <w:r w:rsidR="00AB3C20">
        <w:t>s</w:t>
      </w:r>
      <w:r w:rsidR="004C6CD6">
        <w:t xml:space="preserve"> as a binary variable - without </w:t>
      </w:r>
      <w:r w:rsidR="005A31D5">
        <w:t xml:space="preserve">such </w:t>
      </w:r>
      <w:r w:rsidR="004C6CD6">
        <w:t xml:space="preserve">investments </w:t>
      </w:r>
      <w:r w:rsidR="005A31D5">
        <w:t>the forecast benefits will not materialise.</w:t>
      </w:r>
      <w:r w:rsidR="000937EF">
        <w:rPr>
          <w:rStyle w:val="FootnoteReference"/>
        </w:rPr>
        <w:footnoteReference w:id="32"/>
      </w:r>
    </w:p>
    <w:p w14:paraId="6A6ED025" w14:textId="77777777" w:rsidR="004C6CD6" w:rsidRDefault="004C6CD6" w:rsidP="00F22C75">
      <w:pPr>
        <w:pStyle w:val="Heading3"/>
      </w:pPr>
      <w:bookmarkStart w:id="93" w:name="_Toc79671813"/>
      <w:r>
        <w:t>Key results</w:t>
      </w:r>
      <w:bookmarkEnd w:id="93"/>
    </w:p>
    <w:p w14:paraId="383407B7" w14:textId="77777777" w:rsidR="00056DE0" w:rsidRDefault="00056DE0" w:rsidP="00F22C75">
      <w:pPr>
        <w:pStyle w:val="Heading4"/>
      </w:pPr>
      <w:r>
        <w:t xml:space="preserve">Overall </w:t>
      </w:r>
      <w:r w:rsidRPr="00F22C75">
        <w:t>effects</w:t>
      </w:r>
    </w:p>
    <w:p w14:paraId="3F18BD04" w14:textId="4E94D692" w:rsidR="00F611FF" w:rsidRPr="002D3DE4" w:rsidRDefault="00390B46" w:rsidP="00056DE0">
      <w:pPr>
        <w:pStyle w:val="BodyText"/>
      </w:pPr>
      <w:r>
        <w:t xml:space="preserve">As we have </w:t>
      </w:r>
      <w:r w:rsidRPr="002D3DE4">
        <w:t>highlighted above, we need</w:t>
      </w:r>
      <w:r w:rsidR="00CD2209" w:rsidRPr="002D3DE4">
        <w:t>ed</w:t>
      </w:r>
      <w:r w:rsidRPr="002D3DE4">
        <w:t xml:space="preserve"> to esti</w:t>
      </w:r>
      <w:r w:rsidR="00F82CB0" w:rsidRPr="002D3DE4">
        <w:t xml:space="preserve">mate the </w:t>
      </w:r>
      <w:r w:rsidR="003E6600" w:rsidRPr="002D3DE4">
        <w:t>change in average speed that</w:t>
      </w:r>
      <w:r w:rsidR="004F16D0" w:rsidRPr="002D3DE4">
        <w:t xml:space="preserve"> is likely from the business fibre and other business initiatives.</w:t>
      </w:r>
      <w:r w:rsidR="0048489F" w:rsidRPr="002D3DE4">
        <w:t xml:space="preserve"> This can be used to scale the effect in the </w:t>
      </w:r>
      <w:proofErr w:type="spellStart"/>
      <w:r w:rsidR="0048489F" w:rsidRPr="002D3DE4">
        <w:t>Canzian</w:t>
      </w:r>
      <w:proofErr w:type="spellEnd"/>
      <w:r w:rsidR="0048489F" w:rsidRPr="002D3DE4">
        <w:t xml:space="preserve"> et al (2019) study</w:t>
      </w:r>
      <w:r w:rsidR="00E21D95" w:rsidRPr="002D3DE4">
        <w:t xml:space="preserve">, assuming that the </w:t>
      </w:r>
      <w:r w:rsidR="00BD7D91" w:rsidRPr="002D3DE4">
        <w:t xml:space="preserve">impacts </w:t>
      </w:r>
      <w:r w:rsidR="00E860F7" w:rsidRPr="002D3DE4">
        <w:t>from</w:t>
      </w:r>
      <w:r w:rsidR="00BD7D91" w:rsidRPr="002D3DE4">
        <w:t xml:space="preserve"> </w:t>
      </w:r>
      <w:r w:rsidR="00A70E8A" w:rsidRPr="002D3DE4">
        <w:t xml:space="preserve">the average speed increase </w:t>
      </w:r>
      <w:r w:rsidR="00E860F7" w:rsidRPr="002D3DE4">
        <w:t>are</w:t>
      </w:r>
      <w:r w:rsidR="00A70E8A" w:rsidRPr="002D3DE4">
        <w:t xml:space="preserve"> proportional</w:t>
      </w:r>
      <w:r w:rsidR="0048489F" w:rsidRPr="002D3DE4">
        <w:t>.</w:t>
      </w:r>
      <w:r w:rsidR="00B132BD" w:rsidRPr="002D3DE4">
        <w:rPr>
          <w:rStyle w:val="FootnoteReference"/>
        </w:rPr>
        <w:footnoteReference w:id="33"/>
      </w:r>
      <w:r w:rsidR="000A66FF" w:rsidRPr="002D3DE4">
        <w:t xml:space="preserve"> </w:t>
      </w:r>
      <w:r w:rsidR="00F611FF" w:rsidRPr="002D3DE4">
        <w:t>Note that for this part of our study, we use</w:t>
      </w:r>
      <w:r w:rsidR="00CD2209" w:rsidRPr="002D3DE4">
        <w:t>d</w:t>
      </w:r>
      <w:r w:rsidR="00F611FF" w:rsidRPr="002D3DE4">
        <w:t xml:space="preserve"> the changes in speeds that are expected for </w:t>
      </w:r>
      <w:r w:rsidR="00F611FF" w:rsidRPr="002D3DE4">
        <w:rPr>
          <w:i/>
          <w:iCs/>
        </w:rPr>
        <w:t>business</w:t>
      </w:r>
      <w:r w:rsidR="00F611FF" w:rsidRPr="002D3DE4">
        <w:t xml:space="preserve"> services over-and-above those changes that were likely to have occurred without the initiatives. That is because we wish</w:t>
      </w:r>
      <w:r w:rsidR="00CD2209" w:rsidRPr="002D3DE4">
        <w:t>ed</w:t>
      </w:r>
      <w:r w:rsidR="00F611FF" w:rsidRPr="002D3DE4">
        <w:t xml:space="preserve"> to estimate the benefits for businesses, rather than the total speed increase across all users as for Section 2. </w:t>
      </w:r>
      <w:r w:rsidR="00F60D4E" w:rsidRPr="002D3DE4">
        <w:t xml:space="preserve">This forecast </w:t>
      </w:r>
      <w:r w:rsidR="00122C9E" w:rsidRPr="002D3DE4">
        <w:t>captures</w:t>
      </w:r>
      <w:r w:rsidR="00231775" w:rsidRPr="002D3DE4">
        <w:t xml:space="preserve"> expected use of all available services by businesses, including Enterprise Ethernet, TC-2 and TC-4. </w:t>
      </w:r>
      <w:r w:rsidR="00FE248F" w:rsidRPr="002D3DE4">
        <w:t>We weight</w:t>
      </w:r>
      <w:r w:rsidR="003E6526" w:rsidRPr="002D3DE4">
        <w:t>ed</w:t>
      </w:r>
      <w:r w:rsidR="00FE248F" w:rsidRPr="002D3DE4">
        <w:t xml:space="preserve"> these forecasts by total speed available rather than simply by connections, reflecting the additional </w:t>
      </w:r>
      <w:r w:rsidR="0080387E" w:rsidRPr="002D3DE4">
        <w:t>benefits obtainable</w:t>
      </w:r>
      <w:r w:rsidR="0087053D" w:rsidRPr="002D3DE4">
        <w:t xml:space="preserve"> from the much higher capacity direct fibre connections.</w:t>
      </w:r>
    </w:p>
    <w:p w14:paraId="33180B82" w14:textId="4E7759FE" w:rsidR="00E772AE" w:rsidRPr="002D3DE4" w:rsidRDefault="000A66FF" w:rsidP="00056DE0">
      <w:pPr>
        <w:pStyle w:val="BodyText"/>
      </w:pPr>
      <w:r w:rsidRPr="002D3DE4">
        <w:t>Scaling also occur</w:t>
      </w:r>
      <w:r w:rsidR="00300329" w:rsidRPr="002D3DE4">
        <w:t>r</w:t>
      </w:r>
      <w:r w:rsidR="003E6526" w:rsidRPr="002D3DE4">
        <w:t>ed</w:t>
      </w:r>
      <w:r w:rsidRPr="002D3DE4">
        <w:t xml:space="preserve"> for </w:t>
      </w:r>
      <w:r w:rsidR="008871D6" w:rsidRPr="002D3DE4">
        <w:t xml:space="preserve">the different composition of industry in Australia, </w:t>
      </w:r>
      <w:r w:rsidRPr="002D3DE4">
        <w:t xml:space="preserve">as highlighted in </w:t>
      </w:r>
      <w:r w:rsidR="001D4A87" w:rsidRPr="002D3DE4">
        <w:fldChar w:fldCharType="begin"/>
      </w:r>
      <w:r w:rsidR="001D4A87" w:rsidRPr="002D3DE4">
        <w:instrText xml:space="preserve"> REF _Ref74644926 \h </w:instrText>
      </w:r>
      <w:r w:rsidR="002D3DE4">
        <w:instrText xml:space="preserve"> \* MERGEFORMAT </w:instrText>
      </w:r>
      <w:r w:rsidR="001D4A87" w:rsidRPr="002D3DE4">
        <w:fldChar w:fldCharType="separate"/>
      </w:r>
      <w:r w:rsidR="00DD5715" w:rsidRPr="002D3DE4">
        <w:rPr>
          <w:rStyle w:val="Bold"/>
        </w:rPr>
        <w:t xml:space="preserve">Table </w:t>
      </w:r>
      <w:r w:rsidR="00DD5715">
        <w:rPr>
          <w:rStyle w:val="Bold"/>
          <w:noProof/>
        </w:rPr>
        <w:t>10</w:t>
      </w:r>
      <w:r w:rsidR="001D4A87" w:rsidRPr="002D3DE4">
        <w:fldChar w:fldCharType="end"/>
      </w:r>
      <w:r w:rsidR="001D4A87" w:rsidRPr="002D3DE4">
        <w:t>.</w:t>
      </w:r>
    </w:p>
    <w:p w14:paraId="3C7E57E3" w14:textId="593E5358" w:rsidR="002155D9" w:rsidRPr="002D3DE4" w:rsidRDefault="002155D9" w:rsidP="009645AD">
      <w:pPr>
        <w:pStyle w:val="Caption"/>
      </w:pPr>
      <w:bookmarkStart w:id="94" w:name="_Ref74644926"/>
      <w:bookmarkStart w:id="95" w:name="_Toc79585058"/>
      <w:r w:rsidRPr="002D3DE4">
        <w:rPr>
          <w:rStyle w:val="Bold"/>
        </w:rPr>
        <w:lastRenderedPageBreak/>
        <w:t xml:space="preserve">Table </w:t>
      </w:r>
      <w:r w:rsidRPr="002D3DE4">
        <w:rPr>
          <w:rStyle w:val="Bold"/>
        </w:rPr>
        <w:fldChar w:fldCharType="begin"/>
      </w:r>
      <w:r w:rsidRPr="002D3DE4">
        <w:rPr>
          <w:rStyle w:val="Bold"/>
        </w:rPr>
        <w:instrText xml:space="preserve"> SEQ Table \* ARABIC </w:instrText>
      </w:r>
      <w:r w:rsidRPr="002D3DE4">
        <w:rPr>
          <w:rStyle w:val="Bold"/>
        </w:rPr>
        <w:fldChar w:fldCharType="separate"/>
      </w:r>
      <w:r w:rsidR="00DD5715">
        <w:rPr>
          <w:rStyle w:val="Bold"/>
          <w:noProof/>
        </w:rPr>
        <w:t>10</w:t>
      </w:r>
      <w:r w:rsidRPr="002D3DE4">
        <w:rPr>
          <w:rStyle w:val="Bold"/>
        </w:rPr>
        <w:fldChar w:fldCharType="end"/>
      </w:r>
      <w:bookmarkEnd w:id="94"/>
      <w:r w:rsidRPr="002D3DE4">
        <w:rPr>
          <w:rStyle w:val="Bold"/>
        </w:rPr>
        <w:t>:</w:t>
      </w:r>
      <w:r w:rsidRPr="002D3DE4">
        <w:t xml:space="preserve"> </w:t>
      </w:r>
      <w:r w:rsidR="001D4A87" w:rsidRPr="002D3DE4">
        <w:t>Base forecast firm productivity gain</w:t>
      </w:r>
      <w:bookmarkEnd w:id="95"/>
    </w:p>
    <w:tbl>
      <w:tblPr>
        <w:tblStyle w:val="FETableStyle"/>
        <w:tblW w:w="5001" w:type="pct"/>
        <w:tblLayout w:type="fixed"/>
        <w:tblLook w:val="0420" w:firstRow="1" w:lastRow="0" w:firstColumn="0" w:lastColumn="0" w:noHBand="0" w:noVBand="1"/>
        <w:tblCaption w:val="Base forecast firm productivity gain"/>
        <w:tblDescription w:val="Base forecast firm productivity gain"/>
      </w:tblPr>
      <w:tblGrid>
        <w:gridCol w:w="2837"/>
        <w:gridCol w:w="1205"/>
        <w:gridCol w:w="1205"/>
        <w:gridCol w:w="3825"/>
      </w:tblGrid>
      <w:tr w:rsidR="00C11B94" w:rsidRPr="002D3DE4" w14:paraId="04F99920" w14:textId="77777777" w:rsidTr="00F22C75">
        <w:trPr>
          <w:cnfStyle w:val="100000000000" w:firstRow="1" w:lastRow="0" w:firstColumn="0" w:lastColumn="0" w:oddVBand="0" w:evenVBand="0" w:oddHBand="0" w:evenHBand="0" w:firstRowFirstColumn="0" w:firstRowLastColumn="0" w:lastRowFirstColumn="0" w:lastRowLastColumn="0"/>
          <w:tblHeader/>
        </w:trPr>
        <w:tc>
          <w:tcPr>
            <w:tcW w:w="2836" w:type="dxa"/>
            <w:noWrap/>
            <w:hideMark/>
          </w:tcPr>
          <w:p w14:paraId="55FE7B40" w14:textId="77777777" w:rsidR="00C11B94" w:rsidRPr="002D3DE4" w:rsidRDefault="00C11B94" w:rsidP="00C11B94">
            <w:pPr>
              <w:pStyle w:val="TableHeading"/>
              <w:rPr>
                <w:b/>
              </w:rPr>
            </w:pPr>
            <w:r w:rsidRPr="002D3DE4">
              <w:rPr>
                <w:b/>
              </w:rPr>
              <w:t>Result</w:t>
            </w:r>
          </w:p>
        </w:tc>
        <w:tc>
          <w:tcPr>
            <w:tcW w:w="1205" w:type="dxa"/>
          </w:tcPr>
          <w:p w14:paraId="1ECB33A6" w14:textId="77777777" w:rsidR="00C11B94" w:rsidRPr="002D3DE4" w:rsidRDefault="00C11B94" w:rsidP="00C11B94">
            <w:pPr>
              <w:pStyle w:val="TableHeading"/>
              <w:rPr>
                <w:b/>
              </w:rPr>
            </w:pPr>
            <w:r w:rsidRPr="002D3DE4">
              <w:rPr>
                <w:b/>
              </w:rPr>
              <w:t>Average firm TFP gain</w:t>
            </w:r>
          </w:p>
        </w:tc>
        <w:tc>
          <w:tcPr>
            <w:tcW w:w="1205" w:type="dxa"/>
            <w:noWrap/>
            <w:hideMark/>
          </w:tcPr>
          <w:p w14:paraId="74892245" w14:textId="77777777" w:rsidR="00C11B94" w:rsidRPr="002D3DE4" w:rsidRDefault="00C11B94" w:rsidP="00C11B94">
            <w:pPr>
              <w:pStyle w:val="TableHeading"/>
              <w:rPr>
                <w:b/>
              </w:rPr>
            </w:pPr>
            <w:r w:rsidRPr="002D3DE4">
              <w:rPr>
                <w:b/>
              </w:rPr>
              <w:t>Average firm revenue gain</w:t>
            </w:r>
          </w:p>
        </w:tc>
        <w:tc>
          <w:tcPr>
            <w:tcW w:w="3825" w:type="dxa"/>
            <w:noWrap/>
            <w:hideMark/>
          </w:tcPr>
          <w:p w14:paraId="4BF4AF65" w14:textId="77777777" w:rsidR="00C11B94" w:rsidRPr="002D3DE4" w:rsidRDefault="00C11B94" w:rsidP="00C11B94">
            <w:pPr>
              <w:pStyle w:val="TableHeading"/>
              <w:rPr>
                <w:b/>
              </w:rPr>
            </w:pPr>
            <w:r w:rsidRPr="002D3DE4">
              <w:rPr>
                <w:b/>
              </w:rPr>
              <w:t>Notes</w:t>
            </w:r>
          </w:p>
        </w:tc>
      </w:tr>
      <w:tr w:rsidR="00C11B94" w:rsidRPr="002D3DE4" w14:paraId="75A593D3" w14:textId="77777777" w:rsidTr="00C11B94">
        <w:trPr>
          <w:cnfStyle w:val="000000100000" w:firstRow="0" w:lastRow="0" w:firstColumn="0" w:lastColumn="0" w:oddVBand="0" w:evenVBand="0" w:oddHBand="1" w:evenHBand="0" w:firstRowFirstColumn="0" w:firstRowLastColumn="0" w:lastRowFirstColumn="0" w:lastRowLastColumn="0"/>
        </w:trPr>
        <w:tc>
          <w:tcPr>
            <w:tcW w:w="2836" w:type="dxa"/>
            <w:noWrap/>
            <w:hideMark/>
          </w:tcPr>
          <w:p w14:paraId="76741585" w14:textId="77777777" w:rsidR="00C11B94" w:rsidRPr="002D3DE4" w:rsidRDefault="00C11B94" w:rsidP="00C11B94">
            <w:pPr>
              <w:pStyle w:val="TableText"/>
            </w:pPr>
            <w:proofErr w:type="spellStart"/>
            <w:r w:rsidRPr="002D3DE4">
              <w:t>Canzian</w:t>
            </w:r>
            <w:proofErr w:type="spellEnd"/>
            <w:r w:rsidRPr="002D3DE4">
              <w:t xml:space="preserve"> et al study effect</w:t>
            </w:r>
          </w:p>
        </w:tc>
        <w:tc>
          <w:tcPr>
            <w:tcW w:w="1205" w:type="dxa"/>
          </w:tcPr>
          <w:p w14:paraId="5E6A98A9" w14:textId="77777777" w:rsidR="00C11B94" w:rsidRPr="002D3DE4" w:rsidRDefault="00C11B94" w:rsidP="00C11B94">
            <w:pPr>
              <w:pStyle w:val="TableText"/>
            </w:pPr>
            <w:r w:rsidRPr="002D3DE4">
              <w:t>9.1%</w:t>
            </w:r>
          </w:p>
        </w:tc>
        <w:tc>
          <w:tcPr>
            <w:tcW w:w="1205" w:type="dxa"/>
            <w:noWrap/>
            <w:hideMark/>
          </w:tcPr>
          <w:p w14:paraId="3A6F6349" w14:textId="77777777" w:rsidR="00C11B94" w:rsidRPr="002D3DE4" w:rsidRDefault="00C11B94" w:rsidP="00C11B94">
            <w:pPr>
              <w:pStyle w:val="TableText"/>
            </w:pPr>
            <w:r w:rsidRPr="002D3DE4">
              <w:t>14.8%</w:t>
            </w:r>
          </w:p>
        </w:tc>
        <w:tc>
          <w:tcPr>
            <w:tcW w:w="3825" w:type="dxa"/>
            <w:noWrap/>
            <w:hideMark/>
          </w:tcPr>
          <w:p w14:paraId="5E40C3D4" w14:textId="77777777" w:rsidR="00C11B94" w:rsidRPr="002D3DE4" w:rsidRDefault="00C11B94" w:rsidP="00C11B94">
            <w:pPr>
              <w:pStyle w:val="TableText"/>
            </w:pPr>
            <w:r w:rsidRPr="002D3DE4">
              <w:t xml:space="preserve">Based on speed and other benefits derived from shifts to business ADSL+ services </w:t>
            </w:r>
            <w:proofErr w:type="gramStart"/>
            <w:r w:rsidRPr="002D3DE4">
              <w:t>between 2010-2015</w:t>
            </w:r>
            <w:proofErr w:type="gramEnd"/>
            <w:r w:rsidRPr="002D3DE4">
              <w:t>.</w:t>
            </w:r>
          </w:p>
        </w:tc>
      </w:tr>
      <w:tr w:rsidR="00C11B94" w:rsidRPr="002D3DE4" w14:paraId="149879C7" w14:textId="77777777" w:rsidTr="00C11B94">
        <w:trPr>
          <w:cnfStyle w:val="000000010000" w:firstRow="0" w:lastRow="0" w:firstColumn="0" w:lastColumn="0" w:oddVBand="0" w:evenVBand="0" w:oddHBand="0" w:evenHBand="1" w:firstRowFirstColumn="0" w:firstRowLastColumn="0" w:lastRowFirstColumn="0" w:lastRowLastColumn="0"/>
        </w:trPr>
        <w:tc>
          <w:tcPr>
            <w:tcW w:w="2836" w:type="dxa"/>
            <w:noWrap/>
            <w:hideMark/>
          </w:tcPr>
          <w:p w14:paraId="6C24F07F" w14:textId="77777777" w:rsidR="00C11B94" w:rsidRPr="002D3DE4" w:rsidRDefault="00C11B94" w:rsidP="00C11B94">
            <w:pPr>
              <w:pStyle w:val="TableText"/>
            </w:pPr>
            <w:r w:rsidRPr="002D3DE4">
              <w:t xml:space="preserve">Corrected for Australian </w:t>
            </w:r>
            <w:r w:rsidR="00BF55E9" w:rsidRPr="002D3DE4">
              <w:t>IT</w:t>
            </w:r>
            <w:r w:rsidRPr="002D3DE4">
              <w:t xml:space="preserve"> intensity</w:t>
            </w:r>
          </w:p>
        </w:tc>
        <w:tc>
          <w:tcPr>
            <w:tcW w:w="1205" w:type="dxa"/>
          </w:tcPr>
          <w:p w14:paraId="602B393D" w14:textId="77777777" w:rsidR="00C11B94" w:rsidRPr="002D3DE4" w:rsidRDefault="00C11B94" w:rsidP="00C11B94">
            <w:pPr>
              <w:pStyle w:val="TableText"/>
            </w:pPr>
            <w:r w:rsidRPr="002D3DE4">
              <w:t>6.2%</w:t>
            </w:r>
          </w:p>
        </w:tc>
        <w:tc>
          <w:tcPr>
            <w:tcW w:w="1205" w:type="dxa"/>
            <w:noWrap/>
            <w:hideMark/>
          </w:tcPr>
          <w:p w14:paraId="753FB1CC" w14:textId="77777777" w:rsidR="00C11B94" w:rsidRPr="002D3DE4" w:rsidRDefault="00C11B94" w:rsidP="00C11B94">
            <w:pPr>
              <w:pStyle w:val="TableText"/>
            </w:pPr>
            <w:r w:rsidRPr="002D3DE4">
              <w:t>10.1%</w:t>
            </w:r>
          </w:p>
        </w:tc>
        <w:tc>
          <w:tcPr>
            <w:tcW w:w="3825" w:type="dxa"/>
            <w:noWrap/>
            <w:hideMark/>
          </w:tcPr>
          <w:p w14:paraId="2794DABE" w14:textId="77777777" w:rsidR="00C11B94" w:rsidRPr="002D3DE4" w:rsidRDefault="00C11B94" w:rsidP="00C11B94">
            <w:pPr>
              <w:pStyle w:val="TableText"/>
            </w:pPr>
            <w:r w:rsidRPr="002D3DE4">
              <w:t xml:space="preserve">Based on average </w:t>
            </w:r>
            <w:r w:rsidR="00BF55E9" w:rsidRPr="002D3DE4">
              <w:t>IT</w:t>
            </w:r>
            <w:r w:rsidRPr="002D3DE4">
              <w:t xml:space="preserve"> intensity in Australia, excluding mining and agriculture which were not included in </w:t>
            </w:r>
            <w:proofErr w:type="spellStart"/>
            <w:r w:rsidRPr="002D3DE4">
              <w:t>Canzian</w:t>
            </w:r>
            <w:proofErr w:type="spellEnd"/>
            <w:r w:rsidRPr="002D3DE4">
              <w:t xml:space="preserve"> et al study</w:t>
            </w:r>
          </w:p>
        </w:tc>
      </w:tr>
      <w:tr w:rsidR="00C11B94" w:rsidRPr="002D3DE4" w14:paraId="00389374" w14:textId="77777777" w:rsidTr="00C11B94">
        <w:trPr>
          <w:cnfStyle w:val="000000100000" w:firstRow="0" w:lastRow="0" w:firstColumn="0" w:lastColumn="0" w:oddVBand="0" w:evenVBand="0" w:oddHBand="1" w:evenHBand="0" w:firstRowFirstColumn="0" w:firstRowLastColumn="0" w:lastRowFirstColumn="0" w:lastRowLastColumn="0"/>
        </w:trPr>
        <w:tc>
          <w:tcPr>
            <w:tcW w:w="2836" w:type="dxa"/>
            <w:shd w:val="clear" w:color="auto" w:fill="auto"/>
            <w:noWrap/>
            <w:hideMark/>
          </w:tcPr>
          <w:p w14:paraId="38847719" w14:textId="77777777" w:rsidR="00C11B94" w:rsidRPr="002D3DE4" w:rsidRDefault="00C11B94" w:rsidP="00C11B94">
            <w:pPr>
              <w:pStyle w:val="TableText"/>
            </w:pPr>
            <w:r w:rsidRPr="002D3DE4">
              <w:t>Corrected for forecast speed increase</w:t>
            </w:r>
          </w:p>
        </w:tc>
        <w:tc>
          <w:tcPr>
            <w:tcW w:w="1205" w:type="dxa"/>
          </w:tcPr>
          <w:p w14:paraId="4CD9CF93" w14:textId="77777777" w:rsidR="00C11B94" w:rsidRPr="002D3DE4" w:rsidDel="00CE7391" w:rsidRDefault="00C11B94" w:rsidP="00C11B94">
            <w:pPr>
              <w:pStyle w:val="TableText"/>
              <w:rPr>
                <w:b/>
                <w:bCs/>
              </w:rPr>
            </w:pPr>
            <w:r w:rsidRPr="002D3DE4">
              <w:rPr>
                <w:b/>
                <w:bCs/>
              </w:rPr>
              <w:t>2.0%</w:t>
            </w:r>
          </w:p>
        </w:tc>
        <w:tc>
          <w:tcPr>
            <w:tcW w:w="1205" w:type="dxa"/>
            <w:shd w:val="clear" w:color="auto" w:fill="auto"/>
            <w:noWrap/>
            <w:hideMark/>
          </w:tcPr>
          <w:p w14:paraId="5AFD1DE8" w14:textId="77777777" w:rsidR="00C11B94" w:rsidRPr="002D3DE4" w:rsidRDefault="00C11B94" w:rsidP="00C11B94">
            <w:pPr>
              <w:pStyle w:val="TableText"/>
              <w:rPr>
                <w:b/>
                <w:bCs/>
              </w:rPr>
            </w:pPr>
            <w:r w:rsidRPr="002D3DE4">
              <w:rPr>
                <w:b/>
                <w:bCs/>
              </w:rPr>
              <w:t>3.3%</w:t>
            </w:r>
          </w:p>
        </w:tc>
        <w:tc>
          <w:tcPr>
            <w:tcW w:w="3825" w:type="dxa"/>
            <w:shd w:val="clear" w:color="auto" w:fill="auto"/>
            <w:noWrap/>
            <w:hideMark/>
          </w:tcPr>
          <w:p w14:paraId="3B712F83" w14:textId="77777777" w:rsidR="00C11B94" w:rsidRPr="002D3DE4" w:rsidRDefault="00C11B94" w:rsidP="00C11B94">
            <w:pPr>
              <w:pStyle w:val="TableText"/>
            </w:pPr>
            <w:r w:rsidRPr="002D3DE4">
              <w:t>Based on a forecast speed increase</w:t>
            </w:r>
            <w:r w:rsidR="00C60386" w:rsidRPr="002D3DE4">
              <w:t xml:space="preserve"> due to broadband improvements</w:t>
            </w:r>
            <w:r w:rsidRPr="002D3DE4">
              <w:t xml:space="preserve"> of 100% over the period to 2024, around 54% of the increase in </w:t>
            </w:r>
            <w:proofErr w:type="spellStart"/>
            <w:r w:rsidRPr="002D3DE4">
              <w:t>Canzian</w:t>
            </w:r>
            <w:proofErr w:type="spellEnd"/>
            <w:r w:rsidRPr="002D3DE4">
              <w:t xml:space="preserve"> et al study.</w:t>
            </w:r>
          </w:p>
        </w:tc>
      </w:tr>
    </w:tbl>
    <w:p w14:paraId="157D7AF9" w14:textId="77777777" w:rsidR="00056DE0" w:rsidRPr="002D3DE4" w:rsidRDefault="002155D9" w:rsidP="00FE4336">
      <w:pPr>
        <w:pStyle w:val="Source"/>
      </w:pPr>
      <w:r w:rsidRPr="002D3DE4">
        <w:t xml:space="preserve">Source: </w:t>
      </w:r>
      <w:r w:rsidR="00F834A4" w:rsidRPr="002D3DE4">
        <w:t>Frontier Economics</w:t>
      </w:r>
    </w:p>
    <w:p w14:paraId="09E34DEC" w14:textId="77777777" w:rsidR="004C6CD6" w:rsidRPr="002D3DE4" w:rsidRDefault="00A77C39" w:rsidP="00D31AC9">
      <w:pPr>
        <w:pStyle w:val="Heading4"/>
      </w:pPr>
      <w:r w:rsidRPr="002D3DE4">
        <w:t>Expected productivity gains by industry type</w:t>
      </w:r>
    </w:p>
    <w:p w14:paraId="7030FFB3" w14:textId="77777777" w:rsidR="004C6CD6" w:rsidRPr="002D3DE4" w:rsidRDefault="008742A0" w:rsidP="004C6CD6">
      <w:pPr>
        <w:pStyle w:val="BodyText"/>
      </w:pPr>
      <w:r w:rsidRPr="002D3DE4">
        <w:t xml:space="preserve">The </w:t>
      </w:r>
      <w:r w:rsidR="008871D6" w:rsidRPr="002D3DE4">
        <w:t xml:space="preserve">breakdown </w:t>
      </w:r>
      <w:r w:rsidRPr="002D3DE4">
        <w:t>of the gains into sectors proceeds as described above, using</w:t>
      </w:r>
      <w:r w:rsidR="005F2D61" w:rsidRPr="002D3DE4">
        <w:t xml:space="preserve"> ABS data.</w:t>
      </w:r>
    </w:p>
    <w:p w14:paraId="22CE656E" w14:textId="690C4F3A" w:rsidR="005F2D61" w:rsidRDefault="00A77B7F" w:rsidP="004C6CD6">
      <w:pPr>
        <w:pStyle w:val="BodyText"/>
      </w:pPr>
      <w:r w:rsidRPr="002D3DE4">
        <w:t>We first calculate</w:t>
      </w:r>
      <w:r w:rsidR="003E6526" w:rsidRPr="002D3DE4">
        <w:t>d</w:t>
      </w:r>
      <w:r w:rsidRPr="002D3DE4">
        <w:t xml:space="preserve"> IT intensity of sectors, as shown in </w:t>
      </w:r>
      <w:r w:rsidR="00935E68" w:rsidRPr="002D3DE4">
        <w:fldChar w:fldCharType="begin"/>
      </w:r>
      <w:r w:rsidR="00935E68" w:rsidRPr="002D3DE4">
        <w:instrText xml:space="preserve"> REF _Ref74645610 \h </w:instrText>
      </w:r>
      <w:r w:rsidR="002D3DE4">
        <w:instrText xml:space="preserve"> \* MERGEFORMAT </w:instrText>
      </w:r>
      <w:r w:rsidR="00935E68" w:rsidRPr="002D3DE4">
        <w:fldChar w:fldCharType="separate"/>
      </w:r>
      <w:r w:rsidR="00DD5715" w:rsidRPr="007C5D2E">
        <w:rPr>
          <w:rStyle w:val="Bold"/>
        </w:rPr>
        <w:t xml:space="preserve">Figure </w:t>
      </w:r>
      <w:r w:rsidR="00DD5715">
        <w:rPr>
          <w:rStyle w:val="Bold"/>
          <w:noProof/>
        </w:rPr>
        <w:t>14</w:t>
      </w:r>
      <w:r w:rsidR="00935E68" w:rsidRPr="002D3DE4">
        <w:fldChar w:fldCharType="end"/>
      </w:r>
      <w:r w:rsidR="009846E7" w:rsidRPr="002D3DE4">
        <w:t xml:space="preserve">. </w:t>
      </w:r>
      <w:r w:rsidR="009645AD" w:rsidRPr="002D3DE4">
        <w:t xml:space="preserve">There are large variations between industry sectors. </w:t>
      </w:r>
      <w:r w:rsidR="009846E7" w:rsidRPr="002D3DE4">
        <w:t>The services sectors</w:t>
      </w:r>
      <w:r w:rsidR="00D7396E" w:rsidRPr="002D3DE4">
        <w:t xml:space="preserve"> have a much higher share of their capital stock in IT investment. Other sectors with relatively high intensity include</w:t>
      </w:r>
      <w:r w:rsidR="002F03EC" w:rsidRPr="002D3DE4">
        <w:t xml:space="preserve"> construction, information media and communications, and wholesale and retail trade. Sectors with low intensity include mining, agriculture, manufacturing and transport.</w:t>
      </w:r>
      <w:r w:rsidR="00774506" w:rsidRPr="002D3DE4">
        <w:rPr>
          <w:rStyle w:val="FootnoteReference"/>
        </w:rPr>
        <w:footnoteReference w:id="34"/>
      </w:r>
      <w:r w:rsidR="002F03EC" w:rsidRPr="002D3DE4">
        <w:t xml:space="preserve"> Although</w:t>
      </w:r>
      <w:r w:rsidR="002F03EC">
        <w:t xml:space="preserve"> these sectors have low IT intensity, it is also worth noting that some of these sectors are large and investments significant in dollar terms.</w:t>
      </w:r>
      <w:r w:rsidR="00A94750">
        <w:t xml:space="preserve"> </w:t>
      </w:r>
    </w:p>
    <w:p w14:paraId="6315EC20" w14:textId="3FA2384B" w:rsidR="00935E68" w:rsidRDefault="00935E68" w:rsidP="009645AD">
      <w:pPr>
        <w:pStyle w:val="Caption"/>
      </w:pPr>
      <w:bookmarkStart w:id="96" w:name="_Ref74645610"/>
      <w:bookmarkStart w:id="97" w:name="_Toc74684929"/>
      <w:bookmarkStart w:id="98" w:name="_Toc79585075"/>
      <w:r w:rsidRPr="007C5D2E">
        <w:rPr>
          <w:rStyle w:val="Bold"/>
        </w:rPr>
        <w:lastRenderedPageBreak/>
        <w:t xml:space="preserve">Figure </w:t>
      </w:r>
      <w:r w:rsidRPr="007C5D2E">
        <w:rPr>
          <w:rStyle w:val="Bold"/>
        </w:rPr>
        <w:fldChar w:fldCharType="begin"/>
      </w:r>
      <w:r w:rsidRPr="007C5D2E">
        <w:rPr>
          <w:rStyle w:val="Bold"/>
        </w:rPr>
        <w:instrText xml:space="preserve"> SEQ Figure \* ARABIC </w:instrText>
      </w:r>
      <w:r w:rsidRPr="007C5D2E">
        <w:rPr>
          <w:rStyle w:val="Bold"/>
        </w:rPr>
        <w:fldChar w:fldCharType="separate"/>
      </w:r>
      <w:r w:rsidR="00DD5715">
        <w:rPr>
          <w:rStyle w:val="Bold"/>
          <w:noProof/>
        </w:rPr>
        <w:t>14</w:t>
      </w:r>
      <w:r w:rsidRPr="007C5D2E">
        <w:rPr>
          <w:rStyle w:val="Bold"/>
        </w:rPr>
        <w:fldChar w:fldCharType="end"/>
      </w:r>
      <w:bookmarkEnd w:id="96"/>
      <w:r w:rsidRPr="00BE496A">
        <w:t xml:space="preserve">: </w:t>
      </w:r>
      <w:r w:rsidR="001F2EF2">
        <w:t>IT intensity</w:t>
      </w:r>
      <w:r w:rsidR="00F86056">
        <w:t xml:space="preserve"> (IT capital stock / Total capital stock)</w:t>
      </w:r>
      <w:r w:rsidR="001F2EF2">
        <w:t xml:space="preserve"> for Australian industry sectors, </w:t>
      </w:r>
      <w:r w:rsidR="009846E7">
        <w:t>2020</w:t>
      </w:r>
      <w:bookmarkEnd w:id="97"/>
      <w:bookmarkEnd w:id="98"/>
    </w:p>
    <w:p w14:paraId="5B10662F" w14:textId="779FD251" w:rsidR="00935E68" w:rsidRDefault="007D78FA" w:rsidP="009645AD">
      <w:pPr>
        <w:pStyle w:val="Image-Page1fullwidth"/>
        <w:keepNext/>
        <w:framePr w:w="0" w:hSpace="0" w:wrap="auto" w:vAnchor="margin" w:yAlign="inline"/>
        <w:spacing w:after="0" w:line="240" w:lineRule="auto"/>
      </w:pPr>
      <w:r>
        <w:rPr>
          <w:lang w:eastAsia="en-AU"/>
        </w:rPr>
        <w:drawing>
          <wp:inline distT="0" distB="0" distL="0" distR="0" wp14:anchorId="00DE02B0" wp14:editId="495462EA">
            <wp:extent cx="5705987" cy="3890683"/>
            <wp:effectExtent l="0" t="0" r="9525" b="0"/>
            <wp:docPr id="9" name="Picture 9" descr="This figure charts the IT Intensity of Australian industry sectors as at 2020. IT intensity for an industry is total IT capital stock in the industry divided by the total capital stock in the industry.&#10;&#10;Average IT intensity is 1.9% and is as high as 14.4% for Other services, and as low as 0.2% for the mining sector.&#10;&#10;IT intensities for by sector for all sectors are:&#10;&#10;Agriculture, forestry and fishing 1.4%&#10;Mining 0.2%&#10;Manufacturing 2.0%&#10;Electricity, gas, water and waste services 3.4%&#10;Construction 8.1%&#10;Wholesale trade 6.9%&#10;Retail trade 7.0%&#10;Accommodation and food services 3.7%&#10;Transport, postal and warehousing 1.4%&#10;Information media and telecommunications 8.1%&#10;Financial and insurance services 10.7%&#10;Rental, hiring and real estate services 2.0%&#10;Professional, scientific and technical services 11.5%&#10;Administrative and support services 12.7%&#10;Public administration and safety 2.7%&#10;Education and training 2.1%&#10;Health care and social assistance 3.6%&#10;Arts and recreation services 5.1%&#10;Other services 14.4%&#10;All industries 1.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his figure charts the IT Intensity of Australian industry sectors as at 2020. IT intensity for an industry is total IT capital stock in the industry divided by the total capital stock in the industry.&#10;&#10;Average IT intensity is 1.9% and is as high as 14.4% for Other services, and as low as 0.2% for the mining sector.&#10;&#10;IT intensities for by sector for all sectors are:&#10;&#10;Agriculture, forestry and fishing 1.4%&#10;Mining 0.2%&#10;Manufacturing 2.0%&#10;Electricity, gas, water and waste services 3.4%&#10;Construction 8.1%&#10;Wholesale trade 6.9%&#10;Retail trade 7.0%&#10;Accommodation and food services 3.7%&#10;Transport, postal and warehousing 1.4%&#10;Information media and telecommunications 8.1%&#10;Financial and insurance services 10.7%&#10;Rental, hiring and real estate services 2.0%&#10;Professional, scientific and technical services 11.5%&#10;Administrative and support services 12.7%&#10;Public administration and safety 2.7%&#10;Education and training 2.1%&#10;Health care and social assistance 3.6%&#10;Arts and recreation services 5.1%&#10;Other services 14.4%&#10;All industries 1.9%&#1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22949" cy="3902248"/>
                    </a:xfrm>
                    <a:prstGeom prst="rect">
                      <a:avLst/>
                    </a:prstGeom>
                    <a:noFill/>
                  </pic:spPr>
                </pic:pic>
              </a:graphicData>
            </a:graphic>
          </wp:inline>
        </w:drawing>
      </w:r>
    </w:p>
    <w:p w14:paraId="1F2CFBC2" w14:textId="77777777" w:rsidR="00935E68" w:rsidRPr="003335D6" w:rsidRDefault="00935E68" w:rsidP="00F22C75">
      <w:pPr>
        <w:pStyle w:val="Source"/>
      </w:pPr>
      <w:r w:rsidRPr="003335D6">
        <w:t xml:space="preserve">Source: </w:t>
      </w:r>
      <w:r w:rsidR="009846E7" w:rsidRPr="00F22C75">
        <w:t>ABS</w:t>
      </w:r>
    </w:p>
    <w:p w14:paraId="1BC2FD6C" w14:textId="7944A688" w:rsidR="003D682E" w:rsidRDefault="003D682E" w:rsidP="007C0950">
      <w:pPr>
        <w:pStyle w:val="BodyText"/>
      </w:pPr>
      <w:r>
        <w:t xml:space="preserve">The diversity in IT intensity also means that although the aggregate effect might not be considered large across all industries, it is reasonably high for particular sectors: note from </w:t>
      </w:r>
      <w:r>
        <w:fldChar w:fldCharType="begin"/>
      </w:r>
      <w:r>
        <w:instrText xml:space="preserve"> REF _Ref74645610 \h </w:instrText>
      </w:r>
      <w:r>
        <w:fldChar w:fldCharType="separate"/>
      </w:r>
      <w:r w:rsidR="00DD5715" w:rsidRPr="007C5D2E">
        <w:rPr>
          <w:rStyle w:val="Bold"/>
        </w:rPr>
        <w:t xml:space="preserve">Figure </w:t>
      </w:r>
      <w:r w:rsidR="00DD5715">
        <w:rPr>
          <w:rStyle w:val="Bold"/>
          <w:noProof/>
        </w:rPr>
        <w:t>14</w:t>
      </w:r>
      <w:r>
        <w:fldChar w:fldCharType="end"/>
      </w:r>
      <w:r>
        <w:t xml:space="preserve"> that the effect for professional, scientific and technical services will be more than 5 times the average effect across industries with no further scaling.</w:t>
      </w:r>
    </w:p>
    <w:p w14:paraId="2280D7B3" w14:textId="77777777" w:rsidR="009645AD" w:rsidRPr="002D3DE4" w:rsidRDefault="007C0950" w:rsidP="007C0950">
      <w:pPr>
        <w:pStyle w:val="BodyText"/>
      </w:pPr>
      <w:r>
        <w:t xml:space="preserve">We </w:t>
      </w:r>
      <w:r w:rsidRPr="002D3DE4">
        <w:t>then consider</w:t>
      </w:r>
      <w:r w:rsidR="003E6526" w:rsidRPr="002D3DE4">
        <w:t>ed</w:t>
      </w:r>
      <w:r w:rsidRPr="002D3DE4">
        <w:t xml:space="preserve"> whether these effects are likely to directly translate in different productivity effects.</w:t>
      </w:r>
      <w:r w:rsidR="005D4B8A" w:rsidRPr="002D3DE4">
        <w:t xml:space="preserve"> </w:t>
      </w:r>
      <w:r w:rsidR="003D27C5" w:rsidRPr="002D3DE4">
        <w:t>For example,</w:t>
      </w:r>
      <w:r w:rsidR="005D4B8A" w:rsidRPr="002D3DE4">
        <w:t xml:space="preserve"> </w:t>
      </w:r>
      <w:r w:rsidR="003D27C5" w:rsidRPr="002D3DE4">
        <w:t xml:space="preserve">the relationship between </w:t>
      </w:r>
      <w:r w:rsidR="00BF55E9" w:rsidRPr="002D3DE4">
        <w:t>IT</w:t>
      </w:r>
      <w:r w:rsidR="003D27C5" w:rsidRPr="002D3DE4">
        <w:t xml:space="preserve"> intensity and </w:t>
      </w:r>
      <w:r w:rsidR="009645AD" w:rsidRPr="002D3DE4">
        <w:t xml:space="preserve">estimated </w:t>
      </w:r>
      <w:r w:rsidR="003D27C5" w:rsidRPr="002D3DE4">
        <w:t xml:space="preserve">productivity benefit </w:t>
      </w:r>
      <w:r w:rsidR="009645AD" w:rsidRPr="002D3DE4">
        <w:t xml:space="preserve">from faster broadband </w:t>
      </w:r>
      <w:r w:rsidR="003D27C5" w:rsidRPr="002D3DE4">
        <w:t xml:space="preserve">may </w:t>
      </w:r>
      <w:r w:rsidR="001E447A" w:rsidRPr="002D3DE4">
        <w:t>show increasing or decreasing returns</w:t>
      </w:r>
      <w:r w:rsidR="005373EC" w:rsidRPr="002D3DE4">
        <w:t>, or have a fixed and variable component</w:t>
      </w:r>
      <w:r w:rsidR="003D27C5" w:rsidRPr="002D3DE4">
        <w:t>.</w:t>
      </w:r>
      <w:r w:rsidR="005373EC" w:rsidRPr="002D3DE4">
        <w:rPr>
          <w:rStyle w:val="FootnoteReference"/>
        </w:rPr>
        <w:footnoteReference w:id="35"/>
      </w:r>
      <w:r w:rsidR="003D27C5" w:rsidRPr="002D3DE4">
        <w:t xml:space="preserve"> </w:t>
      </w:r>
    </w:p>
    <w:p w14:paraId="43DFC219" w14:textId="28B5C7B1" w:rsidR="007C0950" w:rsidRDefault="003D27C5" w:rsidP="007C0950">
      <w:pPr>
        <w:pStyle w:val="BodyText"/>
      </w:pPr>
      <w:r w:rsidRPr="002D3DE4">
        <w:t>We use</w:t>
      </w:r>
      <w:r w:rsidR="003E6526" w:rsidRPr="002D3DE4">
        <w:t>d</w:t>
      </w:r>
      <w:r w:rsidRPr="002D3DE4">
        <w:t xml:space="preserve"> a </w:t>
      </w:r>
      <w:r w:rsidR="001E447A" w:rsidRPr="002D3DE4">
        <w:t xml:space="preserve">further </w:t>
      </w:r>
      <w:r w:rsidRPr="002D3DE4">
        <w:t xml:space="preserve">scaling factor to account for </w:t>
      </w:r>
      <w:r w:rsidR="009645AD" w:rsidRPr="002D3DE4">
        <w:t>relative effect between sectors</w:t>
      </w:r>
      <w:r w:rsidRPr="002D3DE4">
        <w:t xml:space="preserve"> - i.e. </w:t>
      </w:r>
      <w:r w:rsidR="00FA01FA" w:rsidRPr="002D3DE4">
        <w:t>we do not use</w:t>
      </w:r>
      <w:r w:rsidRPr="002D3DE4">
        <w:t xml:space="preserve"> </w:t>
      </w:r>
      <w:r w:rsidR="00BF55E9" w:rsidRPr="002D3DE4">
        <w:t>IT</w:t>
      </w:r>
      <w:r w:rsidRPr="002D3DE4">
        <w:t xml:space="preserve"> intensity directly to </w:t>
      </w:r>
      <w:r w:rsidR="008871D6" w:rsidRPr="002D3DE4">
        <w:t xml:space="preserve">distribute </w:t>
      </w:r>
      <w:r w:rsidR="00FA01FA" w:rsidRPr="002D3DE4">
        <w:t xml:space="preserve">the </w:t>
      </w:r>
      <w:r w:rsidR="009645AD" w:rsidRPr="002D3DE4">
        <w:t xml:space="preserve">overall </w:t>
      </w:r>
      <w:r w:rsidR="00FA01FA" w:rsidRPr="002D3DE4">
        <w:t xml:space="preserve">forecast </w:t>
      </w:r>
      <w:r w:rsidRPr="002D3DE4">
        <w:t>productivity effect.</w:t>
      </w:r>
      <w:r w:rsidR="00FA01FA" w:rsidRPr="002D3DE4">
        <w:t xml:space="preserve"> We adopt</w:t>
      </w:r>
      <w:r w:rsidR="003E6526" w:rsidRPr="002D3DE4">
        <w:t>ed</w:t>
      </w:r>
      <w:r w:rsidR="00FA01FA" w:rsidRPr="002D3DE4">
        <w:t xml:space="preserve"> a scaling factor of 0.75</w:t>
      </w:r>
      <w:r w:rsidR="00366C39" w:rsidRPr="002D3DE4">
        <w:t xml:space="preserve"> </w:t>
      </w:r>
      <w:r w:rsidR="009645AD" w:rsidRPr="002D3DE4">
        <w:t>in our standard case</w:t>
      </w:r>
      <w:r w:rsidR="00721D58" w:rsidRPr="002D3DE4">
        <w:rPr>
          <w:rStyle w:val="FootnoteReference"/>
        </w:rPr>
        <w:footnoteReference w:id="36"/>
      </w:r>
      <w:r w:rsidR="00CE0A27" w:rsidRPr="002D3DE4">
        <w:t>, as</w:t>
      </w:r>
      <w:r w:rsidR="002C2DF3" w:rsidRPr="002D3DE4">
        <w:t xml:space="preserve"> in </w:t>
      </w:r>
      <w:r w:rsidR="002C2DF3" w:rsidRPr="002D3DE4">
        <w:fldChar w:fldCharType="begin"/>
      </w:r>
      <w:r w:rsidR="002C2DF3" w:rsidRPr="002D3DE4">
        <w:instrText xml:space="preserve"> REF _Ref74657446 \h </w:instrText>
      </w:r>
      <w:r w:rsidR="002D3DE4">
        <w:instrText xml:space="preserve"> \* MERGEFORMAT </w:instrText>
      </w:r>
      <w:r w:rsidR="002C2DF3" w:rsidRPr="002D3DE4">
        <w:fldChar w:fldCharType="separate"/>
      </w:r>
      <w:r w:rsidR="00DD5715" w:rsidRPr="007C5D2E">
        <w:rPr>
          <w:rStyle w:val="Bold"/>
        </w:rPr>
        <w:t xml:space="preserve">Figure </w:t>
      </w:r>
      <w:r w:rsidR="00DD5715">
        <w:rPr>
          <w:rStyle w:val="Bold"/>
          <w:noProof/>
        </w:rPr>
        <w:t>15</w:t>
      </w:r>
      <w:r w:rsidR="002C2DF3" w:rsidRPr="002D3DE4">
        <w:fldChar w:fldCharType="end"/>
      </w:r>
      <w:r w:rsidR="00366C39" w:rsidRPr="002D3DE4">
        <w:t>.</w:t>
      </w:r>
    </w:p>
    <w:p w14:paraId="7A260B46" w14:textId="6197124C" w:rsidR="009645AD" w:rsidRDefault="009645AD" w:rsidP="009645AD">
      <w:pPr>
        <w:pStyle w:val="Caption"/>
      </w:pPr>
      <w:bookmarkStart w:id="99" w:name="_Ref74657446"/>
      <w:bookmarkStart w:id="100" w:name="_Toc74684930"/>
      <w:bookmarkStart w:id="101" w:name="_Toc79585076"/>
      <w:r w:rsidRPr="007C5D2E">
        <w:rPr>
          <w:rStyle w:val="Bold"/>
        </w:rPr>
        <w:lastRenderedPageBreak/>
        <w:t xml:space="preserve">Figure </w:t>
      </w:r>
      <w:r w:rsidRPr="007C5D2E">
        <w:rPr>
          <w:rStyle w:val="Bold"/>
        </w:rPr>
        <w:fldChar w:fldCharType="begin"/>
      </w:r>
      <w:r w:rsidRPr="007C5D2E">
        <w:rPr>
          <w:rStyle w:val="Bold"/>
        </w:rPr>
        <w:instrText xml:space="preserve"> SEQ Figure \* ARABIC </w:instrText>
      </w:r>
      <w:r w:rsidRPr="007C5D2E">
        <w:rPr>
          <w:rStyle w:val="Bold"/>
        </w:rPr>
        <w:fldChar w:fldCharType="separate"/>
      </w:r>
      <w:r w:rsidR="00DD5715">
        <w:rPr>
          <w:rStyle w:val="Bold"/>
          <w:noProof/>
        </w:rPr>
        <w:t>15</w:t>
      </w:r>
      <w:r w:rsidRPr="007C5D2E">
        <w:rPr>
          <w:rStyle w:val="Bold"/>
        </w:rPr>
        <w:fldChar w:fldCharType="end"/>
      </w:r>
      <w:bookmarkEnd w:id="99"/>
      <w:r w:rsidRPr="00BE496A">
        <w:t xml:space="preserve">: </w:t>
      </w:r>
      <w:r>
        <w:t>Forecast productivity gain by industry</w:t>
      </w:r>
      <w:bookmarkEnd w:id="100"/>
      <w:bookmarkEnd w:id="101"/>
    </w:p>
    <w:p w14:paraId="208B869A" w14:textId="45637DA7" w:rsidR="009645AD" w:rsidRDefault="0099062F" w:rsidP="009645AD">
      <w:pPr>
        <w:pStyle w:val="Image-Page1fullwidth"/>
        <w:keepNext/>
        <w:framePr w:w="0" w:hSpace="0" w:wrap="auto" w:vAnchor="margin" w:yAlign="inline"/>
        <w:spacing w:after="0" w:line="240" w:lineRule="auto"/>
      </w:pPr>
      <w:r w:rsidDel="0099062F">
        <w:rPr>
          <w:lang w:eastAsia="en-AU"/>
        </w:rPr>
        <w:t xml:space="preserve"> </w:t>
      </w:r>
      <w:r w:rsidR="002E64E5">
        <w:rPr>
          <w:lang w:eastAsia="en-AU"/>
        </w:rPr>
        <w:drawing>
          <wp:inline distT="0" distB="0" distL="0" distR="0" wp14:anchorId="1B906DCE" wp14:editId="733A1633">
            <wp:extent cx="5897619" cy="3736520"/>
            <wp:effectExtent l="0" t="0" r="8255" b="0"/>
            <wp:docPr id="11" name="Picture 11" descr="This figure plots the forecast average productivity gains by industry due to NBN Co’s business initiatives.&#10;The average productivity gain is 2% across all industries, as high as 12.1% for Other services, and as low as 0.7% for Mining.&#10;A full list of industries and their forecasted productivity gains are as follows:&#10;Agriculture, forestry and fishing 2%&#10;Mining 1%&#10;Manufacturing 2%&#10;Electricity, gas, water and waste services 3%&#10;Construction 7%&#10;Wholesale trade 6%&#10;Retail trade 6%&#10;Accommodation and food services 3%&#10;Transport, postal and warehousing 2%&#10;Information media and telecommunications 7%&#10;Financial and insurance services 9%&#10;Rental, hiring and real estate services 2%&#10;Professional, scientific and technical services 10%&#10;Administrative and support services 11%&#10;Public administration and safety 3%&#10;Education and training 2%&#10;Health care and social assistance 3%&#10;Arts and recreation services 5%&#10;Other services 12%&#10;All industries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his figure plots the forecast average productivity gains by industry due to NBN Co’s business initiatives.&#10;The average productivity gain is 2% across all industries, as high as 12.1% for Other services, and as low as 0.7% for Mining.&#10;A full list of industries and their forecasted productivity gains are as follows:&#10;Agriculture, forestry and fishing 2%&#10;Mining 1%&#10;Manufacturing 2%&#10;Electricity, gas, water and waste services 3%&#10;Construction 7%&#10;Wholesale trade 6%&#10;Retail trade 6%&#10;Accommodation and food services 3%&#10;Transport, postal and warehousing 2%&#10;Information media and telecommunications 7%&#10;Financial and insurance services 9%&#10;Rental, hiring and real estate services 2%&#10;Professional, scientific and technical services 10%&#10;Administrative and support services 11%&#10;Public administration and safety 3%&#10;Education and training 2%&#10;Health care and social assistance 3%&#10;Arts and recreation services 5%&#10;Other services 12%&#10;All industries 2%&#10;"/>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937890" cy="3762034"/>
                    </a:xfrm>
                    <a:prstGeom prst="rect">
                      <a:avLst/>
                    </a:prstGeom>
                    <a:noFill/>
                  </pic:spPr>
                </pic:pic>
              </a:graphicData>
            </a:graphic>
          </wp:inline>
        </w:drawing>
      </w:r>
    </w:p>
    <w:p w14:paraId="23B77353" w14:textId="4ADBE3EB" w:rsidR="009645AD" w:rsidRPr="003335D6" w:rsidRDefault="009645AD" w:rsidP="003335D6">
      <w:pPr>
        <w:pStyle w:val="Source"/>
      </w:pPr>
      <w:r w:rsidRPr="003335D6">
        <w:t>Source: Frontier Economics</w:t>
      </w:r>
    </w:p>
    <w:p w14:paraId="4FD00587" w14:textId="2496A474" w:rsidR="00DF40F7" w:rsidRPr="002D3DE4" w:rsidRDefault="00DF40F7" w:rsidP="00DF40F7">
      <w:pPr>
        <w:pStyle w:val="BodyText"/>
      </w:pPr>
      <w:r>
        <w:t>The sectors that show the largest benefits</w:t>
      </w:r>
      <w:r w:rsidR="008041B4">
        <w:t xml:space="preserve"> mirror those with the highest </w:t>
      </w:r>
      <w:r w:rsidR="00BF55E9">
        <w:t>IT</w:t>
      </w:r>
      <w:r w:rsidR="008041B4">
        <w:t xml:space="preserve"> intensity - mostly </w:t>
      </w:r>
      <w:r w:rsidR="008041B4" w:rsidRPr="002D3DE4">
        <w:t>services sectors</w:t>
      </w:r>
      <w:r w:rsidR="00C72EAC" w:rsidRPr="002D3DE4">
        <w:t>, with construction and trade also material</w:t>
      </w:r>
      <w:r w:rsidR="008041B4" w:rsidRPr="002D3DE4">
        <w:t>.</w:t>
      </w:r>
    </w:p>
    <w:p w14:paraId="7A70E5BB" w14:textId="77777777" w:rsidR="004C6CD6" w:rsidRPr="002D3DE4" w:rsidRDefault="00A77C39" w:rsidP="00D31AC9">
      <w:pPr>
        <w:pStyle w:val="Heading4"/>
      </w:pPr>
      <w:r w:rsidRPr="002D3DE4">
        <w:t xml:space="preserve">Expected productivity gains </w:t>
      </w:r>
      <w:r w:rsidR="004C6CD6" w:rsidRPr="002D3DE4">
        <w:t>by location</w:t>
      </w:r>
    </w:p>
    <w:p w14:paraId="582A2108" w14:textId="5F5EC4BA" w:rsidR="00BA29AB" w:rsidRPr="002D3DE4" w:rsidRDefault="002C2DF3" w:rsidP="00BA29AB">
      <w:pPr>
        <w:pStyle w:val="BodyText"/>
      </w:pPr>
      <w:r w:rsidRPr="002D3DE4">
        <w:t>As identified earlier, we also account</w:t>
      </w:r>
      <w:r w:rsidR="003E6526" w:rsidRPr="002D3DE4">
        <w:t>ed</w:t>
      </w:r>
      <w:r w:rsidRPr="002D3DE4">
        <w:t xml:space="preserve"> for different starting point for business locations. CBD areas are much better served with high speed broadband infrastructure tha</w:t>
      </w:r>
      <w:r w:rsidR="00947B2E" w:rsidRPr="002D3DE4">
        <w:t>n</w:t>
      </w:r>
      <w:r w:rsidRPr="002D3DE4">
        <w:t xml:space="preserve"> other areas in which business congregate. </w:t>
      </w:r>
      <w:r w:rsidR="00947B2E" w:rsidRPr="002D3DE4">
        <w:t>Therefore, areas that are more remote relative to the CBD that have not historically had the benefit of existing high speed infrastructure and availability of multiple competing fibre networks, are likely to experience more incremental benefits than CBD businesses, all else equal.</w:t>
      </w:r>
      <w:r w:rsidRPr="002D3DE4">
        <w:t xml:space="preserve"> </w:t>
      </w:r>
      <w:r w:rsidR="00947B2E" w:rsidRPr="002D3DE4">
        <w:t>To account for this, we</w:t>
      </w:r>
      <w:r w:rsidRPr="002D3DE4">
        <w:t xml:space="preserve"> construct</w:t>
      </w:r>
      <w:r w:rsidR="003E6526" w:rsidRPr="002D3DE4">
        <w:t>ed</w:t>
      </w:r>
      <w:r w:rsidRPr="002D3DE4">
        <w:t xml:space="preserve"> an index for the remoteness of the </w:t>
      </w:r>
      <w:r w:rsidR="008871D6" w:rsidRPr="002D3DE4">
        <w:t xml:space="preserve">Business Fibre Zones </w:t>
      </w:r>
      <w:r w:rsidRPr="002D3DE4">
        <w:t xml:space="preserve">based on NBN </w:t>
      </w:r>
      <w:proofErr w:type="spellStart"/>
      <w:r w:rsidRPr="002D3DE4">
        <w:t>Co’s</w:t>
      </w:r>
      <w:proofErr w:type="spellEnd"/>
      <w:r w:rsidRPr="002D3DE4">
        <w:t xml:space="preserve"> </w:t>
      </w:r>
      <w:r w:rsidR="00BA29AB" w:rsidRPr="002D3DE4">
        <w:t xml:space="preserve">zone </w:t>
      </w:r>
      <w:r w:rsidRPr="002D3DE4">
        <w:t>categorisations and use</w:t>
      </w:r>
      <w:r w:rsidR="003E6526" w:rsidRPr="002D3DE4">
        <w:t>d</w:t>
      </w:r>
      <w:r w:rsidRPr="002D3DE4">
        <w:t xml:space="preserve"> these to proxy for pre-upgrade business internet quality. An e</w:t>
      </w:r>
      <w:r w:rsidR="00BA29AB" w:rsidRPr="002D3DE4">
        <w:t xml:space="preserve">xample is shown in </w:t>
      </w:r>
      <w:r w:rsidR="00BA29AB" w:rsidRPr="002D3DE4">
        <w:fldChar w:fldCharType="begin"/>
      </w:r>
      <w:r w:rsidR="00BA29AB" w:rsidRPr="002D3DE4">
        <w:instrText xml:space="preserve"> REF _Ref74657911 \h </w:instrText>
      </w:r>
      <w:r w:rsidR="002D3DE4">
        <w:instrText xml:space="preserve"> \* MERGEFORMAT </w:instrText>
      </w:r>
      <w:r w:rsidR="00BA29AB" w:rsidRPr="002D3DE4">
        <w:fldChar w:fldCharType="separate"/>
      </w:r>
      <w:r w:rsidR="00DD5715" w:rsidRPr="007C5D2E">
        <w:rPr>
          <w:rStyle w:val="Bold"/>
        </w:rPr>
        <w:t xml:space="preserve">Figure </w:t>
      </w:r>
      <w:r w:rsidR="00DD5715">
        <w:rPr>
          <w:rStyle w:val="Bold"/>
          <w:noProof/>
        </w:rPr>
        <w:t>21</w:t>
      </w:r>
      <w:r w:rsidR="00BA29AB" w:rsidRPr="002D3DE4">
        <w:fldChar w:fldCharType="end"/>
      </w:r>
      <w:r w:rsidR="00BA29AB" w:rsidRPr="002D3DE4">
        <w:t xml:space="preserve">; each fibre zone </w:t>
      </w:r>
      <w:r w:rsidR="003E6526" w:rsidRPr="002D3DE4">
        <w:t xml:space="preserve">was </w:t>
      </w:r>
      <w:r w:rsidR="00BA29AB" w:rsidRPr="002D3DE4">
        <w:t>assigned a score depending on how many of its compositional SA1 statistical units</w:t>
      </w:r>
      <w:r w:rsidR="00BA29AB" w:rsidRPr="002D3DE4">
        <w:rPr>
          <w:rStyle w:val="FootnoteReference"/>
        </w:rPr>
        <w:footnoteReference w:id="37"/>
      </w:r>
      <w:r w:rsidR="00BA29AB" w:rsidRPr="002D3DE4">
        <w:t xml:space="preserve"> are in each zone. Adelaide CBD receive</w:t>
      </w:r>
      <w:r w:rsidR="003E6526" w:rsidRPr="002D3DE4">
        <w:t>d</w:t>
      </w:r>
      <w:r w:rsidR="00BA29AB" w:rsidRPr="002D3DE4">
        <w:t xml:space="preserve"> a low score as nearly all of its SA1s are in CBD zoned areas, whereas Albury would </w:t>
      </w:r>
      <w:proofErr w:type="spellStart"/>
      <w:r w:rsidR="00BA29AB" w:rsidRPr="002D3DE4">
        <w:t>receive</w:t>
      </w:r>
      <w:r w:rsidR="003E6526" w:rsidRPr="002D3DE4">
        <w:t>d</w:t>
      </w:r>
      <w:proofErr w:type="spellEnd"/>
      <w:r w:rsidR="00BA29AB" w:rsidRPr="002D3DE4">
        <w:t xml:space="preserve"> a higher score as this </w:t>
      </w:r>
      <w:r w:rsidR="00FD7E22" w:rsidRPr="002D3DE4">
        <w:t>Business Fibre Zone</w:t>
      </w:r>
      <w:r w:rsidR="00BA29AB" w:rsidRPr="002D3DE4">
        <w:t xml:space="preserve"> includes a number of zone 2 areas.</w:t>
      </w:r>
      <w:r w:rsidR="00F22C75" w:rsidRPr="00F22C75">
        <w:t xml:space="preserve"> </w:t>
      </w:r>
    </w:p>
    <w:p w14:paraId="0E2BDB69" w14:textId="24CA51A4" w:rsidR="00F22C75" w:rsidRDefault="00F22C75" w:rsidP="00F22C75">
      <w:pPr>
        <w:pStyle w:val="Caption"/>
      </w:pPr>
      <w:bookmarkStart w:id="102" w:name="_Toc79585059"/>
      <w:r w:rsidRPr="00603BC1">
        <w:rPr>
          <w:rStyle w:val="Bold"/>
        </w:rPr>
        <w:lastRenderedPageBreak/>
        <w:t xml:space="preserve">Table </w:t>
      </w:r>
      <w:r w:rsidRPr="00603BC1">
        <w:rPr>
          <w:rStyle w:val="Bold"/>
        </w:rPr>
        <w:fldChar w:fldCharType="begin"/>
      </w:r>
      <w:r w:rsidRPr="00603BC1">
        <w:rPr>
          <w:rStyle w:val="Bold"/>
        </w:rPr>
        <w:instrText xml:space="preserve"> SEQ Table \* ARABIC </w:instrText>
      </w:r>
      <w:r w:rsidRPr="00603BC1">
        <w:rPr>
          <w:rStyle w:val="Bold"/>
        </w:rPr>
        <w:fldChar w:fldCharType="separate"/>
      </w:r>
      <w:r w:rsidR="00DD5715">
        <w:rPr>
          <w:rStyle w:val="Bold"/>
          <w:noProof/>
        </w:rPr>
        <w:t>11</w:t>
      </w:r>
      <w:r w:rsidRPr="00603BC1">
        <w:rPr>
          <w:rStyle w:val="Bold"/>
        </w:rPr>
        <w:fldChar w:fldCharType="end"/>
      </w:r>
      <w:r w:rsidRPr="00603BC1">
        <w:rPr>
          <w:rStyle w:val="Bold"/>
        </w:rPr>
        <w:t>:</w:t>
      </w:r>
      <w:r>
        <w:t xml:space="preserve"> </w:t>
      </w:r>
      <w:r w:rsidRPr="002D3DE4">
        <w:t>Proxy for locational benefits – example of 6 Business Fibre Zones</w:t>
      </w:r>
      <w:bookmarkEnd w:id="102"/>
    </w:p>
    <w:tbl>
      <w:tblPr>
        <w:tblStyle w:val="FETableStyle"/>
        <w:tblW w:w="5000" w:type="pct"/>
        <w:tblLayout w:type="fixed"/>
        <w:tblLook w:val="0420" w:firstRow="1" w:lastRow="0" w:firstColumn="0" w:lastColumn="0" w:noHBand="0" w:noVBand="1"/>
        <w:tblCaption w:val="Proxy for locational benefits – example of 6 Business Fibre Zones"/>
        <w:tblDescription w:val="Proxy for locational benefits – example of 6 Business Fibre Zones"/>
      </w:tblPr>
      <w:tblGrid>
        <w:gridCol w:w="2694"/>
        <w:gridCol w:w="1275"/>
        <w:gridCol w:w="1275"/>
        <w:gridCol w:w="1275"/>
        <w:gridCol w:w="1275"/>
        <w:gridCol w:w="1276"/>
      </w:tblGrid>
      <w:tr w:rsidR="00F22C75" w:rsidRPr="00F22C75" w14:paraId="74973CEB" w14:textId="77777777" w:rsidTr="00C80B93">
        <w:trPr>
          <w:cnfStyle w:val="100000000000" w:firstRow="1" w:lastRow="0" w:firstColumn="0" w:lastColumn="0" w:oddVBand="0" w:evenVBand="0" w:oddHBand="0" w:evenHBand="0" w:firstRowFirstColumn="0" w:firstRowLastColumn="0" w:lastRowFirstColumn="0" w:lastRowLastColumn="0"/>
          <w:tblHeader/>
        </w:trPr>
        <w:tc>
          <w:tcPr>
            <w:tcW w:w="2694" w:type="dxa"/>
            <w:noWrap/>
            <w:hideMark/>
          </w:tcPr>
          <w:p w14:paraId="6D3FD2AE" w14:textId="77777777" w:rsidR="00F22C75" w:rsidRPr="00F22C75" w:rsidRDefault="00F22C75" w:rsidP="00F22C75">
            <w:pPr>
              <w:pStyle w:val="TableHeading"/>
              <w:rPr>
                <w:b/>
              </w:rPr>
            </w:pPr>
            <w:r w:rsidRPr="00F22C75">
              <w:rPr>
                <w:b/>
              </w:rPr>
              <w:t>Business Fibre Zone</w:t>
            </w:r>
          </w:p>
        </w:tc>
        <w:tc>
          <w:tcPr>
            <w:tcW w:w="1275" w:type="dxa"/>
            <w:noWrap/>
            <w:hideMark/>
          </w:tcPr>
          <w:p w14:paraId="44825446" w14:textId="77777777" w:rsidR="00F22C75" w:rsidRPr="00F22C75" w:rsidRDefault="00F22C75" w:rsidP="00F22C75">
            <w:pPr>
              <w:pStyle w:val="TableHeading"/>
              <w:rPr>
                <w:b/>
              </w:rPr>
            </w:pPr>
            <w:r w:rsidRPr="00F22C75">
              <w:rPr>
                <w:b/>
              </w:rPr>
              <w:t>CBD</w:t>
            </w:r>
          </w:p>
        </w:tc>
        <w:tc>
          <w:tcPr>
            <w:tcW w:w="1275" w:type="dxa"/>
            <w:noWrap/>
            <w:hideMark/>
          </w:tcPr>
          <w:p w14:paraId="56E7CD08" w14:textId="77777777" w:rsidR="00F22C75" w:rsidRPr="00F22C75" w:rsidRDefault="00F22C75" w:rsidP="00F22C75">
            <w:pPr>
              <w:pStyle w:val="TableHeading"/>
              <w:rPr>
                <w:b/>
              </w:rPr>
            </w:pPr>
            <w:r w:rsidRPr="00F22C75">
              <w:rPr>
                <w:b/>
              </w:rPr>
              <w:t>Zone 1</w:t>
            </w:r>
          </w:p>
        </w:tc>
        <w:tc>
          <w:tcPr>
            <w:tcW w:w="1275" w:type="dxa"/>
            <w:noWrap/>
            <w:hideMark/>
          </w:tcPr>
          <w:p w14:paraId="15B19050" w14:textId="77777777" w:rsidR="00F22C75" w:rsidRPr="00F22C75" w:rsidRDefault="00F22C75" w:rsidP="00F22C75">
            <w:pPr>
              <w:pStyle w:val="TableHeading"/>
              <w:rPr>
                <w:b/>
              </w:rPr>
            </w:pPr>
            <w:r w:rsidRPr="00F22C75">
              <w:rPr>
                <w:b/>
              </w:rPr>
              <w:t>Zone 2</w:t>
            </w:r>
          </w:p>
        </w:tc>
        <w:tc>
          <w:tcPr>
            <w:tcW w:w="1275" w:type="dxa"/>
            <w:noWrap/>
            <w:hideMark/>
          </w:tcPr>
          <w:p w14:paraId="57FA0FD3" w14:textId="77777777" w:rsidR="00F22C75" w:rsidRPr="00F22C75" w:rsidRDefault="00F22C75" w:rsidP="00F22C75">
            <w:pPr>
              <w:pStyle w:val="TableHeading"/>
              <w:rPr>
                <w:b/>
              </w:rPr>
            </w:pPr>
            <w:r w:rsidRPr="00F22C75">
              <w:rPr>
                <w:b/>
              </w:rPr>
              <w:t>Zone 3</w:t>
            </w:r>
          </w:p>
        </w:tc>
        <w:tc>
          <w:tcPr>
            <w:tcW w:w="1276" w:type="dxa"/>
            <w:noWrap/>
            <w:hideMark/>
          </w:tcPr>
          <w:p w14:paraId="2F3DE56C" w14:textId="77777777" w:rsidR="00F22C75" w:rsidRPr="00F22C75" w:rsidRDefault="00F22C75" w:rsidP="00F22C75">
            <w:pPr>
              <w:pStyle w:val="TableHeading"/>
              <w:rPr>
                <w:b/>
              </w:rPr>
            </w:pPr>
            <w:r w:rsidRPr="00F22C75">
              <w:rPr>
                <w:b/>
              </w:rPr>
              <w:t>Total</w:t>
            </w:r>
          </w:p>
        </w:tc>
      </w:tr>
      <w:tr w:rsidR="00F22C75" w:rsidRPr="00F22C75" w14:paraId="4FCF4541" w14:textId="77777777" w:rsidTr="007F7578">
        <w:trPr>
          <w:cnfStyle w:val="000000100000" w:firstRow="0" w:lastRow="0" w:firstColumn="0" w:lastColumn="0" w:oddVBand="0" w:evenVBand="0" w:oddHBand="1" w:evenHBand="0" w:firstRowFirstColumn="0" w:firstRowLastColumn="0" w:lastRowFirstColumn="0" w:lastRowLastColumn="0"/>
        </w:trPr>
        <w:tc>
          <w:tcPr>
            <w:tcW w:w="2694" w:type="dxa"/>
            <w:noWrap/>
            <w:hideMark/>
          </w:tcPr>
          <w:p w14:paraId="6908F7A8" w14:textId="77777777" w:rsidR="00F22C75" w:rsidRPr="00F22C75" w:rsidRDefault="00F22C75" w:rsidP="00F22C75">
            <w:pPr>
              <w:pStyle w:val="TableText"/>
            </w:pPr>
            <w:r w:rsidRPr="00F22C75">
              <w:t>Adelaide CBD</w:t>
            </w:r>
          </w:p>
        </w:tc>
        <w:tc>
          <w:tcPr>
            <w:tcW w:w="1275" w:type="dxa"/>
            <w:noWrap/>
            <w:hideMark/>
          </w:tcPr>
          <w:p w14:paraId="1811E4A4" w14:textId="77777777" w:rsidR="00F22C75" w:rsidRPr="00F22C75" w:rsidRDefault="00F22C75" w:rsidP="00F22C75">
            <w:pPr>
              <w:pStyle w:val="TableText"/>
            </w:pPr>
            <w:r w:rsidRPr="00F22C75">
              <w:t>58</w:t>
            </w:r>
          </w:p>
        </w:tc>
        <w:tc>
          <w:tcPr>
            <w:tcW w:w="1275" w:type="dxa"/>
            <w:noWrap/>
            <w:hideMark/>
          </w:tcPr>
          <w:p w14:paraId="017D1DAE" w14:textId="77777777" w:rsidR="00F22C75" w:rsidRPr="00F22C75" w:rsidRDefault="00F22C75" w:rsidP="00F22C75">
            <w:pPr>
              <w:pStyle w:val="TableText"/>
            </w:pPr>
            <w:r w:rsidRPr="00F22C75">
              <w:t>7</w:t>
            </w:r>
          </w:p>
        </w:tc>
        <w:tc>
          <w:tcPr>
            <w:tcW w:w="1275" w:type="dxa"/>
            <w:noWrap/>
            <w:hideMark/>
          </w:tcPr>
          <w:p w14:paraId="37E8553B" w14:textId="3110F9FF" w:rsidR="00F22C75" w:rsidRPr="00F22C75" w:rsidRDefault="007F7578" w:rsidP="00F22C75">
            <w:pPr>
              <w:pStyle w:val="TableText"/>
            </w:pPr>
            <w:r>
              <w:t>0</w:t>
            </w:r>
          </w:p>
        </w:tc>
        <w:tc>
          <w:tcPr>
            <w:tcW w:w="1275" w:type="dxa"/>
            <w:noWrap/>
            <w:hideMark/>
          </w:tcPr>
          <w:p w14:paraId="671A9B0A" w14:textId="63CD46AB" w:rsidR="00F22C75" w:rsidRPr="00F22C75" w:rsidRDefault="007F7578" w:rsidP="00F22C75">
            <w:pPr>
              <w:pStyle w:val="TableText"/>
            </w:pPr>
            <w:r>
              <w:t>0</w:t>
            </w:r>
          </w:p>
        </w:tc>
        <w:tc>
          <w:tcPr>
            <w:tcW w:w="1276" w:type="dxa"/>
            <w:noWrap/>
            <w:hideMark/>
          </w:tcPr>
          <w:p w14:paraId="02BAB570" w14:textId="77777777" w:rsidR="00F22C75" w:rsidRPr="00F22C75" w:rsidRDefault="00F22C75" w:rsidP="00F22C75">
            <w:pPr>
              <w:pStyle w:val="TableText"/>
            </w:pPr>
            <w:r w:rsidRPr="00F22C75">
              <w:t>65</w:t>
            </w:r>
          </w:p>
        </w:tc>
      </w:tr>
      <w:tr w:rsidR="00F22C75" w:rsidRPr="00F22C75" w14:paraId="295BA807" w14:textId="77777777" w:rsidTr="007F7578">
        <w:trPr>
          <w:cnfStyle w:val="000000010000" w:firstRow="0" w:lastRow="0" w:firstColumn="0" w:lastColumn="0" w:oddVBand="0" w:evenVBand="0" w:oddHBand="0" w:evenHBand="1" w:firstRowFirstColumn="0" w:firstRowLastColumn="0" w:lastRowFirstColumn="0" w:lastRowLastColumn="0"/>
        </w:trPr>
        <w:tc>
          <w:tcPr>
            <w:tcW w:w="2694" w:type="dxa"/>
            <w:noWrap/>
            <w:hideMark/>
          </w:tcPr>
          <w:p w14:paraId="5DA0B7F7" w14:textId="77777777" w:rsidR="00F22C75" w:rsidRPr="00F22C75" w:rsidRDefault="00F22C75" w:rsidP="00F22C75">
            <w:pPr>
              <w:pStyle w:val="TableText"/>
            </w:pPr>
            <w:r w:rsidRPr="00F22C75">
              <w:t>Albany</w:t>
            </w:r>
          </w:p>
        </w:tc>
        <w:tc>
          <w:tcPr>
            <w:tcW w:w="1275" w:type="dxa"/>
            <w:noWrap/>
            <w:hideMark/>
          </w:tcPr>
          <w:p w14:paraId="79BE580B" w14:textId="50D91B97" w:rsidR="00F22C75" w:rsidRPr="00F22C75" w:rsidRDefault="007F7578" w:rsidP="00F22C75">
            <w:pPr>
              <w:pStyle w:val="TableText"/>
            </w:pPr>
            <w:r>
              <w:t>0</w:t>
            </w:r>
          </w:p>
        </w:tc>
        <w:tc>
          <w:tcPr>
            <w:tcW w:w="1275" w:type="dxa"/>
            <w:noWrap/>
            <w:hideMark/>
          </w:tcPr>
          <w:p w14:paraId="16448B9E" w14:textId="252430F9" w:rsidR="00F22C75" w:rsidRPr="00F22C75" w:rsidRDefault="007F7578" w:rsidP="00F22C75">
            <w:pPr>
              <w:pStyle w:val="TableText"/>
            </w:pPr>
            <w:r>
              <w:t>0</w:t>
            </w:r>
          </w:p>
        </w:tc>
        <w:tc>
          <w:tcPr>
            <w:tcW w:w="1275" w:type="dxa"/>
            <w:noWrap/>
            <w:hideMark/>
          </w:tcPr>
          <w:p w14:paraId="5EACFC58" w14:textId="77777777" w:rsidR="00F22C75" w:rsidRPr="00F22C75" w:rsidRDefault="00F22C75" w:rsidP="00F22C75">
            <w:pPr>
              <w:pStyle w:val="TableText"/>
            </w:pPr>
            <w:r w:rsidRPr="00F22C75">
              <w:t>44</w:t>
            </w:r>
          </w:p>
        </w:tc>
        <w:tc>
          <w:tcPr>
            <w:tcW w:w="1275" w:type="dxa"/>
            <w:noWrap/>
            <w:hideMark/>
          </w:tcPr>
          <w:p w14:paraId="2D59B4E8" w14:textId="1DE038DF" w:rsidR="00F22C75" w:rsidRPr="00F22C75" w:rsidRDefault="007F7578" w:rsidP="00F22C75">
            <w:pPr>
              <w:pStyle w:val="TableText"/>
            </w:pPr>
            <w:r>
              <w:t>0</w:t>
            </w:r>
          </w:p>
        </w:tc>
        <w:tc>
          <w:tcPr>
            <w:tcW w:w="1276" w:type="dxa"/>
            <w:noWrap/>
            <w:hideMark/>
          </w:tcPr>
          <w:p w14:paraId="657DE233" w14:textId="77777777" w:rsidR="00F22C75" w:rsidRPr="00F22C75" w:rsidRDefault="00F22C75" w:rsidP="00F22C75">
            <w:pPr>
              <w:pStyle w:val="TableText"/>
            </w:pPr>
            <w:r w:rsidRPr="00F22C75">
              <w:t>44</w:t>
            </w:r>
          </w:p>
        </w:tc>
      </w:tr>
      <w:tr w:rsidR="00F22C75" w:rsidRPr="00F22C75" w14:paraId="0A912C54" w14:textId="77777777" w:rsidTr="007F7578">
        <w:trPr>
          <w:cnfStyle w:val="000000100000" w:firstRow="0" w:lastRow="0" w:firstColumn="0" w:lastColumn="0" w:oddVBand="0" w:evenVBand="0" w:oddHBand="1" w:evenHBand="0" w:firstRowFirstColumn="0" w:firstRowLastColumn="0" w:lastRowFirstColumn="0" w:lastRowLastColumn="0"/>
        </w:trPr>
        <w:tc>
          <w:tcPr>
            <w:tcW w:w="2694" w:type="dxa"/>
            <w:noWrap/>
            <w:hideMark/>
          </w:tcPr>
          <w:p w14:paraId="3C49E4CB" w14:textId="77777777" w:rsidR="00F22C75" w:rsidRPr="00F22C75" w:rsidRDefault="00F22C75" w:rsidP="00F22C75">
            <w:pPr>
              <w:pStyle w:val="TableText"/>
            </w:pPr>
            <w:r w:rsidRPr="00F22C75">
              <w:t>Albury / Lavington</w:t>
            </w:r>
          </w:p>
        </w:tc>
        <w:tc>
          <w:tcPr>
            <w:tcW w:w="1275" w:type="dxa"/>
            <w:noWrap/>
            <w:hideMark/>
          </w:tcPr>
          <w:p w14:paraId="79DB07D3" w14:textId="77777777" w:rsidR="00F22C75" w:rsidRPr="00F22C75" w:rsidRDefault="00F22C75" w:rsidP="00F22C75">
            <w:pPr>
              <w:pStyle w:val="TableText"/>
            </w:pPr>
            <w:r w:rsidRPr="00F22C75">
              <w:t>41</w:t>
            </w:r>
          </w:p>
        </w:tc>
        <w:tc>
          <w:tcPr>
            <w:tcW w:w="1275" w:type="dxa"/>
            <w:noWrap/>
            <w:hideMark/>
          </w:tcPr>
          <w:p w14:paraId="62C81FD0" w14:textId="1D2DC341" w:rsidR="00F22C75" w:rsidRPr="00F22C75" w:rsidRDefault="007F7578" w:rsidP="00F22C75">
            <w:pPr>
              <w:pStyle w:val="TableText"/>
            </w:pPr>
            <w:r>
              <w:t>0</w:t>
            </w:r>
          </w:p>
        </w:tc>
        <w:tc>
          <w:tcPr>
            <w:tcW w:w="1275" w:type="dxa"/>
            <w:noWrap/>
            <w:hideMark/>
          </w:tcPr>
          <w:p w14:paraId="327959A3" w14:textId="77777777" w:rsidR="00F22C75" w:rsidRPr="00F22C75" w:rsidRDefault="00F22C75" w:rsidP="00F22C75">
            <w:pPr>
              <w:pStyle w:val="TableText"/>
            </w:pPr>
            <w:r w:rsidRPr="00F22C75">
              <w:t>86</w:t>
            </w:r>
          </w:p>
        </w:tc>
        <w:tc>
          <w:tcPr>
            <w:tcW w:w="1275" w:type="dxa"/>
            <w:noWrap/>
            <w:hideMark/>
          </w:tcPr>
          <w:p w14:paraId="74708B58" w14:textId="7552B27E" w:rsidR="00F22C75" w:rsidRPr="00F22C75" w:rsidRDefault="007F7578" w:rsidP="00F22C75">
            <w:pPr>
              <w:pStyle w:val="TableText"/>
            </w:pPr>
            <w:r>
              <w:t>0</w:t>
            </w:r>
          </w:p>
        </w:tc>
        <w:tc>
          <w:tcPr>
            <w:tcW w:w="1276" w:type="dxa"/>
            <w:noWrap/>
            <w:hideMark/>
          </w:tcPr>
          <w:p w14:paraId="1C9E939A" w14:textId="77777777" w:rsidR="00F22C75" w:rsidRPr="00F22C75" w:rsidRDefault="00F22C75" w:rsidP="00F22C75">
            <w:pPr>
              <w:pStyle w:val="TableText"/>
            </w:pPr>
            <w:r w:rsidRPr="00F22C75">
              <w:t>127</w:t>
            </w:r>
          </w:p>
        </w:tc>
      </w:tr>
      <w:tr w:rsidR="00F22C75" w:rsidRPr="00F22C75" w14:paraId="49A8F7E1" w14:textId="77777777" w:rsidTr="007F7578">
        <w:trPr>
          <w:cnfStyle w:val="000000010000" w:firstRow="0" w:lastRow="0" w:firstColumn="0" w:lastColumn="0" w:oddVBand="0" w:evenVBand="0" w:oddHBand="0" w:evenHBand="1" w:firstRowFirstColumn="0" w:firstRowLastColumn="0" w:lastRowFirstColumn="0" w:lastRowLastColumn="0"/>
        </w:trPr>
        <w:tc>
          <w:tcPr>
            <w:tcW w:w="2694" w:type="dxa"/>
            <w:noWrap/>
            <w:hideMark/>
          </w:tcPr>
          <w:p w14:paraId="7E5E3A86" w14:textId="77777777" w:rsidR="00F22C75" w:rsidRPr="00F22C75" w:rsidRDefault="00F22C75" w:rsidP="00F22C75">
            <w:pPr>
              <w:pStyle w:val="TableText"/>
            </w:pPr>
            <w:r w:rsidRPr="00F22C75">
              <w:t>Alexandria</w:t>
            </w:r>
          </w:p>
        </w:tc>
        <w:tc>
          <w:tcPr>
            <w:tcW w:w="1275" w:type="dxa"/>
            <w:noWrap/>
            <w:hideMark/>
          </w:tcPr>
          <w:p w14:paraId="7FF826BB" w14:textId="77777777" w:rsidR="00F22C75" w:rsidRPr="00F22C75" w:rsidRDefault="00F22C75" w:rsidP="00F22C75">
            <w:pPr>
              <w:pStyle w:val="TableText"/>
            </w:pPr>
            <w:r w:rsidRPr="00F22C75">
              <w:t>48</w:t>
            </w:r>
          </w:p>
        </w:tc>
        <w:tc>
          <w:tcPr>
            <w:tcW w:w="1275" w:type="dxa"/>
            <w:noWrap/>
            <w:hideMark/>
          </w:tcPr>
          <w:p w14:paraId="6DF2BE1B" w14:textId="77777777" w:rsidR="00F22C75" w:rsidRPr="00F22C75" w:rsidRDefault="00F22C75" w:rsidP="00F22C75">
            <w:pPr>
              <w:pStyle w:val="TableText"/>
            </w:pPr>
            <w:r w:rsidRPr="00F22C75">
              <w:t>26</w:t>
            </w:r>
          </w:p>
        </w:tc>
        <w:tc>
          <w:tcPr>
            <w:tcW w:w="1275" w:type="dxa"/>
            <w:noWrap/>
            <w:hideMark/>
          </w:tcPr>
          <w:p w14:paraId="1473FA7D" w14:textId="26D5F1FD" w:rsidR="00F22C75" w:rsidRPr="00F22C75" w:rsidRDefault="007F7578" w:rsidP="00F22C75">
            <w:pPr>
              <w:pStyle w:val="TableText"/>
            </w:pPr>
            <w:r>
              <w:t>0</w:t>
            </w:r>
          </w:p>
        </w:tc>
        <w:tc>
          <w:tcPr>
            <w:tcW w:w="1275" w:type="dxa"/>
            <w:noWrap/>
            <w:hideMark/>
          </w:tcPr>
          <w:p w14:paraId="405D3772" w14:textId="4206FA5E" w:rsidR="00F22C75" w:rsidRPr="00F22C75" w:rsidRDefault="007F7578" w:rsidP="00F22C75">
            <w:pPr>
              <w:pStyle w:val="TableText"/>
            </w:pPr>
            <w:r>
              <w:t>0</w:t>
            </w:r>
          </w:p>
        </w:tc>
        <w:tc>
          <w:tcPr>
            <w:tcW w:w="1276" w:type="dxa"/>
            <w:noWrap/>
            <w:hideMark/>
          </w:tcPr>
          <w:p w14:paraId="5324E66E" w14:textId="77777777" w:rsidR="00F22C75" w:rsidRPr="00F22C75" w:rsidRDefault="00F22C75" w:rsidP="00F22C75">
            <w:pPr>
              <w:pStyle w:val="TableText"/>
            </w:pPr>
            <w:r w:rsidRPr="00F22C75">
              <w:t>74</w:t>
            </w:r>
          </w:p>
        </w:tc>
      </w:tr>
      <w:tr w:rsidR="00F22C75" w:rsidRPr="00F22C75" w14:paraId="59A0FEFB" w14:textId="77777777" w:rsidTr="007F7578">
        <w:trPr>
          <w:cnfStyle w:val="000000100000" w:firstRow="0" w:lastRow="0" w:firstColumn="0" w:lastColumn="0" w:oddVBand="0" w:evenVBand="0" w:oddHBand="1" w:evenHBand="0" w:firstRowFirstColumn="0" w:firstRowLastColumn="0" w:lastRowFirstColumn="0" w:lastRowLastColumn="0"/>
        </w:trPr>
        <w:tc>
          <w:tcPr>
            <w:tcW w:w="2694" w:type="dxa"/>
            <w:noWrap/>
            <w:hideMark/>
          </w:tcPr>
          <w:p w14:paraId="723A5E7C" w14:textId="77777777" w:rsidR="00F22C75" w:rsidRPr="00F22C75" w:rsidRDefault="00F22C75" w:rsidP="00F22C75">
            <w:pPr>
              <w:pStyle w:val="TableText"/>
            </w:pPr>
            <w:r w:rsidRPr="00F22C75">
              <w:t>Annerley</w:t>
            </w:r>
          </w:p>
        </w:tc>
        <w:tc>
          <w:tcPr>
            <w:tcW w:w="1275" w:type="dxa"/>
            <w:noWrap/>
            <w:hideMark/>
          </w:tcPr>
          <w:p w14:paraId="44479C87" w14:textId="77777777" w:rsidR="00F22C75" w:rsidRPr="00F22C75" w:rsidRDefault="00F22C75" w:rsidP="00F22C75">
            <w:pPr>
              <w:pStyle w:val="TableText"/>
            </w:pPr>
            <w:r w:rsidRPr="00F22C75">
              <w:t>39</w:t>
            </w:r>
          </w:p>
        </w:tc>
        <w:tc>
          <w:tcPr>
            <w:tcW w:w="1275" w:type="dxa"/>
            <w:noWrap/>
            <w:hideMark/>
          </w:tcPr>
          <w:p w14:paraId="0A4CCD06" w14:textId="77777777" w:rsidR="00F22C75" w:rsidRPr="00F22C75" w:rsidRDefault="00F22C75" w:rsidP="00F22C75">
            <w:pPr>
              <w:pStyle w:val="TableText"/>
            </w:pPr>
            <w:r w:rsidRPr="00F22C75">
              <w:t>47</w:t>
            </w:r>
          </w:p>
        </w:tc>
        <w:tc>
          <w:tcPr>
            <w:tcW w:w="1275" w:type="dxa"/>
            <w:noWrap/>
            <w:hideMark/>
          </w:tcPr>
          <w:p w14:paraId="3F621AD3" w14:textId="784B0F87" w:rsidR="00F22C75" w:rsidRPr="00F22C75" w:rsidRDefault="007F7578" w:rsidP="00F22C75">
            <w:pPr>
              <w:pStyle w:val="TableText"/>
            </w:pPr>
            <w:r>
              <w:t>0</w:t>
            </w:r>
          </w:p>
        </w:tc>
        <w:tc>
          <w:tcPr>
            <w:tcW w:w="1275" w:type="dxa"/>
            <w:noWrap/>
            <w:hideMark/>
          </w:tcPr>
          <w:p w14:paraId="31ABDA9C" w14:textId="6FDE9BCF" w:rsidR="00F22C75" w:rsidRPr="00F22C75" w:rsidRDefault="007F7578" w:rsidP="00F22C75">
            <w:pPr>
              <w:pStyle w:val="TableText"/>
            </w:pPr>
            <w:r>
              <w:t>0</w:t>
            </w:r>
          </w:p>
        </w:tc>
        <w:tc>
          <w:tcPr>
            <w:tcW w:w="1276" w:type="dxa"/>
            <w:noWrap/>
            <w:hideMark/>
          </w:tcPr>
          <w:p w14:paraId="28EE50DD" w14:textId="77777777" w:rsidR="00F22C75" w:rsidRPr="00F22C75" w:rsidRDefault="00F22C75" w:rsidP="00F22C75">
            <w:pPr>
              <w:pStyle w:val="TableText"/>
            </w:pPr>
            <w:r w:rsidRPr="00F22C75">
              <w:t>86</w:t>
            </w:r>
          </w:p>
        </w:tc>
      </w:tr>
      <w:tr w:rsidR="00F22C75" w:rsidRPr="00F22C75" w14:paraId="502F666A" w14:textId="77777777" w:rsidTr="007F7578">
        <w:trPr>
          <w:cnfStyle w:val="000000010000" w:firstRow="0" w:lastRow="0" w:firstColumn="0" w:lastColumn="0" w:oddVBand="0" w:evenVBand="0" w:oddHBand="0" w:evenHBand="1" w:firstRowFirstColumn="0" w:firstRowLastColumn="0" w:lastRowFirstColumn="0" w:lastRowLastColumn="0"/>
        </w:trPr>
        <w:tc>
          <w:tcPr>
            <w:tcW w:w="2694" w:type="dxa"/>
            <w:noWrap/>
            <w:hideMark/>
          </w:tcPr>
          <w:p w14:paraId="1062D514" w14:textId="77777777" w:rsidR="00F22C75" w:rsidRPr="00F22C75" w:rsidRDefault="00F22C75" w:rsidP="00F22C75">
            <w:pPr>
              <w:pStyle w:val="TableText"/>
            </w:pPr>
            <w:r w:rsidRPr="00F22C75">
              <w:t>Applecross - Melville</w:t>
            </w:r>
          </w:p>
        </w:tc>
        <w:tc>
          <w:tcPr>
            <w:tcW w:w="1275" w:type="dxa"/>
            <w:noWrap/>
            <w:hideMark/>
          </w:tcPr>
          <w:p w14:paraId="3A951757" w14:textId="528DED83" w:rsidR="00F22C75" w:rsidRPr="00F22C75" w:rsidRDefault="007F7578" w:rsidP="00F22C75">
            <w:pPr>
              <w:pStyle w:val="TableText"/>
            </w:pPr>
            <w:r>
              <w:t>0</w:t>
            </w:r>
          </w:p>
        </w:tc>
        <w:tc>
          <w:tcPr>
            <w:tcW w:w="1275" w:type="dxa"/>
            <w:noWrap/>
            <w:hideMark/>
          </w:tcPr>
          <w:p w14:paraId="04AD2B7E" w14:textId="77777777" w:rsidR="00F22C75" w:rsidRPr="00F22C75" w:rsidRDefault="00F22C75" w:rsidP="00F22C75">
            <w:pPr>
              <w:pStyle w:val="TableText"/>
            </w:pPr>
            <w:r w:rsidRPr="00F22C75">
              <w:t>57</w:t>
            </w:r>
          </w:p>
        </w:tc>
        <w:tc>
          <w:tcPr>
            <w:tcW w:w="1275" w:type="dxa"/>
            <w:noWrap/>
            <w:hideMark/>
          </w:tcPr>
          <w:p w14:paraId="026A2DCF" w14:textId="3885043D" w:rsidR="00F22C75" w:rsidRPr="00F22C75" w:rsidRDefault="007F7578" w:rsidP="00F22C75">
            <w:pPr>
              <w:pStyle w:val="TableText"/>
            </w:pPr>
            <w:r>
              <w:t>0</w:t>
            </w:r>
          </w:p>
        </w:tc>
        <w:tc>
          <w:tcPr>
            <w:tcW w:w="1275" w:type="dxa"/>
            <w:noWrap/>
            <w:hideMark/>
          </w:tcPr>
          <w:p w14:paraId="3E6C180B" w14:textId="203A0906" w:rsidR="00F22C75" w:rsidRPr="00F22C75" w:rsidRDefault="007F7578" w:rsidP="00F22C75">
            <w:pPr>
              <w:pStyle w:val="TableText"/>
            </w:pPr>
            <w:r>
              <w:t>0</w:t>
            </w:r>
          </w:p>
        </w:tc>
        <w:tc>
          <w:tcPr>
            <w:tcW w:w="1276" w:type="dxa"/>
            <w:noWrap/>
            <w:hideMark/>
          </w:tcPr>
          <w:p w14:paraId="53E34087" w14:textId="77777777" w:rsidR="00F22C75" w:rsidRPr="00F22C75" w:rsidRDefault="00F22C75" w:rsidP="00F22C75">
            <w:pPr>
              <w:pStyle w:val="TableText"/>
            </w:pPr>
            <w:r w:rsidRPr="00F22C75">
              <w:t>57</w:t>
            </w:r>
          </w:p>
        </w:tc>
      </w:tr>
    </w:tbl>
    <w:p w14:paraId="125BD396" w14:textId="5C486E7E" w:rsidR="00F22C75" w:rsidRPr="00885B0A" w:rsidRDefault="00F22C75" w:rsidP="00F22C75">
      <w:pPr>
        <w:pStyle w:val="Source"/>
      </w:pPr>
      <w:r w:rsidRPr="00885B0A">
        <w:t xml:space="preserve">Source: </w:t>
      </w:r>
      <w:r>
        <w:t>Frontier Economics based on NBN Co data</w:t>
      </w:r>
    </w:p>
    <w:p w14:paraId="47E79C5C" w14:textId="701663D6" w:rsidR="002C2DF3" w:rsidRPr="002D3DE4" w:rsidRDefault="0050018D" w:rsidP="002C2DF3">
      <w:pPr>
        <w:pStyle w:val="BodyText"/>
      </w:pPr>
      <w:r w:rsidRPr="002D3DE4">
        <w:t xml:space="preserve">Assigning a different score depending on share of various zones </w:t>
      </w:r>
      <w:r w:rsidR="00BA29AB" w:rsidRPr="002D3DE4">
        <w:t>allow</w:t>
      </w:r>
      <w:r w:rsidR="003E6526" w:rsidRPr="002D3DE4">
        <w:t>ed</w:t>
      </w:r>
      <w:r w:rsidR="00BA29AB" w:rsidRPr="002D3DE4">
        <w:t xml:space="preserve"> us to produce forecast productivity effects by firm type by </w:t>
      </w:r>
      <w:r w:rsidR="00FD7E22" w:rsidRPr="002D3DE4">
        <w:t>Business Fibre Zone</w:t>
      </w:r>
      <w:r w:rsidR="00BA29AB" w:rsidRPr="002D3DE4">
        <w:t>.</w:t>
      </w:r>
    </w:p>
    <w:p w14:paraId="1B6658B4" w14:textId="77777777" w:rsidR="00F84C9E" w:rsidRPr="002D3DE4" w:rsidRDefault="00F84C9E" w:rsidP="00D31AC9">
      <w:pPr>
        <w:pStyle w:val="Heading4"/>
      </w:pPr>
      <w:r w:rsidRPr="002D3DE4">
        <w:t>Gains by industries in different states</w:t>
      </w:r>
    </w:p>
    <w:p w14:paraId="4065BEB8" w14:textId="41133FCF" w:rsidR="00F84C9E" w:rsidRDefault="00F84C9E" w:rsidP="00F84C9E">
      <w:pPr>
        <w:pStyle w:val="BodyText"/>
      </w:pPr>
      <w:r w:rsidRPr="002D3DE4">
        <w:t xml:space="preserve">We </w:t>
      </w:r>
      <w:r w:rsidR="00763CF9" w:rsidRPr="002D3DE4">
        <w:t xml:space="preserve">first present </w:t>
      </w:r>
      <w:r w:rsidRPr="002D3DE4">
        <w:t xml:space="preserve">the results by averaging firm productivity effects by </w:t>
      </w:r>
      <w:r w:rsidR="00FD7E22" w:rsidRPr="002D3DE4">
        <w:t>Business Fibre Zone</w:t>
      </w:r>
      <w:r w:rsidRPr="002D3DE4">
        <w:t xml:space="preserve"> location in different states</w:t>
      </w:r>
      <w:r w:rsidR="0079248B" w:rsidRPr="002D3DE4">
        <w:t xml:space="preserve"> (</w:t>
      </w:r>
      <w:r w:rsidR="0079248B" w:rsidRPr="002D3DE4">
        <w:fldChar w:fldCharType="begin"/>
      </w:r>
      <w:r w:rsidR="0079248B" w:rsidRPr="002D3DE4">
        <w:instrText xml:space="preserve"> REF _Ref74720861 \h </w:instrText>
      </w:r>
      <w:r w:rsidR="002D3DE4">
        <w:instrText xml:space="preserve"> \* MERGEFORMAT </w:instrText>
      </w:r>
      <w:r w:rsidR="0079248B" w:rsidRPr="002D3DE4">
        <w:fldChar w:fldCharType="separate"/>
      </w:r>
      <w:r w:rsidR="00DD5715" w:rsidRPr="007C5D2E">
        <w:rPr>
          <w:rStyle w:val="Bold"/>
        </w:rPr>
        <w:t xml:space="preserve">Figure </w:t>
      </w:r>
      <w:r w:rsidR="00DD5715">
        <w:rPr>
          <w:rStyle w:val="Bold"/>
          <w:noProof/>
        </w:rPr>
        <w:t>16</w:t>
      </w:r>
      <w:r w:rsidR="0079248B" w:rsidRPr="002D3DE4">
        <w:fldChar w:fldCharType="end"/>
      </w:r>
      <w:r w:rsidR="0079248B" w:rsidRPr="002D3DE4">
        <w:t>)</w:t>
      </w:r>
      <w:r w:rsidRPr="002D3DE4">
        <w:t>.</w:t>
      </w:r>
      <w:r w:rsidR="0079248B" w:rsidRPr="002D3DE4">
        <w:t xml:space="preserve"> We can </w:t>
      </w:r>
      <w:r w:rsidR="00FD5761" w:rsidRPr="002D3DE4">
        <w:t>observe</w:t>
      </w:r>
      <w:r w:rsidR="00C2131D" w:rsidRPr="002D3DE4">
        <w:t xml:space="preserve"> similar effects by </w:t>
      </w:r>
      <w:r w:rsidR="001040C7" w:rsidRPr="002D3DE4">
        <w:t xml:space="preserve">State, although the differences between Tasmania at </w:t>
      </w:r>
      <w:r w:rsidR="008871D6" w:rsidRPr="002D3DE4">
        <w:t>5</w:t>
      </w:r>
      <w:r w:rsidR="001040C7" w:rsidRPr="002D3DE4">
        <w:t>.</w:t>
      </w:r>
      <w:r w:rsidR="008871D6" w:rsidRPr="002D3DE4">
        <w:t>8</w:t>
      </w:r>
      <w:r w:rsidR="001040C7" w:rsidRPr="002D3DE4">
        <w:t xml:space="preserve"> per</w:t>
      </w:r>
      <w:r w:rsidR="001040C7">
        <w:t xml:space="preserve"> cent and </w:t>
      </w:r>
      <w:r w:rsidR="008871D6">
        <w:t>ACT at 4.0</w:t>
      </w:r>
      <w:r w:rsidR="001040C7">
        <w:t xml:space="preserve">% appear </w:t>
      </w:r>
      <w:r w:rsidR="00D358F3">
        <w:t>non-trivial</w:t>
      </w:r>
      <w:r w:rsidR="001040C7">
        <w:t>.</w:t>
      </w:r>
    </w:p>
    <w:p w14:paraId="1A525DB5" w14:textId="77777777" w:rsidR="001040C7" w:rsidRPr="00F84C9E" w:rsidRDefault="001040C7" w:rsidP="00F84C9E">
      <w:pPr>
        <w:pStyle w:val="BodyText"/>
      </w:pPr>
      <w:r>
        <w:t xml:space="preserve">We also </w:t>
      </w:r>
      <w:r w:rsidR="00E459D3">
        <w:t>note that the average results reported here a</w:t>
      </w:r>
      <w:r w:rsidR="007C211D">
        <w:t xml:space="preserve">ppear higher than the overall effect across all industries of </w:t>
      </w:r>
      <w:r w:rsidR="008871D6">
        <w:t>2</w:t>
      </w:r>
      <w:r w:rsidR="007C211D">
        <w:t>.</w:t>
      </w:r>
      <w:r w:rsidR="008871D6">
        <w:t>0</w:t>
      </w:r>
      <w:r w:rsidR="007C211D">
        <w:t>%.</w:t>
      </w:r>
      <w:r w:rsidR="0007663A">
        <w:t xml:space="preserve"> That is because the results are not weighted to reflect industry size</w:t>
      </w:r>
      <w:r w:rsidR="00D27E56">
        <w:t xml:space="preserve">; </w:t>
      </w:r>
      <w:r w:rsidR="007633E7">
        <w:t xml:space="preserve">the </w:t>
      </w:r>
      <w:r w:rsidR="002D3DE4">
        <w:t>distribution</w:t>
      </w:r>
      <w:r w:rsidR="007633E7">
        <w:t xml:space="preserve"> of effects indicates lesser percentage returns to industries such as </w:t>
      </w:r>
      <w:r w:rsidR="00D27E56">
        <w:t xml:space="preserve">mining </w:t>
      </w:r>
      <w:r w:rsidR="007633E7">
        <w:t xml:space="preserve">which have a relatively high share of </w:t>
      </w:r>
      <w:r w:rsidR="002D3DE4">
        <w:t>capital stock but low IT intensity</w:t>
      </w:r>
      <w:r w:rsidR="00F26EB6">
        <w:t>.</w:t>
      </w:r>
    </w:p>
    <w:p w14:paraId="64E19975" w14:textId="67F34D37" w:rsidR="00307C38" w:rsidRDefault="00307C38" w:rsidP="00AB6986">
      <w:pPr>
        <w:pStyle w:val="Caption"/>
      </w:pPr>
      <w:bookmarkStart w:id="103" w:name="_Ref74720861"/>
      <w:bookmarkStart w:id="104" w:name="_Toc79585077"/>
      <w:r w:rsidRPr="007C5D2E">
        <w:rPr>
          <w:rStyle w:val="Bold"/>
        </w:rPr>
        <w:lastRenderedPageBreak/>
        <w:t xml:space="preserve">Figure </w:t>
      </w:r>
      <w:r w:rsidRPr="007C5D2E">
        <w:rPr>
          <w:rStyle w:val="Bold"/>
        </w:rPr>
        <w:fldChar w:fldCharType="begin"/>
      </w:r>
      <w:r w:rsidRPr="007C5D2E">
        <w:rPr>
          <w:rStyle w:val="Bold"/>
        </w:rPr>
        <w:instrText xml:space="preserve"> SEQ Figure \* ARABIC </w:instrText>
      </w:r>
      <w:r w:rsidRPr="007C5D2E">
        <w:rPr>
          <w:rStyle w:val="Bold"/>
        </w:rPr>
        <w:fldChar w:fldCharType="separate"/>
      </w:r>
      <w:r w:rsidR="00DD5715">
        <w:rPr>
          <w:rStyle w:val="Bold"/>
          <w:noProof/>
        </w:rPr>
        <w:t>16</w:t>
      </w:r>
      <w:r w:rsidRPr="007C5D2E">
        <w:rPr>
          <w:rStyle w:val="Bold"/>
        </w:rPr>
        <w:fldChar w:fldCharType="end"/>
      </w:r>
      <w:bookmarkEnd w:id="103"/>
      <w:r w:rsidRPr="00BE496A">
        <w:t xml:space="preserve">: </w:t>
      </w:r>
      <w:r>
        <w:t>Average productivity gain</w:t>
      </w:r>
      <w:r w:rsidR="00F26EB6">
        <w:t xml:space="preserve"> in </w:t>
      </w:r>
      <w:r w:rsidR="00FD7E22">
        <w:t>Business Fibre Zone</w:t>
      </w:r>
      <w:r w:rsidR="00F26EB6">
        <w:t>s</w:t>
      </w:r>
      <w:r>
        <w:t>, by state</w:t>
      </w:r>
      <w:bookmarkEnd w:id="104"/>
    </w:p>
    <w:p w14:paraId="48C5688C" w14:textId="7599B99F" w:rsidR="007E2F27" w:rsidRPr="007E2F27" w:rsidRDefault="007E2F27" w:rsidP="007E2F27">
      <w:r>
        <w:rPr>
          <w:noProof/>
          <w:lang w:eastAsia="en-AU"/>
        </w:rPr>
        <w:drawing>
          <wp:inline distT="0" distB="0" distL="0" distR="0" wp14:anchorId="75C44448" wp14:editId="6B7CF32E">
            <wp:extent cx="4864012" cy="3781959"/>
            <wp:effectExtent l="0" t="0" r="0" b="9525"/>
            <wp:docPr id="30" name="Picture 30" descr="This figure charts the average productivity gains in the business fibre zones (BFZs) by State. due to NBN Co’s business initiatives.&#10;&#10;The bars on the chart plot the number of BFZ in each state, while the dot/point above each bar indicates the average productivity gain.&#10;&#10;The results are the following:&#10;&#10;New South Wales; 96 BFZs, 5.0% average productivity gain&#10;&#10;Victoria; 46 BFZs, 64.8% average productivity gain&#10;&#10;Queensland 40 BFZs, 5.0% average productivity gain&#10;&#10;South Australia 24 BFZs,  4.6% average productivity gain&#10;&#10;Western Australia 23 BFZs, 5.2% average productivity gain&#10;&#10;Tasmania 4 BFZs, 5.8% average productivity gain&#10;&#10;Australian Capital Territory 4 BFZs, 4.0% average productivity gain&#10;&#10;Northern Territory 3 BFZs, 5.4% average productivity gai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This figure charts the average productivity gains in the business fibre zones (BFZs) by State. due to NBN Co’s business initiatives.&#10;&#10;The bars on the chart plot the number of BFZ in each state, while the dot/point above each bar indicates the average productivity gain.&#10;&#10;The results are the following:&#10;&#10;New South Wales; 96 BFZs, 5.0% average productivity gain&#10;&#10;Victoria; 46 BFZs, 64.8% average productivity gain&#10;&#10;Queensland 40 BFZs, 5.0% average productivity gain&#10;&#10;South Australia 24 BFZs,  4.6% average productivity gain&#10;&#10;Western Australia 23 BFZs, 5.2% average productivity gain&#10;&#10;Tasmania 4 BFZs, 5.8% average productivity gain&#10;&#10;Australian Capital Territory 4 BFZs, 4.0% average productivity gain&#10;&#10;Northern Territory 3 BFZs, 5.4% average productivity gain&#1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964812" cy="3860335"/>
                    </a:xfrm>
                    <a:prstGeom prst="rect">
                      <a:avLst/>
                    </a:prstGeom>
                    <a:noFill/>
                  </pic:spPr>
                </pic:pic>
              </a:graphicData>
            </a:graphic>
          </wp:inline>
        </w:drawing>
      </w:r>
    </w:p>
    <w:p w14:paraId="565D1E7F" w14:textId="77777777" w:rsidR="00F22C75" w:rsidRPr="003335D6" w:rsidRDefault="0099062F" w:rsidP="00F22C75">
      <w:pPr>
        <w:pStyle w:val="Source"/>
      </w:pPr>
      <w:r w:rsidRPr="00307C38" w:rsidDel="0099062F">
        <w:rPr>
          <w:lang w:eastAsia="en-AU"/>
        </w:rPr>
        <w:t xml:space="preserve"> </w:t>
      </w:r>
      <w:r w:rsidR="00F22C75" w:rsidRPr="003335D6">
        <w:t>Source: Frontier Economics analysis</w:t>
      </w:r>
    </w:p>
    <w:p w14:paraId="3DC8F9E4" w14:textId="4D67BFCF" w:rsidR="00307C38" w:rsidRDefault="00307C38" w:rsidP="00AB6986">
      <w:pPr>
        <w:pStyle w:val="Image-Page1fullwidth"/>
        <w:keepNext/>
        <w:framePr w:w="0" w:hSpace="0" w:wrap="auto" w:vAnchor="margin" w:yAlign="inline"/>
        <w:spacing w:after="0" w:line="240" w:lineRule="auto"/>
      </w:pPr>
    </w:p>
    <w:p w14:paraId="1F3CC941" w14:textId="77777777" w:rsidR="00060346" w:rsidRPr="00856DC1" w:rsidRDefault="00060346" w:rsidP="00856DC1">
      <w:pPr>
        <w:pStyle w:val="BodyText"/>
      </w:pPr>
      <w:r w:rsidRPr="00856DC1">
        <w:t xml:space="preserve">Further analysis indicates that the State differences are primarily caused by the location of the </w:t>
      </w:r>
      <w:r w:rsidR="00FD7E22">
        <w:t>Business Fibre Zone</w:t>
      </w:r>
      <w:r w:rsidRPr="00856DC1">
        <w:t xml:space="preserve">s. Zones in regional areas </w:t>
      </w:r>
      <w:r w:rsidR="00A70341" w:rsidRPr="00856DC1">
        <w:t>are forecast to receive greater benefits.</w:t>
      </w:r>
    </w:p>
    <w:p w14:paraId="7A017736" w14:textId="434A7FDC" w:rsidR="00A70341" w:rsidRDefault="00A70341" w:rsidP="00AB6986">
      <w:pPr>
        <w:pStyle w:val="Caption"/>
      </w:pPr>
      <w:bookmarkStart w:id="105" w:name="_Toc79585078"/>
      <w:r w:rsidRPr="007C5D2E">
        <w:rPr>
          <w:rStyle w:val="Bold"/>
        </w:rPr>
        <w:lastRenderedPageBreak/>
        <w:t xml:space="preserve">Figure </w:t>
      </w:r>
      <w:r w:rsidRPr="007C5D2E">
        <w:rPr>
          <w:rStyle w:val="Bold"/>
        </w:rPr>
        <w:fldChar w:fldCharType="begin"/>
      </w:r>
      <w:r w:rsidRPr="007C5D2E">
        <w:rPr>
          <w:rStyle w:val="Bold"/>
        </w:rPr>
        <w:instrText xml:space="preserve"> SEQ Figure \* ARABIC </w:instrText>
      </w:r>
      <w:r w:rsidRPr="007C5D2E">
        <w:rPr>
          <w:rStyle w:val="Bold"/>
        </w:rPr>
        <w:fldChar w:fldCharType="separate"/>
      </w:r>
      <w:r w:rsidR="00DD5715">
        <w:rPr>
          <w:rStyle w:val="Bold"/>
          <w:noProof/>
        </w:rPr>
        <w:t>17</w:t>
      </w:r>
      <w:r w:rsidRPr="007C5D2E">
        <w:rPr>
          <w:rStyle w:val="Bold"/>
        </w:rPr>
        <w:fldChar w:fldCharType="end"/>
      </w:r>
      <w:r w:rsidRPr="00BE496A">
        <w:t xml:space="preserve">: </w:t>
      </w:r>
      <w:r>
        <w:t xml:space="preserve">Benefits by State, Metro/Regional </w:t>
      </w:r>
      <w:r w:rsidR="00FD7E22">
        <w:t>Business Fibre Zone</w:t>
      </w:r>
      <w:r>
        <w:t xml:space="preserve"> location</w:t>
      </w:r>
      <w:bookmarkEnd w:id="105"/>
    </w:p>
    <w:p w14:paraId="25474017" w14:textId="03BBA56F" w:rsidR="006F63C3" w:rsidRPr="003335D6" w:rsidRDefault="00F64A7B" w:rsidP="003335D6">
      <w:pPr>
        <w:pStyle w:val="Source"/>
      </w:pPr>
      <w:r w:rsidRPr="003335D6">
        <w:rPr>
          <w:noProof/>
          <w:lang w:eastAsia="en-AU"/>
        </w:rPr>
        <w:drawing>
          <wp:inline distT="0" distB="0" distL="0" distR="0" wp14:anchorId="5E8018DB" wp14:editId="50C656AF">
            <wp:extent cx="5951055" cy="3911039"/>
            <wp:effectExtent l="0" t="0" r="0" b="0"/>
            <wp:docPr id="33" name="Picture 33" descr="This figure charts the average productivity gains by State, by are (metro and rural), due to NBN Co’s business initiatives.&#10;&#10;The average productivity gain in metro areas is 4.5%, while the average productivity gain in regional areas is 5.6%.&#10;&#10;Benefits in metro areas are highest in Western Australia (4.9%) and lowest in the Australian Capital Territory (4%). Note that there are no metro areas in Tasmania and the Northern Territory that are effected by NBN Co’s business initiatives, hence metro productivity gains in these states are not charted.&#10;&#10;Benefits in regional areas are highest in Western Australia (6.4%) and lowest in the Victoria (5.1%). Note that there are no regional areas in the Australian Capital Territory that are effected by NBN Co’s business initiatives, hence regional productivity gains in these states are not charted.&#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This figure charts the average productivity gains by State, by are (metro and rural), due to NBN Co’s business initiatives.&#10;&#10;The average productivity gain in metro areas is 4.5%, while the average productivity gain in regional areas is 5.6%.&#10;&#10;Benefits in metro areas are highest in Western Australia (4.9%) and lowest in the Australian Capital Territory (4%). Note that there are no metro areas in Tasmania and the Northern Territory that are effected by NBN Co’s business initiatives, hence metro productivity gains in these states are not charted.&#10;&#10;Benefits in regional areas are highest in Western Australia (6.4%) and lowest in the Victoria (5.1%). Note that there are no regional areas in the Australian Capital Territory that are effected by NBN Co’s business initiatives, hence regional productivity gains in these states are not charted.&#10;&#1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54789" cy="3913493"/>
                    </a:xfrm>
                    <a:prstGeom prst="rect">
                      <a:avLst/>
                    </a:prstGeom>
                    <a:noFill/>
                  </pic:spPr>
                </pic:pic>
              </a:graphicData>
            </a:graphic>
          </wp:inline>
        </w:drawing>
      </w:r>
    </w:p>
    <w:p w14:paraId="3972745E" w14:textId="771D4FDD" w:rsidR="00A70341" w:rsidRPr="003335D6" w:rsidRDefault="00A70341" w:rsidP="003335D6">
      <w:pPr>
        <w:pStyle w:val="Source"/>
      </w:pPr>
      <w:r w:rsidRPr="003335D6">
        <w:t>Source: Frontier Economics analysis</w:t>
      </w:r>
    </w:p>
    <w:p w14:paraId="1A1C00E7" w14:textId="77777777" w:rsidR="00763CF9" w:rsidRPr="00856DC1" w:rsidRDefault="00763CF9" w:rsidP="00D31AC9">
      <w:pPr>
        <w:pStyle w:val="Heading4"/>
      </w:pPr>
      <w:r w:rsidRPr="00856DC1">
        <w:t xml:space="preserve">Gains by industry in different </w:t>
      </w:r>
      <w:r w:rsidR="00FD7E22">
        <w:t>Business Fibre Zone</w:t>
      </w:r>
      <w:r w:rsidRPr="00856DC1">
        <w:t>s</w:t>
      </w:r>
    </w:p>
    <w:p w14:paraId="3F5B682C" w14:textId="77777777" w:rsidR="007C211D" w:rsidRDefault="00856DC1" w:rsidP="007C211D">
      <w:pPr>
        <w:pStyle w:val="BodyText"/>
      </w:pPr>
      <w:r>
        <w:t>As we identify above, o</w:t>
      </w:r>
      <w:r w:rsidR="007C211D">
        <w:t xml:space="preserve">ne issue with </w:t>
      </w:r>
      <w:r>
        <w:t xml:space="preserve">the results presented is </w:t>
      </w:r>
      <w:r w:rsidR="007C211D">
        <w:t xml:space="preserve">that they do not tell us much about the significance of a particular industry in a </w:t>
      </w:r>
      <w:r w:rsidR="00FD7E22">
        <w:t>Business Fibre Zone</w:t>
      </w:r>
      <w:r w:rsidR="007C211D">
        <w:t xml:space="preserve">. For example, a forecast that finance firms would expect an increase in productivity of 15% in a particular zone may </w:t>
      </w:r>
      <w:r w:rsidR="00C1153E">
        <w:t xml:space="preserve">overstate benefits and there might be </w:t>
      </w:r>
      <w:r w:rsidR="007C211D">
        <w:t>very few or no firms offering those services in that zone.</w:t>
      </w:r>
    </w:p>
    <w:p w14:paraId="30B83A0D" w14:textId="77777777" w:rsidR="007C211D" w:rsidRPr="002D3DE4" w:rsidRDefault="007C211D" w:rsidP="007C211D">
      <w:pPr>
        <w:pStyle w:val="BodyText"/>
      </w:pPr>
      <w:r>
        <w:t xml:space="preserve">To address this problem, we have estimated the </w:t>
      </w:r>
      <w:r w:rsidR="00D358F3">
        <w:t>GVA</w:t>
      </w:r>
      <w:r>
        <w:t xml:space="preserve"> by industry in each </w:t>
      </w:r>
      <w:r w:rsidR="00FD7E22">
        <w:t>Business Fibre Zone</w:t>
      </w:r>
      <w:r>
        <w:t>. We then use this to identify industry sectors that (</w:t>
      </w:r>
      <w:proofErr w:type="spellStart"/>
      <w:r>
        <w:t>i</w:t>
      </w:r>
      <w:proofErr w:type="spellEnd"/>
      <w:r>
        <w:t xml:space="preserve">) are forecast to receive a material productivity gain </w:t>
      </w:r>
      <w:r w:rsidRPr="002D3DE4">
        <w:t>and (ii) contribute materially to GVA in that fibre zone.</w:t>
      </w:r>
    </w:p>
    <w:p w14:paraId="2697C4F0" w14:textId="451E23FE" w:rsidR="00763CF9" w:rsidRDefault="00763CF9" w:rsidP="00763CF9">
      <w:pPr>
        <w:pStyle w:val="BodyText"/>
      </w:pPr>
      <w:r w:rsidRPr="002D3DE4">
        <w:t xml:space="preserve">To summarise the results, we </w:t>
      </w:r>
      <w:r w:rsidR="00DE5C8D" w:rsidRPr="002D3DE4">
        <w:t>calculate</w:t>
      </w:r>
      <w:r w:rsidR="003E6526" w:rsidRPr="002D3DE4">
        <w:t>d</w:t>
      </w:r>
      <w:r w:rsidR="00DE5C8D" w:rsidRPr="002D3DE4">
        <w:t xml:space="preserve"> a </w:t>
      </w:r>
      <w:r w:rsidR="00FA7F96" w:rsidRPr="002D3DE4">
        <w:t xml:space="preserve">score </w:t>
      </w:r>
      <w:r w:rsidR="00C92CD4" w:rsidRPr="002D3DE4">
        <w:t>that accounts for both forecast productivity gain and GVA by industry</w:t>
      </w:r>
      <w:r w:rsidR="00FA7F96" w:rsidRPr="002D3DE4">
        <w:t>. We then</w:t>
      </w:r>
      <w:r w:rsidR="00C92CD4" w:rsidRPr="002D3DE4">
        <w:t xml:space="preserve"> </w:t>
      </w:r>
      <w:r w:rsidRPr="002D3DE4">
        <w:t>construct</w:t>
      </w:r>
      <w:r w:rsidR="003E6526" w:rsidRPr="002D3DE4">
        <w:t>ed</w:t>
      </w:r>
      <w:r w:rsidRPr="002D3DE4">
        <w:t xml:space="preserve"> the following table which </w:t>
      </w:r>
      <w:r w:rsidR="00FA7F96" w:rsidRPr="002D3DE4">
        <w:t>ranks the scores by industry</w:t>
      </w:r>
      <w:r w:rsidR="001148C7" w:rsidRPr="002D3DE4">
        <w:t xml:space="preserve"> and sums them across zones</w:t>
      </w:r>
      <w:r w:rsidR="00A075E3" w:rsidRPr="002D3DE4">
        <w:t xml:space="preserve"> (</w:t>
      </w:r>
      <w:r w:rsidR="00A075E3" w:rsidRPr="002D3DE4">
        <w:fldChar w:fldCharType="begin"/>
      </w:r>
      <w:r w:rsidR="00A075E3" w:rsidRPr="002D3DE4">
        <w:instrText xml:space="preserve"> REF _Ref74721654 \h </w:instrText>
      </w:r>
      <w:r w:rsidR="00A042E9" w:rsidRPr="002D3DE4">
        <w:instrText xml:space="preserve"> \* MERGEFORMAT </w:instrText>
      </w:r>
      <w:r w:rsidR="00A075E3" w:rsidRPr="002D3DE4">
        <w:fldChar w:fldCharType="separate"/>
      </w:r>
      <w:r w:rsidR="00DD5715" w:rsidRPr="00603BC1">
        <w:rPr>
          <w:rStyle w:val="Bold"/>
        </w:rPr>
        <w:t xml:space="preserve">Table </w:t>
      </w:r>
      <w:r w:rsidR="00DD5715">
        <w:rPr>
          <w:rStyle w:val="Bold"/>
          <w:noProof/>
        </w:rPr>
        <w:t>12</w:t>
      </w:r>
      <w:r w:rsidR="00A075E3" w:rsidRPr="002D3DE4">
        <w:fldChar w:fldCharType="end"/>
      </w:r>
      <w:r w:rsidR="00A075E3" w:rsidRPr="002D3DE4">
        <w:t>)</w:t>
      </w:r>
      <w:r w:rsidR="001148C7" w:rsidRPr="002D3DE4">
        <w:t>.</w:t>
      </w:r>
    </w:p>
    <w:p w14:paraId="276AF837" w14:textId="77777777" w:rsidR="00A357D2" w:rsidRDefault="00A357D2" w:rsidP="004C6CD6">
      <w:pPr>
        <w:pStyle w:val="BodyText"/>
      </w:pPr>
    </w:p>
    <w:p w14:paraId="4DC12554" w14:textId="77777777" w:rsidR="0052451B" w:rsidRDefault="0052451B" w:rsidP="00322939">
      <w:pPr>
        <w:pStyle w:val="BodyText"/>
        <w:sectPr w:rsidR="0052451B" w:rsidSect="008905FC">
          <w:headerReference w:type="default" r:id="rId49"/>
          <w:pgSz w:w="11906" w:h="16838" w:code="9"/>
          <w:pgMar w:top="1871" w:right="1418" w:bottom="1134" w:left="1418" w:header="567" w:footer="567" w:gutter="0"/>
          <w:pgNumType w:chapStyle="1"/>
          <w:cols w:space="708"/>
          <w:formProt w:val="0"/>
          <w:docGrid w:linePitch="360"/>
        </w:sectPr>
      </w:pPr>
    </w:p>
    <w:p w14:paraId="05C1EF12" w14:textId="505680AE" w:rsidR="00C22275" w:rsidRDefault="00C22275" w:rsidP="00AB6986">
      <w:pPr>
        <w:pStyle w:val="Caption"/>
      </w:pPr>
      <w:bookmarkStart w:id="106" w:name="_Ref74721654"/>
      <w:bookmarkStart w:id="107" w:name="_Toc79585060"/>
      <w:r w:rsidRPr="00603BC1">
        <w:rPr>
          <w:rStyle w:val="Bold"/>
        </w:rPr>
        <w:lastRenderedPageBreak/>
        <w:t xml:space="preserve">Table </w:t>
      </w:r>
      <w:r w:rsidRPr="00603BC1">
        <w:rPr>
          <w:rStyle w:val="Bold"/>
        </w:rPr>
        <w:fldChar w:fldCharType="begin"/>
      </w:r>
      <w:r w:rsidRPr="00603BC1">
        <w:rPr>
          <w:rStyle w:val="Bold"/>
        </w:rPr>
        <w:instrText xml:space="preserve"> SEQ Table \* ARABIC </w:instrText>
      </w:r>
      <w:r w:rsidRPr="00603BC1">
        <w:rPr>
          <w:rStyle w:val="Bold"/>
        </w:rPr>
        <w:fldChar w:fldCharType="separate"/>
      </w:r>
      <w:r w:rsidR="00DD5715">
        <w:rPr>
          <w:rStyle w:val="Bold"/>
          <w:noProof/>
        </w:rPr>
        <w:t>12</w:t>
      </w:r>
      <w:r w:rsidRPr="00603BC1">
        <w:rPr>
          <w:rStyle w:val="Bold"/>
        </w:rPr>
        <w:fldChar w:fldCharType="end"/>
      </w:r>
      <w:bookmarkEnd w:id="106"/>
      <w:r w:rsidRPr="00603BC1">
        <w:rPr>
          <w:rStyle w:val="Bold"/>
        </w:rPr>
        <w:t>:</w:t>
      </w:r>
      <w:r>
        <w:t xml:space="preserve"> </w:t>
      </w:r>
      <w:r w:rsidR="00F700B0">
        <w:t xml:space="preserve">GVA-weighted </w:t>
      </w:r>
      <w:r w:rsidR="00F86056">
        <w:t xml:space="preserve">ranking of </w:t>
      </w:r>
      <w:r w:rsidR="00516CEB">
        <w:t>industry productivity benefits</w:t>
      </w:r>
      <w:r w:rsidR="00F700B0">
        <w:t>.</w:t>
      </w:r>
      <w:bookmarkEnd w:id="107"/>
    </w:p>
    <w:p w14:paraId="3CA95E51" w14:textId="0FFE90BC" w:rsidR="004765F6" w:rsidRDefault="004D11E6" w:rsidP="00FE4336">
      <w:pPr>
        <w:pStyle w:val="Source"/>
      </w:pPr>
      <w:r w:rsidRPr="004D11E6">
        <w:rPr>
          <w:noProof/>
          <w:lang w:eastAsia="en-AU"/>
        </w:rPr>
        <w:drawing>
          <wp:inline distT="0" distB="0" distL="0" distR="0" wp14:anchorId="4303F5D6" wp14:editId="10BC0D18">
            <wp:extent cx="9777730" cy="3462655"/>
            <wp:effectExtent l="0" t="0" r="0" b="4445"/>
            <wp:docPr id="38" name="Picture 38" descr="This table provides the GVA-weighted ranking of industry productivity benefits due to NBN Co’s business initiatives. As noted in the text, the results indicate that industry sectors such as construction, professional services, retail and wholesale trade, and other services including finance and insurance and health care are likely to receive the greatest share of benefits in the most Business Fibre Zones. That is, there are many Business Fibre Zones in which these sectors are the biggest productivity beneficiaries.&#10;&#10;The table capture and accounts for both: (1) forecast productivity gain by business fibre zone and (2) GVA by industry.&#10;&#10;Each column is an industry and the rows are benefits rank from 1 to 19. For example, the first row and column represents a rank of 1 in the construction industry. The number for this table entry is 93, which indicates that in 93 business fibre zones, the construction industry received the most benefi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This table provides the GVA-weighted ranking of industry productivity benefits due to NBN Co’s business initiatives. As noted in the text, the results indicate that industry sectors such as construction, professional services, retail and wholesale trade, and other services including finance and insurance and health care are likely to receive the greatest share of benefits in the most Business Fibre Zones. That is, there are many Business Fibre Zones in which these sectors are the biggest productivity beneficiaries.&#10;&#10;The table capture and accounts for both: (1) forecast productivity gain by business fibre zone and (2) GVA by industry.&#10;&#10;Each column is an industry and the rows are benefits rank from 1 to 19. For example, the first row and column represents a rank of 1 in the construction industry. The number for this table entry is 93, which indicates that in 93 business fibre zones, the construction industry received the most benefit.&#10;"/>
                    <pic:cNvPicPr/>
                  </pic:nvPicPr>
                  <pic:blipFill>
                    <a:blip r:embed="rId50"/>
                    <a:stretch>
                      <a:fillRect/>
                    </a:stretch>
                  </pic:blipFill>
                  <pic:spPr>
                    <a:xfrm>
                      <a:off x="0" y="0"/>
                      <a:ext cx="9777730" cy="3462655"/>
                    </a:xfrm>
                    <a:prstGeom prst="rect">
                      <a:avLst/>
                    </a:prstGeom>
                  </pic:spPr>
                </pic:pic>
              </a:graphicData>
            </a:graphic>
          </wp:inline>
        </w:drawing>
      </w:r>
      <w:r w:rsidRPr="004D11E6">
        <w:t xml:space="preserve"> </w:t>
      </w:r>
      <w:r w:rsidR="004765F6">
        <w:t>Source:</w:t>
      </w:r>
      <w:r w:rsidR="004765F6">
        <w:tab/>
        <w:t>Frontier Economic analysis</w:t>
      </w:r>
      <w:r w:rsidR="00720F53">
        <w:t>,</w:t>
      </w:r>
    </w:p>
    <w:p w14:paraId="3119132C" w14:textId="2A0153F4" w:rsidR="00011158" w:rsidRDefault="00A45DD6" w:rsidP="004C6CD6">
      <w:pPr>
        <w:pStyle w:val="BodyText"/>
      </w:pPr>
      <w:r>
        <w:t>T</w:t>
      </w:r>
      <w:r w:rsidR="00A075E3">
        <w:t xml:space="preserve">he results indicate that industry sectors such as construction, </w:t>
      </w:r>
      <w:r w:rsidR="00BE4BFC">
        <w:t xml:space="preserve">professional services, </w:t>
      </w:r>
      <w:r w:rsidR="00C46778">
        <w:t xml:space="preserve">retail and wholesale trade, </w:t>
      </w:r>
      <w:r w:rsidR="00627388">
        <w:t>and other services including finance</w:t>
      </w:r>
      <w:r w:rsidR="0019438A">
        <w:t xml:space="preserve"> and insurance and health care are likely to receive the greatest </w:t>
      </w:r>
      <w:r w:rsidR="0061101E">
        <w:t xml:space="preserve">share </w:t>
      </w:r>
      <w:r w:rsidR="000E2134">
        <w:t xml:space="preserve">of </w:t>
      </w:r>
      <w:r w:rsidR="0019438A">
        <w:t>benefits</w:t>
      </w:r>
      <w:r w:rsidR="0061101E">
        <w:t xml:space="preserve"> in the most </w:t>
      </w:r>
      <w:r w:rsidR="00FD7E22">
        <w:t>Business Fibre Zone</w:t>
      </w:r>
      <w:r w:rsidR="0061101E">
        <w:t>s</w:t>
      </w:r>
      <w:r w:rsidR="0019438A">
        <w:t>.</w:t>
      </w:r>
      <w:r w:rsidR="00A042E9">
        <w:t xml:space="preserve"> </w:t>
      </w:r>
      <w:r w:rsidR="00FC760D">
        <w:t>That is,</w:t>
      </w:r>
      <w:r>
        <w:t xml:space="preserve"> there are many </w:t>
      </w:r>
      <w:r w:rsidR="00FD7E22">
        <w:t>Business Fibre Zone</w:t>
      </w:r>
      <w:r>
        <w:t>s in which these sectors are the biggest productivity beneficiaries.</w:t>
      </w:r>
      <w:r>
        <w:rPr>
          <w:rStyle w:val="FootnoteReference"/>
        </w:rPr>
        <w:footnoteReference w:id="38"/>
      </w:r>
      <w:r>
        <w:t xml:space="preserve"> </w:t>
      </w:r>
      <w:r w:rsidR="000E2134">
        <w:t xml:space="preserve">Accounting for output in these results affects the rankings of sectors to benefit quite materially (as per the last row of the table): for example, we note that </w:t>
      </w:r>
      <w:r w:rsidR="006062EF">
        <w:t>the health care and social assistance sector ranked on average 11</w:t>
      </w:r>
      <w:r w:rsidR="006062EF" w:rsidRPr="00322939">
        <w:rPr>
          <w:vertAlign w:val="superscript"/>
        </w:rPr>
        <w:t>th</w:t>
      </w:r>
      <w:r w:rsidR="006062EF">
        <w:t xml:space="preserve"> out of 19</w:t>
      </w:r>
      <w:r w:rsidR="006062EF" w:rsidRPr="00322939">
        <w:rPr>
          <w:vertAlign w:val="superscript"/>
        </w:rPr>
        <w:t>th</w:t>
      </w:r>
      <w:r w:rsidR="006062EF">
        <w:t xml:space="preserve"> industries in expected benefit, but when GVA is accounted for this increases</w:t>
      </w:r>
      <w:r w:rsidR="00B52DFF">
        <w:t xml:space="preserve"> to 5</w:t>
      </w:r>
      <w:r w:rsidR="00B52DFF" w:rsidRPr="00322939">
        <w:rPr>
          <w:vertAlign w:val="superscript"/>
        </w:rPr>
        <w:t>th</w:t>
      </w:r>
      <w:r w:rsidR="00B52DFF">
        <w:t xml:space="preserve">. This is particularly relevant in light of </w:t>
      </w:r>
      <w:r w:rsidR="00F700B0">
        <w:t xml:space="preserve">14 of the </w:t>
      </w:r>
      <w:r w:rsidR="00FD7E22">
        <w:t>Business Fibre Zone</w:t>
      </w:r>
      <w:r w:rsidR="00F700B0">
        <w:t xml:space="preserve">s </w:t>
      </w:r>
      <w:r w:rsidR="00B52DFF">
        <w:t xml:space="preserve">in </w:t>
      </w:r>
      <w:r w:rsidR="00F700B0">
        <w:t xml:space="preserve">dedicated health precincts centred </w:t>
      </w:r>
      <w:proofErr w:type="gramStart"/>
      <w:r w:rsidR="00F700B0">
        <w:t>around</w:t>
      </w:r>
      <w:proofErr w:type="gramEnd"/>
      <w:r w:rsidR="00F700B0">
        <w:t xml:space="preserve"> a major</w:t>
      </w:r>
      <w:r w:rsidR="00011158">
        <w:t xml:space="preserve"> </w:t>
      </w:r>
      <w:r w:rsidR="00F700B0">
        <w:t>hospital.</w:t>
      </w:r>
      <w:r w:rsidR="00A042E9">
        <w:t xml:space="preserve"> </w:t>
      </w:r>
      <w:r w:rsidR="0019438A">
        <w:t>Those sectors receiving the least benefit</w:t>
      </w:r>
      <w:r w:rsidR="008E12A4">
        <w:t xml:space="preserve"> are sectors with either low IT intensity (e.g. Mining and Agriculture) or have a relatively low share of GVA</w:t>
      </w:r>
      <w:r w:rsidR="00097E0F">
        <w:t xml:space="preserve"> (public administration, arts and recreation).</w:t>
      </w:r>
    </w:p>
    <w:p w14:paraId="7322DB84" w14:textId="77777777" w:rsidR="0052451B" w:rsidRDefault="0052451B" w:rsidP="004C6CD6">
      <w:pPr>
        <w:pStyle w:val="BodyText"/>
        <w:sectPr w:rsidR="0052451B" w:rsidSect="0052451B">
          <w:pgSz w:w="16838" w:h="11906" w:orient="landscape" w:code="9"/>
          <w:pgMar w:top="720" w:right="720" w:bottom="720" w:left="720" w:header="567" w:footer="567" w:gutter="0"/>
          <w:pgNumType w:chapStyle="1"/>
          <w:cols w:space="708"/>
          <w:formProt w:val="0"/>
          <w:docGrid w:linePitch="360"/>
        </w:sectPr>
      </w:pPr>
    </w:p>
    <w:p w14:paraId="1B4C3E22" w14:textId="77777777" w:rsidR="002D6C0B" w:rsidRDefault="002D6C0B" w:rsidP="002D6C0B">
      <w:pPr>
        <w:pStyle w:val="BodyText"/>
      </w:pPr>
      <w:r>
        <w:lastRenderedPageBreak/>
        <w:t>Some sectors show more widely varying results. This includes manufacturing, which has a higher share of GVA in some fibre zones. Information media and telecommunications appears a somewhat anomalous result, as one would expect it to be a sector that benefits significantly from better broadband. However, this result may also reflect that there are few of these kinds of firms in areas outside of well-served markets such as CBD areas - i.e. they have a relatively low share of GVA in many fibre zones because the broadband infrastructure may not support them, and so choose to locate in better served areas.</w:t>
      </w:r>
    </w:p>
    <w:p w14:paraId="56F85679" w14:textId="77777777" w:rsidR="004C6CD6" w:rsidRDefault="004C6CD6" w:rsidP="00D31AC9">
      <w:pPr>
        <w:pStyle w:val="Heading4"/>
      </w:pPr>
      <w:r>
        <w:t>The timing of benefits</w:t>
      </w:r>
    </w:p>
    <w:p w14:paraId="101A3BAC" w14:textId="77777777" w:rsidR="004C6CD6" w:rsidRPr="006745B5" w:rsidRDefault="004C6CD6" w:rsidP="004C6CD6">
      <w:pPr>
        <w:pStyle w:val="BodyText"/>
      </w:pPr>
      <w:r w:rsidRPr="006745B5">
        <w:t xml:space="preserve">The availability and take-up of broadband services do not produce immediate benefits. Rather, the empirical evidence shows that benefits emerge over time (with a lag). This is due to broadband being an enabling technology – to appropriate its full benefits requires investments in physical capital (i.e. new equipment, software or processes) and human capital (i.e. training). Early Productivity Commission (2004) research on firm adoption of ICTs found that </w:t>
      </w:r>
      <w:r w:rsidR="00446C20">
        <w:t xml:space="preserve">the lag in most industries was </w:t>
      </w:r>
      <w:r w:rsidR="00446C20" w:rsidRPr="006745B5">
        <w:t xml:space="preserve">from </w:t>
      </w:r>
      <w:r w:rsidRPr="006745B5">
        <w:t>six months to two or three years</w:t>
      </w:r>
      <w:r w:rsidR="00446C20">
        <w:t>,</w:t>
      </w:r>
      <w:r w:rsidRPr="006745B5">
        <w:t xml:space="preserve"> but was up to four years in some cases in the mining industry.</w:t>
      </w:r>
    </w:p>
    <w:p w14:paraId="596FF58C" w14:textId="77777777" w:rsidR="004C6CD6" w:rsidRPr="006745B5" w:rsidRDefault="004C6CD6" w:rsidP="004C6CD6">
      <w:pPr>
        <w:pStyle w:val="BodyText"/>
      </w:pPr>
      <w:r w:rsidRPr="006745B5">
        <w:t xml:space="preserve">The </w:t>
      </w:r>
      <w:proofErr w:type="spellStart"/>
      <w:r w:rsidRPr="006745B5">
        <w:t>Canzian</w:t>
      </w:r>
      <w:proofErr w:type="spellEnd"/>
      <w:r w:rsidRPr="006745B5">
        <w:t xml:space="preserve"> study (2019) that forms the basis for our estimates of productivity benefits explicitly considers the size of productivity impact at various points in time. So the average gain in productivity for firms in the sample was 1.4% for each 100 days of exposure, i.e. ADSL2+ deployment in the region, where the “full effect” was measured after another 12 months (512 days). The authors indicate that “…the effects of the ADSL2+ upgrade do not seem to be contemporaneous but come into effect only after one year.”</w:t>
      </w:r>
      <w:r w:rsidR="008A10D4">
        <w:rPr>
          <w:rStyle w:val="FootnoteReference"/>
        </w:rPr>
        <w:footnoteReference w:id="39"/>
      </w:r>
    </w:p>
    <w:p w14:paraId="372BE150" w14:textId="77777777" w:rsidR="004C6CD6" w:rsidRPr="006745B5" w:rsidRDefault="004C6CD6" w:rsidP="004C6CD6">
      <w:pPr>
        <w:pStyle w:val="BodyText"/>
      </w:pPr>
      <w:r w:rsidRPr="006745B5">
        <w:t xml:space="preserve">The nature of deployment of fibre in </w:t>
      </w:r>
      <w:r w:rsidR="00FD7E22">
        <w:t>Business Fibre Zone</w:t>
      </w:r>
      <w:r w:rsidRPr="006745B5">
        <w:t xml:space="preserve">s is similar to the </w:t>
      </w:r>
      <w:proofErr w:type="spellStart"/>
      <w:r w:rsidRPr="006745B5">
        <w:t>Canzian</w:t>
      </w:r>
      <w:proofErr w:type="spellEnd"/>
      <w:r w:rsidRPr="006745B5">
        <w:t xml:space="preserve"> study, in that the impact of </w:t>
      </w:r>
      <w:r w:rsidR="00583499" w:rsidRPr="006745B5">
        <w:t>take-up</w:t>
      </w:r>
      <w:r w:rsidRPr="006745B5">
        <w:t xml:space="preserve"> was not directly measured but averaged across firms that would have been able to access the upgraded service.</w:t>
      </w:r>
    </w:p>
    <w:p w14:paraId="296F91A8" w14:textId="7362608E" w:rsidR="002B49BB" w:rsidRDefault="004C6CD6" w:rsidP="004C6CD6">
      <w:pPr>
        <w:pStyle w:val="BodyText"/>
      </w:pPr>
      <w:r w:rsidRPr="006745B5">
        <w:t>NBN</w:t>
      </w:r>
      <w:r w:rsidR="00786A13">
        <w:t xml:space="preserve"> </w:t>
      </w:r>
      <w:proofErr w:type="spellStart"/>
      <w:r w:rsidR="00786A13">
        <w:t>Co’</w:t>
      </w:r>
      <w:r w:rsidRPr="006745B5">
        <w:t>s</w:t>
      </w:r>
      <w:proofErr w:type="spellEnd"/>
      <w:r w:rsidRPr="006745B5">
        <w:t xml:space="preserve"> data indicates that the full impact of the fibre initiatives may </w:t>
      </w:r>
      <w:r w:rsidR="00A979CC">
        <w:t xml:space="preserve">take some time to </w:t>
      </w:r>
      <w:r w:rsidR="00583499">
        <w:t>emerge</w:t>
      </w:r>
      <w:r w:rsidRPr="006745B5">
        <w:t xml:space="preserve">, at least in comparison to </w:t>
      </w:r>
      <w:r w:rsidR="00D1288D">
        <w:t xml:space="preserve">expected </w:t>
      </w:r>
      <w:r w:rsidR="00583499">
        <w:t>take-up</w:t>
      </w:r>
      <w:r w:rsidRPr="006745B5">
        <w:t xml:space="preserve">. </w:t>
      </w:r>
      <w:r w:rsidR="002B49BB">
        <w:t xml:space="preserve">For example, see </w:t>
      </w:r>
      <w:r w:rsidR="009C2988">
        <w:fldChar w:fldCharType="begin"/>
      </w:r>
      <w:r w:rsidR="009C2988">
        <w:instrText xml:space="preserve"> REF _Ref75800742 \h </w:instrText>
      </w:r>
      <w:r w:rsidR="009C2988">
        <w:fldChar w:fldCharType="separate"/>
      </w:r>
      <w:r w:rsidR="00DD5715" w:rsidRPr="007C5D2E">
        <w:rPr>
          <w:rStyle w:val="Bold"/>
        </w:rPr>
        <w:t xml:space="preserve">Figure </w:t>
      </w:r>
      <w:r w:rsidR="00DD5715">
        <w:rPr>
          <w:rStyle w:val="Bold"/>
          <w:noProof/>
        </w:rPr>
        <w:t>18</w:t>
      </w:r>
      <w:r w:rsidR="009C2988">
        <w:fldChar w:fldCharType="end"/>
      </w:r>
      <w:r w:rsidR="009C2988">
        <w:t xml:space="preserve"> </w:t>
      </w:r>
      <w:r w:rsidR="002B49BB">
        <w:t>which highlights the rapid growth in total bandwidth capacity expected to FY2024.</w:t>
      </w:r>
    </w:p>
    <w:p w14:paraId="38339A78" w14:textId="37BD1625" w:rsidR="00A63A4B" w:rsidRDefault="00A63A4B" w:rsidP="003F4256">
      <w:pPr>
        <w:pStyle w:val="Caption"/>
      </w:pPr>
      <w:bookmarkStart w:id="108" w:name="_Ref75800742"/>
      <w:bookmarkStart w:id="109" w:name="_Toc79585079"/>
      <w:r w:rsidRPr="007C5D2E">
        <w:rPr>
          <w:rStyle w:val="Bold"/>
        </w:rPr>
        <w:lastRenderedPageBreak/>
        <w:t xml:space="preserve">Figure </w:t>
      </w:r>
      <w:r w:rsidRPr="007C5D2E">
        <w:rPr>
          <w:rStyle w:val="Bold"/>
        </w:rPr>
        <w:fldChar w:fldCharType="begin"/>
      </w:r>
      <w:r w:rsidRPr="007C5D2E">
        <w:rPr>
          <w:rStyle w:val="Bold"/>
        </w:rPr>
        <w:instrText xml:space="preserve"> SEQ Figure \* ARABIC </w:instrText>
      </w:r>
      <w:r w:rsidRPr="007C5D2E">
        <w:rPr>
          <w:rStyle w:val="Bold"/>
        </w:rPr>
        <w:fldChar w:fldCharType="separate"/>
      </w:r>
      <w:r w:rsidR="00DD5715">
        <w:rPr>
          <w:rStyle w:val="Bold"/>
          <w:noProof/>
        </w:rPr>
        <w:t>18</w:t>
      </w:r>
      <w:r w:rsidRPr="007C5D2E">
        <w:rPr>
          <w:rStyle w:val="Bold"/>
        </w:rPr>
        <w:fldChar w:fldCharType="end"/>
      </w:r>
      <w:bookmarkEnd w:id="108"/>
      <w:r w:rsidRPr="00BE496A">
        <w:t xml:space="preserve">: </w:t>
      </w:r>
      <w:r w:rsidR="00712A00">
        <w:t>Proportion of total bandwidth capacity relative to FY24 target</w:t>
      </w:r>
      <w:bookmarkEnd w:id="109"/>
    </w:p>
    <w:p w14:paraId="2EB9CF87" w14:textId="77777777" w:rsidR="00A63A4B" w:rsidRDefault="00712A00" w:rsidP="003F4256">
      <w:pPr>
        <w:pStyle w:val="Image-Page1fullwidth"/>
        <w:keepNext/>
        <w:framePr w:w="0" w:hSpace="0" w:wrap="auto" w:vAnchor="margin" w:yAlign="inline"/>
        <w:spacing w:after="0" w:line="240" w:lineRule="auto"/>
      </w:pPr>
      <w:r>
        <w:rPr>
          <w:lang w:eastAsia="en-AU"/>
        </w:rPr>
        <w:drawing>
          <wp:inline distT="0" distB="0" distL="0" distR="0" wp14:anchorId="2A700262" wp14:editId="1097DFF1">
            <wp:extent cx="4907915" cy="2810510"/>
            <wp:effectExtent l="0" t="0" r="6985" b="8890"/>
            <wp:docPr id="210" name="Picture 210" descr="The chart shows the proportion of total bandwidth over time relative to that expected by FY24. For example, based on NBN data, FY21 will have approximately 11% of the total speed/coverage expected in FY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Picture 210" descr="The chart shows the proportion of total bandwidth over time relative to that expected by FY24. For example, based on NBN data, FY21 will have approximately 11% of the total speed/coverage expected in FY2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907915" cy="2810510"/>
                    </a:xfrm>
                    <a:prstGeom prst="rect">
                      <a:avLst/>
                    </a:prstGeom>
                    <a:noFill/>
                  </pic:spPr>
                </pic:pic>
              </a:graphicData>
            </a:graphic>
          </wp:inline>
        </w:drawing>
      </w:r>
    </w:p>
    <w:p w14:paraId="295B3108" w14:textId="77777777" w:rsidR="00A63A4B" w:rsidRPr="003335D6" w:rsidRDefault="00A63A4B" w:rsidP="003335D6">
      <w:pPr>
        <w:pStyle w:val="Source"/>
      </w:pPr>
      <w:r w:rsidRPr="003335D6">
        <w:t xml:space="preserve">Source: Frontier Economics based on NBN </w:t>
      </w:r>
      <w:r w:rsidR="00712A00" w:rsidRPr="003335D6">
        <w:t>projections of take up by connection types.</w:t>
      </w:r>
      <w:r w:rsidRPr="003335D6">
        <w:br/>
        <w:t xml:space="preserve">Note: </w:t>
      </w:r>
      <w:r w:rsidR="00712A00" w:rsidRPr="003335D6">
        <w:t xml:space="preserve">Total bandwidth is the product average of the number of </w:t>
      </w:r>
      <w:r w:rsidR="00FB3489" w:rsidRPr="003335D6">
        <w:t>Enterprise Ethernet</w:t>
      </w:r>
      <w:r w:rsidR="00712A00" w:rsidRPr="003335D6">
        <w:t>, TC-2 and TC-4 connection and their respective speeds based on NBN forecasts. The chart shows the proportion of total bandwidth over time relative to that expected by FY24. For example, based on NBN data, FY21 will have approximately 11% of the total speed/coverage expected in FY24.</w:t>
      </w:r>
    </w:p>
    <w:p w14:paraId="2A74C238" w14:textId="77777777" w:rsidR="004C6CD6" w:rsidRDefault="002B49BB" w:rsidP="004C6CD6">
      <w:pPr>
        <w:pStyle w:val="BodyText"/>
      </w:pPr>
      <w:r>
        <w:t>W</w:t>
      </w:r>
      <w:r w:rsidR="004C6CD6" w:rsidRPr="006745B5">
        <w:t xml:space="preserve">hile the average benefit to a firm in a fibre zone might be initially lower, this could </w:t>
      </w:r>
      <w:r>
        <w:t xml:space="preserve">also </w:t>
      </w:r>
      <w:r w:rsidR="004C6CD6" w:rsidRPr="006745B5">
        <w:t>be reflective of low</w:t>
      </w:r>
      <w:r>
        <w:t>er average</w:t>
      </w:r>
      <w:r w:rsidR="004C6CD6" w:rsidRPr="006745B5">
        <w:t xml:space="preserve"> take</w:t>
      </w:r>
      <w:r>
        <w:t>-</w:t>
      </w:r>
      <w:r w:rsidR="004C6CD6" w:rsidRPr="006745B5">
        <w:t xml:space="preserve">up rather than smaller benefits for each firm that does take up </w:t>
      </w:r>
      <w:r w:rsidR="001F6445">
        <w:t>Enterprise Ethernet</w:t>
      </w:r>
      <w:r w:rsidR="004C6CD6" w:rsidRPr="006745B5">
        <w:t>.</w:t>
      </w:r>
      <w:r>
        <w:t xml:space="preserve"> </w:t>
      </w:r>
      <w:r w:rsidR="004C6CD6" w:rsidRPr="006745B5">
        <w:t xml:space="preserve">Nonetheless, the empirical studies indicate that we should be cautious in attributing the timing of benefits too soon after the availability of </w:t>
      </w:r>
      <w:r>
        <w:t>better services</w:t>
      </w:r>
      <w:r w:rsidR="004C6CD6" w:rsidRPr="006745B5">
        <w:t>.</w:t>
      </w:r>
    </w:p>
    <w:p w14:paraId="5C4BAEAA" w14:textId="77777777" w:rsidR="00B549A8" w:rsidRDefault="00B549A8" w:rsidP="00011158">
      <w:pPr>
        <w:pStyle w:val="Heading3"/>
      </w:pPr>
      <w:bookmarkStart w:id="110" w:name="_Ref74672399"/>
      <w:bookmarkStart w:id="111" w:name="_Toc79671814"/>
      <w:r>
        <w:t>Business satellite services</w:t>
      </w:r>
      <w:bookmarkEnd w:id="110"/>
      <w:bookmarkEnd w:id="111"/>
    </w:p>
    <w:p w14:paraId="5E78A52B" w14:textId="77777777" w:rsidR="00B549A8" w:rsidRDefault="00B549A8" w:rsidP="00B549A8">
      <w:pPr>
        <w:pStyle w:val="BodyText"/>
      </w:pPr>
      <w:r w:rsidRPr="00EF1C88">
        <w:t xml:space="preserve">NBN Co is also investing in business satellite services </w:t>
      </w:r>
      <w:r w:rsidR="0034565D" w:rsidRPr="00EF1C88">
        <w:t xml:space="preserve">(BSS) </w:t>
      </w:r>
      <w:r w:rsidRPr="00EF1C88">
        <w:t xml:space="preserve">to deliver a higher quality of service to users in satellite areas than standard residential grade services. NBN Co announced in March 2021 that it would increase coverage from 93% to 100% of Australian mainland and surrounding large islands, and, in parallel, lower its monthly wholesale charge for the service by between 32-43% depending on the service. </w:t>
      </w:r>
    </w:p>
    <w:p w14:paraId="556554A9" w14:textId="77777777" w:rsidR="00B549A8" w:rsidRDefault="00B549A8" w:rsidP="00B549A8">
      <w:pPr>
        <w:pStyle w:val="BodyText"/>
      </w:pPr>
      <w:r>
        <w:t>As part of BSS, three levels of service are being offered:</w:t>
      </w:r>
    </w:p>
    <w:p w14:paraId="2B6DC2C5" w14:textId="77777777" w:rsidR="00B549A8" w:rsidRDefault="00B549A8" w:rsidP="00B549A8">
      <w:pPr>
        <w:pStyle w:val="ListBullet1"/>
      </w:pPr>
      <w:r>
        <w:t>Access Bandwidth Service Layer 3 (ABSL3) – a product aimed at business customers who require high quality bandwidth with a Committed Information Rate. Delivers wholesale speeds of up to 50</w:t>
      </w:r>
      <w:r w:rsidR="006A494B">
        <w:t xml:space="preserve">Mbps download, </w:t>
      </w:r>
      <w:r>
        <w:t>13 Mbps</w:t>
      </w:r>
      <w:r w:rsidR="006A494B">
        <w:t xml:space="preserve"> upload</w:t>
      </w:r>
      <w:r w:rsidR="002872D1">
        <w:t xml:space="preserve"> (50/13)</w:t>
      </w:r>
      <w:r>
        <w:t xml:space="preserve">. The services also </w:t>
      </w:r>
      <w:r w:rsidR="00FB3489">
        <w:t>include</w:t>
      </w:r>
      <w:r>
        <w:t xml:space="preserve"> ABSL3 burst – Committed Information Rate bandwidth for critical business applications with additional forward Peak Information Rate bandwidth in burst to 10, 20 or 50Mbps.</w:t>
      </w:r>
    </w:p>
    <w:p w14:paraId="2CD5BE35" w14:textId="77777777" w:rsidR="00B549A8" w:rsidRPr="003B3595" w:rsidRDefault="00B549A8" w:rsidP="00B549A8">
      <w:pPr>
        <w:pStyle w:val="ListBullet1"/>
      </w:pPr>
      <w:r w:rsidRPr="003B3595">
        <w:t>Virtual ISP (VISP) – a business product offering wholesale speeds of up to 30/13Mbps. </w:t>
      </w:r>
      <w:r>
        <w:t>Other features of VISP include allowing service providers to pool the data quotas of businesses with multiple premises and the service being deployed in ‘stand-by’ mode (bandwidth available on demand). The stand-by mode feature allows VISP to be used as a disaster recovery service.</w:t>
      </w:r>
    </w:p>
    <w:p w14:paraId="1EEECB67" w14:textId="77777777" w:rsidR="00B549A8" w:rsidRDefault="00B549A8" w:rsidP="00B549A8">
      <w:pPr>
        <w:pStyle w:val="ListBullet1"/>
      </w:pPr>
      <w:r>
        <w:lastRenderedPageBreak/>
        <w:t>Internet of Things – a business product aimed at connectivity for remote monitoring of infrastructure and devices. The bandwidth offered range from 10/10 kbps to 2/2Mbps to suit the use case. The service offers both a Committed Information Rate and Peak Information Rate for connections.</w:t>
      </w:r>
    </w:p>
    <w:p w14:paraId="49FDE138" w14:textId="77777777" w:rsidR="00B549A8" w:rsidRDefault="00AB6986" w:rsidP="00B549A8">
      <w:pPr>
        <w:pStyle w:val="BodyText"/>
      </w:pPr>
      <w:r>
        <w:t>It would be reasonable</w:t>
      </w:r>
      <w:r w:rsidR="00B549A8">
        <w:t xml:space="preserve"> to expect that </w:t>
      </w:r>
      <w:r w:rsidR="008A7526">
        <w:t>BSS</w:t>
      </w:r>
      <w:r w:rsidR="00B549A8">
        <w:t xml:space="preserve"> will provide similar types of benefit to other </w:t>
      </w:r>
      <w:r>
        <w:t>NBN Co</w:t>
      </w:r>
      <w:r w:rsidR="00B549A8">
        <w:t xml:space="preserve"> business broadband products. That is to say, improved connectivity will lead to business productivity benefits where the level of benefit varies depending on factors including the sector of the business and the increment of speed/reliability improvement.</w:t>
      </w:r>
    </w:p>
    <w:p w14:paraId="2BB60107" w14:textId="66042507" w:rsidR="00B549A8" w:rsidRPr="00C06B25" w:rsidRDefault="00B549A8" w:rsidP="00B549A8">
      <w:pPr>
        <w:pStyle w:val="BodyText"/>
        <w:rPr>
          <w:b/>
          <w:bCs/>
        </w:rPr>
      </w:pPr>
      <w:r>
        <w:t xml:space="preserve">Given data limitations — especially around sector of businesses taking up </w:t>
      </w:r>
      <w:r w:rsidR="008A7526">
        <w:t>BSS</w:t>
      </w:r>
      <w:r>
        <w:t xml:space="preserve"> and their previous data solution — it is not possible to undertake a quantitative analysis of the benefits of </w:t>
      </w:r>
      <w:r w:rsidRPr="00F37F79">
        <w:t xml:space="preserve">business </w:t>
      </w:r>
      <w:proofErr w:type="spellStart"/>
      <w:r w:rsidRPr="00F37F79">
        <w:t>nbn</w:t>
      </w:r>
      <w:proofErr w:type="spellEnd"/>
      <w:r w:rsidRPr="00F37F79">
        <w:t xml:space="preserve"> satellite services</w:t>
      </w:r>
      <w:r>
        <w:t xml:space="preserve">. As previously mentioned, it would be expected that </w:t>
      </w:r>
      <w:r w:rsidR="008A7526">
        <w:t>BSS</w:t>
      </w:r>
      <w:r>
        <w:t xml:space="preserve"> contribute to business productivity benefits. However, given that the nature of the service and intended users differ from other business broadband products, the nature of the productivity benefits may also differ. For example, it may be that satellite services allow businesses to be more responsive to operational risks and issues with remote assets rather than changing the products and services that they offer customers. It may also be that </w:t>
      </w:r>
      <w:r w:rsidRPr="00F37F79">
        <w:t>satellite services</w:t>
      </w:r>
      <w:r>
        <w:t xml:space="preserve"> provide more social benefits, </w:t>
      </w:r>
      <w:proofErr w:type="gramStart"/>
      <w:r>
        <w:t xml:space="preserve">as  </w:t>
      </w:r>
      <w:r w:rsidR="00120C27">
        <w:t>BSS</w:t>
      </w:r>
      <w:proofErr w:type="gramEnd"/>
      <w:r>
        <w:t xml:space="preserve"> allows remote workers to access video calls and streaming which was</w:t>
      </w:r>
      <w:r w:rsidR="00120C27">
        <w:t xml:space="preserve"> </w:t>
      </w:r>
      <w:r>
        <w:t>n</w:t>
      </w:r>
      <w:r w:rsidR="00120C27">
        <w:t>o</w:t>
      </w:r>
      <w:r>
        <w:t xml:space="preserve">t previously possible. An example of benefits from business </w:t>
      </w:r>
      <w:r w:rsidR="00CD55C3">
        <w:t xml:space="preserve">satellite </w:t>
      </w:r>
      <w:r>
        <w:t>services is provided</w:t>
      </w:r>
      <w:r w:rsidR="00E12E75">
        <w:t xml:space="preserve"> in </w:t>
      </w:r>
      <w:r w:rsidR="00E12E75">
        <w:fldChar w:fldCharType="begin"/>
      </w:r>
      <w:r w:rsidR="00E12E75">
        <w:instrText xml:space="preserve"> REF _Ref79504890 \r \h </w:instrText>
      </w:r>
      <w:r w:rsidR="00E12E75">
        <w:fldChar w:fldCharType="separate"/>
      </w:r>
      <w:r w:rsidR="00DD5715">
        <w:t>Box 10</w:t>
      </w:r>
      <w:r w:rsidR="00E12E75">
        <w:fldChar w:fldCharType="end"/>
      </w:r>
      <w:r>
        <w:t>.</w:t>
      </w:r>
    </w:p>
    <w:p w14:paraId="005241AA" w14:textId="77777777" w:rsidR="004C6CD6" w:rsidRPr="00C06B25" w:rsidRDefault="004C6CD6" w:rsidP="004C6CD6">
      <w:pPr>
        <w:pStyle w:val="BodyText"/>
        <w:rPr>
          <w:b/>
          <w:bCs/>
        </w:rPr>
      </w:pPr>
    </w:p>
    <w:p w14:paraId="6EADBB3F" w14:textId="54B4B358" w:rsidR="00A91058" w:rsidRDefault="00011158" w:rsidP="00011158">
      <w:pPr>
        <w:pStyle w:val="Heading2"/>
      </w:pPr>
      <w:bookmarkStart w:id="112" w:name="_Toc74574315"/>
      <w:bookmarkStart w:id="113" w:name="_Toc79671815"/>
      <w:r>
        <w:lastRenderedPageBreak/>
        <w:t xml:space="preserve">3. </w:t>
      </w:r>
      <w:r w:rsidR="00A91058">
        <w:t xml:space="preserve">Competition </w:t>
      </w:r>
      <w:r w:rsidR="00A614E4">
        <w:t xml:space="preserve">impacts </w:t>
      </w:r>
      <w:r w:rsidR="00A91058">
        <w:t xml:space="preserve">in </w:t>
      </w:r>
      <w:r w:rsidR="00A614E4">
        <w:t xml:space="preserve">markets for </w:t>
      </w:r>
      <w:r w:rsidR="00A91058">
        <w:t>business broadband services</w:t>
      </w:r>
      <w:bookmarkEnd w:id="112"/>
      <w:bookmarkEnd w:id="113"/>
    </w:p>
    <w:p w14:paraId="19F54B57" w14:textId="77777777" w:rsidR="00E20E91" w:rsidRPr="00E20E91" w:rsidRDefault="00E20E91" w:rsidP="00E20E91">
      <w:pPr>
        <w:pStyle w:val="BodyText"/>
      </w:pPr>
      <w:r>
        <w:t xml:space="preserve">A </w:t>
      </w:r>
      <w:r w:rsidR="002B49BB">
        <w:t>second</w:t>
      </w:r>
      <w:r>
        <w:t xml:space="preserve"> element of th</w:t>
      </w:r>
      <w:r w:rsidR="002B49BB">
        <w:t>e</w:t>
      </w:r>
      <w:r>
        <w:t xml:space="preserve"> study</w:t>
      </w:r>
      <w:r w:rsidR="005247EC">
        <w:t xml:space="preserve"> </w:t>
      </w:r>
      <w:r w:rsidR="002B49BB">
        <w:t>wa</w:t>
      </w:r>
      <w:r w:rsidR="005247EC">
        <w:t>s t</w:t>
      </w:r>
      <w:r w:rsidR="005247EC" w:rsidRPr="005247EC">
        <w:t xml:space="preserve">o examine the impact of the increase in accessibility and affordability </w:t>
      </w:r>
      <w:r w:rsidR="005247EC">
        <w:t xml:space="preserve">on competition </w:t>
      </w:r>
      <w:r w:rsidR="005247EC" w:rsidRPr="005247EC">
        <w:t xml:space="preserve">in </w:t>
      </w:r>
      <w:proofErr w:type="gramStart"/>
      <w:r w:rsidR="005247EC" w:rsidRPr="005247EC">
        <w:t>the (</w:t>
      </w:r>
      <w:proofErr w:type="spellStart"/>
      <w:r w:rsidR="005247EC" w:rsidRPr="005247EC">
        <w:t>i</w:t>
      </w:r>
      <w:proofErr w:type="spellEnd"/>
      <w:proofErr w:type="gramEnd"/>
      <w:r w:rsidR="005247EC" w:rsidRPr="005247EC">
        <w:t xml:space="preserve">) the markets in which fibre </w:t>
      </w:r>
      <w:r w:rsidR="00C0167B">
        <w:t xml:space="preserve">and other business </w:t>
      </w:r>
      <w:r w:rsidR="005247EC" w:rsidRPr="005247EC">
        <w:t xml:space="preserve">services are supplied, </w:t>
      </w:r>
      <w:r w:rsidR="00D430A8">
        <w:t xml:space="preserve">and </w:t>
      </w:r>
      <w:r w:rsidR="005247EC" w:rsidRPr="005247EC">
        <w:t>(ii) the market in which retail services are provided to business users.</w:t>
      </w:r>
    </w:p>
    <w:p w14:paraId="7257F63C" w14:textId="77777777" w:rsidR="005515DC" w:rsidRDefault="0037119B" w:rsidP="00011158">
      <w:pPr>
        <w:pStyle w:val="Heading3"/>
      </w:pPr>
      <w:bookmarkStart w:id="114" w:name="_Toc74574316"/>
      <w:bookmarkStart w:id="115" w:name="_Toc79671816"/>
      <w:r>
        <w:t>Method for identifying</w:t>
      </w:r>
      <w:r w:rsidR="009B7798">
        <w:t xml:space="preserve"> competition impacts</w:t>
      </w:r>
      <w:bookmarkEnd w:id="114"/>
      <w:bookmarkEnd w:id="115"/>
    </w:p>
    <w:p w14:paraId="338E4D64" w14:textId="4FFEE340" w:rsidR="00050F3C" w:rsidRDefault="00C0167B" w:rsidP="00C0167B">
      <w:pPr>
        <w:pStyle w:val="BodyText"/>
      </w:pPr>
      <w:r>
        <w:t xml:space="preserve">There is a relatively standard economic approach </w:t>
      </w:r>
      <w:r w:rsidR="00B16C91">
        <w:t xml:space="preserve">to identify </w:t>
      </w:r>
      <w:r>
        <w:t xml:space="preserve">the effects of changes in market conditions (e.g. a policy change) on </w:t>
      </w:r>
      <w:r w:rsidR="00B16C91">
        <w:t>competition.</w:t>
      </w:r>
      <w:r>
        <w:t xml:space="preserve"> </w:t>
      </w:r>
      <w:r w:rsidR="00050F3C">
        <w:t xml:space="preserve">This is identified in </w:t>
      </w:r>
      <w:r w:rsidR="00050F3C">
        <w:fldChar w:fldCharType="begin"/>
      </w:r>
      <w:r w:rsidR="00050F3C">
        <w:instrText xml:space="preserve"> REF _Ref71038373 \h </w:instrText>
      </w:r>
      <w:r w:rsidR="00050F3C">
        <w:fldChar w:fldCharType="separate"/>
      </w:r>
      <w:r w:rsidR="00DD5715" w:rsidRPr="007C5D2E">
        <w:rPr>
          <w:rStyle w:val="Bold"/>
        </w:rPr>
        <w:t xml:space="preserve">Figure </w:t>
      </w:r>
      <w:r w:rsidR="00DD5715">
        <w:rPr>
          <w:rStyle w:val="Bold"/>
          <w:noProof/>
        </w:rPr>
        <w:t>19</w:t>
      </w:r>
      <w:r w:rsidR="00050F3C">
        <w:fldChar w:fldCharType="end"/>
      </w:r>
      <w:r w:rsidR="00050F3C">
        <w:t>.</w:t>
      </w:r>
    </w:p>
    <w:p w14:paraId="753BB6E3" w14:textId="4F88202A" w:rsidR="00050F3C" w:rsidRDefault="00050F3C" w:rsidP="00050F3C">
      <w:pPr>
        <w:pStyle w:val="Caption"/>
      </w:pPr>
      <w:bookmarkStart w:id="116" w:name="_Ref71038373"/>
      <w:bookmarkStart w:id="117" w:name="_Toc74684932"/>
      <w:bookmarkStart w:id="118" w:name="_Toc79585080"/>
      <w:r w:rsidRPr="007C5D2E">
        <w:rPr>
          <w:rStyle w:val="Bold"/>
        </w:rPr>
        <w:t xml:space="preserve">Figure </w:t>
      </w:r>
      <w:r w:rsidRPr="007C5D2E">
        <w:rPr>
          <w:rStyle w:val="Bold"/>
        </w:rPr>
        <w:fldChar w:fldCharType="begin"/>
      </w:r>
      <w:r w:rsidRPr="007C5D2E">
        <w:rPr>
          <w:rStyle w:val="Bold"/>
        </w:rPr>
        <w:instrText xml:space="preserve"> SEQ Figure \* ARABIC </w:instrText>
      </w:r>
      <w:r w:rsidRPr="007C5D2E">
        <w:rPr>
          <w:rStyle w:val="Bold"/>
        </w:rPr>
        <w:fldChar w:fldCharType="separate"/>
      </w:r>
      <w:r w:rsidR="00DD5715">
        <w:rPr>
          <w:rStyle w:val="Bold"/>
          <w:noProof/>
        </w:rPr>
        <w:t>19</w:t>
      </w:r>
      <w:r w:rsidRPr="007C5D2E">
        <w:rPr>
          <w:rStyle w:val="Bold"/>
        </w:rPr>
        <w:fldChar w:fldCharType="end"/>
      </w:r>
      <w:bookmarkEnd w:id="116"/>
      <w:r w:rsidRPr="00BE496A">
        <w:t xml:space="preserve">: </w:t>
      </w:r>
      <w:r>
        <w:t>Overview of competition benefits methodology</w:t>
      </w:r>
      <w:bookmarkEnd w:id="117"/>
      <w:bookmarkEnd w:id="118"/>
    </w:p>
    <w:p w14:paraId="3AA837ED" w14:textId="5F6567BD" w:rsidR="00AE31D5" w:rsidRDefault="00AE31D5" w:rsidP="00C0167B">
      <w:pPr>
        <w:pStyle w:val="BodyText"/>
      </w:pPr>
      <w:r>
        <w:rPr>
          <w:noProof/>
          <w:lang w:eastAsia="en-AU"/>
        </w:rPr>
        <w:drawing>
          <wp:inline distT="0" distB="0" distL="0" distR="0" wp14:anchorId="50499B65" wp14:editId="3CEB7EA4">
            <wp:extent cx="5759450" cy="1312545"/>
            <wp:effectExtent l="0" t="0" r="0" b="1905"/>
            <wp:docPr id="2" name="Picture 2" descr="This figure is an overview of the competition benefits methodology, set out in three steps. Step 1 is identify the markets in which services to business users are supplied. Step 2 is identify a counterfactual against which the factual (investment) can be compared. Step 3 is consider how investment changes indicators of market structure, conduct and perform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759450" cy="1312545"/>
                    </a:xfrm>
                    <a:prstGeom prst="rect">
                      <a:avLst/>
                    </a:prstGeom>
                  </pic:spPr>
                </pic:pic>
              </a:graphicData>
            </a:graphic>
          </wp:inline>
        </w:drawing>
      </w:r>
    </w:p>
    <w:p w14:paraId="60B3F035" w14:textId="77777777" w:rsidR="00050F3C" w:rsidRPr="003335D6" w:rsidRDefault="00050F3C" w:rsidP="003335D6">
      <w:pPr>
        <w:pStyle w:val="Source"/>
      </w:pPr>
      <w:r w:rsidRPr="003335D6">
        <w:t>Source: Frontier Economics</w:t>
      </w:r>
    </w:p>
    <w:p w14:paraId="72131D7B" w14:textId="77777777" w:rsidR="00B601D1" w:rsidRDefault="00050F3C" w:rsidP="00C0167B">
      <w:pPr>
        <w:pStyle w:val="BodyText"/>
      </w:pPr>
      <w:r>
        <w:t xml:space="preserve">The first step is the identify markets in which competition takes place. </w:t>
      </w:r>
      <w:r w:rsidR="000B4A8F">
        <w:t>This will need to include some consideration of the product markets</w:t>
      </w:r>
      <w:r w:rsidR="005B1BF5">
        <w:t>, geographic markets, and the different functional markets at which products are offered.</w:t>
      </w:r>
    </w:p>
    <w:p w14:paraId="625EFE07" w14:textId="77777777" w:rsidR="00B601D1" w:rsidRDefault="00050F3C" w:rsidP="00C0167B">
      <w:pPr>
        <w:pStyle w:val="BodyText"/>
      </w:pPr>
      <w:r>
        <w:t xml:space="preserve">The second step considers the ‘increment’ of change in </w:t>
      </w:r>
      <w:r w:rsidR="00237F0A">
        <w:t xml:space="preserve">action that is being considered - here, the development of markets for business services without the investments being made. </w:t>
      </w:r>
      <w:r w:rsidR="00B57076">
        <w:t xml:space="preserve">This may be the same as the ‘status quo’, but in a market with </w:t>
      </w:r>
      <w:r w:rsidR="00007214">
        <w:t xml:space="preserve">ongoing </w:t>
      </w:r>
      <w:r w:rsidR="00B079F0">
        <w:t>technological change</w:t>
      </w:r>
      <w:r w:rsidR="00007214">
        <w:t>,</w:t>
      </w:r>
      <w:r w:rsidR="00B079F0">
        <w:t xml:space="preserve"> may also be a change in the speed of investments occurring.</w:t>
      </w:r>
    </w:p>
    <w:p w14:paraId="7144469B" w14:textId="77777777" w:rsidR="00C0167B" w:rsidRDefault="00237F0A" w:rsidP="008E33D6">
      <w:pPr>
        <w:pStyle w:val="BodyText"/>
      </w:pPr>
      <w:r>
        <w:t xml:space="preserve">The third step is to identify how the investments change </w:t>
      </w:r>
      <w:r w:rsidR="000B4A8F">
        <w:t xml:space="preserve">indicators of competition. </w:t>
      </w:r>
      <w:r w:rsidR="00C0167B">
        <w:t>The conventional economic approach to the assessment of competition</w:t>
      </w:r>
      <w:r w:rsidR="00C0167B" w:rsidRPr="009E7A35">
        <w:t xml:space="preserve"> </w:t>
      </w:r>
      <w:r w:rsidR="00C0167B">
        <w:t>is to consider three kinds of indicators:</w:t>
      </w:r>
      <w:r w:rsidR="008E33D6">
        <w:t xml:space="preserve"> </w:t>
      </w:r>
      <w:r w:rsidR="00C0167B" w:rsidRPr="009E7A35">
        <w:t>structural indicators</w:t>
      </w:r>
      <w:r w:rsidR="008E33D6">
        <w:t xml:space="preserve">, </w:t>
      </w:r>
      <w:r w:rsidR="00C0167B" w:rsidRPr="009E7A35">
        <w:t xml:space="preserve">behavioural indicators </w:t>
      </w:r>
      <w:r w:rsidR="008E33D6">
        <w:t xml:space="preserve">and </w:t>
      </w:r>
      <w:r w:rsidR="00C0167B" w:rsidRPr="009E7A35">
        <w:t>performance indicators</w:t>
      </w:r>
      <w:r w:rsidR="008E33D6">
        <w:t xml:space="preserve"> (the ‘structure conduct performance framework’).</w:t>
      </w:r>
      <w:r w:rsidR="008E33D6">
        <w:rPr>
          <w:rStyle w:val="FootnoteReference"/>
        </w:rPr>
        <w:footnoteReference w:id="40"/>
      </w:r>
      <w:r w:rsidR="00C0167B" w:rsidRPr="009E7A35">
        <w:t xml:space="preserve"> </w:t>
      </w:r>
    </w:p>
    <w:p w14:paraId="63559002" w14:textId="77777777" w:rsidR="00C0167B" w:rsidRPr="009E7A35" w:rsidRDefault="00C0167B" w:rsidP="00C0167B"/>
    <w:p w14:paraId="6482858D" w14:textId="77777777" w:rsidR="00C0167B" w:rsidRDefault="00C0167B" w:rsidP="00C0167B">
      <w:r w:rsidRPr="009E7A35">
        <w:lastRenderedPageBreak/>
        <w:t xml:space="preserve">The structure-conduct-performance </w:t>
      </w:r>
      <w:r w:rsidR="006025CA" w:rsidRPr="009E7A35">
        <w:t>scheme</w:t>
      </w:r>
      <w:r w:rsidRPr="009E7A35">
        <w:t xml:space="preserve"> can be used to classify various indicators of </w:t>
      </w:r>
      <w:r>
        <w:t>competition:</w:t>
      </w:r>
      <w:r w:rsidRPr="009E7A35">
        <w:t xml:space="preserve"> </w:t>
      </w:r>
    </w:p>
    <w:p w14:paraId="7E4A507B" w14:textId="77777777" w:rsidR="00C0167B" w:rsidRDefault="00C0167B" w:rsidP="008C7A5E">
      <w:pPr>
        <w:pStyle w:val="ListParagraph"/>
        <w:numPr>
          <w:ilvl w:val="0"/>
          <w:numId w:val="14"/>
        </w:numPr>
        <w:spacing w:line="264" w:lineRule="auto"/>
      </w:pPr>
      <w:r w:rsidRPr="009E7A35">
        <w:t xml:space="preserve">The </w:t>
      </w:r>
      <w:r w:rsidRPr="0044529F">
        <w:rPr>
          <w:b/>
          <w:bCs/>
        </w:rPr>
        <w:t>structure</w:t>
      </w:r>
      <w:r w:rsidRPr="009E7A35">
        <w:t xml:space="preserve"> of a market can be examined to see whether the structure is of a kind that is likely to produce competitive conduct. </w:t>
      </w:r>
    </w:p>
    <w:p w14:paraId="03FE6BDC" w14:textId="77777777" w:rsidR="00C0167B" w:rsidRDefault="00C0167B" w:rsidP="008C7A5E">
      <w:pPr>
        <w:pStyle w:val="ListParagraph"/>
        <w:numPr>
          <w:ilvl w:val="0"/>
          <w:numId w:val="14"/>
        </w:numPr>
        <w:spacing w:line="264" w:lineRule="auto"/>
      </w:pPr>
      <w:r w:rsidRPr="009E7A35">
        <w:t xml:space="preserve">Patterns of </w:t>
      </w:r>
      <w:r w:rsidRPr="0044529F">
        <w:rPr>
          <w:b/>
          <w:bCs/>
        </w:rPr>
        <w:t>conduct</w:t>
      </w:r>
      <w:r w:rsidRPr="009E7A35">
        <w:t xml:space="preserve"> can be examined directly to ascertain the extent to which </w:t>
      </w:r>
      <w:r>
        <w:t>firms</w:t>
      </w:r>
      <w:r w:rsidRPr="009E7A35">
        <w:t xml:space="preserve"> within the market are behaving in a competitive manner.</w:t>
      </w:r>
    </w:p>
    <w:p w14:paraId="527C7D0F" w14:textId="77777777" w:rsidR="00C0167B" w:rsidRDefault="00C0167B" w:rsidP="008C7A5E">
      <w:pPr>
        <w:pStyle w:val="ListParagraph"/>
        <w:numPr>
          <w:ilvl w:val="0"/>
          <w:numId w:val="14"/>
        </w:numPr>
        <w:spacing w:line="264" w:lineRule="auto"/>
      </w:pPr>
      <w:r w:rsidRPr="0044529F">
        <w:rPr>
          <w:b/>
          <w:bCs/>
        </w:rPr>
        <w:t>Performance</w:t>
      </w:r>
      <w:r>
        <w:t xml:space="preserve"> measures can be examined to determine whether prices and economic returns are similar to those that we would expect to be earned in competitive markets.</w:t>
      </w:r>
      <w:r w:rsidRPr="009E7A35">
        <w:t xml:space="preserve"> </w:t>
      </w:r>
    </w:p>
    <w:p w14:paraId="0CD693C0" w14:textId="77777777" w:rsidR="00C0167B" w:rsidRDefault="00C0167B" w:rsidP="00050F3C">
      <w:r>
        <w:t>The approach we describe here is in line with both conventional economic thinking and views expressed by the Australian Competition Tribunal.</w:t>
      </w:r>
      <w:r>
        <w:rPr>
          <w:rStyle w:val="FootnoteReference"/>
        </w:rPr>
        <w:footnoteReference w:id="41"/>
      </w:r>
    </w:p>
    <w:p w14:paraId="1EEEE46D" w14:textId="77777777" w:rsidR="009B7798" w:rsidRDefault="00CD3CC4" w:rsidP="00011158">
      <w:pPr>
        <w:pStyle w:val="Heading3"/>
      </w:pPr>
      <w:bookmarkStart w:id="119" w:name="_Toc74574317"/>
      <w:bookmarkStart w:id="120" w:name="_Toc79671817"/>
      <w:r>
        <w:t>Two markets relevant to</w:t>
      </w:r>
      <w:r w:rsidR="009B7798">
        <w:t xml:space="preserve"> business broadband services</w:t>
      </w:r>
      <w:bookmarkEnd w:id="119"/>
      <w:bookmarkEnd w:id="120"/>
    </w:p>
    <w:p w14:paraId="4DBDDB80" w14:textId="77777777" w:rsidR="00306C65" w:rsidRDefault="00555DC5" w:rsidP="009B7798">
      <w:pPr>
        <w:pStyle w:val="BodyText"/>
      </w:pPr>
      <w:r>
        <w:t xml:space="preserve">To understand competition and competitive benefits, </w:t>
      </w:r>
      <w:r w:rsidR="00306C65">
        <w:t xml:space="preserve">we need to have </w:t>
      </w:r>
      <w:r w:rsidRPr="00B4743A">
        <w:t>some insight into how firms are competing, and for what</w:t>
      </w:r>
      <w:r>
        <w:t>.</w:t>
      </w:r>
      <w:r w:rsidR="006D31EB">
        <w:t xml:space="preserve"> We use market definition to assist this process.</w:t>
      </w:r>
      <w:r w:rsidR="004D4705">
        <w:rPr>
          <w:rStyle w:val="FootnoteReference"/>
        </w:rPr>
        <w:footnoteReference w:id="42"/>
      </w:r>
      <w:r w:rsidRPr="00B4743A">
        <w:t xml:space="preserve"> </w:t>
      </w:r>
      <w:r w:rsidR="00306C65">
        <w:t>I</w:t>
      </w:r>
      <w:r w:rsidR="00B4743A">
        <w:t>t is</w:t>
      </w:r>
      <w:r w:rsidR="00306C65">
        <w:t xml:space="preserve"> not, however,</w:t>
      </w:r>
      <w:r w:rsidR="00B4743A">
        <w:t xml:space="preserve"> </w:t>
      </w:r>
      <w:r w:rsidR="00B4743A" w:rsidRPr="00B4743A">
        <w:t xml:space="preserve">necessary to come to a conclusive view on </w:t>
      </w:r>
      <w:r w:rsidR="00B4743A">
        <w:t xml:space="preserve">the </w:t>
      </w:r>
      <w:r w:rsidR="00B4743A" w:rsidRPr="00B4743A">
        <w:t>market</w:t>
      </w:r>
      <w:r w:rsidR="00B4743A">
        <w:t xml:space="preserve"> or markets in which NBN Co competes for business services. </w:t>
      </w:r>
    </w:p>
    <w:p w14:paraId="079A964B" w14:textId="77777777" w:rsidR="001F4942" w:rsidRDefault="00706779" w:rsidP="009B7798">
      <w:pPr>
        <w:pStyle w:val="BodyText"/>
      </w:pPr>
      <w:r>
        <w:t>The process of identifying markets begins with an identification of the products that are the subject</w:t>
      </w:r>
      <w:r w:rsidR="00DC3824">
        <w:t xml:space="preserve"> of the analysis. Here, our particular interest is in the markets in which NBN Co provides its business broadband services, so it makes sense to</w:t>
      </w:r>
      <w:r w:rsidR="003355F7">
        <w:t xml:space="preserve"> begin with identifying the</w:t>
      </w:r>
      <w:r w:rsidR="001F4942">
        <w:t xml:space="preserve"> three </w:t>
      </w:r>
      <w:r w:rsidR="00F44DE6">
        <w:t xml:space="preserve">main </w:t>
      </w:r>
      <w:r w:rsidR="001F4942">
        <w:t xml:space="preserve">kinds of </w:t>
      </w:r>
      <w:r w:rsidR="00505B52">
        <w:t xml:space="preserve">NBN </w:t>
      </w:r>
      <w:r w:rsidR="001F4942">
        <w:t>business-related services that are relevant for this study:</w:t>
      </w:r>
    </w:p>
    <w:p w14:paraId="50847816" w14:textId="77777777" w:rsidR="001F4942" w:rsidRDefault="001F4942" w:rsidP="001F4942">
      <w:pPr>
        <w:pStyle w:val="ListBullet1"/>
      </w:pPr>
      <w:r>
        <w:t xml:space="preserve">Enterprise </w:t>
      </w:r>
      <w:r w:rsidR="00D358F3">
        <w:t xml:space="preserve">Ethernet </w:t>
      </w:r>
      <w:r>
        <w:t>services, a point-to-point fibre service</w:t>
      </w:r>
    </w:p>
    <w:p w14:paraId="04FFD0B8" w14:textId="77777777" w:rsidR="001F4942" w:rsidRDefault="001F4942" w:rsidP="001F4942">
      <w:pPr>
        <w:pStyle w:val="ListBullet1"/>
      </w:pPr>
      <w:r>
        <w:t>Ethernet services (TC-2) provided via the range of technologies available on the NBN including FTTN, FTTC, HFC and FTTP (MTM)</w:t>
      </w:r>
    </w:p>
    <w:p w14:paraId="64F6C575" w14:textId="77777777" w:rsidR="001F4942" w:rsidRDefault="001F4942" w:rsidP="001F4942">
      <w:pPr>
        <w:pStyle w:val="ListBullet1"/>
      </w:pPr>
      <w:r>
        <w:t>Residential grade (TC-4) services also provided using the MTM networks, which are not specifically business services but are used by many smaller businesses.</w:t>
      </w:r>
    </w:p>
    <w:p w14:paraId="6A02168F" w14:textId="77777777" w:rsidR="0044529F" w:rsidRDefault="0044529F" w:rsidP="009B7798">
      <w:pPr>
        <w:pStyle w:val="BodyText"/>
      </w:pPr>
      <w:r>
        <w:t xml:space="preserve">We also consider </w:t>
      </w:r>
      <w:r w:rsidR="002B49BB">
        <w:t xml:space="preserve">NBN </w:t>
      </w:r>
      <w:proofErr w:type="spellStart"/>
      <w:r w:rsidR="002B49BB">
        <w:t>Co’s</w:t>
      </w:r>
      <w:proofErr w:type="spellEnd"/>
      <w:r>
        <w:t xml:space="preserve"> business satellite services within the context of this study</w:t>
      </w:r>
      <w:r w:rsidR="00F44DE6">
        <w:t>.</w:t>
      </w:r>
    </w:p>
    <w:p w14:paraId="6D284BDB" w14:textId="77777777" w:rsidR="00293332" w:rsidRDefault="00293332" w:rsidP="00293332">
      <w:pPr>
        <w:pStyle w:val="BodyText"/>
      </w:pPr>
      <w:r>
        <w:t xml:space="preserve">The assessment of substitution in demand is a key element in defining markets in competition law. The essential task in market definition is to define all the products on the demand side that buyers regard as reasonable substitutes for the product and then to identify all the sellers who </w:t>
      </w:r>
      <w:r>
        <w:lastRenderedPageBreak/>
        <w:t xml:space="preserve">supply </w:t>
      </w:r>
      <w:r w:rsidR="00A92C52">
        <w:t>or</w:t>
      </w:r>
      <w:r>
        <w:t xml:space="preserve"> could potentially supply them – this is the relevant market. This exercise of market definition includes defining the geographical reach of the relevant market.</w:t>
      </w:r>
      <w:r w:rsidR="004D4705">
        <w:rPr>
          <w:rStyle w:val="FootnoteReference"/>
        </w:rPr>
        <w:footnoteReference w:id="43"/>
      </w:r>
    </w:p>
    <w:p w14:paraId="3DF2FD94" w14:textId="77777777" w:rsidR="008F1991" w:rsidRDefault="004462CD" w:rsidP="009B7798">
      <w:pPr>
        <w:pStyle w:val="BodyText"/>
      </w:pPr>
      <w:r>
        <w:t xml:space="preserve">We therefore need to identify </w:t>
      </w:r>
      <w:r w:rsidR="008F1991">
        <w:t>substitutes</w:t>
      </w:r>
      <w:r w:rsidR="00372AC5">
        <w:t xml:space="preserve"> for NBN </w:t>
      </w:r>
      <w:proofErr w:type="spellStart"/>
      <w:r w:rsidR="00372AC5">
        <w:t>Co’s</w:t>
      </w:r>
      <w:proofErr w:type="spellEnd"/>
      <w:r w:rsidR="00372AC5">
        <w:t xml:space="preserve"> services</w:t>
      </w:r>
      <w:r w:rsidR="008F1991">
        <w:t>.</w:t>
      </w:r>
      <w:r w:rsidR="00372AC5">
        <w:t xml:space="preserve"> In the following figure we identify, in a stylised way, the key </w:t>
      </w:r>
      <w:r w:rsidR="004627C3">
        <w:t>structure of how markets for business grade services for high speed, high quality, and symmetric speed services.</w:t>
      </w:r>
      <w:r w:rsidR="008F1991">
        <w:t xml:space="preserve"> </w:t>
      </w:r>
    </w:p>
    <w:p w14:paraId="2DF6FBB2" w14:textId="6D243B01" w:rsidR="00A40CB0" w:rsidRDefault="00A40CB0" w:rsidP="009645AD">
      <w:pPr>
        <w:pStyle w:val="Caption"/>
      </w:pPr>
      <w:bookmarkStart w:id="121" w:name="_Toc74684933"/>
      <w:bookmarkStart w:id="122" w:name="_Toc79585081"/>
      <w:r w:rsidRPr="007C5D2E">
        <w:rPr>
          <w:rStyle w:val="Bold"/>
        </w:rPr>
        <w:t xml:space="preserve">Figure </w:t>
      </w:r>
      <w:r w:rsidRPr="007C5D2E">
        <w:rPr>
          <w:rStyle w:val="Bold"/>
        </w:rPr>
        <w:fldChar w:fldCharType="begin"/>
      </w:r>
      <w:r w:rsidRPr="007C5D2E">
        <w:rPr>
          <w:rStyle w:val="Bold"/>
        </w:rPr>
        <w:instrText xml:space="preserve"> SEQ Figure \* ARABIC </w:instrText>
      </w:r>
      <w:r w:rsidRPr="007C5D2E">
        <w:rPr>
          <w:rStyle w:val="Bold"/>
        </w:rPr>
        <w:fldChar w:fldCharType="separate"/>
      </w:r>
      <w:r w:rsidR="00DD5715">
        <w:rPr>
          <w:rStyle w:val="Bold"/>
          <w:noProof/>
        </w:rPr>
        <w:t>20</w:t>
      </w:r>
      <w:r w:rsidRPr="007C5D2E">
        <w:rPr>
          <w:rStyle w:val="Bold"/>
        </w:rPr>
        <w:fldChar w:fldCharType="end"/>
      </w:r>
      <w:r w:rsidRPr="00BE496A">
        <w:t xml:space="preserve">: </w:t>
      </w:r>
      <w:r w:rsidR="002B49BB">
        <w:t>Illustration of wholesale and retail markets for business grade broadband</w:t>
      </w:r>
      <w:bookmarkEnd w:id="121"/>
      <w:bookmarkEnd w:id="122"/>
    </w:p>
    <w:p w14:paraId="7722A8D6" w14:textId="77777777" w:rsidR="00A40CB0" w:rsidRDefault="00A40CB0" w:rsidP="009645AD">
      <w:pPr>
        <w:pStyle w:val="Image-Page1fullwidth"/>
        <w:keepNext/>
        <w:framePr w:w="0" w:hSpace="0" w:wrap="auto" w:vAnchor="margin" w:yAlign="inline"/>
        <w:spacing w:after="0" w:line="240" w:lineRule="auto"/>
      </w:pPr>
      <w:r w:rsidRPr="00A40CB0">
        <w:rPr>
          <w:lang w:eastAsia="en-AU"/>
        </w:rPr>
        <w:drawing>
          <wp:inline distT="0" distB="0" distL="0" distR="0" wp14:anchorId="2858C667" wp14:editId="1E413FBD">
            <wp:extent cx="5759450" cy="3596743"/>
            <wp:effectExtent l="0" t="0" r="0" b="3810"/>
            <wp:docPr id="40" name="Picture 40" descr="This figure highlights the supply chain for business grade broadband services. There is a mix of supply models, with NBN a wholesale only supplier, while other suppliers offer services directly to businesses, often bundled with other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This figure highlights the supply chain for business grade broadband services. There is a mix of supply models, with NBN a wholesale only supplier, while other suppliers offer services directly to businesses, often bundled with other services."/>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759450" cy="3596743"/>
                    </a:xfrm>
                    <a:prstGeom prst="rect">
                      <a:avLst/>
                    </a:prstGeom>
                    <a:noFill/>
                    <a:ln>
                      <a:noFill/>
                    </a:ln>
                  </pic:spPr>
                </pic:pic>
              </a:graphicData>
            </a:graphic>
          </wp:inline>
        </w:drawing>
      </w:r>
    </w:p>
    <w:p w14:paraId="07B41D65" w14:textId="620DA871" w:rsidR="00A40CB0" w:rsidRPr="003335D6" w:rsidRDefault="00A40CB0" w:rsidP="003335D6">
      <w:pPr>
        <w:pStyle w:val="Source"/>
      </w:pPr>
      <w:r w:rsidRPr="003335D6">
        <w:t xml:space="preserve">Source: </w:t>
      </w:r>
      <w:r w:rsidR="00011158">
        <w:t>Frontier Economics</w:t>
      </w:r>
    </w:p>
    <w:p w14:paraId="23D864B7" w14:textId="77777777" w:rsidR="004462CD" w:rsidRDefault="008D6AD0" w:rsidP="004462CD">
      <w:pPr>
        <w:pStyle w:val="BodyText"/>
      </w:pPr>
      <w:r>
        <w:t>In this Figure, we highlight that:</w:t>
      </w:r>
    </w:p>
    <w:p w14:paraId="3F9C7CB9" w14:textId="77777777" w:rsidR="008D6AD0" w:rsidRPr="00EF5A06" w:rsidRDefault="008D6AD0" w:rsidP="008D6AD0">
      <w:pPr>
        <w:pStyle w:val="ParaBullet1"/>
      </w:pPr>
      <w:r w:rsidRPr="00EF5A06">
        <w:t xml:space="preserve">NBN competes with other fibre providers (if </w:t>
      </w:r>
      <w:r w:rsidR="00795C10">
        <w:t xml:space="preserve">there are </w:t>
      </w:r>
      <w:r w:rsidRPr="00EF5A06">
        <w:t>any</w:t>
      </w:r>
      <w:r w:rsidR="00795C10">
        <w:t xml:space="preserve"> in the geographic area</w:t>
      </w:r>
      <w:r w:rsidRPr="00EF5A06">
        <w:t>) to supply services to retailers.</w:t>
      </w:r>
    </w:p>
    <w:p w14:paraId="7169A08B" w14:textId="77777777" w:rsidR="008D6AD0" w:rsidRPr="00EF5A06" w:rsidRDefault="008D6AD0" w:rsidP="008D6AD0">
      <w:pPr>
        <w:pStyle w:val="ParaBullet1"/>
      </w:pPr>
      <w:r w:rsidRPr="00EF5A06">
        <w:t>Other fibre providers may or may not provide wholesale services, and may be vertically-integrated.</w:t>
      </w:r>
    </w:p>
    <w:p w14:paraId="7C40DE71" w14:textId="77777777" w:rsidR="008D6AD0" w:rsidRDefault="008D6AD0" w:rsidP="008D6AD0">
      <w:pPr>
        <w:pStyle w:val="ParaBullet1"/>
        <w:rPr>
          <w:rStyle w:val="Hyperlink"/>
        </w:rPr>
      </w:pPr>
      <w:r w:rsidRPr="00EF5A06">
        <w:t xml:space="preserve">Retailers buy inputs from NBN and can </w:t>
      </w:r>
      <w:r w:rsidR="00FB3489" w:rsidRPr="00EF5A06">
        <w:t>self-supply</w:t>
      </w:r>
      <w:r w:rsidRPr="00EF5A06">
        <w:t xml:space="preserve"> other inputs (e.g. mobile services) to supply to businesses.</w:t>
      </w:r>
    </w:p>
    <w:p w14:paraId="5FA28F42" w14:textId="77777777" w:rsidR="008D6AD0" w:rsidRDefault="002F4BA8" w:rsidP="008D6AD0">
      <w:pPr>
        <w:pStyle w:val="ListBullet1"/>
      </w:pPr>
      <w:r>
        <w:lastRenderedPageBreak/>
        <w:t xml:space="preserve">The potential substitutes for NBN </w:t>
      </w:r>
      <w:proofErr w:type="spellStart"/>
      <w:r>
        <w:t>Co’s</w:t>
      </w:r>
      <w:proofErr w:type="spellEnd"/>
      <w:r>
        <w:t xml:space="preserve"> services include services provided using mobile networks, satellites or fixed wireless technology.</w:t>
      </w:r>
    </w:p>
    <w:p w14:paraId="7A5EBAB4" w14:textId="77777777" w:rsidR="00B16C91" w:rsidRDefault="00001CC4" w:rsidP="00011158">
      <w:pPr>
        <w:pStyle w:val="Heading3"/>
      </w:pPr>
      <w:bookmarkStart w:id="123" w:name="_Toc79671818"/>
      <w:r>
        <w:t>Wholesale network markets</w:t>
      </w:r>
      <w:bookmarkEnd w:id="123"/>
    </w:p>
    <w:p w14:paraId="1F2D8287" w14:textId="77777777" w:rsidR="00950E76" w:rsidRDefault="002B49BB" w:rsidP="002B49BB">
      <w:pPr>
        <w:pStyle w:val="BodyText"/>
      </w:pPr>
      <w:r>
        <w:t xml:space="preserve">Our view is that there </w:t>
      </w:r>
      <w:r w:rsidR="00746C84">
        <w:t>are</w:t>
      </w:r>
      <w:r>
        <w:t xml:space="preserve"> </w:t>
      </w:r>
      <w:r w:rsidR="00950E76">
        <w:t>wholesale network market</w:t>
      </w:r>
      <w:r w:rsidR="00746C84">
        <w:t>s</w:t>
      </w:r>
      <w:r w:rsidR="00950E76">
        <w:t xml:space="preserve"> for the supply of fibre and other </w:t>
      </w:r>
      <w:r w:rsidR="00746C84">
        <w:t xml:space="preserve">fixed </w:t>
      </w:r>
      <w:r w:rsidR="00950E76">
        <w:t xml:space="preserve">network services </w:t>
      </w:r>
      <w:r w:rsidR="00894BA8">
        <w:t>to retailers that are capable of</w:t>
      </w:r>
      <w:r w:rsidR="00950E76">
        <w:t xml:space="preserve"> prov</w:t>
      </w:r>
      <w:r w:rsidR="00894BA8">
        <w:t>iding business grade broadband services to end users</w:t>
      </w:r>
      <w:r>
        <w:t>.</w:t>
      </w:r>
      <w:r w:rsidR="00746C84">
        <w:t xml:space="preserve"> We consider these markets are likely to be local in scope.</w:t>
      </w:r>
    </w:p>
    <w:p w14:paraId="2FF547B1" w14:textId="77777777" w:rsidR="00746C84" w:rsidRDefault="00746C84" w:rsidP="002B49BB">
      <w:pPr>
        <w:pStyle w:val="BodyText"/>
      </w:pPr>
      <w:r>
        <w:t>We have formed this view for the following reasons:</w:t>
      </w:r>
    </w:p>
    <w:p w14:paraId="6FCC1230" w14:textId="77777777" w:rsidR="00746C84" w:rsidRDefault="00746C84" w:rsidP="00506F0B">
      <w:pPr>
        <w:pStyle w:val="ListBullet1"/>
      </w:pPr>
      <w:r>
        <w:t>Purchasers of wholesale network services face few good substitutes for fixed networks to supply business grade services. The main substitutes include mobile or fixed wireless networks. It is plausible that, at the margin, some retailers may seek to supply end users using other technologies but there are fundamental limitations associated with these technologies in supplying symmetric, high speed services with very high reliability.</w:t>
      </w:r>
      <w:r w:rsidR="00C13415">
        <w:t xml:space="preserve"> Mobile and fixed wireless networks are subject to capacity limitations relating to available spectrum</w:t>
      </w:r>
      <w:r w:rsidR="006B44B6">
        <w:t xml:space="preserve"> </w:t>
      </w:r>
      <w:r w:rsidR="00615DC3">
        <w:t xml:space="preserve">(which increases costs) </w:t>
      </w:r>
      <w:r w:rsidR="006B44B6">
        <w:t>and subject to performance degradation from buildings and other obstacles</w:t>
      </w:r>
      <w:r w:rsidR="008A4ADD">
        <w:t xml:space="preserve"> which limits their reliability</w:t>
      </w:r>
      <w:r w:rsidR="00240014">
        <w:t xml:space="preserve"> compared to a fixed connection</w:t>
      </w:r>
      <w:r w:rsidR="008A4ADD">
        <w:t>.</w:t>
      </w:r>
    </w:p>
    <w:p w14:paraId="02E2A0D2" w14:textId="77777777" w:rsidR="004F5B9C" w:rsidRDefault="00746C84" w:rsidP="00506F0B">
      <w:pPr>
        <w:pStyle w:val="ListBullet1"/>
      </w:pPr>
      <w:r>
        <w:t>There is little possibility of geographic substitution - i.e. to purchase service in other geographic areas. There are very high fixed and sunk costs associated with the supply of fixed network services. It is most commonly the case that any pressure from substitution comes from networks that are located nearby, as it is much cheaper to extend an existing network to a customer.</w:t>
      </w:r>
    </w:p>
    <w:p w14:paraId="4B4042A0" w14:textId="77777777" w:rsidR="00001CC4" w:rsidRDefault="00001CC4" w:rsidP="00011158">
      <w:pPr>
        <w:pStyle w:val="Heading3"/>
      </w:pPr>
      <w:bookmarkStart w:id="124" w:name="_Toc79671819"/>
      <w:r>
        <w:t>Retail broadband service markets</w:t>
      </w:r>
      <w:bookmarkEnd w:id="124"/>
    </w:p>
    <w:p w14:paraId="7B48BFA7" w14:textId="77777777" w:rsidR="004F5B9C" w:rsidRDefault="00746C84" w:rsidP="00746C84">
      <w:pPr>
        <w:pStyle w:val="BodyText"/>
      </w:pPr>
      <w:r>
        <w:t>In contrast to wholesale markets, t</w:t>
      </w:r>
      <w:r w:rsidR="004F5B9C">
        <w:t xml:space="preserve">he retail markets </w:t>
      </w:r>
      <w:r>
        <w:t xml:space="preserve">for business-grade broadband supply </w:t>
      </w:r>
      <w:r w:rsidR="004D4465">
        <w:t>appear to be national</w:t>
      </w:r>
      <w:r>
        <w:t>. We have formed this view for the following reasons:</w:t>
      </w:r>
    </w:p>
    <w:p w14:paraId="30ED5E1C" w14:textId="77777777" w:rsidR="00096B1D" w:rsidRDefault="00096B1D" w:rsidP="004F5B9C">
      <w:pPr>
        <w:pStyle w:val="ListBullet1"/>
      </w:pPr>
      <w:r>
        <w:t>For similar reasons as for wholesale markets, end users have specific needs for business grade services that are difficult to meet using other non-fixed line networks.</w:t>
      </w:r>
    </w:p>
    <w:p w14:paraId="1D401624" w14:textId="77777777" w:rsidR="004D4465" w:rsidRPr="004F5B9C" w:rsidRDefault="004D4465" w:rsidP="004F5B9C">
      <w:pPr>
        <w:pStyle w:val="ListBullet1"/>
      </w:pPr>
      <w:r>
        <w:t xml:space="preserve">Most </w:t>
      </w:r>
      <w:r w:rsidR="00096B1D">
        <w:t xml:space="preserve">retail </w:t>
      </w:r>
      <w:r>
        <w:t xml:space="preserve">suppliers </w:t>
      </w:r>
      <w:r w:rsidR="00096B1D">
        <w:t xml:space="preserve">of business grade services </w:t>
      </w:r>
      <w:r>
        <w:t>operate on a national basis</w:t>
      </w:r>
      <w:r w:rsidR="00E3225E">
        <w:t xml:space="preserve">, including all of the larger suppliers such as Telstra, Optus, TPG Telecom and </w:t>
      </w:r>
      <w:proofErr w:type="spellStart"/>
      <w:r w:rsidR="00E3225E">
        <w:t>Vocus</w:t>
      </w:r>
      <w:proofErr w:type="spellEnd"/>
      <w:r w:rsidR="00E3225E">
        <w:t xml:space="preserve">. This </w:t>
      </w:r>
      <w:r w:rsidR="00096B1D">
        <w:t xml:space="preserve">is likely to be because there are economies in having a </w:t>
      </w:r>
      <w:r w:rsidR="00240014">
        <w:t xml:space="preserve">retail </w:t>
      </w:r>
      <w:r w:rsidR="00096B1D">
        <w:t>presence across Australia. This allows key fixed costs, such as marketing and branding, to be spread across a greater use base, as well as allowing some economies of scale in backhaul networks and related service markets.</w:t>
      </w:r>
      <w:r w:rsidR="00240014">
        <w:t xml:space="preserve"> However, </w:t>
      </w:r>
      <w:r w:rsidR="0031648D">
        <w:t>to the extent that retailers operate some fibre networks, these are concentrated in CBD and inner metropolitan areas.</w:t>
      </w:r>
    </w:p>
    <w:p w14:paraId="3E9E1EDF" w14:textId="77777777" w:rsidR="00F40B3B" w:rsidRDefault="00F40B3B" w:rsidP="00011158">
      <w:pPr>
        <w:pStyle w:val="Heading3"/>
      </w:pPr>
      <w:bookmarkStart w:id="125" w:name="_Toc74574318"/>
      <w:bookmarkStart w:id="126" w:name="_Toc79671820"/>
      <w:r>
        <w:t>Competition in business markets without the investment</w:t>
      </w:r>
      <w:bookmarkEnd w:id="125"/>
      <w:bookmarkEnd w:id="126"/>
    </w:p>
    <w:p w14:paraId="531328E7" w14:textId="77777777" w:rsidR="00FC4A75" w:rsidRDefault="00E3225E" w:rsidP="00FC4A75">
      <w:pPr>
        <w:pStyle w:val="BodyText"/>
        <w:rPr>
          <w:lang w:val="en-US"/>
        </w:rPr>
      </w:pPr>
      <w:r>
        <w:rPr>
          <w:lang w:val="en-US"/>
        </w:rPr>
        <w:t>NBN Co introduced business-grade services into network</w:t>
      </w:r>
      <w:r w:rsidR="006B764A">
        <w:rPr>
          <w:lang w:val="en-US"/>
        </w:rPr>
        <w:t xml:space="preserve"> (TC-2)</w:t>
      </w:r>
      <w:r>
        <w:rPr>
          <w:lang w:val="en-US"/>
        </w:rPr>
        <w:t xml:space="preserve"> </w:t>
      </w:r>
      <w:r w:rsidR="002665A0">
        <w:rPr>
          <w:lang w:val="en-US"/>
        </w:rPr>
        <w:t>progressive</w:t>
      </w:r>
      <w:r w:rsidR="008148B5">
        <w:rPr>
          <w:lang w:val="en-US"/>
        </w:rPr>
        <w:t>ly</w:t>
      </w:r>
      <w:r w:rsidR="002665A0">
        <w:rPr>
          <w:lang w:val="en-US"/>
        </w:rPr>
        <w:t xml:space="preserve"> from</w:t>
      </w:r>
      <w:r>
        <w:rPr>
          <w:lang w:val="en-US"/>
        </w:rPr>
        <w:t xml:space="preserve"> 2013</w:t>
      </w:r>
      <w:r w:rsidR="00F86056">
        <w:rPr>
          <w:lang w:val="en-US"/>
        </w:rPr>
        <w:t xml:space="preserve"> </w:t>
      </w:r>
      <w:r>
        <w:rPr>
          <w:lang w:val="en-US"/>
        </w:rPr>
        <w:t xml:space="preserve">and </w:t>
      </w:r>
      <w:r w:rsidR="008C655A">
        <w:rPr>
          <w:lang w:val="en-US"/>
        </w:rPr>
        <w:t>Enterprise Ethernet services in 2018</w:t>
      </w:r>
      <w:r>
        <w:rPr>
          <w:lang w:val="en-US"/>
        </w:rPr>
        <w:t xml:space="preserve">. </w:t>
      </w:r>
      <w:r w:rsidR="00FC4A75" w:rsidRPr="00FC4A75">
        <w:rPr>
          <w:lang w:val="en-US"/>
        </w:rPr>
        <w:t>Prior to NBN</w:t>
      </w:r>
      <w:r>
        <w:rPr>
          <w:lang w:val="en-US"/>
        </w:rPr>
        <w:t xml:space="preserve"> </w:t>
      </w:r>
      <w:proofErr w:type="spellStart"/>
      <w:r>
        <w:rPr>
          <w:lang w:val="en-US"/>
        </w:rPr>
        <w:t>Co’s</w:t>
      </w:r>
      <w:proofErr w:type="spellEnd"/>
      <w:r w:rsidR="00FC4A75" w:rsidRPr="00FC4A75">
        <w:rPr>
          <w:lang w:val="en-US"/>
        </w:rPr>
        <w:t xml:space="preserve"> entry</w:t>
      </w:r>
      <w:r>
        <w:rPr>
          <w:lang w:val="en-US"/>
        </w:rPr>
        <w:t xml:space="preserve"> into </w:t>
      </w:r>
      <w:r w:rsidR="008C655A">
        <w:rPr>
          <w:lang w:val="en-US"/>
        </w:rPr>
        <w:t>the business grade markets</w:t>
      </w:r>
      <w:r w:rsidR="00FC4A75" w:rsidRPr="00FC4A75">
        <w:rPr>
          <w:lang w:val="en-US"/>
        </w:rPr>
        <w:t xml:space="preserve">, Telstra had high shares of (retail) markets supplying fixed </w:t>
      </w:r>
      <w:r>
        <w:rPr>
          <w:lang w:val="en-US"/>
        </w:rPr>
        <w:t>business grade broadband</w:t>
      </w:r>
      <w:r w:rsidR="00FC4A75" w:rsidRPr="00FC4A75">
        <w:rPr>
          <w:lang w:val="en-US"/>
        </w:rPr>
        <w:t xml:space="preserve"> and related services, </w:t>
      </w:r>
      <w:r w:rsidR="003C6FB9">
        <w:rPr>
          <w:lang w:val="en-US"/>
        </w:rPr>
        <w:t xml:space="preserve">at least </w:t>
      </w:r>
      <w:r w:rsidR="00FC4A75" w:rsidRPr="00FC4A75">
        <w:rPr>
          <w:lang w:val="en-US"/>
        </w:rPr>
        <w:t>when examined at a national level</w:t>
      </w:r>
      <w:r>
        <w:rPr>
          <w:lang w:val="en-US"/>
        </w:rPr>
        <w:t>.</w:t>
      </w:r>
    </w:p>
    <w:p w14:paraId="2115023B" w14:textId="29F59FE0" w:rsidR="00DA6E3A" w:rsidRDefault="008C655A" w:rsidP="00FC4A75">
      <w:pPr>
        <w:pStyle w:val="BodyText"/>
        <w:rPr>
          <w:lang w:val="en-US"/>
        </w:rPr>
      </w:pPr>
      <w:r>
        <w:rPr>
          <w:lang w:val="en-US"/>
        </w:rPr>
        <w:t xml:space="preserve">Information we have gathered suggests that, at that time, Telstra had the majority </w:t>
      </w:r>
      <w:proofErr w:type="spellStart"/>
      <w:r>
        <w:rPr>
          <w:lang w:val="en-US"/>
        </w:rPr>
        <w:t>fibre</w:t>
      </w:r>
      <w:proofErr w:type="spellEnd"/>
      <w:r>
        <w:rPr>
          <w:lang w:val="en-US"/>
        </w:rPr>
        <w:t xml:space="preserve"> footprint, buildings connected with </w:t>
      </w:r>
      <w:proofErr w:type="spellStart"/>
      <w:r>
        <w:rPr>
          <w:lang w:val="en-US"/>
        </w:rPr>
        <w:t>fibre</w:t>
      </w:r>
      <w:proofErr w:type="spellEnd"/>
      <w:r w:rsidR="00BE6CE3">
        <w:rPr>
          <w:lang w:val="en-US"/>
        </w:rPr>
        <w:t xml:space="preserve"> (lit buildings)</w:t>
      </w:r>
      <w:r>
        <w:rPr>
          <w:lang w:val="en-US"/>
        </w:rPr>
        <w:t xml:space="preserve">, and more revenue - see </w:t>
      </w:r>
      <w:r>
        <w:rPr>
          <w:lang w:val="en-US"/>
        </w:rPr>
        <w:fldChar w:fldCharType="begin"/>
      </w:r>
      <w:r>
        <w:rPr>
          <w:lang w:val="en-US"/>
        </w:rPr>
        <w:instrText xml:space="preserve"> REF _Ref74657911 \h </w:instrText>
      </w:r>
      <w:r>
        <w:rPr>
          <w:lang w:val="en-US"/>
        </w:rPr>
      </w:r>
      <w:r>
        <w:rPr>
          <w:lang w:val="en-US"/>
        </w:rPr>
        <w:fldChar w:fldCharType="separate"/>
      </w:r>
      <w:r w:rsidR="00DD5715" w:rsidRPr="007C5D2E">
        <w:rPr>
          <w:rStyle w:val="Bold"/>
        </w:rPr>
        <w:t xml:space="preserve">Figure </w:t>
      </w:r>
      <w:r w:rsidR="00DD5715">
        <w:rPr>
          <w:rStyle w:val="Bold"/>
          <w:noProof/>
        </w:rPr>
        <w:t>21</w:t>
      </w:r>
      <w:r>
        <w:rPr>
          <w:lang w:val="en-US"/>
        </w:rPr>
        <w:fldChar w:fldCharType="end"/>
      </w:r>
      <w:r>
        <w:rPr>
          <w:lang w:val="en-US"/>
        </w:rPr>
        <w:t xml:space="preserve">. This does not exactly align with our market definition, which would potentially cover a broader scope of </w:t>
      </w:r>
      <w:r>
        <w:rPr>
          <w:lang w:val="en-US"/>
        </w:rPr>
        <w:lastRenderedPageBreak/>
        <w:t>services than that illustrated here and would also consider local wholesale markets. Nonetheless, it does demonstrate that</w:t>
      </w:r>
      <w:r w:rsidR="00DA6E3A">
        <w:rPr>
          <w:lang w:val="en-US"/>
        </w:rPr>
        <w:t>:</w:t>
      </w:r>
    </w:p>
    <w:p w14:paraId="3E0362E2" w14:textId="77777777" w:rsidR="008C655A" w:rsidRDefault="008C655A" w:rsidP="00DA6E3A">
      <w:pPr>
        <w:pStyle w:val="ListBullet1"/>
      </w:pPr>
      <w:r>
        <w:t>Telstra was the market leader across these services</w:t>
      </w:r>
    </w:p>
    <w:p w14:paraId="22F53C97" w14:textId="77777777" w:rsidR="00DA6E3A" w:rsidRDefault="005D0181" w:rsidP="00DA6E3A">
      <w:pPr>
        <w:pStyle w:val="ListBullet1"/>
      </w:pPr>
      <w:r>
        <w:t xml:space="preserve">Markets were likely to be highly concentrated, noting that </w:t>
      </w:r>
      <w:proofErr w:type="spellStart"/>
      <w:r w:rsidR="008148B5">
        <w:t>Herfindahl</w:t>
      </w:r>
      <w:proofErr w:type="spellEnd"/>
      <w:r w:rsidR="00BF6979">
        <w:t>-Hirschman</w:t>
      </w:r>
      <w:r w:rsidR="008148B5">
        <w:t xml:space="preserve"> indexes </w:t>
      </w:r>
      <w:r w:rsidR="00095CFA">
        <w:t>(</w:t>
      </w:r>
      <w:r w:rsidR="003759F4">
        <w:t xml:space="preserve">which </w:t>
      </w:r>
      <w:r w:rsidR="00095CFA">
        <w:t>are calculated using</w:t>
      </w:r>
      <w:r w:rsidR="003759F4">
        <w:t xml:space="preserve"> the sum of squares of market shares</w:t>
      </w:r>
      <w:r w:rsidR="00095CFA">
        <w:t>)</w:t>
      </w:r>
      <w:r w:rsidR="0072386C">
        <w:rPr>
          <w:rStyle w:val="FootnoteReference"/>
        </w:rPr>
        <w:footnoteReference w:id="44"/>
      </w:r>
      <w:r w:rsidR="008105CC">
        <w:t xml:space="preserve"> for any of these </w:t>
      </w:r>
      <w:r w:rsidR="00BF6979">
        <w:t>measures</w:t>
      </w:r>
      <w:r w:rsidR="008105CC">
        <w:t xml:space="preserve"> would be between </w:t>
      </w:r>
      <w:r w:rsidR="002E0F89">
        <w:t>4,500 and 5,500</w:t>
      </w:r>
      <w:r w:rsidR="005763CE">
        <w:t xml:space="preserve"> - which </w:t>
      </w:r>
      <w:r w:rsidR="006D0F76">
        <w:t>is</w:t>
      </w:r>
      <w:r w:rsidR="005763CE">
        <w:t xml:space="preserve"> highly concentrated</w:t>
      </w:r>
      <w:r w:rsidR="006D0F76">
        <w:t>.</w:t>
      </w:r>
      <w:r w:rsidR="006D0F76">
        <w:rPr>
          <w:rStyle w:val="FootnoteReference"/>
        </w:rPr>
        <w:footnoteReference w:id="45"/>
      </w:r>
    </w:p>
    <w:p w14:paraId="35222115" w14:textId="77777777" w:rsidR="008E5091" w:rsidRDefault="008E5091" w:rsidP="008E5091">
      <w:pPr>
        <w:pStyle w:val="BodyText"/>
      </w:pPr>
      <w:r>
        <w:rPr>
          <w:lang w:val="en-US"/>
        </w:rPr>
        <w:t xml:space="preserve">Note that it is also very likely that there is considerable or close-to-universal overlap in </w:t>
      </w:r>
      <w:proofErr w:type="spellStart"/>
      <w:r>
        <w:rPr>
          <w:lang w:val="en-US"/>
        </w:rPr>
        <w:t>fibre</w:t>
      </w:r>
      <w:proofErr w:type="spellEnd"/>
      <w:r>
        <w:rPr>
          <w:lang w:val="en-US"/>
        </w:rPr>
        <w:t xml:space="preserve"> and lit buildings</w:t>
      </w:r>
      <w:r w:rsidR="005859FA">
        <w:rPr>
          <w:lang w:val="en-US"/>
        </w:rPr>
        <w:t xml:space="preserve">, so that these shares to some degree mask </w:t>
      </w:r>
      <w:r w:rsidR="00BA7A7E">
        <w:rPr>
          <w:lang w:val="en-US"/>
        </w:rPr>
        <w:t>that there is considerable competition in some areas and little in others.</w:t>
      </w:r>
    </w:p>
    <w:p w14:paraId="795BED41" w14:textId="08A067B3" w:rsidR="008C655A" w:rsidRDefault="008C655A" w:rsidP="008C655A">
      <w:pPr>
        <w:pStyle w:val="Caption"/>
      </w:pPr>
      <w:bookmarkStart w:id="127" w:name="_Ref74657911"/>
      <w:bookmarkStart w:id="128" w:name="_Toc74684934"/>
      <w:bookmarkStart w:id="129" w:name="_Toc79585082"/>
      <w:r w:rsidRPr="007C5D2E">
        <w:rPr>
          <w:rStyle w:val="Bold"/>
        </w:rPr>
        <w:t xml:space="preserve">Figure </w:t>
      </w:r>
      <w:r w:rsidRPr="007C5D2E">
        <w:rPr>
          <w:rStyle w:val="Bold"/>
        </w:rPr>
        <w:fldChar w:fldCharType="begin"/>
      </w:r>
      <w:r w:rsidRPr="007C5D2E">
        <w:rPr>
          <w:rStyle w:val="Bold"/>
        </w:rPr>
        <w:instrText xml:space="preserve"> SEQ Figure \* ARABIC </w:instrText>
      </w:r>
      <w:r w:rsidRPr="007C5D2E">
        <w:rPr>
          <w:rStyle w:val="Bold"/>
        </w:rPr>
        <w:fldChar w:fldCharType="separate"/>
      </w:r>
      <w:r w:rsidR="00DD5715">
        <w:rPr>
          <w:rStyle w:val="Bold"/>
          <w:noProof/>
        </w:rPr>
        <w:t>21</w:t>
      </w:r>
      <w:r w:rsidRPr="007C5D2E">
        <w:rPr>
          <w:rStyle w:val="Bold"/>
        </w:rPr>
        <w:fldChar w:fldCharType="end"/>
      </w:r>
      <w:bookmarkEnd w:id="127"/>
      <w:r w:rsidRPr="00BE496A">
        <w:t xml:space="preserve">: </w:t>
      </w:r>
      <w:r w:rsidR="00F42788">
        <w:t>Estimated s</w:t>
      </w:r>
      <w:r>
        <w:t xml:space="preserve">hares of fibre, </w:t>
      </w:r>
      <w:r w:rsidR="00CE780F">
        <w:t xml:space="preserve">shares of </w:t>
      </w:r>
      <w:r w:rsidR="00866C2D">
        <w:t xml:space="preserve">lit </w:t>
      </w:r>
      <w:r>
        <w:t xml:space="preserve">buildings and </w:t>
      </w:r>
      <w:r w:rsidR="00421189">
        <w:t xml:space="preserve">share of </w:t>
      </w:r>
      <w:r>
        <w:t xml:space="preserve">revenues </w:t>
      </w:r>
      <w:r w:rsidR="00421189">
        <w:t>for</w:t>
      </w:r>
      <w:r>
        <w:t xml:space="preserve"> enterprise customers</w:t>
      </w:r>
      <w:bookmarkEnd w:id="128"/>
      <w:bookmarkEnd w:id="129"/>
    </w:p>
    <w:p w14:paraId="56A9D385" w14:textId="4962BC5D" w:rsidR="008C655A" w:rsidRDefault="00E125C3" w:rsidP="008C655A">
      <w:pPr>
        <w:pStyle w:val="Image-Page1fullwidth"/>
        <w:keepNext/>
        <w:framePr w:w="0" w:hSpace="0" w:wrap="auto" w:vAnchor="margin" w:yAlign="inline"/>
        <w:spacing w:after="0" w:line="240" w:lineRule="auto"/>
      </w:pPr>
      <w:r w:rsidRPr="00E125C3">
        <w:t xml:space="preserve"> </w:t>
      </w:r>
      <w:r w:rsidR="00F42788">
        <w:rPr>
          <w:lang w:eastAsia="en-AU"/>
        </w:rPr>
        <w:drawing>
          <wp:inline distT="0" distB="0" distL="0" distR="0" wp14:anchorId="50DCFEFA" wp14:editId="28F96BA7">
            <wp:extent cx="5074920" cy="3727712"/>
            <wp:effectExtent l="0" t="0" r="0" b="6350"/>
            <wp:docPr id="256" name="Picture 256" descr="This figure highlights market shares for enterprise customers measured by different metrics: two supply measures (share of fibre length, share of total lit buildings, and share of total revenue). The figures indicate that Telstra has more than 50% share, however measu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Picture 256" descr="This figure highlights market shares for enterprise customers measured by different metrics: two supply measures (share of fibre length, share of total lit buildings, and share of total revenue). The figures indicate that Telstra has more than 50% share, however measured."/>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079100" cy="3730782"/>
                    </a:xfrm>
                    <a:prstGeom prst="rect">
                      <a:avLst/>
                    </a:prstGeom>
                    <a:noFill/>
                  </pic:spPr>
                </pic:pic>
              </a:graphicData>
            </a:graphic>
          </wp:inline>
        </w:drawing>
      </w:r>
    </w:p>
    <w:p w14:paraId="4C24675D" w14:textId="77777777" w:rsidR="008C655A" w:rsidRPr="003335D6" w:rsidRDefault="008C655A" w:rsidP="003335D6">
      <w:pPr>
        <w:pStyle w:val="Source"/>
      </w:pPr>
      <w:r w:rsidRPr="003335D6">
        <w:t>Source: Estimates based on annual reports</w:t>
      </w:r>
      <w:r w:rsidR="001100C3" w:rsidRPr="003335D6">
        <w:t xml:space="preserve"> for Telstra, TPG and </w:t>
      </w:r>
      <w:proofErr w:type="spellStart"/>
      <w:r w:rsidR="001100C3" w:rsidRPr="003335D6">
        <w:t>Vocus</w:t>
      </w:r>
      <w:proofErr w:type="spellEnd"/>
      <w:r w:rsidRPr="003335D6">
        <w:t>, Optus</w:t>
      </w:r>
      <w:r w:rsidR="00A635CF" w:rsidRPr="003335D6">
        <w:t xml:space="preserve"> estimate</w:t>
      </w:r>
    </w:p>
    <w:p w14:paraId="2B9E30A8" w14:textId="77777777" w:rsidR="008C655A" w:rsidRDefault="008C655A" w:rsidP="004B29BD">
      <w:pPr>
        <w:pStyle w:val="Heading4"/>
        <w:rPr>
          <w:lang w:val="en-US"/>
        </w:rPr>
      </w:pPr>
      <w:r>
        <w:rPr>
          <w:lang w:val="en-US"/>
        </w:rPr>
        <w:t>Market structure and competition varies by location</w:t>
      </w:r>
    </w:p>
    <w:p w14:paraId="6EBD56A6" w14:textId="77777777" w:rsidR="008C655A" w:rsidRDefault="008C655A" w:rsidP="00FC4A75">
      <w:pPr>
        <w:pStyle w:val="BodyText"/>
        <w:rPr>
          <w:lang w:val="en-US"/>
        </w:rPr>
      </w:pPr>
      <w:r>
        <w:rPr>
          <w:lang w:val="en-US"/>
        </w:rPr>
        <w:t xml:space="preserve">The aggregated shares addressed above do not really convey the </w:t>
      </w:r>
      <w:r w:rsidR="00FC4A75" w:rsidRPr="00FC4A75">
        <w:rPr>
          <w:lang w:val="en-US"/>
        </w:rPr>
        <w:t xml:space="preserve">full </w:t>
      </w:r>
      <w:r>
        <w:rPr>
          <w:lang w:val="en-US"/>
        </w:rPr>
        <w:t>competitive picture, as there are two other key elements to understanding market structure:</w:t>
      </w:r>
    </w:p>
    <w:p w14:paraId="70B2124B" w14:textId="77777777" w:rsidR="00FC4A75" w:rsidRPr="008C655A" w:rsidRDefault="008C655A" w:rsidP="008C7A5E">
      <w:pPr>
        <w:pStyle w:val="BodyText"/>
        <w:numPr>
          <w:ilvl w:val="0"/>
          <w:numId w:val="16"/>
        </w:numPr>
      </w:pPr>
      <w:r>
        <w:lastRenderedPageBreak/>
        <w:t>Wholesale and retail c</w:t>
      </w:r>
      <w:r w:rsidR="00FC4A75" w:rsidRPr="008C655A">
        <w:t>ompetitors</w:t>
      </w:r>
      <w:r w:rsidR="00FC4A75" w:rsidRPr="008C655A">
        <w:rPr>
          <w:lang w:val="en-US"/>
        </w:rPr>
        <w:t xml:space="preserve"> focus on central areas in major metropolitan cities</w:t>
      </w:r>
      <w:r w:rsidRPr="008C655A">
        <w:rPr>
          <w:lang w:val="en-US"/>
        </w:rPr>
        <w:t xml:space="preserve">: </w:t>
      </w:r>
      <w:r w:rsidRPr="00E34C03">
        <w:t xml:space="preserve">CBD wholesale markets are </w:t>
      </w:r>
      <w:r w:rsidR="00122419">
        <w:t xml:space="preserve">effectively </w:t>
      </w:r>
      <w:r w:rsidRPr="00E34C03">
        <w:t>competitive, with many fibre suppliers. But in most markets outside of CBDs, Telstra was the dominant supplier of business-grade fixed services using copper and fibre networks</w:t>
      </w:r>
      <w:r>
        <w:t xml:space="preserve">. </w:t>
      </w:r>
      <w:r w:rsidR="00FC4A75" w:rsidRPr="008C655A">
        <w:rPr>
          <w:bCs/>
          <w:lang w:val="en-US"/>
        </w:rPr>
        <w:t>Other</w:t>
      </w:r>
      <w:r w:rsidRPr="008C655A">
        <w:rPr>
          <w:bCs/>
          <w:lang w:val="en-US"/>
        </w:rPr>
        <w:t xml:space="preserve"> wholesale</w:t>
      </w:r>
      <w:r w:rsidR="00FC4A75" w:rsidRPr="008C655A">
        <w:rPr>
          <w:bCs/>
          <w:lang w:val="en-US"/>
        </w:rPr>
        <w:t xml:space="preserve"> </w:t>
      </w:r>
      <w:r w:rsidRPr="008C655A">
        <w:rPr>
          <w:bCs/>
          <w:lang w:val="en-US"/>
        </w:rPr>
        <w:t xml:space="preserve">markets or market </w:t>
      </w:r>
      <w:r w:rsidR="00FC4A75" w:rsidRPr="008C655A">
        <w:rPr>
          <w:bCs/>
          <w:lang w:val="en-US"/>
        </w:rPr>
        <w:t>segments</w:t>
      </w:r>
      <w:r w:rsidRPr="008C655A">
        <w:rPr>
          <w:bCs/>
          <w:lang w:val="en-US"/>
        </w:rPr>
        <w:t xml:space="preserve"> such as </w:t>
      </w:r>
      <w:r w:rsidR="00FC4A75" w:rsidRPr="008C655A">
        <w:rPr>
          <w:bCs/>
          <w:lang w:val="en-US"/>
        </w:rPr>
        <w:t>regional</w:t>
      </w:r>
      <w:r w:rsidRPr="008C655A">
        <w:rPr>
          <w:bCs/>
          <w:lang w:val="en-US"/>
        </w:rPr>
        <w:t xml:space="preserve"> and</w:t>
      </w:r>
      <w:r w:rsidR="00FC4A75" w:rsidRPr="008C655A">
        <w:rPr>
          <w:bCs/>
          <w:lang w:val="en-US"/>
        </w:rPr>
        <w:t xml:space="preserve"> rural</w:t>
      </w:r>
      <w:r w:rsidRPr="008C655A">
        <w:rPr>
          <w:bCs/>
          <w:lang w:val="en-US"/>
        </w:rPr>
        <w:t xml:space="preserve"> areas</w:t>
      </w:r>
      <w:r w:rsidR="00FC4A75" w:rsidRPr="008C655A">
        <w:rPr>
          <w:bCs/>
          <w:lang w:val="en-US"/>
        </w:rPr>
        <w:t xml:space="preserve"> are </w:t>
      </w:r>
      <w:r w:rsidR="006B248E">
        <w:rPr>
          <w:bCs/>
          <w:lang w:val="en-US"/>
        </w:rPr>
        <w:t xml:space="preserve">less </w:t>
      </w:r>
      <w:r w:rsidR="00FC4A75" w:rsidRPr="008C655A">
        <w:rPr>
          <w:bCs/>
          <w:lang w:val="en-US"/>
        </w:rPr>
        <w:t>competitive</w:t>
      </w:r>
      <w:r w:rsidR="00A523F2">
        <w:rPr>
          <w:bCs/>
          <w:lang w:val="en-US"/>
        </w:rPr>
        <w:t>.</w:t>
      </w:r>
      <w:r w:rsidR="00A879EC">
        <w:rPr>
          <w:rStyle w:val="FootnoteReference"/>
          <w:bCs/>
          <w:lang w:val="en-US"/>
        </w:rPr>
        <w:footnoteReference w:id="46"/>
      </w:r>
    </w:p>
    <w:p w14:paraId="7A74A7FA" w14:textId="77777777" w:rsidR="008C655A" w:rsidRPr="008C655A" w:rsidRDefault="008C655A" w:rsidP="008C7A5E">
      <w:pPr>
        <w:pStyle w:val="BodyText"/>
        <w:numPr>
          <w:ilvl w:val="0"/>
          <w:numId w:val="16"/>
        </w:numPr>
      </w:pPr>
      <w:r>
        <w:rPr>
          <w:bCs/>
          <w:lang w:val="en-US"/>
        </w:rPr>
        <w:t>Vertical integration between wholesalers and retailers limited the degree of competition in retail markets, because there was limited wholesale supply of service</w:t>
      </w:r>
      <w:r w:rsidR="00122419">
        <w:rPr>
          <w:bCs/>
          <w:lang w:val="en-US"/>
        </w:rPr>
        <w:t xml:space="preserve">s or supply only on </w:t>
      </w:r>
      <w:proofErr w:type="spellStart"/>
      <w:r w:rsidR="00122419">
        <w:rPr>
          <w:bCs/>
          <w:lang w:val="en-US"/>
        </w:rPr>
        <w:t>unfavourable</w:t>
      </w:r>
      <w:proofErr w:type="spellEnd"/>
      <w:r w:rsidR="00122419">
        <w:rPr>
          <w:bCs/>
          <w:lang w:val="en-US"/>
        </w:rPr>
        <w:t xml:space="preserve"> commercial terms.</w:t>
      </w:r>
    </w:p>
    <w:p w14:paraId="685D0ED7" w14:textId="77777777" w:rsidR="00122419" w:rsidRDefault="00122419" w:rsidP="00122419">
      <w:pPr>
        <w:pStyle w:val="BodyText"/>
        <w:rPr>
          <w:lang w:val="en-US"/>
        </w:rPr>
      </w:pPr>
      <w:r>
        <w:rPr>
          <w:lang w:val="en-US"/>
        </w:rPr>
        <w:t>These structural market features led to two important factors that limited competition in areas outside of CBD areas:</w:t>
      </w:r>
    </w:p>
    <w:p w14:paraId="550F3308" w14:textId="77777777" w:rsidR="00FC4A75" w:rsidRPr="00FC4A75" w:rsidRDefault="00FC4A75" w:rsidP="00122419">
      <w:pPr>
        <w:pStyle w:val="ListBullet1"/>
      </w:pPr>
      <w:r w:rsidRPr="00FC4A75">
        <w:rPr>
          <w:b/>
          <w:bCs/>
        </w:rPr>
        <w:t>Ubiquity matters</w:t>
      </w:r>
      <w:r w:rsidRPr="00FC4A75">
        <w:t xml:space="preserve">: It is much cheaper to extend an existing network to new customers than </w:t>
      </w:r>
      <w:r w:rsidR="00122419">
        <w:t xml:space="preserve">for </w:t>
      </w:r>
      <w:r w:rsidRPr="00FC4A75">
        <w:t>competitors that have no local network</w:t>
      </w:r>
      <w:r w:rsidR="00122419">
        <w:t>. In practice this provided Telstra with a substantial competitive advantage in that its fixed network was ubiquitous, whereas competitors were limited to extending existing CBD or inner metropolitan networks, or areas close to where they had existing fibre backhaul.</w:t>
      </w:r>
    </w:p>
    <w:p w14:paraId="4325AD72" w14:textId="77777777" w:rsidR="005247EC" w:rsidRPr="005247EC" w:rsidRDefault="00122419" w:rsidP="00AB6986">
      <w:pPr>
        <w:pStyle w:val="ListBullet1"/>
      </w:pPr>
      <w:r w:rsidRPr="00122419">
        <w:rPr>
          <w:b/>
          <w:bCs/>
        </w:rPr>
        <w:t>Leveraging of market power:</w:t>
      </w:r>
      <w:r>
        <w:t xml:space="preserve"> </w:t>
      </w:r>
      <w:r w:rsidR="00FC4A75" w:rsidRPr="00FC4A75">
        <w:t xml:space="preserve">A competition issue has </w:t>
      </w:r>
      <w:r>
        <w:t xml:space="preserve">arisen from the </w:t>
      </w:r>
      <w:r w:rsidR="00FC4A75" w:rsidRPr="00FC4A75">
        <w:t xml:space="preserve">ability </w:t>
      </w:r>
      <w:r>
        <w:t xml:space="preserve">(primarily by Telstra, but also applicable to other network operators) of wholesale network operators </w:t>
      </w:r>
      <w:r w:rsidR="00FC4A75" w:rsidRPr="00FC4A75">
        <w:t xml:space="preserve">to </w:t>
      </w:r>
      <w:r w:rsidR="00FC4A75" w:rsidRPr="00122419">
        <w:t>leverage</w:t>
      </w:r>
      <w:r w:rsidR="00FC4A75" w:rsidRPr="00FC4A75">
        <w:t xml:space="preserve"> network-level market power from uncompetitive to competitive markets</w:t>
      </w:r>
      <w:r>
        <w:t xml:space="preserve">. </w:t>
      </w:r>
      <w:r w:rsidRPr="00E34C03">
        <w:t xml:space="preserve">Retailers without infrastructure </w:t>
      </w:r>
      <w:r>
        <w:t xml:space="preserve">were therefore </w:t>
      </w:r>
      <w:r w:rsidRPr="00E34C03">
        <w:t xml:space="preserve">hindered from competing with those with </w:t>
      </w:r>
      <w:proofErr w:type="spellStart"/>
      <w:r w:rsidRPr="00E34C03">
        <w:t>infrastructure,</w:t>
      </w:r>
      <w:proofErr w:type="spellEnd"/>
      <w:r w:rsidRPr="00E34C03">
        <w:t xml:space="preserve"> particularly as infrastructure availability in regional areas may be leveraged (e.g. via pricing discounts for bundles).</w:t>
      </w:r>
    </w:p>
    <w:p w14:paraId="177BCBB4" w14:textId="25DA4F50" w:rsidR="00594820" w:rsidRDefault="00122419" w:rsidP="00E34C03">
      <w:pPr>
        <w:pStyle w:val="BodyText"/>
      </w:pPr>
      <w:r>
        <w:t xml:space="preserve">As identified above, </w:t>
      </w:r>
      <w:r w:rsidR="00E34C03" w:rsidRPr="00E34C03">
        <w:t xml:space="preserve">NBN </w:t>
      </w:r>
      <w:r>
        <w:t xml:space="preserve">Co </w:t>
      </w:r>
      <w:r w:rsidR="00E34C03" w:rsidRPr="00E34C03">
        <w:t xml:space="preserve">has increasingly competed </w:t>
      </w:r>
      <w:r>
        <w:t xml:space="preserve">with Telstra and other suppliers </w:t>
      </w:r>
      <w:r w:rsidR="00E34C03" w:rsidRPr="00E34C03">
        <w:t xml:space="preserve">with residential-grade TC-4 and </w:t>
      </w:r>
      <w:r>
        <w:t xml:space="preserve">business grade </w:t>
      </w:r>
      <w:r w:rsidR="00E34C03" w:rsidRPr="00E34C03">
        <w:t>TC-2 products</w:t>
      </w:r>
      <w:r>
        <w:t xml:space="preserve"> over its MTM network</w:t>
      </w:r>
      <w:r w:rsidR="00E34C03" w:rsidRPr="00E34C03">
        <w:t xml:space="preserve">. NBN </w:t>
      </w:r>
      <w:r>
        <w:t xml:space="preserve">Co </w:t>
      </w:r>
      <w:r w:rsidR="00E34C03" w:rsidRPr="00E34C03">
        <w:t xml:space="preserve">has </w:t>
      </w:r>
      <w:r>
        <w:t xml:space="preserve">reported that it has over 1 million </w:t>
      </w:r>
      <w:r w:rsidR="00E34C03" w:rsidRPr="00E34C03">
        <w:t xml:space="preserve">business </w:t>
      </w:r>
      <w:r w:rsidR="00E34C03" w:rsidRPr="00120C27">
        <w:t xml:space="preserve">customers, but the </w:t>
      </w:r>
      <w:r w:rsidR="00410158" w:rsidRPr="00120C27">
        <w:t>service attributes supplied reflect residential service levels</w:t>
      </w:r>
      <w:r w:rsidR="00A879EC" w:rsidRPr="00120C27">
        <w:t xml:space="preserve"> (TC-4).</w:t>
      </w:r>
      <w:r w:rsidRPr="00120C27">
        <w:t xml:space="preserve"> For example, on serv</w:t>
      </w:r>
      <w:r>
        <w:t>ices connected to FTTN, TC-2 services of only up to 2</w:t>
      </w:r>
      <w:r w:rsidR="00594820">
        <w:t>0</w:t>
      </w:r>
      <w:r>
        <w:t>mbps symmetric were available</w:t>
      </w:r>
      <w:r w:rsidR="00594820">
        <w:t xml:space="preserve"> - as per </w:t>
      </w:r>
      <w:r w:rsidR="00594820">
        <w:fldChar w:fldCharType="begin"/>
      </w:r>
      <w:r w:rsidR="00594820">
        <w:instrText xml:space="preserve"> REF _Ref74669985 \h </w:instrText>
      </w:r>
      <w:r w:rsidR="00594820">
        <w:fldChar w:fldCharType="separate"/>
      </w:r>
      <w:r w:rsidR="00DD5715" w:rsidRPr="007C5D2E">
        <w:rPr>
          <w:rStyle w:val="Bold"/>
        </w:rPr>
        <w:t xml:space="preserve">Figure </w:t>
      </w:r>
      <w:r w:rsidR="00DD5715">
        <w:rPr>
          <w:rStyle w:val="Bold"/>
          <w:noProof/>
        </w:rPr>
        <w:t>22</w:t>
      </w:r>
      <w:r w:rsidR="00594820">
        <w:fldChar w:fldCharType="end"/>
      </w:r>
      <w:r w:rsidR="00594820">
        <w:t>.</w:t>
      </w:r>
    </w:p>
    <w:p w14:paraId="03427157" w14:textId="259A0CE6" w:rsidR="00594820" w:rsidRDefault="00594820" w:rsidP="00AB6986">
      <w:pPr>
        <w:pStyle w:val="Caption"/>
      </w:pPr>
      <w:bookmarkStart w:id="130" w:name="_Ref74669985"/>
      <w:bookmarkStart w:id="131" w:name="_Toc74684935"/>
      <w:bookmarkStart w:id="132" w:name="_Toc79585083"/>
      <w:r w:rsidRPr="007C5D2E">
        <w:rPr>
          <w:rStyle w:val="Bold"/>
        </w:rPr>
        <w:lastRenderedPageBreak/>
        <w:t xml:space="preserve">Figure </w:t>
      </w:r>
      <w:r w:rsidRPr="007C5D2E">
        <w:rPr>
          <w:rStyle w:val="Bold"/>
        </w:rPr>
        <w:fldChar w:fldCharType="begin"/>
      </w:r>
      <w:r w:rsidRPr="007C5D2E">
        <w:rPr>
          <w:rStyle w:val="Bold"/>
        </w:rPr>
        <w:instrText xml:space="preserve"> SEQ Figure \* ARABIC </w:instrText>
      </w:r>
      <w:r w:rsidRPr="007C5D2E">
        <w:rPr>
          <w:rStyle w:val="Bold"/>
        </w:rPr>
        <w:fldChar w:fldCharType="separate"/>
      </w:r>
      <w:r w:rsidR="00DD5715">
        <w:rPr>
          <w:rStyle w:val="Bold"/>
          <w:noProof/>
        </w:rPr>
        <w:t>22</w:t>
      </w:r>
      <w:r w:rsidRPr="007C5D2E">
        <w:rPr>
          <w:rStyle w:val="Bold"/>
        </w:rPr>
        <w:fldChar w:fldCharType="end"/>
      </w:r>
      <w:bookmarkEnd w:id="130"/>
      <w:r w:rsidRPr="00BE496A">
        <w:t xml:space="preserve">: </w:t>
      </w:r>
      <w:r w:rsidR="00D15166">
        <w:t>Availability of</w:t>
      </w:r>
      <w:r>
        <w:t xml:space="preserve"> TC-2 services for business use</w:t>
      </w:r>
      <w:bookmarkEnd w:id="131"/>
      <w:bookmarkEnd w:id="132"/>
    </w:p>
    <w:p w14:paraId="2702CBE2" w14:textId="77777777" w:rsidR="00594820" w:rsidRDefault="00594820" w:rsidP="00AB6986">
      <w:pPr>
        <w:pStyle w:val="Image-Page1fullwidth"/>
        <w:keepNext/>
        <w:framePr w:w="0" w:hSpace="0" w:wrap="auto" w:vAnchor="margin" w:yAlign="inline"/>
        <w:spacing w:after="0" w:line="240" w:lineRule="auto"/>
      </w:pPr>
      <w:r w:rsidRPr="00594820">
        <w:rPr>
          <w:lang w:eastAsia="en-AU"/>
        </w:rPr>
        <w:drawing>
          <wp:inline distT="0" distB="0" distL="0" distR="0" wp14:anchorId="25C99CE8" wp14:editId="0EFC878F">
            <wp:extent cx="5759450" cy="2956560"/>
            <wp:effectExtent l="0" t="0" r="0" b="0"/>
            <wp:docPr id="42" name="Picture 42" descr="This figure highlights which networks can provide different speeds for business grade TC-2 services. Only FTTP can supply services at 30mbps speeds and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This figure highlights which networks can provide different speeds for business grade TC-2 services. Only FTTP can supply services at 30mbps speeds and above."/>
                    <pic:cNvPicPr/>
                  </pic:nvPicPr>
                  <pic:blipFill>
                    <a:blip r:embed="rId55"/>
                    <a:stretch>
                      <a:fillRect/>
                    </a:stretch>
                  </pic:blipFill>
                  <pic:spPr>
                    <a:xfrm>
                      <a:off x="0" y="0"/>
                      <a:ext cx="5759450" cy="2956560"/>
                    </a:xfrm>
                    <a:prstGeom prst="rect">
                      <a:avLst/>
                    </a:prstGeom>
                  </pic:spPr>
                </pic:pic>
              </a:graphicData>
            </a:graphic>
          </wp:inline>
        </w:drawing>
      </w:r>
    </w:p>
    <w:p w14:paraId="31545633" w14:textId="77777777" w:rsidR="00594820" w:rsidRPr="003335D6" w:rsidRDefault="00594820" w:rsidP="003335D6">
      <w:pPr>
        <w:pStyle w:val="Source"/>
      </w:pPr>
      <w:r w:rsidRPr="003335D6">
        <w:t>Source: NBN Co WBA</w:t>
      </w:r>
    </w:p>
    <w:p w14:paraId="0B7BBCBF" w14:textId="77777777" w:rsidR="00BC77BA" w:rsidRPr="00BC77BA" w:rsidRDefault="00122419" w:rsidP="004B29BD">
      <w:pPr>
        <w:pStyle w:val="Heading4"/>
      </w:pPr>
      <w:r>
        <w:t>The c</w:t>
      </w:r>
      <w:r w:rsidR="00BC77BA" w:rsidRPr="00BC77BA">
        <w:t xml:space="preserve">ounterfactual: </w:t>
      </w:r>
      <w:r w:rsidRPr="00BC77BA">
        <w:t xml:space="preserve">these </w:t>
      </w:r>
      <w:r w:rsidR="00BC77BA" w:rsidRPr="00BC77BA">
        <w:t xml:space="preserve">conditions were not likely to change in the absence of further NBN investment </w:t>
      </w:r>
    </w:p>
    <w:p w14:paraId="2504932D" w14:textId="77777777" w:rsidR="00122419" w:rsidRDefault="00122419" w:rsidP="00BC77BA">
      <w:pPr>
        <w:pStyle w:val="BodyText"/>
      </w:pPr>
      <w:r>
        <w:t xml:space="preserve">In assessing the competitive effects of NBN </w:t>
      </w:r>
      <w:proofErr w:type="spellStart"/>
      <w:r>
        <w:t>Co’s</w:t>
      </w:r>
      <w:proofErr w:type="spellEnd"/>
      <w:r>
        <w:t xml:space="preserve"> investments in business services, we must form a judgement as to the likely changes that would have occurred without the investments. In our view, it would be reasonable to observe the following counterfactual:</w:t>
      </w:r>
    </w:p>
    <w:p w14:paraId="3B8EEA22" w14:textId="77777777" w:rsidR="00594820" w:rsidRDefault="00594820" w:rsidP="00122419">
      <w:pPr>
        <w:pStyle w:val="ListBullet1"/>
      </w:pPr>
      <w:r>
        <w:t>C</w:t>
      </w:r>
      <w:r w:rsidRPr="00BC77BA">
        <w:t xml:space="preserve">ompetition </w:t>
      </w:r>
      <w:r w:rsidR="00BC77BA" w:rsidRPr="00BC77BA">
        <w:t xml:space="preserve">would remain limited for high speed, high quality fibre services for enterprise use outside of CBD and inner </w:t>
      </w:r>
      <w:r w:rsidR="00122419" w:rsidRPr="00BC77BA">
        <w:t>metro</w:t>
      </w:r>
      <w:r w:rsidR="00122419">
        <w:t xml:space="preserve"> </w:t>
      </w:r>
      <w:r w:rsidR="00BC77BA" w:rsidRPr="00BC77BA">
        <w:t>areas</w:t>
      </w:r>
      <w:r>
        <w:t>. The high fixed and sunk costs associated with duplicating investment would mean it is only in dense business areas close to existing networks where network extensions would occur.</w:t>
      </w:r>
    </w:p>
    <w:p w14:paraId="74B8EA72" w14:textId="77777777" w:rsidR="00F40B3B" w:rsidRPr="00F40B3B" w:rsidRDefault="00594820" w:rsidP="00AB6986">
      <w:pPr>
        <w:pStyle w:val="ListBullet1"/>
      </w:pPr>
      <w:r>
        <w:t>Continuing limitations on MTM services outside of existing FTTP areas would limit their ability to effectively substitute for higher grade services offered by fibre networks</w:t>
      </w:r>
      <w:r w:rsidR="00BC77BA" w:rsidRPr="00BC77BA">
        <w:t xml:space="preserve">. </w:t>
      </w:r>
    </w:p>
    <w:p w14:paraId="75071E48" w14:textId="77777777" w:rsidR="00F40B3B" w:rsidRDefault="00F40B3B" w:rsidP="004B29BD">
      <w:pPr>
        <w:pStyle w:val="Heading3"/>
      </w:pPr>
      <w:bookmarkStart w:id="133" w:name="_Toc74574319"/>
      <w:bookmarkStart w:id="134" w:name="_Toc79671821"/>
      <w:r>
        <w:t>Competition in business markets with the investment</w:t>
      </w:r>
      <w:bookmarkEnd w:id="133"/>
      <w:bookmarkEnd w:id="134"/>
    </w:p>
    <w:p w14:paraId="2D21AE90" w14:textId="77777777" w:rsidR="000C6BCD" w:rsidRPr="000C6BCD" w:rsidRDefault="000C6BCD" w:rsidP="000C6BCD">
      <w:pPr>
        <w:pStyle w:val="BodyText"/>
      </w:pPr>
      <w:r>
        <w:t xml:space="preserve">The investments by NBN Co will change competition in the wholesale markets significantly. In this section, we set out our expectations of changes to market structure, and then report what we have been able to discern from the early stages of NBN </w:t>
      </w:r>
      <w:proofErr w:type="spellStart"/>
      <w:r>
        <w:t>Co’s</w:t>
      </w:r>
      <w:proofErr w:type="spellEnd"/>
      <w:r>
        <w:t xml:space="preserve"> deployment of Enterprise Ethernet services.</w:t>
      </w:r>
    </w:p>
    <w:p w14:paraId="00328E47" w14:textId="77777777" w:rsidR="005D7FD5" w:rsidRDefault="00787FD9" w:rsidP="004B29BD">
      <w:pPr>
        <w:pStyle w:val="Heading4"/>
      </w:pPr>
      <w:r>
        <w:t xml:space="preserve">Changes in </w:t>
      </w:r>
      <w:r w:rsidR="002A4DA2">
        <w:t xml:space="preserve">wholesale </w:t>
      </w:r>
      <w:r>
        <w:t>market structure</w:t>
      </w:r>
    </w:p>
    <w:p w14:paraId="2E88E39B" w14:textId="5C78EA76" w:rsidR="000C6BCD" w:rsidRPr="000C6BCD" w:rsidRDefault="000C6BCD" w:rsidP="000C6BCD">
      <w:pPr>
        <w:pStyle w:val="BodyText"/>
      </w:pPr>
      <w:r>
        <w:t xml:space="preserve">Given the wholesale market structure that we have outlined in section 3, it should not be surprising to observe that the effect of NBN </w:t>
      </w:r>
      <w:proofErr w:type="spellStart"/>
      <w:r>
        <w:t>Co’s</w:t>
      </w:r>
      <w:proofErr w:type="spellEnd"/>
      <w:r>
        <w:t xml:space="preserve"> entry in local wholesale markets will have quite different competitive effects. This will depend on, for example, whether NBN </w:t>
      </w:r>
      <w:proofErr w:type="spellStart"/>
      <w:r>
        <w:t>Co’s</w:t>
      </w:r>
      <w:proofErr w:type="spellEnd"/>
      <w:r>
        <w:t xml:space="preserve"> supply is in a CBD area where it may become the 7</w:t>
      </w:r>
      <w:r w:rsidRPr="000C6BCD">
        <w:rPr>
          <w:vertAlign w:val="superscript"/>
        </w:rPr>
        <w:t>th</w:t>
      </w:r>
      <w:r>
        <w:t xml:space="preserve"> or 8</w:t>
      </w:r>
      <w:r w:rsidRPr="000C6BCD">
        <w:rPr>
          <w:vertAlign w:val="superscript"/>
        </w:rPr>
        <w:t>th</w:t>
      </w:r>
      <w:r>
        <w:t xml:space="preserve"> supplier of similar fixed line business grade services, or </w:t>
      </w:r>
      <w:r w:rsidRPr="00120C27">
        <w:t>whether it is a</w:t>
      </w:r>
      <w:r w:rsidR="00FE2055" w:rsidRPr="00120C27">
        <w:t>n outer metro</w:t>
      </w:r>
      <w:r w:rsidR="00A879EC" w:rsidRPr="00120C27">
        <w:t>politan</w:t>
      </w:r>
      <w:r w:rsidR="00FE2055" w:rsidRPr="00120C27">
        <w:t xml:space="preserve"> or</w:t>
      </w:r>
      <w:r w:rsidRPr="00120C27">
        <w:t xml:space="preserve"> regional area where there might only be one or two networks available for retail supply.</w:t>
      </w:r>
    </w:p>
    <w:p w14:paraId="5490726C" w14:textId="77777777" w:rsidR="000C6BCD" w:rsidRDefault="000C6BCD" w:rsidP="00050F3C">
      <w:pPr>
        <w:pStyle w:val="BodyText"/>
      </w:pPr>
      <w:proofErr w:type="spellStart"/>
      <w:r>
        <w:lastRenderedPageBreak/>
        <w:t>Bresnahan</w:t>
      </w:r>
      <w:proofErr w:type="spellEnd"/>
      <w:r>
        <w:t xml:space="preserve"> and Reiss (1991) provide a theoretical treatment of entry effects, identifying that:</w:t>
      </w:r>
    </w:p>
    <w:p w14:paraId="44827B8A" w14:textId="77777777" w:rsidR="00050F3C" w:rsidRDefault="00050F3C" w:rsidP="000C6BCD">
      <w:pPr>
        <w:pStyle w:val="Quote-block"/>
      </w:pPr>
      <w:r>
        <w:t>Theoretical models of imperfect competition make diverse predictions about the competitive effects of entry. At one end is contestability. At the other is entry barrier models which argue that only actual entry increases competition. Between these two extremes lies a range of theories with varying quantitative predictions about the prevalence and consequences of entry.</w:t>
      </w:r>
      <w:r w:rsidR="000C6BCD">
        <w:rPr>
          <w:rStyle w:val="FootnoteReference"/>
        </w:rPr>
        <w:footnoteReference w:id="47"/>
      </w:r>
    </w:p>
    <w:p w14:paraId="5CCA42F5" w14:textId="77777777" w:rsidR="00050F3C" w:rsidRDefault="006B5AE9" w:rsidP="00050F3C">
      <w:pPr>
        <w:pStyle w:val="BodyText"/>
      </w:pPr>
      <w:r>
        <w:t>This suggests that w</w:t>
      </w:r>
      <w:r w:rsidR="00050F3C">
        <w:t>hat we would ideally lik</w:t>
      </w:r>
      <w:r w:rsidR="00F369EF">
        <w:t>e</w:t>
      </w:r>
      <w:r w:rsidR="00050F3C">
        <w:t xml:space="preserve"> is a detailed empirical model of entry</w:t>
      </w:r>
      <w:r>
        <w:t xml:space="preserve"> in broadband markets - and one that focuses specifically on business broadband</w:t>
      </w:r>
      <w:r w:rsidR="00050F3C">
        <w:t xml:space="preserve">. </w:t>
      </w:r>
      <w:r>
        <w:t xml:space="preserve">However, </w:t>
      </w:r>
      <w:r w:rsidR="00292E06">
        <w:t xml:space="preserve">to our knowledge there are no </w:t>
      </w:r>
      <w:r w:rsidR="00292E06" w:rsidRPr="00120C27">
        <w:t>studies of</w:t>
      </w:r>
      <w:r w:rsidR="00050F3C" w:rsidRPr="00120C27">
        <w:t xml:space="preserve"> </w:t>
      </w:r>
      <w:r w:rsidR="00FE2055" w:rsidRPr="00120C27">
        <w:t xml:space="preserve">business </w:t>
      </w:r>
      <w:r w:rsidR="00050F3C" w:rsidRPr="00120C27">
        <w:t>broadband</w:t>
      </w:r>
      <w:r w:rsidR="00050F3C">
        <w:t xml:space="preserve"> internet</w:t>
      </w:r>
      <w:r w:rsidR="00292E06">
        <w:t xml:space="preserve">. We assume that this is because there are not many examples of </w:t>
      </w:r>
      <w:r w:rsidR="00050F3C">
        <w:t>competitive entry.</w:t>
      </w:r>
    </w:p>
    <w:p w14:paraId="5677AB70" w14:textId="77777777" w:rsidR="00050F3C" w:rsidRPr="00B16C91" w:rsidRDefault="0025232B" w:rsidP="00050F3C">
      <w:pPr>
        <w:pStyle w:val="BodyText"/>
      </w:pPr>
      <w:r>
        <w:t xml:space="preserve">In </w:t>
      </w:r>
      <w:proofErr w:type="spellStart"/>
      <w:r w:rsidR="00050F3C">
        <w:t>Bresnahan</w:t>
      </w:r>
      <w:proofErr w:type="spellEnd"/>
      <w:r>
        <w:t xml:space="preserve"> and Reiss’ </w:t>
      </w:r>
      <w:r w:rsidR="00D938FB">
        <w:t xml:space="preserve">empirical element to their </w:t>
      </w:r>
      <w:r>
        <w:t>study</w:t>
      </w:r>
      <w:r w:rsidR="00D938FB">
        <w:t xml:space="preserve"> of entry</w:t>
      </w:r>
      <w:r>
        <w:t xml:space="preserve">, they find that </w:t>
      </w:r>
      <w:r w:rsidR="00050F3C">
        <w:t xml:space="preserve">in </w:t>
      </w:r>
      <w:r w:rsidR="00D938FB">
        <w:t xml:space="preserve">certain services </w:t>
      </w:r>
      <w:r w:rsidR="00050F3C">
        <w:t>markets with five or fewer incumbents, almost all variation in competitive conduct occurs with the entry of the second and third firms.</w:t>
      </w:r>
      <w:r w:rsidR="00AC76AF">
        <w:t xml:space="preserve"> Although the markets that we are looking at here are somewhat different, with far larger sunk and fixed costs, there is reason to suggest </w:t>
      </w:r>
      <w:r w:rsidR="009D4026">
        <w:t xml:space="preserve">we should expect declining competition benefits from further entrants. The main reason is that the existence of fixed and sunk costs deters entry, but makes competition </w:t>
      </w:r>
      <w:proofErr w:type="gramStart"/>
      <w:r w:rsidR="009D4026">
        <w:t>more fierce</w:t>
      </w:r>
      <w:proofErr w:type="gramEnd"/>
      <w:r w:rsidR="009D4026">
        <w:t xml:space="preserve"> once entry occurs.</w:t>
      </w:r>
      <w:r w:rsidR="007E5837">
        <w:t xml:space="preserve"> Incumbents have relatively low marginal costs of supply and so are willing to discount heavily to keep market share.</w:t>
      </w:r>
      <w:r w:rsidR="00A85DCA">
        <w:rPr>
          <w:rStyle w:val="FootnoteReference"/>
        </w:rPr>
        <w:footnoteReference w:id="48"/>
      </w:r>
      <w:r w:rsidR="003207B2">
        <w:t xml:space="preserve"> This suggests we should expect large benefits from entry into monopoly areas, and less in areas where entry has already </w:t>
      </w:r>
      <w:r w:rsidR="000E3F38">
        <w:t>motivated competition</w:t>
      </w:r>
      <w:r w:rsidR="003207B2">
        <w:t>.</w:t>
      </w:r>
      <w:r w:rsidR="00CE539A">
        <w:t xml:space="preserve"> However, there may also be benefits to competition where monopoly allows for leverage of market power into </w:t>
      </w:r>
      <w:r w:rsidR="009B7D8B">
        <w:t xml:space="preserve">related markets that are more competitive. This might be pertinent to, for example, supply of services to enterprise customers that have a head office in a CBD (competitive) but other stores or offices </w:t>
      </w:r>
      <w:r w:rsidR="005104E7">
        <w:t>in less-competitive outer-metropolitan or regional areas.</w:t>
      </w:r>
    </w:p>
    <w:p w14:paraId="47F8B9E2" w14:textId="77777777" w:rsidR="002A4DA2" w:rsidRDefault="002A4DA2" w:rsidP="004B29BD">
      <w:pPr>
        <w:pStyle w:val="Heading4"/>
      </w:pPr>
      <w:r>
        <w:t>Changes in retail market structure</w:t>
      </w:r>
    </w:p>
    <w:p w14:paraId="2BFFF6E8" w14:textId="77777777" w:rsidR="00594820" w:rsidRPr="00BC77BA" w:rsidRDefault="000E3F38" w:rsidP="00594820">
      <w:pPr>
        <w:pStyle w:val="BodyText"/>
      </w:pPr>
      <w:r>
        <w:t xml:space="preserve">There are three important features of NBN </w:t>
      </w:r>
      <w:proofErr w:type="spellStart"/>
      <w:r>
        <w:t>Co’s</w:t>
      </w:r>
      <w:proofErr w:type="spellEnd"/>
      <w:r>
        <w:t xml:space="preserve"> entry into the supply of </w:t>
      </w:r>
      <w:r w:rsidR="00594820" w:rsidRPr="00BC77BA">
        <w:t xml:space="preserve">wholesale-only </w:t>
      </w:r>
      <w:r>
        <w:t xml:space="preserve">dedicated </w:t>
      </w:r>
      <w:r w:rsidR="00594820" w:rsidRPr="00BC77BA">
        <w:t xml:space="preserve">fibre </w:t>
      </w:r>
      <w:r>
        <w:t xml:space="preserve">services </w:t>
      </w:r>
      <w:r w:rsidR="00594820" w:rsidRPr="00BC77BA">
        <w:t xml:space="preserve">with </w:t>
      </w:r>
      <w:r>
        <w:t xml:space="preserve">national </w:t>
      </w:r>
      <w:r w:rsidR="00594820" w:rsidRPr="00BC77BA">
        <w:t>reach</w:t>
      </w:r>
      <w:r w:rsidR="008C63E5">
        <w:t>:</w:t>
      </w:r>
    </w:p>
    <w:p w14:paraId="15AFFA06" w14:textId="0D9AAB3B" w:rsidR="008C63E5" w:rsidRDefault="007A2890" w:rsidP="00AC7D3B">
      <w:pPr>
        <w:pStyle w:val="ListBullet1"/>
      </w:pPr>
      <w:r>
        <w:t xml:space="preserve">NBN </w:t>
      </w:r>
      <w:proofErr w:type="spellStart"/>
      <w:r>
        <w:t>Co’s</w:t>
      </w:r>
      <w:proofErr w:type="spellEnd"/>
      <w:r>
        <w:t xml:space="preserve"> ubiquitous entry</w:t>
      </w:r>
      <w:r>
        <w:rPr>
          <w:rStyle w:val="FootnoteReference"/>
        </w:rPr>
        <w:footnoteReference w:id="49"/>
      </w:r>
      <w:r>
        <w:t xml:space="preserve"> </w:t>
      </w:r>
      <w:r w:rsidR="008C63E5">
        <w:t>substantially r</w:t>
      </w:r>
      <w:r w:rsidR="008C63E5" w:rsidRPr="00BC77BA">
        <w:t xml:space="preserve">educes barriers to </w:t>
      </w:r>
      <w:r w:rsidR="008C63E5" w:rsidRPr="008C63E5">
        <w:rPr>
          <w:i/>
          <w:iCs/>
        </w:rPr>
        <w:t>retail</w:t>
      </w:r>
      <w:r w:rsidR="008C63E5" w:rsidRPr="00BC77BA">
        <w:t xml:space="preserve"> entry to suppl</w:t>
      </w:r>
      <w:r w:rsidR="008C63E5">
        <w:t>y</w:t>
      </w:r>
      <w:r w:rsidR="008C63E5" w:rsidRPr="00BC77BA">
        <w:t xml:space="preserve"> business-grade services and related products</w:t>
      </w:r>
      <w:r w:rsidR="008C63E5">
        <w:t xml:space="preserve"> </w:t>
      </w:r>
      <w:r w:rsidR="008C63E5" w:rsidRPr="00BC77BA">
        <w:t>(reduced market concentration)</w:t>
      </w:r>
      <w:r w:rsidR="00EE27BB">
        <w:t xml:space="preserve"> and the ability of existing wholesale network suppliers to leverage market power into retail</w:t>
      </w:r>
      <w:r w:rsidR="00F146DA">
        <w:t xml:space="preserve"> and other more</w:t>
      </w:r>
      <w:r w:rsidR="00EE27BB">
        <w:t xml:space="preserve"> competitive markets</w:t>
      </w:r>
      <w:r w:rsidR="00DB1D90">
        <w:t xml:space="preserve"> (see </w:t>
      </w:r>
      <w:r w:rsidR="00DB1D90">
        <w:fldChar w:fldCharType="begin"/>
      </w:r>
      <w:r w:rsidR="00DB1D90">
        <w:instrText xml:space="preserve"> REF _Ref74676895 \h </w:instrText>
      </w:r>
      <w:r w:rsidR="00DB1D90">
        <w:fldChar w:fldCharType="separate"/>
      </w:r>
      <w:r w:rsidR="00DD5715" w:rsidRPr="007C5D2E">
        <w:rPr>
          <w:rStyle w:val="Bold"/>
        </w:rPr>
        <w:t xml:space="preserve">Figure </w:t>
      </w:r>
      <w:r w:rsidR="00DD5715">
        <w:rPr>
          <w:rStyle w:val="Bold"/>
          <w:noProof/>
        </w:rPr>
        <w:t>23</w:t>
      </w:r>
      <w:r w:rsidR="00DB1D90">
        <w:fldChar w:fldCharType="end"/>
      </w:r>
      <w:r w:rsidR="00DB1D90">
        <w:t xml:space="preserve"> which highlights national suppliers of Enterprise Ethernet </w:t>
      </w:r>
      <w:r w:rsidR="006053E0">
        <w:t xml:space="preserve">shown on NBN </w:t>
      </w:r>
      <w:proofErr w:type="spellStart"/>
      <w:r w:rsidR="006053E0">
        <w:t>Co’s</w:t>
      </w:r>
      <w:proofErr w:type="spellEnd"/>
      <w:r w:rsidR="006053E0">
        <w:t xml:space="preserve"> website</w:t>
      </w:r>
      <w:r w:rsidR="005104E7">
        <w:t>, noting that there may be more state-based suppliers not listed here</w:t>
      </w:r>
      <w:r w:rsidR="006053E0">
        <w:t>)</w:t>
      </w:r>
      <w:r w:rsidR="00EE27BB">
        <w:t>.</w:t>
      </w:r>
    </w:p>
    <w:p w14:paraId="1B17868F" w14:textId="77777777" w:rsidR="00594820" w:rsidRDefault="00594820" w:rsidP="00AC7D3B">
      <w:pPr>
        <w:pStyle w:val="ListBullet1"/>
      </w:pPr>
      <w:r w:rsidRPr="00BC77BA">
        <w:t xml:space="preserve">NBN </w:t>
      </w:r>
      <w:r w:rsidR="00AC7D3B">
        <w:t xml:space="preserve">Co </w:t>
      </w:r>
      <w:r w:rsidRPr="00BC77BA">
        <w:t>is vertically separated, with a mandate to increase retail competition</w:t>
      </w:r>
      <w:r w:rsidR="00AC7D3B">
        <w:t>, which substantially lessens concerns that NBN Co would compete with its downstream customers</w:t>
      </w:r>
      <w:r w:rsidR="00AC7D3B">
        <w:rPr>
          <w:rStyle w:val="FootnoteReference"/>
        </w:rPr>
        <w:footnoteReference w:id="50"/>
      </w:r>
    </w:p>
    <w:p w14:paraId="7091CF46" w14:textId="77777777" w:rsidR="00594820" w:rsidRPr="00BC77BA" w:rsidRDefault="007F71ED" w:rsidP="00AB6986">
      <w:pPr>
        <w:pStyle w:val="ListBullet1"/>
      </w:pPr>
      <w:r>
        <w:lastRenderedPageBreak/>
        <w:t xml:space="preserve">NBN </w:t>
      </w:r>
      <w:proofErr w:type="spellStart"/>
      <w:r>
        <w:t>Co’s</w:t>
      </w:r>
      <w:proofErr w:type="spellEnd"/>
      <w:r>
        <w:t xml:space="preserve"> i</w:t>
      </w:r>
      <w:r w:rsidR="00594820" w:rsidRPr="00BC77BA">
        <w:t xml:space="preserve">ncreased price transparency provides a benchmark for retailers </w:t>
      </w:r>
      <w:r>
        <w:t>and</w:t>
      </w:r>
      <w:r w:rsidR="00594820" w:rsidRPr="00BC77BA">
        <w:t xml:space="preserve"> end-users</w:t>
      </w:r>
      <w:r>
        <w:t xml:space="preserve"> which can increase their ability to negotiate</w:t>
      </w:r>
      <w:r w:rsidR="002E4E3C">
        <w:t xml:space="preserve"> better deals as in residential markets.</w:t>
      </w:r>
    </w:p>
    <w:p w14:paraId="24C99A88" w14:textId="580AF0EC" w:rsidR="007A7B1C" w:rsidRDefault="007A7B1C" w:rsidP="007A7B1C">
      <w:pPr>
        <w:pStyle w:val="Caption"/>
      </w:pPr>
      <w:bookmarkStart w:id="135" w:name="_Ref74676895"/>
      <w:bookmarkStart w:id="136" w:name="_Toc74684936"/>
      <w:bookmarkStart w:id="137" w:name="_Toc79585084"/>
      <w:bookmarkStart w:id="138" w:name="_Ref74671992"/>
      <w:r w:rsidRPr="007C5D2E">
        <w:rPr>
          <w:rStyle w:val="Bold"/>
        </w:rPr>
        <w:t xml:space="preserve">Figure </w:t>
      </w:r>
      <w:r w:rsidRPr="007C5D2E">
        <w:rPr>
          <w:rStyle w:val="Bold"/>
        </w:rPr>
        <w:fldChar w:fldCharType="begin"/>
      </w:r>
      <w:r w:rsidRPr="007C5D2E">
        <w:rPr>
          <w:rStyle w:val="Bold"/>
        </w:rPr>
        <w:instrText xml:space="preserve"> SEQ Figure \* ARABIC </w:instrText>
      </w:r>
      <w:r w:rsidRPr="007C5D2E">
        <w:rPr>
          <w:rStyle w:val="Bold"/>
        </w:rPr>
        <w:fldChar w:fldCharType="separate"/>
      </w:r>
      <w:r w:rsidR="00DD5715">
        <w:rPr>
          <w:rStyle w:val="Bold"/>
          <w:noProof/>
        </w:rPr>
        <w:t>23</w:t>
      </w:r>
      <w:r w:rsidRPr="007C5D2E">
        <w:rPr>
          <w:rStyle w:val="Bold"/>
        </w:rPr>
        <w:fldChar w:fldCharType="end"/>
      </w:r>
      <w:bookmarkEnd w:id="135"/>
      <w:r w:rsidRPr="00BE496A">
        <w:t xml:space="preserve">: </w:t>
      </w:r>
      <w:r w:rsidR="00BC1863">
        <w:t>15 n</w:t>
      </w:r>
      <w:r>
        <w:t>ational suppliers of Enterprise Ethernet services</w:t>
      </w:r>
      <w:bookmarkEnd w:id="136"/>
      <w:bookmarkEnd w:id="137"/>
    </w:p>
    <w:p w14:paraId="653A0EAC" w14:textId="77777777" w:rsidR="007A7B1C" w:rsidRDefault="007A7B1C" w:rsidP="007A7B1C">
      <w:pPr>
        <w:pStyle w:val="Image-Page1fullwidth"/>
        <w:keepNext/>
        <w:framePr w:w="0" w:hSpace="0" w:wrap="auto" w:vAnchor="margin" w:yAlign="inline"/>
        <w:spacing w:after="0" w:line="240" w:lineRule="auto"/>
      </w:pPr>
      <w:r w:rsidRPr="00E20BD8">
        <w:rPr>
          <w:lang w:eastAsia="en-AU"/>
        </w:rPr>
        <w:drawing>
          <wp:inline distT="0" distB="0" distL="0" distR="0" wp14:anchorId="6EE59702" wp14:editId="4945C7C9">
            <wp:extent cx="3978233" cy="4132625"/>
            <wp:effectExtent l="0" t="0" r="3810" b="1270"/>
            <wp:docPr id="52" name="Picture 52" descr="This figure highlights the 15 retailers that supply Enterprise Ethernet services on a national basis. The 15 retailers are:&#10;Aussie Broadband, Ethan Group, Evetel, Field Solutions Group, Kinetix Networks, Launtel Pty Ltd, Macquarie Telecom, Optus, Superloop, TasmaNet, Telstra, TPG Telecom, TransGrid, Verizon and Voc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This figure highlights the 15 retailers that supply Enterprise Ethernet services on a national basis. The 15 retailers are:&#10;Aussie Broadband, Ethan Group, Evetel, Field Solutions Group, Kinetix Networks, Launtel Pty Ltd, Macquarie Telecom, Optus, Superloop, TasmaNet, Telstra, TPG Telecom, TransGrid, Verizon and Vocus."/>
                    <pic:cNvPicPr/>
                  </pic:nvPicPr>
                  <pic:blipFill>
                    <a:blip r:embed="rId56"/>
                    <a:stretch>
                      <a:fillRect/>
                    </a:stretch>
                  </pic:blipFill>
                  <pic:spPr>
                    <a:xfrm>
                      <a:off x="0" y="0"/>
                      <a:ext cx="3995313" cy="4150367"/>
                    </a:xfrm>
                    <a:prstGeom prst="rect">
                      <a:avLst/>
                    </a:prstGeom>
                  </pic:spPr>
                </pic:pic>
              </a:graphicData>
            </a:graphic>
          </wp:inline>
        </w:drawing>
      </w:r>
    </w:p>
    <w:p w14:paraId="7F51D052" w14:textId="77777777" w:rsidR="007A7B1C" w:rsidRPr="003335D6" w:rsidRDefault="007A7B1C" w:rsidP="003335D6">
      <w:pPr>
        <w:pStyle w:val="Source"/>
      </w:pPr>
      <w:r w:rsidRPr="003335D6">
        <w:t>Source: nbnco.com.au</w:t>
      </w:r>
      <w:r w:rsidR="00B76592" w:rsidRPr="003335D6">
        <w:br/>
        <w:t>Note: Other suppliers are available in specific states and territories.</w:t>
      </w:r>
    </w:p>
    <w:p w14:paraId="00B1D2F4" w14:textId="77777777" w:rsidR="001114F3" w:rsidRDefault="001114F3" w:rsidP="001114F3">
      <w:pPr>
        <w:pStyle w:val="BodyText"/>
      </w:pPr>
      <w:r>
        <w:t xml:space="preserve">In summary, highlights the range of competitive outcomes we would expect to see in local wholesale markets and the </w:t>
      </w:r>
      <w:r w:rsidR="00AA1AAA">
        <w:t xml:space="preserve">relative </w:t>
      </w:r>
      <w:r>
        <w:t>size of benefits</w:t>
      </w:r>
      <w:r w:rsidR="00AA1AAA">
        <w:t>.</w:t>
      </w:r>
    </w:p>
    <w:p w14:paraId="40F6832D" w14:textId="37DA1F08" w:rsidR="00B76592" w:rsidRDefault="00B76592" w:rsidP="00700E15">
      <w:pPr>
        <w:pStyle w:val="Caption"/>
      </w:pPr>
      <w:bookmarkStart w:id="139" w:name="_Toc79585061"/>
      <w:bookmarkStart w:id="140" w:name="_Ref75721514"/>
      <w:bookmarkStart w:id="141" w:name="_Toc74684937"/>
      <w:r w:rsidRPr="00603BC1">
        <w:rPr>
          <w:rStyle w:val="Bold"/>
        </w:rPr>
        <w:lastRenderedPageBreak/>
        <w:t xml:space="preserve">Table </w:t>
      </w:r>
      <w:r w:rsidRPr="00603BC1">
        <w:rPr>
          <w:rStyle w:val="Bold"/>
        </w:rPr>
        <w:fldChar w:fldCharType="begin"/>
      </w:r>
      <w:r w:rsidRPr="00603BC1">
        <w:rPr>
          <w:rStyle w:val="Bold"/>
        </w:rPr>
        <w:instrText xml:space="preserve"> SEQ Table \* ARABIC </w:instrText>
      </w:r>
      <w:r w:rsidRPr="00603BC1">
        <w:rPr>
          <w:rStyle w:val="Bold"/>
        </w:rPr>
        <w:fldChar w:fldCharType="separate"/>
      </w:r>
      <w:r w:rsidR="00DD5715">
        <w:rPr>
          <w:rStyle w:val="Bold"/>
          <w:noProof/>
        </w:rPr>
        <w:t>13</w:t>
      </w:r>
      <w:r w:rsidRPr="00603BC1">
        <w:rPr>
          <w:rStyle w:val="Bold"/>
        </w:rPr>
        <w:fldChar w:fldCharType="end"/>
      </w:r>
      <w:r w:rsidRPr="00603BC1">
        <w:rPr>
          <w:rStyle w:val="Bold"/>
        </w:rPr>
        <w:t>:</w:t>
      </w:r>
      <w:r>
        <w:t xml:space="preserve"> Where are benefits of </w:t>
      </w:r>
      <w:r w:rsidR="00014FB9">
        <w:t xml:space="preserve">competitive </w:t>
      </w:r>
      <w:r>
        <w:t>entry likely to be highest?</w:t>
      </w:r>
      <w:bookmarkEnd w:id="139"/>
    </w:p>
    <w:tbl>
      <w:tblPr>
        <w:tblStyle w:val="FETableStyle"/>
        <w:tblW w:w="5000" w:type="pct"/>
        <w:tblLook w:val="0420" w:firstRow="1" w:lastRow="0" w:firstColumn="0" w:lastColumn="0" w:noHBand="0" w:noVBand="1"/>
        <w:tblCaption w:val="Where are benefits of competitive entry likely to be highest?"/>
        <w:tblDescription w:val="Where are benefits of competitive entry likely to be highest?"/>
      </w:tblPr>
      <w:tblGrid>
        <w:gridCol w:w="2410"/>
        <w:gridCol w:w="6660"/>
      </w:tblGrid>
      <w:tr w:rsidR="00B76592" w:rsidRPr="00B76592" w14:paraId="64F180CB" w14:textId="77777777" w:rsidTr="004B29BD">
        <w:trPr>
          <w:cnfStyle w:val="100000000000" w:firstRow="1" w:lastRow="0" w:firstColumn="0" w:lastColumn="0" w:oddVBand="0" w:evenVBand="0" w:oddHBand="0" w:evenHBand="0" w:firstRowFirstColumn="0" w:firstRowLastColumn="0" w:lastRowFirstColumn="0" w:lastRowLastColumn="0"/>
          <w:tblHeader/>
        </w:trPr>
        <w:tc>
          <w:tcPr>
            <w:tcW w:w="2410" w:type="dxa"/>
          </w:tcPr>
          <w:bookmarkEnd w:id="138"/>
          <w:bookmarkEnd w:id="140"/>
          <w:bookmarkEnd w:id="141"/>
          <w:p w14:paraId="4C133974" w14:textId="77777777" w:rsidR="00B76592" w:rsidRPr="00B76592" w:rsidRDefault="00B76592" w:rsidP="00B76592">
            <w:pPr>
              <w:pStyle w:val="TableHeading"/>
              <w:rPr>
                <w:b/>
              </w:rPr>
            </w:pPr>
            <w:r w:rsidRPr="00B76592">
              <w:rPr>
                <w:b/>
              </w:rPr>
              <w:t>Competition</w:t>
            </w:r>
          </w:p>
        </w:tc>
        <w:tc>
          <w:tcPr>
            <w:tcW w:w="6660" w:type="dxa"/>
          </w:tcPr>
          <w:p w14:paraId="188FEFDC" w14:textId="77777777" w:rsidR="00B76592" w:rsidRPr="00B76592" w:rsidRDefault="00B76592" w:rsidP="00B76592">
            <w:pPr>
              <w:pStyle w:val="TableHeading"/>
              <w:rPr>
                <w:b/>
              </w:rPr>
            </w:pPr>
            <w:r w:rsidRPr="00B76592">
              <w:rPr>
                <w:b/>
              </w:rPr>
              <w:t>Benefits</w:t>
            </w:r>
          </w:p>
        </w:tc>
      </w:tr>
      <w:tr w:rsidR="00B76592" w:rsidRPr="00B76592" w14:paraId="173275C8" w14:textId="77777777" w:rsidTr="00014FB9">
        <w:trPr>
          <w:cnfStyle w:val="000000100000" w:firstRow="0" w:lastRow="0" w:firstColumn="0" w:lastColumn="0" w:oddVBand="0" w:evenVBand="0" w:oddHBand="1" w:evenHBand="0" w:firstRowFirstColumn="0" w:firstRowLastColumn="0" w:lastRowFirstColumn="0" w:lastRowLastColumn="0"/>
        </w:trPr>
        <w:tc>
          <w:tcPr>
            <w:tcW w:w="2410" w:type="dxa"/>
          </w:tcPr>
          <w:p w14:paraId="1FE6DC97" w14:textId="77777777" w:rsidR="00B76592" w:rsidRPr="00B76592" w:rsidRDefault="00B76592" w:rsidP="00B76592">
            <w:pPr>
              <w:pStyle w:val="TableText"/>
            </w:pPr>
            <w:r w:rsidRPr="00B76592">
              <w:t xml:space="preserve">No existing </w:t>
            </w:r>
            <w:r w:rsidR="00014FB9">
              <w:t xml:space="preserve">fixed </w:t>
            </w:r>
            <w:r w:rsidRPr="00B76592">
              <w:t>networks</w:t>
            </w:r>
            <w:r w:rsidR="00014FB9">
              <w:t xml:space="preserve"> (</w:t>
            </w:r>
            <w:r w:rsidRPr="00B76592">
              <w:t>satellite only</w:t>
            </w:r>
            <w:r w:rsidR="00014FB9">
              <w:t>)</w:t>
            </w:r>
          </w:p>
        </w:tc>
        <w:tc>
          <w:tcPr>
            <w:tcW w:w="6660" w:type="dxa"/>
          </w:tcPr>
          <w:p w14:paraId="76A95575" w14:textId="77777777" w:rsidR="00B76592" w:rsidRDefault="00493FEC" w:rsidP="00B76592">
            <w:pPr>
              <w:pStyle w:val="TableText"/>
            </w:pPr>
            <w:r>
              <w:t>If fixed line services become available, e</w:t>
            </w:r>
            <w:r w:rsidR="00014FB9">
              <w:t>conomic benefits may be substantial, but not necessarily from competition</w:t>
            </w:r>
          </w:p>
          <w:p w14:paraId="59406A14" w14:textId="77777777" w:rsidR="00493FEC" w:rsidRPr="00B76592" w:rsidRDefault="00493FEC" w:rsidP="00B76592">
            <w:pPr>
              <w:pStyle w:val="TableText"/>
            </w:pPr>
            <w:r>
              <w:t>If business satellite services become available, substantial economic and competition benefits are likely (as other satellite services do not presently deliver business grade service)</w:t>
            </w:r>
          </w:p>
        </w:tc>
      </w:tr>
      <w:tr w:rsidR="00B76592" w:rsidRPr="00B76592" w14:paraId="12B6A351" w14:textId="77777777" w:rsidTr="00014FB9">
        <w:trPr>
          <w:cnfStyle w:val="000000010000" w:firstRow="0" w:lastRow="0" w:firstColumn="0" w:lastColumn="0" w:oddVBand="0" w:evenVBand="0" w:oddHBand="0" w:evenHBand="1" w:firstRowFirstColumn="0" w:firstRowLastColumn="0" w:lastRowFirstColumn="0" w:lastRowLastColumn="0"/>
        </w:trPr>
        <w:tc>
          <w:tcPr>
            <w:tcW w:w="2410" w:type="dxa"/>
          </w:tcPr>
          <w:p w14:paraId="05DD3E72" w14:textId="77777777" w:rsidR="00B76592" w:rsidRPr="00B76592" w:rsidRDefault="00B76592" w:rsidP="00B76592">
            <w:pPr>
              <w:pStyle w:val="TableText"/>
            </w:pPr>
            <w:r w:rsidRPr="00B76592">
              <w:t>Monopoly networks</w:t>
            </w:r>
          </w:p>
        </w:tc>
        <w:tc>
          <w:tcPr>
            <w:tcW w:w="6660" w:type="dxa"/>
          </w:tcPr>
          <w:p w14:paraId="13B14527" w14:textId="77777777" w:rsidR="00B76592" w:rsidRPr="00B76592" w:rsidRDefault="00014FB9" w:rsidP="00B76592">
            <w:pPr>
              <w:pStyle w:val="TableText"/>
            </w:pPr>
            <w:r w:rsidRPr="00014FB9">
              <w:t>Significant benefits from increase in network competition, and also benefit from increase in retail competition</w:t>
            </w:r>
            <w:r>
              <w:t xml:space="preserve"> as it allows competition for contracts that include the monopoly area</w:t>
            </w:r>
          </w:p>
        </w:tc>
      </w:tr>
      <w:tr w:rsidR="00B76592" w:rsidRPr="00B76592" w14:paraId="5BA614DE" w14:textId="77777777" w:rsidTr="00014FB9">
        <w:trPr>
          <w:cnfStyle w:val="000000100000" w:firstRow="0" w:lastRow="0" w:firstColumn="0" w:lastColumn="0" w:oddVBand="0" w:evenVBand="0" w:oddHBand="1" w:evenHBand="0" w:firstRowFirstColumn="0" w:firstRowLastColumn="0" w:lastRowFirstColumn="0" w:lastRowLastColumn="0"/>
        </w:trPr>
        <w:tc>
          <w:tcPr>
            <w:tcW w:w="2410" w:type="dxa"/>
          </w:tcPr>
          <w:p w14:paraId="03A40C1B" w14:textId="77777777" w:rsidR="00B76592" w:rsidRPr="00B76592" w:rsidRDefault="00B76592" w:rsidP="00B76592">
            <w:pPr>
              <w:pStyle w:val="TableText"/>
            </w:pPr>
            <w:r w:rsidRPr="00B76592">
              <w:t>Two+ networks</w:t>
            </w:r>
          </w:p>
        </w:tc>
        <w:tc>
          <w:tcPr>
            <w:tcW w:w="6660" w:type="dxa"/>
          </w:tcPr>
          <w:p w14:paraId="47712BB2" w14:textId="77777777" w:rsidR="00B76592" w:rsidRPr="00B76592" w:rsidRDefault="00014FB9" w:rsidP="00B76592">
            <w:pPr>
              <w:pStyle w:val="TableText"/>
            </w:pPr>
            <w:r w:rsidRPr="00014FB9">
              <w:t>Smaller benefits in areas where existing network competition (e.g. CBDs), but may be further benefits from enhancements in retail competition</w:t>
            </w:r>
            <w:r>
              <w:t xml:space="preserve"> (e.g. to compete for national contracts)</w:t>
            </w:r>
            <w:r w:rsidRPr="00014FB9">
              <w:t xml:space="preserve"> if existing networks did not wholesale services</w:t>
            </w:r>
          </w:p>
        </w:tc>
      </w:tr>
    </w:tbl>
    <w:p w14:paraId="0D7B7440" w14:textId="77777777" w:rsidR="001114F3" w:rsidRPr="003335D6" w:rsidRDefault="001717D3" w:rsidP="003335D6">
      <w:pPr>
        <w:pStyle w:val="Source"/>
      </w:pPr>
      <w:bookmarkStart w:id="142" w:name="_Toc74574320"/>
      <w:r w:rsidRPr="003335D6">
        <w:t xml:space="preserve">Source: </w:t>
      </w:r>
      <w:r w:rsidR="001114F3" w:rsidRPr="003335D6">
        <w:t>Frontier Economics</w:t>
      </w:r>
    </w:p>
    <w:p w14:paraId="5427686E" w14:textId="77777777" w:rsidR="00505B52" w:rsidRDefault="00073BBD" w:rsidP="004B29BD">
      <w:pPr>
        <w:pStyle w:val="Heading3"/>
      </w:pPr>
      <w:bookmarkStart w:id="143" w:name="_Toc79671822"/>
      <w:r>
        <w:t>Expected c</w:t>
      </w:r>
      <w:r w:rsidR="00505B52">
        <w:t>ompetition benefits</w:t>
      </w:r>
      <w:bookmarkEnd w:id="142"/>
      <w:bookmarkEnd w:id="143"/>
    </w:p>
    <w:p w14:paraId="06DE321C" w14:textId="77777777" w:rsidR="00376D85" w:rsidRDefault="00960B8A" w:rsidP="00EA0064">
      <w:pPr>
        <w:pStyle w:val="BodyText"/>
      </w:pPr>
      <w:r>
        <w:t xml:space="preserve">Competition invariably delivers with it a range of benefits, of which the most important is potentially </w:t>
      </w:r>
      <w:r w:rsidR="00157C42">
        <w:t xml:space="preserve">unforeseen innovations. This makes any forecasting of benefits </w:t>
      </w:r>
      <w:r w:rsidR="00791591">
        <w:t>subject to uncertainty</w:t>
      </w:r>
      <w:r w:rsidR="004C1D4E">
        <w:t xml:space="preserve">. </w:t>
      </w:r>
      <w:r w:rsidR="003D3DAA">
        <w:t>Noting this consideration</w:t>
      </w:r>
      <w:proofErr w:type="gramStart"/>
      <w:r w:rsidR="003D3DAA">
        <w:t xml:space="preserve">, </w:t>
      </w:r>
      <w:r w:rsidR="004C1D4E">
        <w:t xml:space="preserve"> we</w:t>
      </w:r>
      <w:proofErr w:type="gramEnd"/>
      <w:r w:rsidR="004C1D4E">
        <w:t xml:space="preserve"> analyse prospective benefits under three headings:</w:t>
      </w:r>
    </w:p>
    <w:p w14:paraId="1535101A" w14:textId="77777777" w:rsidR="004C1D4E" w:rsidRDefault="00E12405" w:rsidP="00E12405">
      <w:pPr>
        <w:pStyle w:val="ListBullet1"/>
      </w:pPr>
      <w:r>
        <w:t>Increased opportunities for retail switching</w:t>
      </w:r>
    </w:p>
    <w:p w14:paraId="2FB76434" w14:textId="77777777" w:rsidR="00FD6481" w:rsidRDefault="003D547E" w:rsidP="00AB6986">
      <w:pPr>
        <w:pStyle w:val="ListBullet1"/>
      </w:pPr>
      <w:r>
        <w:t>Discounts</w:t>
      </w:r>
      <w:r w:rsidR="00E12405">
        <w:t xml:space="preserve"> in</w:t>
      </w:r>
      <w:r w:rsidR="00166857">
        <w:t xml:space="preserve"> wholesale and</w:t>
      </w:r>
      <w:r w:rsidR="00E12405">
        <w:t xml:space="preserve"> retail prices and increases in quality of services</w:t>
      </w:r>
    </w:p>
    <w:p w14:paraId="298BDF8E" w14:textId="77777777" w:rsidR="00EA0064" w:rsidRPr="00EA0064" w:rsidRDefault="00FD6481" w:rsidP="00AB6986">
      <w:pPr>
        <w:pStyle w:val="ListBullet1"/>
      </w:pPr>
      <w:r>
        <w:t>Increase in retailers</w:t>
      </w:r>
      <w:r w:rsidR="00804A1F">
        <w:t>’</w:t>
      </w:r>
      <w:r>
        <w:t xml:space="preserve"> ability to </w:t>
      </w:r>
      <w:r w:rsidR="00EA0064" w:rsidRPr="00EA0064">
        <w:t>bundle service offerings</w:t>
      </w:r>
      <w:r>
        <w:t xml:space="preserve"> across network platforms</w:t>
      </w:r>
      <w:r w:rsidR="00EA0064" w:rsidRPr="00EA0064">
        <w:t xml:space="preserve">, e.g. increased ability to put </w:t>
      </w:r>
      <w:r w:rsidR="004E419E">
        <w:t>network</w:t>
      </w:r>
      <w:r w:rsidR="00EA0064" w:rsidRPr="00EA0064">
        <w:t xml:space="preserve"> services together that are multi-platform</w:t>
      </w:r>
    </w:p>
    <w:p w14:paraId="760C1B0E" w14:textId="77777777" w:rsidR="00EA0064" w:rsidRPr="00EA0064" w:rsidRDefault="00641D25" w:rsidP="00EA0064">
      <w:pPr>
        <w:pStyle w:val="BodyText"/>
      </w:pPr>
      <w:r>
        <w:t>While there are almost certainly other benefits from increased competition, such as the o</w:t>
      </w:r>
      <w:r w:rsidR="00EA0064" w:rsidRPr="00EA0064">
        <w:t>ngoing pressure on networks to be efficient and innovative</w:t>
      </w:r>
      <w:r>
        <w:t>, these are not likely to be easy to quantify.</w:t>
      </w:r>
    </w:p>
    <w:p w14:paraId="4976EB6F" w14:textId="77777777" w:rsidR="00F40B3B" w:rsidRDefault="009D6FC1" w:rsidP="004B29BD">
      <w:pPr>
        <w:pStyle w:val="Heading4"/>
      </w:pPr>
      <w:r>
        <w:t>Benefits - increased opportunities for retail switching</w:t>
      </w:r>
    </w:p>
    <w:p w14:paraId="7232EB32" w14:textId="77777777" w:rsidR="00115E23" w:rsidRPr="00115E23" w:rsidRDefault="00115E23" w:rsidP="00115E23">
      <w:pPr>
        <w:pStyle w:val="BodyText"/>
      </w:pPr>
      <w:r w:rsidRPr="00115E23">
        <w:t xml:space="preserve">NBN’s supply of </w:t>
      </w:r>
      <w:r w:rsidR="00FC247E" w:rsidRPr="00115E23">
        <w:t xml:space="preserve">Enterprise Ethernet </w:t>
      </w:r>
      <w:r w:rsidRPr="00115E23">
        <w:t xml:space="preserve">services has the potential to unlock more retail competition, as it provides: </w:t>
      </w:r>
    </w:p>
    <w:p w14:paraId="2675D041" w14:textId="77777777" w:rsidR="00115E23" w:rsidRPr="00115E23" w:rsidRDefault="00115E23" w:rsidP="00641D25">
      <w:pPr>
        <w:pStyle w:val="ListBullet1"/>
      </w:pPr>
      <w:r w:rsidRPr="00115E23">
        <w:t xml:space="preserve">Opportunities for RSPs to switch businesses from other </w:t>
      </w:r>
      <w:r w:rsidR="005F2F9C">
        <w:t xml:space="preserve">networks and </w:t>
      </w:r>
      <w:r w:rsidRPr="00115E23">
        <w:t>technologies</w:t>
      </w:r>
      <w:r w:rsidR="00A1160D">
        <w:t xml:space="preserve">, such as </w:t>
      </w:r>
      <w:r w:rsidR="00A336C7">
        <w:t>existing fibre</w:t>
      </w:r>
      <w:r w:rsidR="005F2F9C">
        <w:t xml:space="preserve"> or</w:t>
      </w:r>
      <w:r w:rsidR="00A336C7">
        <w:t xml:space="preserve"> ADSL</w:t>
      </w:r>
      <w:r w:rsidR="00CD42E6">
        <w:t>,</w:t>
      </w:r>
      <w:r w:rsidRPr="00115E23">
        <w:t xml:space="preserve"> to </w:t>
      </w:r>
      <w:r w:rsidR="001F6445">
        <w:t>Enterprise Ethernet</w:t>
      </w:r>
    </w:p>
    <w:p w14:paraId="10C32775" w14:textId="77777777" w:rsidR="00115E23" w:rsidRPr="00115E23" w:rsidRDefault="00115E23" w:rsidP="00641D25">
      <w:pPr>
        <w:pStyle w:val="ListBullet1"/>
      </w:pPr>
      <w:r w:rsidRPr="00115E23">
        <w:t xml:space="preserve">Opportunities for RSPs to switch businesses from residential grade TC-4 </w:t>
      </w:r>
      <w:r w:rsidR="00D62EA5">
        <w:t xml:space="preserve">or business grade TC-2 </w:t>
      </w:r>
      <w:r w:rsidRPr="00115E23">
        <w:t xml:space="preserve">services to </w:t>
      </w:r>
      <w:r w:rsidR="001F6445">
        <w:t>Enterprise Ethernet</w:t>
      </w:r>
    </w:p>
    <w:p w14:paraId="29CD5ED0" w14:textId="77777777" w:rsidR="00E8549D" w:rsidRDefault="00115E23" w:rsidP="00115E23">
      <w:pPr>
        <w:pStyle w:val="BodyText"/>
      </w:pPr>
      <w:r w:rsidRPr="00115E23">
        <w:t>NBN</w:t>
      </w:r>
      <w:r w:rsidR="005F2F9C">
        <w:t xml:space="preserve"> </w:t>
      </w:r>
      <w:proofErr w:type="spellStart"/>
      <w:r w:rsidR="005F2F9C">
        <w:t>Co’</w:t>
      </w:r>
      <w:r w:rsidRPr="00115E23">
        <w:t>s</w:t>
      </w:r>
      <w:proofErr w:type="spellEnd"/>
      <w:r w:rsidRPr="00115E23">
        <w:t xml:space="preserve"> </w:t>
      </w:r>
      <w:r w:rsidR="005F2F9C">
        <w:t xml:space="preserve">existing analysis of its Enterprise Ethernet </w:t>
      </w:r>
      <w:r w:rsidRPr="00115E23">
        <w:t xml:space="preserve">data highlights </w:t>
      </w:r>
      <w:r w:rsidR="000E7258">
        <w:t>this increased switching being observed in new sales</w:t>
      </w:r>
      <w:r w:rsidR="00E8549D">
        <w:t>:</w:t>
      </w:r>
    </w:p>
    <w:p w14:paraId="46BB2AF4" w14:textId="77777777" w:rsidR="00E8549D" w:rsidRDefault="00115E23" w:rsidP="00E8549D">
      <w:pPr>
        <w:pStyle w:val="ListBullet1"/>
      </w:pPr>
      <w:r w:rsidRPr="00115E23">
        <w:t>50% of the customer base is new (which includes switching from other networks)</w:t>
      </w:r>
    </w:p>
    <w:p w14:paraId="156BA0DE" w14:textId="77777777" w:rsidR="00115E23" w:rsidRPr="00115E23" w:rsidRDefault="00115E23" w:rsidP="00E8549D">
      <w:pPr>
        <w:pStyle w:val="ListBullet1"/>
      </w:pPr>
      <w:proofErr w:type="gramStart"/>
      <w:r w:rsidRPr="00115E23">
        <w:lastRenderedPageBreak/>
        <w:t>a</w:t>
      </w:r>
      <w:proofErr w:type="gramEnd"/>
      <w:r w:rsidRPr="00115E23">
        <w:t xml:space="preserve"> further 35% take services from an </w:t>
      </w:r>
      <w:r w:rsidR="001F6445">
        <w:t>Enterprise Ethernet</w:t>
      </w:r>
      <w:r w:rsidRPr="00115E23">
        <w:t xml:space="preserve"> RSP that is not the same as their current TC-4 or TC-2 RSP.</w:t>
      </w:r>
      <w:r w:rsidR="00E8549D">
        <w:t xml:space="preserve"> This suggests that </w:t>
      </w:r>
      <w:r w:rsidR="00543E6A">
        <w:t>RSPs are actively marketing services to existing NBN Co network customers.</w:t>
      </w:r>
    </w:p>
    <w:p w14:paraId="5D073066" w14:textId="01229CB5" w:rsidR="0067106D" w:rsidRDefault="0067106D" w:rsidP="009645AD">
      <w:pPr>
        <w:pStyle w:val="Caption"/>
      </w:pPr>
      <w:bookmarkStart w:id="144" w:name="_Toc74684938"/>
      <w:bookmarkStart w:id="145" w:name="_Toc79585085"/>
      <w:r w:rsidRPr="007C5D2E">
        <w:rPr>
          <w:rStyle w:val="Bold"/>
        </w:rPr>
        <w:t xml:space="preserve">Figure </w:t>
      </w:r>
      <w:r w:rsidRPr="007C5D2E">
        <w:rPr>
          <w:rStyle w:val="Bold"/>
        </w:rPr>
        <w:fldChar w:fldCharType="begin"/>
      </w:r>
      <w:r w:rsidRPr="007C5D2E">
        <w:rPr>
          <w:rStyle w:val="Bold"/>
        </w:rPr>
        <w:instrText xml:space="preserve"> SEQ Figure \* ARABIC </w:instrText>
      </w:r>
      <w:r w:rsidRPr="007C5D2E">
        <w:rPr>
          <w:rStyle w:val="Bold"/>
        </w:rPr>
        <w:fldChar w:fldCharType="separate"/>
      </w:r>
      <w:r w:rsidR="00DD5715">
        <w:rPr>
          <w:rStyle w:val="Bold"/>
          <w:noProof/>
        </w:rPr>
        <w:t>24</w:t>
      </w:r>
      <w:r w:rsidRPr="007C5D2E">
        <w:rPr>
          <w:rStyle w:val="Bold"/>
        </w:rPr>
        <w:fldChar w:fldCharType="end"/>
      </w:r>
      <w:r w:rsidRPr="00BE496A">
        <w:t xml:space="preserve">: </w:t>
      </w:r>
      <w:r w:rsidR="00E8549D">
        <w:t>Increased opportunities for switching</w:t>
      </w:r>
      <w:bookmarkEnd w:id="144"/>
      <w:bookmarkEnd w:id="145"/>
    </w:p>
    <w:p w14:paraId="77D8AB64" w14:textId="77777777" w:rsidR="0067106D" w:rsidRDefault="00190E72" w:rsidP="009645AD">
      <w:pPr>
        <w:pStyle w:val="Image-Page1fullwidth"/>
        <w:keepNext/>
        <w:framePr w:w="0" w:hSpace="0" w:wrap="auto" w:vAnchor="margin" w:yAlign="inline"/>
        <w:spacing w:after="0" w:line="240" w:lineRule="auto"/>
      </w:pPr>
      <w:r>
        <w:rPr>
          <w:lang w:eastAsia="en-AU"/>
        </w:rPr>
        <w:drawing>
          <wp:inline distT="0" distB="0" distL="0" distR="0" wp14:anchorId="217684F4" wp14:editId="07404040">
            <wp:extent cx="5450205" cy="3164205"/>
            <wp:effectExtent l="0" t="0" r="0" b="0"/>
            <wp:docPr id="46" name="Picture 46" descr="This figure highlights information on switching behaviour by customers ordering Enterprise Ethernet services. In 85% of cases, a new retail service provider sells Enterprise Ethernet to the custo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This figure highlights information on switching behaviour by customers ordering Enterprise Ethernet services. In 85% of cases, a new retail service provider sells Enterprise Ethernet to the customer."/>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450205" cy="3164205"/>
                    </a:xfrm>
                    <a:prstGeom prst="rect">
                      <a:avLst/>
                    </a:prstGeom>
                    <a:noFill/>
                  </pic:spPr>
                </pic:pic>
              </a:graphicData>
            </a:graphic>
          </wp:inline>
        </w:drawing>
      </w:r>
    </w:p>
    <w:p w14:paraId="4E342293" w14:textId="77777777" w:rsidR="0067106D" w:rsidRPr="003335D6" w:rsidRDefault="0067106D" w:rsidP="003335D6">
      <w:pPr>
        <w:pStyle w:val="Source"/>
      </w:pPr>
      <w:r w:rsidRPr="003335D6">
        <w:t xml:space="preserve">Source: </w:t>
      </w:r>
      <w:r w:rsidR="00190E72" w:rsidRPr="003335D6">
        <w:t>NBN</w:t>
      </w:r>
    </w:p>
    <w:p w14:paraId="411F35FF" w14:textId="77777777" w:rsidR="009D6FC1" w:rsidRDefault="009D6FC1" w:rsidP="004B29BD">
      <w:pPr>
        <w:pStyle w:val="Heading4"/>
      </w:pPr>
      <w:r>
        <w:t xml:space="preserve">Benefits - </w:t>
      </w:r>
      <w:r w:rsidR="006F3934">
        <w:t xml:space="preserve">reductions in </w:t>
      </w:r>
      <w:r w:rsidR="00166857">
        <w:t xml:space="preserve">wholesale and </w:t>
      </w:r>
      <w:r w:rsidR="006F3934">
        <w:t>retail prices</w:t>
      </w:r>
    </w:p>
    <w:p w14:paraId="6567543F" w14:textId="57A2079E" w:rsidR="00166857" w:rsidRDefault="00166857" w:rsidP="00450651">
      <w:pPr>
        <w:pStyle w:val="BodyText"/>
      </w:pPr>
      <w:r>
        <w:t xml:space="preserve">We have observed in Section </w:t>
      </w:r>
      <w:r w:rsidR="000349F4">
        <w:t xml:space="preserve">1 </w:t>
      </w:r>
      <w:r w:rsidR="00895E35">
        <w:t xml:space="preserve">that NBN </w:t>
      </w:r>
      <w:proofErr w:type="spellStart"/>
      <w:r w:rsidR="00895E35">
        <w:t>Co’s</w:t>
      </w:r>
      <w:proofErr w:type="spellEnd"/>
      <w:r w:rsidR="00895E35">
        <w:t xml:space="preserve"> business fibre initiatives have included significant price </w:t>
      </w:r>
      <w:r w:rsidR="003D547E">
        <w:t>discounts</w:t>
      </w:r>
      <w:r w:rsidR="00895E35">
        <w:t xml:space="preserve"> for Enterprise Ethernet services in </w:t>
      </w:r>
      <w:r w:rsidR="00FD7E22">
        <w:t>Business Fibre Zone</w:t>
      </w:r>
      <w:r w:rsidR="00895E35">
        <w:t>s</w:t>
      </w:r>
      <w:r w:rsidR="003B0921">
        <w:t xml:space="preserve"> - as much as </w:t>
      </w:r>
      <w:r w:rsidR="0043465F">
        <w:t xml:space="preserve">67% for </w:t>
      </w:r>
      <w:r w:rsidR="002932B2">
        <w:t>services in more remote Zone 3 areas that get the maximum benefit from ‘CBD equivalent’ pricing</w:t>
      </w:r>
      <w:r w:rsidR="00895E35">
        <w:t>.</w:t>
      </w:r>
    </w:p>
    <w:p w14:paraId="4817E235" w14:textId="77777777" w:rsidR="00663791" w:rsidRDefault="00663791" w:rsidP="00450651">
      <w:pPr>
        <w:pStyle w:val="BodyText"/>
      </w:pPr>
      <w:r>
        <w:t xml:space="preserve">Given those price </w:t>
      </w:r>
      <w:r w:rsidR="003D547E">
        <w:t>discounts</w:t>
      </w:r>
      <w:r>
        <w:t xml:space="preserve"> and the extensive availability of NBN </w:t>
      </w:r>
      <w:proofErr w:type="spellStart"/>
      <w:r>
        <w:t>Co’s</w:t>
      </w:r>
      <w:proofErr w:type="spellEnd"/>
      <w:r>
        <w:t xml:space="preserve"> offer</w:t>
      </w:r>
      <w:r w:rsidR="00A4362A">
        <w:t xml:space="preserve">, it would not be surprising to see a competitive pricing response from other wholesalers. That said, </w:t>
      </w:r>
      <w:r w:rsidR="00743DE0">
        <w:t>no other wholesaler offers widely-available wholesale prices for services equivalent to Enterprise Ethernet, so we must infer changes from analysis of retail prices</w:t>
      </w:r>
      <w:r w:rsidR="001A6E03">
        <w:t>.</w:t>
      </w:r>
    </w:p>
    <w:p w14:paraId="574DE59E" w14:textId="77777777" w:rsidR="004A3531" w:rsidRDefault="001A6E03" w:rsidP="00450651">
      <w:pPr>
        <w:pStyle w:val="BodyText"/>
      </w:pPr>
      <w:r>
        <w:t xml:space="preserve">Of course, it </w:t>
      </w:r>
      <w:r w:rsidR="00450651" w:rsidRPr="00450651">
        <w:t xml:space="preserve">is </w:t>
      </w:r>
      <w:r>
        <w:t xml:space="preserve">also </w:t>
      </w:r>
      <w:r w:rsidR="00450651" w:rsidRPr="00450651">
        <w:t>challenging to analyse retail prices for business-grade services</w:t>
      </w:r>
      <w:r w:rsidR="004A3531">
        <w:t>, for two main reasons:</w:t>
      </w:r>
      <w:r w:rsidR="00450651" w:rsidRPr="00450651">
        <w:t xml:space="preserve"> </w:t>
      </w:r>
    </w:p>
    <w:p w14:paraId="626EBA7C" w14:textId="77777777" w:rsidR="00450651" w:rsidRPr="00450651" w:rsidRDefault="004A3531" w:rsidP="004A3531">
      <w:pPr>
        <w:pStyle w:val="ListBullet1"/>
      </w:pPr>
      <w:r w:rsidRPr="00450651">
        <w:t xml:space="preserve">business </w:t>
      </w:r>
      <w:r w:rsidR="00450651" w:rsidRPr="00450651">
        <w:t>services are more complex and more valuable than residential services</w:t>
      </w:r>
    </w:p>
    <w:p w14:paraId="4CF509F4" w14:textId="77777777" w:rsidR="00450651" w:rsidRPr="00450651" w:rsidRDefault="004A3531" w:rsidP="004A3531">
      <w:pPr>
        <w:pStyle w:val="ListBullet1"/>
      </w:pPr>
      <w:r>
        <w:t>RSPs</w:t>
      </w:r>
      <w:r w:rsidR="00450651" w:rsidRPr="00450651">
        <w:t xml:space="preserve"> negotiate directly with </w:t>
      </w:r>
      <w:r>
        <w:t>end users</w:t>
      </w:r>
      <w:r w:rsidR="00450651" w:rsidRPr="00450651">
        <w:t xml:space="preserve"> and may offer a range of discounts depending on the number and type of services, and contract length.</w:t>
      </w:r>
    </w:p>
    <w:p w14:paraId="6F8BA67C" w14:textId="77777777" w:rsidR="00450651" w:rsidRPr="00450651" w:rsidRDefault="009C7CE8" w:rsidP="00450651">
      <w:pPr>
        <w:pStyle w:val="BodyText"/>
      </w:pPr>
      <w:r>
        <w:t xml:space="preserve">The bespoke nature of pricing means there </w:t>
      </w:r>
      <w:r w:rsidR="00450651" w:rsidRPr="00450651">
        <w:t xml:space="preserve">is little publicly-available data on </w:t>
      </w:r>
      <w:r>
        <w:t xml:space="preserve">retail </w:t>
      </w:r>
      <w:r w:rsidR="00450651" w:rsidRPr="00450651">
        <w:t>prices – unlike the residential market</w:t>
      </w:r>
      <w:r>
        <w:t xml:space="preserve"> which markets heavily ‘headline’ prices for the most common services</w:t>
      </w:r>
      <w:r w:rsidR="00450651" w:rsidRPr="00450651">
        <w:t>.</w:t>
      </w:r>
    </w:p>
    <w:p w14:paraId="5B7EE2E0" w14:textId="3748E3E0" w:rsidR="00450651" w:rsidRPr="00450651" w:rsidRDefault="006C6D1E" w:rsidP="00450651">
      <w:pPr>
        <w:pStyle w:val="BodyText"/>
      </w:pPr>
      <w:r>
        <w:t>Through the course of this study, we identified an</w:t>
      </w:r>
      <w:r w:rsidR="00450651" w:rsidRPr="00450651">
        <w:t xml:space="preserve"> RSP, </w:t>
      </w:r>
      <w:proofErr w:type="spellStart"/>
      <w:proofErr w:type="gramStart"/>
      <w:r w:rsidR="00450651" w:rsidRPr="00450651">
        <w:t>Tel</w:t>
      </w:r>
      <w:r w:rsidR="00FB3489">
        <w:t>a</w:t>
      </w:r>
      <w:r w:rsidR="00450651" w:rsidRPr="00450651">
        <w:t>ir</w:t>
      </w:r>
      <w:proofErr w:type="spellEnd"/>
      <w:r w:rsidR="00450651" w:rsidRPr="00450651">
        <w:t xml:space="preserve">, </w:t>
      </w:r>
      <w:r>
        <w:t xml:space="preserve">that </w:t>
      </w:r>
      <w:r w:rsidR="00450651" w:rsidRPr="00450651">
        <w:t>offers business services from a range of suppliers</w:t>
      </w:r>
      <w:r>
        <w:t xml:space="preserve"> </w:t>
      </w:r>
      <w:r w:rsidR="00FC516F">
        <w:t>(</w:t>
      </w:r>
      <w:r w:rsidR="00FC516F">
        <w:fldChar w:fldCharType="begin"/>
      </w:r>
      <w:r w:rsidR="00FC516F">
        <w:instrText xml:space="preserve"> REF _Ref74676479 \h </w:instrText>
      </w:r>
      <w:r w:rsidR="00FC516F">
        <w:fldChar w:fldCharType="separate"/>
      </w:r>
      <w:r w:rsidR="00DD5715" w:rsidRPr="007C5D2E">
        <w:rPr>
          <w:rStyle w:val="Bold"/>
        </w:rPr>
        <w:t xml:space="preserve">Figure </w:t>
      </w:r>
      <w:r w:rsidR="00DD5715">
        <w:rPr>
          <w:rStyle w:val="Bold"/>
          <w:noProof/>
        </w:rPr>
        <w:t>25</w:t>
      </w:r>
      <w:r w:rsidR="00FC516F">
        <w:fldChar w:fldCharType="end"/>
      </w:r>
      <w:proofErr w:type="gramEnd"/>
      <w:r w:rsidR="00FC516F">
        <w:t>)</w:t>
      </w:r>
      <w:r w:rsidR="008E3D0D">
        <w:t xml:space="preserve"> as well as its own entity, ACG</w:t>
      </w:r>
      <w:r w:rsidR="00450651" w:rsidRPr="00450651">
        <w:t xml:space="preserve">. </w:t>
      </w:r>
    </w:p>
    <w:p w14:paraId="2DD280B8" w14:textId="51EED315" w:rsidR="004763D8" w:rsidRDefault="004763D8" w:rsidP="009645AD">
      <w:pPr>
        <w:pStyle w:val="Caption"/>
      </w:pPr>
      <w:bookmarkStart w:id="146" w:name="_Ref74676479"/>
      <w:bookmarkStart w:id="147" w:name="_Ref74676474"/>
      <w:bookmarkStart w:id="148" w:name="_Toc74684939"/>
      <w:bookmarkStart w:id="149" w:name="_Toc79585086"/>
      <w:r w:rsidRPr="007C5D2E">
        <w:rPr>
          <w:rStyle w:val="Bold"/>
        </w:rPr>
        <w:lastRenderedPageBreak/>
        <w:t xml:space="preserve">Figure </w:t>
      </w:r>
      <w:r w:rsidRPr="007C5D2E">
        <w:rPr>
          <w:rStyle w:val="Bold"/>
        </w:rPr>
        <w:fldChar w:fldCharType="begin"/>
      </w:r>
      <w:r w:rsidRPr="007C5D2E">
        <w:rPr>
          <w:rStyle w:val="Bold"/>
        </w:rPr>
        <w:instrText xml:space="preserve"> SEQ Figure \* ARABIC </w:instrText>
      </w:r>
      <w:r w:rsidRPr="007C5D2E">
        <w:rPr>
          <w:rStyle w:val="Bold"/>
        </w:rPr>
        <w:fldChar w:fldCharType="separate"/>
      </w:r>
      <w:r w:rsidR="00DD5715">
        <w:rPr>
          <w:rStyle w:val="Bold"/>
          <w:noProof/>
        </w:rPr>
        <w:t>25</w:t>
      </w:r>
      <w:r w:rsidRPr="007C5D2E">
        <w:rPr>
          <w:rStyle w:val="Bold"/>
        </w:rPr>
        <w:fldChar w:fldCharType="end"/>
      </w:r>
      <w:bookmarkEnd w:id="146"/>
      <w:r w:rsidRPr="00BE496A">
        <w:t xml:space="preserve">: </w:t>
      </w:r>
      <w:proofErr w:type="spellStart"/>
      <w:r w:rsidR="00E27775">
        <w:t>Telair</w:t>
      </w:r>
      <w:proofErr w:type="spellEnd"/>
      <w:r w:rsidR="00E27775">
        <w:t xml:space="preserve"> retail services and wholesale suppliers</w:t>
      </w:r>
      <w:bookmarkEnd w:id="147"/>
      <w:bookmarkEnd w:id="148"/>
      <w:bookmarkEnd w:id="149"/>
    </w:p>
    <w:p w14:paraId="7FA0E869" w14:textId="77777777" w:rsidR="004763D8" w:rsidRDefault="00323B42" w:rsidP="009645AD">
      <w:pPr>
        <w:pStyle w:val="Image-Page1fullwidth"/>
        <w:keepNext/>
        <w:framePr w:w="0" w:hSpace="0" w:wrap="auto" w:vAnchor="margin" w:yAlign="inline"/>
        <w:spacing w:after="0" w:line="240" w:lineRule="auto"/>
      </w:pPr>
      <w:r w:rsidRPr="00323B42">
        <w:rPr>
          <w:lang w:eastAsia="en-AU"/>
        </w:rPr>
        <w:drawing>
          <wp:inline distT="0" distB="0" distL="0" distR="0" wp14:anchorId="129E2E60" wp14:editId="0C970873">
            <wp:extent cx="5297587" cy="1704441"/>
            <wp:effectExtent l="0" t="0" r="0" b="0"/>
            <wp:docPr id="50" name="Picture 50" descr="This figure highlights that Telair resells from four different wholesale suppli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This figure highlights that Telair resells from four different wholesale suppliers."/>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301237" cy="1705615"/>
                    </a:xfrm>
                    <a:prstGeom prst="rect">
                      <a:avLst/>
                    </a:prstGeom>
                    <a:noFill/>
                    <a:ln>
                      <a:noFill/>
                    </a:ln>
                  </pic:spPr>
                </pic:pic>
              </a:graphicData>
            </a:graphic>
          </wp:inline>
        </w:drawing>
      </w:r>
    </w:p>
    <w:p w14:paraId="5B00EE9E" w14:textId="77777777" w:rsidR="004763D8" w:rsidRPr="003335D6" w:rsidRDefault="004763D8" w:rsidP="003335D6">
      <w:pPr>
        <w:pStyle w:val="Source"/>
      </w:pPr>
      <w:r w:rsidRPr="003335D6">
        <w:t xml:space="preserve">Source: </w:t>
      </w:r>
      <w:r w:rsidR="00323B42" w:rsidRPr="003335D6">
        <w:t xml:space="preserve">Telair.com.au </w:t>
      </w:r>
    </w:p>
    <w:p w14:paraId="4DCF0195" w14:textId="25E26800" w:rsidR="00371ED0" w:rsidRPr="00B116C4" w:rsidRDefault="00371ED0" w:rsidP="00371ED0">
      <w:pPr>
        <w:pStyle w:val="BodyText"/>
      </w:pPr>
      <w:r w:rsidRPr="00B116C4">
        <w:t xml:space="preserve">We can use information on </w:t>
      </w:r>
      <w:proofErr w:type="spellStart"/>
      <w:r w:rsidRPr="00B116C4">
        <w:t>Telair’s</w:t>
      </w:r>
      <w:proofErr w:type="spellEnd"/>
      <w:r w:rsidRPr="00B116C4">
        <w:t xml:space="preserve"> past and current offers</w:t>
      </w:r>
      <w:r w:rsidR="00F96D87" w:rsidRPr="00B116C4">
        <w:t xml:space="preserve">, in combination with NBN </w:t>
      </w:r>
      <w:proofErr w:type="spellStart"/>
      <w:r w:rsidR="00F96D87" w:rsidRPr="00B116C4">
        <w:t>Co’s</w:t>
      </w:r>
      <w:proofErr w:type="spellEnd"/>
      <w:r w:rsidR="00F96D87" w:rsidRPr="00B116C4">
        <w:t xml:space="preserve"> wholesale prices,</w:t>
      </w:r>
      <w:r w:rsidRPr="00B116C4">
        <w:t xml:space="preserve"> to identify some key </w:t>
      </w:r>
      <w:r w:rsidR="00F96D87" w:rsidRPr="00B116C4">
        <w:t xml:space="preserve">pricing </w:t>
      </w:r>
      <w:r w:rsidRPr="00B116C4">
        <w:t>trends</w:t>
      </w:r>
      <w:r w:rsidR="00E759D9" w:rsidRPr="00B116C4">
        <w:t xml:space="preserve"> - see </w:t>
      </w:r>
      <w:r w:rsidR="00E759D9" w:rsidRPr="00B116C4">
        <w:fldChar w:fldCharType="begin"/>
      </w:r>
      <w:r w:rsidR="00E759D9" w:rsidRPr="00B116C4">
        <w:instrText xml:space="preserve"> REF _Ref74677100 \h </w:instrText>
      </w:r>
      <w:r w:rsidR="008638B3" w:rsidRPr="00593E68">
        <w:instrText xml:space="preserve"> \* MERGEFORMAT </w:instrText>
      </w:r>
      <w:r w:rsidR="00E759D9" w:rsidRPr="00B116C4">
        <w:fldChar w:fldCharType="separate"/>
      </w:r>
      <w:r w:rsidR="00DD5715" w:rsidRPr="00B116C4">
        <w:rPr>
          <w:rStyle w:val="Bold"/>
        </w:rPr>
        <w:t xml:space="preserve">Figure </w:t>
      </w:r>
      <w:r w:rsidR="00DD5715">
        <w:rPr>
          <w:rStyle w:val="Bold"/>
          <w:noProof/>
        </w:rPr>
        <w:t>26</w:t>
      </w:r>
      <w:r w:rsidR="00E759D9" w:rsidRPr="00B116C4">
        <w:fldChar w:fldCharType="end"/>
      </w:r>
      <w:r w:rsidRPr="00B116C4">
        <w:t>.</w:t>
      </w:r>
    </w:p>
    <w:p w14:paraId="197C9755" w14:textId="3F13B97C" w:rsidR="007974BE" w:rsidRPr="00B116C4" w:rsidRDefault="007974BE" w:rsidP="009645AD">
      <w:pPr>
        <w:pStyle w:val="Caption"/>
      </w:pPr>
      <w:bookmarkStart w:id="150" w:name="_Ref74677100"/>
      <w:bookmarkStart w:id="151" w:name="_Toc74684940"/>
      <w:bookmarkStart w:id="152" w:name="_Toc79585087"/>
      <w:r w:rsidRPr="00B116C4">
        <w:rPr>
          <w:rStyle w:val="Bold"/>
        </w:rPr>
        <w:t xml:space="preserve">Figure </w:t>
      </w:r>
      <w:r w:rsidRPr="00B116C4">
        <w:rPr>
          <w:rStyle w:val="Bold"/>
        </w:rPr>
        <w:fldChar w:fldCharType="begin"/>
      </w:r>
      <w:r w:rsidRPr="00B116C4">
        <w:rPr>
          <w:rStyle w:val="Bold"/>
        </w:rPr>
        <w:instrText xml:space="preserve"> SEQ Figure \* ARABIC </w:instrText>
      </w:r>
      <w:r w:rsidRPr="00B116C4">
        <w:rPr>
          <w:rStyle w:val="Bold"/>
        </w:rPr>
        <w:fldChar w:fldCharType="separate"/>
      </w:r>
      <w:r w:rsidR="00DD5715">
        <w:rPr>
          <w:rStyle w:val="Bold"/>
          <w:noProof/>
        </w:rPr>
        <w:t>26</w:t>
      </w:r>
      <w:r w:rsidRPr="00B116C4">
        <w:rPr>
          <w:rStyle w:val="Bold"/>
        </w:rPr>
        <w:fldChar w:fldCharType="end"/>
      </w:r>
      <w:bookmarkEnd w:id="150"/>
      <w:r w:rsidRPr="00B116C4">
        <w:t>: Price competition appears to be intensifying</w:t>
      </w:r>
      <w:bookmarkEnd w:id="151"/>
      <w:bookmarkEnd w:id="152"/>
    </w:p>
    <w:p w14:paraId="5BC6686D" w14:textId="77777777" w:rsidR="007974BE" w:rsidRPr="003E6229" w:rsidRDefault="007E7098" w:rsidP="009645AD">
      <w:pPr>
        <w:pStyle w:val="Image-Page1fullwidth"/>
        <w:keepNext/>
        <w:framePr w:w="0" w:hSpace="0" w:wrap="auto" w:vAnchor="margin" w:yAlign="inline"/>
        <w:spacing w:after="0" w:line="240" w:lineRule="auto"/>
      </w:pPr>
      <w:r w:rsidRPr="003E6229">
        <w:rPr>
          <w:lang w:eastAsia="en-AU"/>
        </w:rPr>
        <w:drawing>
          <wp:inline distT="0" distB="0" distL="0" distR="0" wp14:anchorId="3517BF6F" wp14:editId="47CA4B65">
            <wp:extent cx="5759450" cy="4946015"/>
            <wp:effectExtent l="0" t="0" r="0" b="6985"/>
            <wp:docPr id="19" name="Picture 19" descr="This figure contains two charts.&#10;&#10;The first chart highlights price changes for 100mbps services sold in CBD areas. NBN wholesale prices have fallen, and so have Telair retail prices for both NBN wholesale and Telstra wholesale products.&#10;&#10;The same pattern is evident for 1Gbps services, even though there are no wholesale price discou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This figure contains two charts.&#10;&#10;The first chart highlights price changes for 100mbps services sold in CBD areas. NBN wholesale prices have fallen, and so have Telair retail prices for both NBN wholesale and Telstra wholesale products.&#10;&#10;The same pattern is evident for 1Gbps services, even though there are no wholesale price discounts."/>
                    <pic:cNvPicPr/>
                  </pic:nvPicPr>
                  <pic:blipFill>
                    <a:blip r:embed="rId59"/>
                    <a:stretch>
                      <a:fillRect/>
                    </a:stretch>
                  </pic:blipFill>
                  <pic:spPr>
                    <a:xfrm>
                      <a:off x="0" y="0"/>
                      <a:ext cx="5759450" cy="4946015"/>
                    </a:xfrm>
                    <a:prstGeom prst="rect">
                      <a:avLst/>
                    </a:prstGeom>
                  </pic:spPr>
                </pic:pic>
              </a:graphicData>
            </a:graphic>
          </wp:inline>
        </w:drawing>
      </w:r>
    </w:p>
    <w:p w14:paraId="65A1018D" w14:textId="77777777" w:rsidR="007974BE" w:rsidRPr="003335D6" w:rsidRDefault="007974BE" w:rsidP="003335D6">
      <w:pPr>
        <w:pStyle w:val="Source"/>
      </w:pPr>
      <w:r w:rsidRPr="003335D6">
        <w:t xml:space="preserve">Source: </w:t>
      </w:r>
      <w:r w:rsidR="00E759D9" w:rsidRPr="003335D6">
        <w:t xml:space="preserve">Frontier Economics analysis of </w:t>
      </w:r>
      <w:proofErr w:type="spellStart"/>
      <w:r w:rsidR="00E759D9" w:rsidRPr="003335D6">
        <w:t>Telair</w:t>
      </w:r>
      <w:proofErr w:type="spellEnd"/>
      <w:r w:rsidR="00E759D9" w:rsidRPr="003335D6">
        <w:t xml:space="preserve"> offers</w:t>
      </w:r>
    </w:p>
    <w:p w14:paraId="6CC563E6" w14:textId="77777777" w:rsidR="00BD6272" w:rsidRPr="00B116C4" w:rsidRDefault="00BD6272" w:rsidP="00EA5B73">
      <w:pPr>
        <w:pStyle w:val="BodyText"/>
      </w:pPr>
      <w:r w:rsidRPr="00B116C4">
        <w:lastRenderedPageBreak/>
        <w:t>We observe that:</w:t>
      </w:r>
    </w:p>
    <w:p w14:paraId="6B965B0C" w14:textId="77777777" w:rsidR="00EA5B73" w:rsidRPr="00B116C4" w:rsidRDefault="002E06C1" w:rsidP="00BD6272">
      <w:pPr>
        <w:pStyle w:val="ListBullet1"/>
      </w:pPr>
      <w:proofErr w:type="spellStart"/>
      <w:r w:rsidRPr="00B116C4">
        <w:t>Telair</w:t>
      </w:r>
      <w:proofErr w:type="spellEnd"/>
      <w:r w:rsidRPr="00B116C4">
        <w:t xml:space="preserve"> has </w:t>
      </w:r>
      <w:r w:rsidR="00FC4CA4" w:rsidRPr="00B116C4">
        <w:t xml:space="preserve">materially reduced </w:t>
      </w:r>
      <w:r w:rsidRPr="00B116C4">
        <w:t xml:space="preserve">its </w:t>
      </w:r>
      <w:r w:rsidR="00FC4CA4" w:rsidRPr="00B116C4">
        <w:t xml:space="preserve">retail </w:t>
      </w:r>
      <w:r w:rsidRPr="00B116C4">
        <w:t xml:space="preserve">prices </w:t>
      </w:r>
      <w:r w:rsidR="00DE7FD3" w:rsidRPr="00B116C4">
        <w:t>that use</w:t>
      </w:r>
      <w:r w:rsidR="00FC4CA4" w:rsidRPr="00B116C4">
        <w:t xml:space="preserve"> NBN </w:t>
      </w:r>
      <w:proofErr w:type="spellStart"/>
      <w:r w:rsidR="00FC4CA4" w:rsidRPr="00B116C4">
        <w:t>Co’s</w:t>
      </w:r>
      <w:proofErr w:type="spellEnd"/>
      <w:r w:rsidR="00FC4CA4" w:rsidRPr="00B116C4">
        <w:t xml:space="preserve"> wholesale products</w:t>
      </w:r>
      <w:r w:rsidRPr="00B116C4">
        <w:t xml:space="preserve">, with significant </w:t>
      </w:r>
      <w:r w:rsidR="003D547E">
        <w:t>discounts</w:t>
      </w:r>
      <w:r w:rsidRPr="00B116C4">
        <w:t xml:space="preserve"> in 100mbps and 1Gbps prices, even though CBD discounts are the smallest (</w:t>
      </w:r>
      <w:r w:rsidR="00FF1ECC" w:rsidRPr="00B116C4">
        <w:t xml:space="preserve">when </w:t>
      </w:r>
      <w:r w:rsidRPr="00B116C4">
        <w:t>compared with Zones 1</w:t>
      </w:r>
      <w:proofErr w:type="gramStart"/>
      <w:r w:rsidRPr="00B116C4">
        <w:t>,2,3</w:t>
      </w:r>
      <w:proofErr w:type="gramEnd"/>
      <w:r w:rsidRPr="00B116C4">
        <w:t>)</w:t>
      </w:r>
      <w:r w:rsidR="00DE7FD3" w:rsidRPr="00B116C4">
        <w:t xml:space="preserve">. This suggests that </w:t>
      </w:r>
      <w:r w:rsidR="001A2C88" w:rsidRPr="00B116C4">
        <w:t>pass through of the lower NBN Co wholesale prices may have occurred.</w:t>
      </w:r>
    </w:p>
    <w:p w14:paraId="022FDC2A" w14:textId="77777777" w:rsidR="002E06C1" w:rsidRPr="00B116C4" w:rsidRDefault="002E06C1" w:rsidP="00BD6272">
      <w:pPr>
        <w:pStyle w:val="ListBullet1"/>
      </w:pPr>
      <w:r w:rsidRPr="00B116C4">
        <w:t xml:space="preserve">Telstra appears to have responded to </w:t>
      </w:r>
      <w:r w:rsidR="001A2C88" w:rsidRPr="00B116C4">
        <w:t xml:space="preserve">NBN </w:t>
      </w:r>
      <w:proofErr w:type="spellStart"/>
      <w:r w:rsidR="001A2C88" w:rsidRPr="00B116C4">
        <w:t>Co’s</w:t>
      </w:r>
      <w:proofErr w:type="spellEnd"/>
      <w:r w:rsidRPr="00B116C4">
        <w:t xml:space="preserve"> competiti</w:t>
      </w:r>
      <w:r w:rsidR="001A2C88" w:rsidRPr="00B116C4">
        <w:t>ve offers</w:t>
      </w:r>
      <w:r w:rsidRPr="00B116C4">
        <w:t xml:space="preserve"> by lowering its wholesale prices significantly – </w:t>
      </w:r>
      <w:proofErr w:type="spellStart"/>
      <w:r w:rsidRPr="00B116C4">
        <w:t>Telair</w:t>
      </w:r>
      <w:proofErr w:type="spellEnd"/>
      <w:r w:rsidRPr="00B116C4">
        <w:t xml:space="preserve"> has reduced retail prices by </w:t>
      </w:r>
      <w:r w:rsidR="00575933" w:rsidRPr="00B116C4">
        <w:t>more than 50%, to a point lower than the price offered for an equivalent NBN Co service.</w:t>
      </w:r>
    </w:p>
    <w:p w14:paraId="011DF407" w14:textId="77777777" w:rsidR="002E06C1" w:rsidRPr="00B116C4" w:rsidRDefault="002E06C1" w:rsidP="00BD6272">
      <w:pPr>
        <w:pStyle w:val="ListBullet1"/>
      </w:pPr>
      <w:r w:rsidRPr="00B116C4">
        <w:t xml:space="preserve">Some component of this reduction is not directly driven by falls in wholesale prices – </w:t>
      </w:r>
      <w:r w:rsidR="00367840" w:rsidRPr="00B116C4">
        <w:t xml:space="preserve">as we can observe that </w:t>
      </w:r>
      <w:r w:rsidRPr="00B116C4">
        <w:t xml:space="preserve">1Gbps prices have also fallen even though </w:t>
      </w:r>
      <w:r w:rsidR="00367840" w:rsidRPr="00B116C4">
        <w:t xml:space="preserve">there are </w:t>
      </w:r>
      <w:r w:rsidRPr="00B116C4">
        <w:t xml:space="preserve">no </w:t>
      </w:r>
      <w:r w:rsidR="00367840" w:rsidRPr="00B116C4">
        <w:t xml:space="preserve">applicable </w:t>
      </w:r>
      <w:r w:rsidRPr="00B116C4">
        <w:t xml:space="preserve">wholesale </w:t>
      </w:r>
      <w:r w:rsidR="003D547E">
        <w:t>discounts</w:t>
      </w:r>
      <w:r w:rsidR="00367840" w:rsidRPr="00B116C4">
        <w:t xml:space="preserve"> on NBN </w:t>
      </w:r>
      <w:proofErr w:type="spellStart"/>
      <w:r w:rsidR="00367840" w:rsidRPr="00B116C4">
        <w:t>Co’s</w:t>
      </w:r>
      <w:proofErr w:type="spellEnd"/>
      <w:r w:rsidR="00367840" w:rsidRPr="00B116C4">
        <w:t xml:space="preserve"> network for this service.</w:t>
      </w:r>
    </w:p>
    <w:p w14:paraId="75276FEF" w14:textId="77777777" w:rsidR="002E06C1" w:rsidRPr="00B116C4" w:rsidRDefault="00367840" w:rsidP="00924CA9">
      <w:pPr>
        <w:pStyle w:val="BodyText"/>
      </w:pPr>
      <w:r w:rsidRPr="00B116C4">
        <w:t>Not shown</w:t>
      </w:r>
      <w:r w:rsidR="00924CA9" w:rsidRPr="00B116C4">
        <w:t xml:space="preserve"> is that we found no evidence of c</w:t>
      </w:r>
      <w:r w:rsidR="002E06C1" w:rsidRPr="00B116C4">
        <w:t>hanges in pricing of TPG</w:t>
      </w:r>
      <w:r w:rsidR="00924CA9" w:rsidRPr="00B116C4">
        <w:t>-</w:t>
      </w:r>
      <w:r w:rsidR="002E06C1" w:rsidRPr="00B116C4">
        <w:t xml:space="preserve"> or </w:t>
      </w:r>
      <w:proofErr w:type="spellStart"/>
      <w:r w:rsidR="002E06C1" w:rsidRPr="00B116C4">
        <w:t>Vocus</w:t>
      </w:r>
      <w:proofErr w:type="spellEnd"/>
      <w:r w:rsidR="00924CA9" w:rsidRPr="00B116C4">
        <w:t>- wholesale services</w:t>
      </w:r>
      <w:r w:rsidR="002E06C1" w:rsidRPr="00B116C4">
        <w:t xml:space="preserve"> over </w:t>
      </w:r>
      <w:r w:rsidR="00924CA9" w:rsidRPr="00B116C4">
        <w:t>the January 2020 - May 2021 period. However,</w:t>
      </w:r>
      <w:r w:rsidR="002E06C1" w:rsidRPr="00B116C4">
        <w:t xml:space="preserve"> these networks are focused in CBD and </w:t>
      </w:r>
      <w:r w:rsidR="00A35C2B" w:rsidRPr="00B116C4">
        <w:t>M</w:t>
      </w:r>
      <w:r w:rsidR="002E06C1" w:rsidRPr="00B116C4">
        <w:t xml:space="preserve">etro areas where </w:t>
      </w:r>
      <w:r w:rsidR="00A35C2B" w:rsidRPr="00B116C4">
        <w:t xml:space="preserve">NBN </w:t>
      </w:r>
      <w:proofErr w:type="spellStart"/>
      <w:r w:rsidR="00A35C2B" w:rsidRPr="00B116C4">
        <w:t>Co’s</w:t>
      </w:r>
      <w:proofErr w:type="spellEnd"/>
      <w:r w:rsidR="002E06C1" w:rsidRPr="00B116C4">
        <w:t xml:space="preserve"> price </w:t>
      </w:r>
      <w:r w:rsidR="003D547E">
        <w:t>discounts</w:t>
      </w:r>
      <w:r w:rsidR="002E06C1" w:rsidRPr="00B116C4">
        <w:t xml:space="preserve"> </w:t>
      </w:r>
      <w:r w:rsidR="00A35C2B" w:rsidRPr="00B116C4">
        <w:t>were</w:t>
      </w:r>
      <w:r w:rsidR="002E06C1" w:rsidRPr="00B116C4">
        <w:t xml:space="preserve"> less significant.</w:t>
      </w:r>
    </w:p>
    <w:p w14:paraId="04FE07ED" w14:textId="77777777" w:rsidR="002E06C1" w:rsidRPr="00EA5B73" w:rsidRDefault="002E06C1" w:rsidP="00EA5B73">
      <w:pPr>
        <w:pStyle w:val="BodyText"/>
      </w:pPr>
      <w:r w:rsidRPr="00B116C4">
        <w:t xml:space="preserve">Unfortunately, we have little insight into retail price changes in areas where </w:t>
      </w:r>
      <w:r w:rsidR="00493FEC" w:rsidRPr="00B116C4">
        <w:t xml:space="preserve">NBN </w:t>
      </w:r>
      <w:proofErr w:type="spellStart"/>
      <w:r w:rsidR="00A35C2B" w:rsidRPr="00B116C4">
        <w:t>Co’s</w:t>
      </w:r>
      <w:proofErr w:type="spellEnd"/>
      <w:r w:rsidR="00A35C2B" w:rsidRPr="00B116C4">
        <w:t xml:space="preserve"> </w:t>
      </w:r>
      <w:r w:rsidRPr="00B116C4">
        <w:t xml:space="preserve">price </w:t>
      </w:r>
      <w:r w:rsidR="003D547E">
        <w:t>discounts</w:t>
      </w:r>
      <w:r w:rsidRPr="00B116C4">
        <w:t xml:space="preserve"> have been most significant – no zone 1-3 pricing is available</w:t>
      </w:r>
      <w:r w:rsidR="00A35C2B" w:rsidRPr="00B116C4">
        <w:t>.</w:t>
      </w:r>
    </w:p>
    <w:p w14:paraId="2082C952" w14:textId="77777777" w:rsidR="006F3934" w:rsidRDefault="006F3934" w:rsidP="004B29BD">
      <w:pPr>
        <w:pStyle w:val="Heading4"/>
      </w:pPr>
      <w:r>
        <w:t>Benefits - innovation in service delivery</w:t>
      </w:r>
    </w:p>
    <w:p w14:paraId="5472076F" w14:textId="77777777" w:rsidR="00BC1863" w:rsidRDefault="00BC1863" w:rsidP="004B29BD">
      <w:pPr>
        <w:pStyle w:val="Heading5"/>
      </w:pPr>
      <w:r>
        <w:t xml:space="preserve">Multi-site </w:t>
      </w:r>
      <w:r w:rsidRPr="004B29BD">
        <w:t>competition</w:t>
      </w:r>
    </w:p>
    <w:p w14:paraId="35941374" w14:textId="77777777" w:rsidR="00931464" w:rsidRPr="00931464" w:rsidRDefault="00931464" w:rsidP="00931464">
      <w:pPr>
        <w:pStyle w:val="BodyText"/>
      </w:pPr>
      <w:r w:rsidRPr="00931464">
        <w:t xml:space="preserve">A major effect of </w:t>
      </w:r>
      <w:r w:rsidR="00421204">
        <w:t xml:space="preserve">NBN </w:t>
      </w:r>
      <w:proofErr w:type="spellStart"/>
      <w:r w:rsidR="00421204">
        <w:t>Co’s</w:t>
      </w:r>
      <w:proofErr w:type="spellEnd"/>
      <w:r w:rsidRPr="00931464">
        <w:t xml:space="preserve"> Enterprise Ethernet </w:t>
      </w:r>
      <w:r w:rsidR="00421204">
        <w:t xml:space="preserve">offerings has </w:t>
      </w:r>
      <w:r w:rsidRPr="00931464">
        <w:t xml:space="preserve">been to increase the contestability of large enterprise customers with multi-site operations. This has included </w:t>
      </w:r>
      <w:r w:rsidR="00421204">
        <w:t xml:space="preserve">entities such as </w:t>
      </w:r>
      <w:r w:rsidRPr="00931464">
        <w:t>Australia Post, w</w:t>
      </w:r>
      <w:r w:rsidR="00421204">
        <w:t>hich has</w:t>
      </w:r>
      <w:r w:rsidRPr="00931464">
        <w:t xml:space="preserve"> many thousands of sites requiring networking</w:t>
      </w:r>
      <w:r w:rsidR="00C45C86">
        <w:t xml:space="preserve">, and </w:t>
      </w:r>
      <w:r w:rsidR="00183239">
        <w:t xml:space="preserve">state government </w:t>
      </w:r>
      <w:r w:rsidR="00397CA1">
        <w:t>health networks</w:t>
      </w:r>
      <w:r w:rsidRPr="00931464">
        <w:t>.</w:t>
      </w:r>
    </w:p>
    <w:p w14:paraId="0CBB12B9" w14:textId="77777777" w:rsidR="00931464" w:rsidRPr="00931464" w:rsidRDefault="00931464" w:rsidP="00931464">
      <w:pPr>
        <w:pStyle w:val="BodyText"/>
      </w:pPr>
      <w:r w:rsidRPr="00931464">
        <w:t xml:space="preserve">Using </w:t>
      </w:r>
      <w:r w:rsidR="00253CF8">
        <w:t xml:space="preserve">NBN </w:t>
      </w:r>
      <w:proofErr w:type="spellStart"/>
      <w:r w:rsidR="00253CF8">
        <w:t>Co’s</w:t>
      </w:r>
      <w:proofErr w:type="spellEnd"/>
      <w:r w:rsidRPr="00931464">
        <w:t xml:space="preserve"> services means that there is no need to build networks out to all sites, or to operate networks with dedicated capacity (e.g. MPLS). Instead, multi-technology solutions such as SD-WAN can be employed.</w:t>
      </w:r>
      <w:r w:rsidR="00253CF8">
        <w:t xml:space="preserve"> SD-WAN</w:t>
      </w:r>
      <w:r w:rsidR="0060417D">
        <w:t xml:space="preserve"> can be used </w:t>
      </w:r>
      <w:r w:rsidR="005B7B29">
        <w:t>on both NBN Co and other platforms</w:t>
      </w:r>
      <w:r w:rsidR="00096D1A">
        <w:t xml:space="preserve"> including mobile networks</w:t>
      </w:r>
      <w:r w:rsidR="00AC37B9">
        <w:t>.</w:t>
      </w:r>
      <w:r w:rsidR="004641BE">
        <w:t xml:space="preserve"> </w:t>
      </w:r>
      <w:r w:rsidRPr="00931464">
        <w:t xml:space="preserve">In the past, only those with existing physical network infrastructure in most or all locations would have been able to compete for </w:t>
      </w:r>
      <w:r w:rsidR="004641BE">
        <w:t>large</w:t>
      </w:r>
      <w:r w:rsidRPr="00931464">
        <w:t xml:space="preserve"> contract</w:t>
      </w:r>
      <w:r w:rsidR="004641BE">
        <w:t>s for multi-site operations</w:t>
      </w:r>
      <w:r w:rsidRPr="00931464">
        <w:t>. (</w:t>
      </w:r>
      <w:r w:rsidR="00253CF8">
        <w:t xml:space="preserve">In the Australia Post contract, </w:t>
      </w:r>
      <w:r w:rsidRPr="00931464">
        <w:t>Telstra was the incumbent).</w:t>
      </w:r>
    </w:p>
    <w:p w14:paraId="7FCA04EA" w14:textId="77777777" w:rsidR="00931464" w:rsidRDefault="00253CF8" w:rsidP="00931464">
      <w:pPr>
        <w:pStyle w:val="BodyText"/>
      </w:pPr>
      <w:r>
        <w:t>We note that t</w:t>
      </w:r>
      <w:r w:rsidR="00931464" w:rsidRPr="00931464">
        <w:t xml:space="preserve">his contract was won </w:t>
      </w:r>
      <w:r w:rsidR="00931464" w:rsidRPr="00931464">
        <w:rPr>
          <w:i/>
          <w:iCs/>
        </w:rPr>
        <w:t>prior</w:t>
      </w:r>
      <w:r w:rsidR="00931464" w:rsidRPr="00931464">
        <w:t xml:space="preserve"> to </w:t>
      </w:r>
      <w:r>
        <w:t xml:space="preserve">NBN </w:t>
      </w:r>
      <w:proofErr w:type="spellStart"/>
      <w:r>
        <w:t>Co’s</w:t>
      </w:r>
      <w:proofErr w:type="spellEnd"/>
      <w:r w:rsidR="00931464" w:rsidRPr="00931464">
        <w:t xml:space="preserve"> business fibre initiatives</w:t>
      </w:r>
      <w:r w:rsidR="00931464" w:rsidRPr="00931464">
        <w:rPr>
          <w:b/>
          <w:bCs/>
        </w:rPr>
        <w:t xml:space="preserve">. </w:t>
      </w:r>
      <w:r w:rsidR="00931464" w:rsidRPr="00931464">
        <w:t xml:space="preserve">But </w:t>
      </w:r>
      <w:r w:rsidR="00931464" w:rsidRPr="00253CF8">
        <w:t xml:space="preserve">the further </w:t>
      </w:r>
      <w:r w:rsidR="003D547E">
        <w:t>discounts</w:t>
      </w:r>
      <w:r w:rsidR="00931464" w:rsidRPr="00253CF8">
        <w:t xml:space="preserve"> in </w:t>
      </w:r>
      <w:r w:rsidR="004B03CD">
        <w:t>Enterprise Ethernet</w:t>
      </w:r>
      <w:r w:rsidR="00931464" w:rsidRPr="00253CF8">
        <w:t xml:space="preserve"> prices in </w:t>
      </w:r>
      <w:r w:rsidR="00FD7E22">
        <w:t>Business Fibre Zone</w:t>
      </w:r>
      <w:r w:rsidR="00931464" w:rsidRPr="00253CF8">
        <w:t>s will reduce cost to companies like Au</w:t>
      </w:r>
      <w:r w:rsidR="00931464" w:rsidRPr="00931464">
        <w:t>stralia Post, and increase the viability of multi-site competition.</w:t>
      </w:r>
      <w:r w:rsidR="007D2C78">
        <w:t xml:space="preserve"> </w:t>
      </w:r>
      <w:proofErr w:type="spellStart"/>
      <w:r w:rsidR="007D2C78">
        <w:t>Comscentre</w:t>
      </w:r>
      <w:proofErr w:type="spellEnd"/>
      <w:r w:rsidR="0093060A">
        <w:t>, the winning contractor for Australia Post,</w:t>
      </w:r>
      <w:r w:rsidR="007D2C78">
        <w:t xml:space="preserve"> identified</w:t>
      </w:r>
      <w:r w:rsidR="00CC472C">
        <w:t xml:space="preserve"> that:</w:t>
      </w:r>
    </w:p>
    <w:p w14:paraId="042B90AE" w14:textId="77777777" w:rsidR="000243B0" w:rsidRPr="00931464" w:rsidRDefault="001E32EC" w:rsidP="00DD2B23">
      <w:pPr>
        <w:pStyle w:val="Quote"/>
      </w:pPr>
      <w:r>
        <w:t xml:space="preserve">By leveraging the Australian government’s $40 billion investment in the NBN and </w:t>
      </w:r>
      <w:proofErr w:type="spellStart"/>
      <w:r>
        <w:t>complimentary</w:t>
      </w:r>
      <w:proofErr w:type="spellEnd"/>
      <w:r w:rsidR="007D2C78">
        <w:t xml:space="preserve"> </w:t>
      </w:r>
      <w:r>
        <w:t xml:space="preserve">technologies such as SD-WAN, </w:t>
      </w:r>
      <w:proofErr w:type="spellStart"/>
      <w:r>
        <w:t>Comscentre</w:t>
      </w:r>
      <w:proofErr w:type="spellEnd"/>
      <w:r>
        <w:t xml:space="preserve"> (and other similar type service providers) are now able to</w:t>
      </w:r>
      <w:r w:rsidR="007D2C78">
        <w:t xml:space="preserve"> </w:t>
      </w:r>
      <w:r>
        <w:t>compete in a market that was previous dominated by a select few.</w:t>
      </w:r>
      <w:r w:rsidR="001953DB">
        <w:rPr>
          <w:rStyle w:val="FootnoteReference"/>
        </w:rPr>
        <w:footnoteReference w:id="51"/>
      </w:r>
    </w:p>
    <w:p w14:paraId="165A0681" w14:textId="65E9D4F7" w:rsidR="000A2CC9" w:rsidRDefault="000A2CC9" w:rsidP="009645AD">
      <w:pPr>
        <w:pStyle w:val="Caption"/>
      </w:pPr>
      <w:bookmarkStart w:id="153" w:name="_Toc74684941"/>
      <w:bookmarkStart w:id="154" w:name="_Toc79585088"/>
      <w:r w:rsidRPr="007C5D2E">
        <w:rPr>
          <w:rStyle w:val="Bold"/>
        </w:rPr>
        <w:lastRenderedPageBreak/>
        <w:t xml:space="preserve">Figure </w:t>
      </w:r>
      <w:r w:rsidRPr="007C5D2E">
        <w:rPr>
          <w:rStyle w:val="Bold"/>
        </w:rPr>
        <w:fldChar w:fldCharType="begin"/>
      </w:r>
      <w:r w:rsidRPr="007C5D2E">
        <w:rPr>
          <w:rStyle w:val="Bold"/>
        </w:rPr>
        <w:instrText xml:space="preserve"> SEQ Figure \* ARABIC </w:instrText>
      </w:r>
      <w:r w:rsidRPr="007C5D2E">
        <w:rPr>
          <w:rStyle w:val="Bold"/>
        </w:rPr>
        <w:fldChar w:fldCharType="separate"/>
      </w:r>
      <w:r w:rsidR="00DD5715">
        <w:rPr>
          <w:rStyle w:val="Bold"/>
          <w:noProof/>
        </w:rPr>
        <w:t>27</w:t>
      </w:r>
      <w:r w:rsidRPr="007C5D2E">
        <w:rPr>
          <w:rStyle w:val="Bold"/>
        </w:rPr>
        <w:fldChar w:fldCharType="end"/>
      </w:r>
      <w:r w:rsidRPr="00BE496A">
        <w:t xml:space="preserve">: </w:t>
      </w:r>
      <w:r w:rsidR="0060417D">
        <w:t xml:space="preserve">Service innovation using NBN </w:t>
      </w:r>
      <w:proofErr w:type="spellStart"/>
      <w:r w:rsidR="0060417D">
        <w:t>Co’s</w:t>
      </w:r>
      <w:proofErr w:type="spellEnd"/>
      <w:r w:rsidR="0060417D">
        <w:t xml:space="preserve"> wholesale business products</w:t>
      </w:r>
      <w:bookmarkEnd w:id="153"/>
      <w:bookmarkEnd w:id="154"/>
    </w:p>
    <w:p w14:paraId="16B84B8C" w14:textId="7A20A3C4" w:rsidR="000A2CC9" w:rsidRDefault="004B29BD" w:rsidP="009645AD">
      <w:pPr>
        <w:pStyle w:val="Image-Page1fullwidth"/>
        <w:keepNext/>
        <w:framePr w:w="0" w:hSpace="0" w:wrap="auto" w:vAnchor="margin" w:yAlign="inline"/>
        <w:spacing w:after="0" w:line="240" w:lineRule="auto"/>
      </w:pPr>
      <w:r>
        <w:rPr>
          <w:lang w:eastAsia="en-AU"/>
        </w:rPr>
        <w:drawing>
          <wp:inline distT="0" distB="0" distL="0" distR="0" wp14:anchorId="2D0251CA" wp14:editId="540F8A05">
            <wp:extent cx="5438978" cy="2699308"/>
            <wp:effectExtent l="0" t="0" r="0" b="6350"/>
            <wp:docPr id="57" name="Picture 57" descr="Comscentre, an NBN retailer, uses a number of different NBN services and other wholesale services from fixed and mobile suppliers to supply Australia Post across 400+ corporate sites and 3600 retail si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Comscentre, an NBN retailer, uses a number of different NBN services and other wholesale services from fixed and mobile suppliers to supply Australia Post across 400+ corporate sites and 3600 retail sites."/>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455599" cy="2707557"/>
                    </a:xfrm>
                    <a:prstGeom prst="rect">
                      <a:avLst/>
                    </a:prstGeom>
                    <a:noFill/>
                  </pic:spPr>
                </pic:pic>
              </a:graphicData>
            </a:graphic>
          </wp:inline>
        </w:drawing>
      </w:r>
    </w:p>
    <w:p w14:paraId="3736F4AE" w14:textId="4B96149F" w:rsidR="00931464" w:rsidRPr="00DD2B23" w:rsidRDefault="000A2CC9" w:rsidP="00DD2B23">
      <w:pPr>
        <w:pStyle w:val="Source"/>
      </w:pPr>
      <w:r w:rsidRPr="00DD2B23">
        <w:t xml:space="preserve">Source: </w:t>
      </w:r>
      <w:hyperlink r:id="rId61" w:history="1">
        <w:r w:rsidR="00883E48" w:rsidRPr="00DD2B23">
          <w:rPr>
            <w:rStyle w:val="Hyperlink"/>
            <w:color w:val="37424A" w:themeColor="text1"/>
            <w:u w:val="none"/>
          </w:rPr>
          <w:t>www.comscentre.com.au</w:t>
        </w:r>
      </w:hyperlink>
      <w:r w:rsidR="00883E48" w:rsidRPr="00DD2B23">
        <w:t xml:space="preserve">  and </w:t>
      </w:r>
      <w:proofErr w:type="spellStart"/>
      <w:r w:rsidR="00883E48" w:rsidRPr="00DD2B23">
        <w:t>Comscentre’s</w:t>
      </w:r>
      <w:proofErr w:type="spellEnd"/>
      <w:r w:rsidR="00883E48" w:rsidRPr="00DD2B23">
        <w:t xml:space="preserve"> submission to the Inquiry into the business case for the NBN and the experiences of small businesses</w:t>
      </w:r>
    </w:p>
    <w:p w14:paraId="5255813D" w14:textId="77777777" w:rsidR="00E6483A" w:rsidRDefault="00E6483A" w:rsidP="004B29BD">
      <w:pPr>
        <w:pStyle w:val="Heading5"/>
      </w:pPr>
      <w:proofErr w:type="spellStart"/>
      <w:r>
        <w:t>Vocus</w:t>
      </w:r>
      <w:proofErr w:type="spellEnd"/>
      <w:r w:rsidR="00BC1863">
        <w:t>’</w:t>
      </w:r>
      <w:r>
        <w:t xml:space="preserve"> experience</w:t>
      </w:r>
    </w:p>
    <w:p w14:paraId="354BECAF" w14:textId="77777777" w:rsidR="0093060A" w:rsidRDefault="0093060A" w:rsidP="00E6483A">
      <w:pPr>
        <w:pStyle w:val="BodyText"/>
      </w:pPr>
      <w:r>
        <w:t>Large service provider</w:t>
      </w:r>
      <w:r w:rsidR="00E6483A">
        <w:t xml:space="preserve"> and fibre network operator</w:t>
      </w:r>
      <w:r>
        <w:t xml:space="preserve"> </w:t>
      </w:r>
      <w:proofErr w:type="spellStart"/>
      <w:r>
        <w:t>Vocus</w:t>
      </w:r>
      <w:proofErr w:type="spellEnd"/>
      <w:r>
        <w:t xml:space="preserve"> has also provided information on the </w:t>
      </w:r>
      <w:r w:rsidR="00E6483A">
        <w:t xml:space="preserve">benefits available from </w:t>
      </w:r>
      <w:r>
        <w:t>us</w:t>
      </w:r>
      <w:r w:rsidR="00E6483A">
        <w:t>ing</w:t>
      </w:r>
      <w:r>
        <w:t xml:space="preserve"> NBN </w:t>
      </w:r>
      <w:proofErr w:type="spellStart"/>
      <w:r>
        <w:t>Co’s</w:t>
      </w:r>
      <w:proofErr w:type="spellEnd"/>
      <w:r>
        <w:t xml:space="preserve"> services</w:t>
      </w:r>
      <w:r w:rsidR="00867114">
        <w:t xml:space="preserve">. It states that it has combined </w:t>
      </w:r>
      <w:r w:rsidR="004C00FC">
        <w:t xml:space="preserve">its own services with those of NBN Co </w:t>
      </w:r>
      <w:r>
        <w:t>to win a number of large complex deals which needed fibre connectivity and network solutions to multiple sites across state, national and international boundaries.</w:t>
      </w:r>
    </w:p>
    <w:p w14:paraId="3CC3C227" w14:textId="2D4A3DB3" w:rsidR="00830058" w:rsidRDefault="0093060A" w:rsidP="00DD2B23">
      <w:pPr>
        <w:keepNext/>
      </w:pPr>
      <w:r>
        <w:t>This included deals with the Bureau of Meteorology (see</w:t>
      </w:r>
      <w:r w:rsidR="00E12E75">
        <w:t xml:space="preserve"> </w:t>
      </w:r>
      <w:r w:rsidR="00E12E75">
        <w:fldChar w:fldCharType="begin"/>
      </w:r>
      <w:r w:rsidR="00E12E75">
        <w:instrText xml:space="preserve"> REF _Ref79504890 \r \h </w:instrText>
      </w:r>
      <w:r w:rsidR="00E12E75">
        <w:fldChar w:fldCharType="separate"/>
      </w:r>
      <w:r w:rsidR="00DD5715">
        <w:t>Box 10</w:t>
      </w:r>
      <w:r w:rsidR="00E12E75">
        <w:fldChar w:fldCharType="end"/>
      </w:r>
      <w:r>
        <w:t xml:space="preserve">), Northern Minerals, South Australia Health and NSW Health, for which </w:t>
      </w:r>
      <w:proofErr w:type="spellStart"/>
      <w:r>
        <w:t>Vocus</w:t>
      </w:r>
      <w:proofErr w:type="spellEnd"/>
      <w:r>
        <w:t xml:space="preserve"> was using both its own network and NBN enterprise services (including Enterprise Ethernet and Business Satellite Services). </w:t>
      </w:r>
      <w:r w:rsidR="00830058">
        <w:t xml:space="preserve">A </w:t>
      </w:r>
      <w:proofErr w:type="spellStart"/>
      <w:r w:rsidR="00830058">
        <w:t>Vocus</w:t>
      </w:r>
      <w:proofErr w:type="spellEnd"/>
      <w:r w:rsidR="00830058">
        <w:t xml:space="preserve"> spokesperson stated that access to NBN </w:t>
      </w:r>
      <w:proofErr w:type="spellStart"/>
      <w:r w:rsidR="00830058">
        <w:t>Co’s</w:t>
      </w:r>
      <w:proofErr w:type="spellEnd"/>
      <w:r w:rsidR="00830058">
        <w:t xml:space="preserve"> enterprise services:</w:t>
      </w:r>
    </w:p>
    <w:p w14:paraId="3CFC1E12" w14:textId="77777777" w:rsidR="0093060A" w:rsidRDefault="0093060A" w:rsidP="00DD2B23">
      <w:pPr>
        <w:pStyle w:val="Quote"/>
      </w:pPr>
      <w:r>
        <w:t>…</w:t>
      </w:r>
      <w:r w:rsidRPr="00C53E9C">
        <w:t>allows us to provide the most cost-effective mix of our own fibre and third-party fibre such as NBN to deliver complex network solutions for major contracts.</w:t>
      </w:r>
      <w:r w:rsidR="00981B21">
        <w:rPr>
          <w:rStyle w:val="FootnoteReference"/>
        </w:rPr>
        <w:footnoteReference w:id="52"/>
      </w:r>
    </w:p>
    <w:p w14:paraId="2F1A7274" w14:textId="77777777" w:rsidR="0093060A" w:rsidRDefault="0093060A" w:rsidP="0093060A">
      <w:r>
        <w:t xml:space="preserve">With reference to its NSW Health deal, </w:t>
      </w:r>
      <w:proofErr w:type="spellStart"/>
      <w:r>
        <w:t>Vocus</w:t>
      </w:r>
      <w:proofErr w:type="spellEnd"/>
      <w:r>
        <w:t xml:space="preserve"> provides point-to-point Ethernet services for hospitals and health agencies across 80 sites, all on NBN Enterprise Ethernet, in regional New South Wales. The upgrade to a Health Wide Area Network will facilitate improvements to the quality of care NSW Health provides to people in the Wagga Wagga, Queanbeyan, Dubbo, Coffs Harbour and Lismore regions.</w:t>
      </w:r>
      <w:r w:rsidR="000C1B19">
        <w:rPr>
          <w:rStyle w:val="FootnoteReference"/>
        </w:rPr>
        <w:footnoteReference w:id="53"/>
      </w:r>
    </w:p>
    <w:p w14:paraId="24A5A4C8" w14:textId="77777777" w:rsidR="0093060A" w:rsidRDefault="0093060A" w:rsidP="0093060A">
      <w:proofErr w:type="spellStart"/>
      <w:r>
        <w:t>Vocus</w:t>
      </w:r>
      <w:proofErr w:type="spellEnd"/>
      <w:r>
        <w:t xml:space="preserve"> has also identified the role of Business Satellite Services in winning more corporate customers. </w:t>
      </w:r>
      <w:proofErr w:type="spellStart"/>
      <w:r>
        <w:t>Vocus</w:t>
      </w:r>
      <w:proofErr w:type="spellEnd"/>
      <w:r>
        <w:t xml:space="preserve"> has stated that its capabilities in satellite access technology were a key factor in it recently winning a deal for 25 sites with a major utilities business, and that the introduction of layer three connections to private corporate networks for customers across the country has been </w:t>
      </w:r>
      <w:r>
        <w:lastRenderedPageBreak/>
        <w:t xml:space="preserve">an important addition to </w:t>
      </w:r>
      <w:proofErr w:type="spellStart"/>
      <w:r>
        <w:t>Vocus</w:t>
      </w:r>
      <w:proofErr w:type="spellEnd"/>
      <w:r>
        <w:t>’ satellite solutions, as it enables greater security and resiliency, as well as unmetered data for customers.</w:t>
      </w:r>
      <w:r w:rsidR="007B700C">
        <w:rPr>
          <w:rStyle w:val="FootnoteReference"/>
        </w:rPr>
        <w:footnoteReference w:id="54"/>
      </w:r>
    </w:p>
    <w:p w14:paraId="01AF61EE" w14:textId="77777777" w:rsidR="0093060A" w:rsidRDefault="0093060A" w:rsidP="0093060A">
      <w:proofErr w:type="spellStart"/>
      <w:r>
        <w:t>Vocus</w:t>
      </w:r>
      <w:proofErr w:type="spellEnd"/>
      <w:r>
        <w:t xml:space="preserve"> identified its Bureau of Meteorology contract as a good example of its ability to partner with NBN Co to better compete. While the Bureau was an existing </w:t>
      </w:r>
      <w:proofErr w:type="spellStart"/>
      <w:r>
        <w:t>Vocus</w:t>
      </w:r>
      <w:proofErr w:type="spellEnd"/>
      <w:r>
        <w:t xml:space="preserve"> customer, </w:t>
      </w:r>
      <w:proofErr w:type="spellStart"/>
      <w:r>
        <w:t>Vocus</w:t>
      </w:r>
      <w:proofErr w:type="spellEnd"/>
      <w:r>
        <w:t xml:space="preserve"> identified that:</w:t>
      </w:r>
    </w:p>
    <w:p w14:paraId="404C8FB3" w14:textId="77777777" w:rsidR="0093060A" w:rsidRDefault="0093060A" w:rsidP="003B49F1">
      <w:pPr>
        <w:pStyle w:val="ListBullet1"/>
      </w:pPr>
      <w:r>
        <w:t>the contract size increased from $7m (3 year contract) to $16m (4 year contract), with</w:t>
      </w:r>
    </w:p>
    <w:p w14:paraId="54318E42" w14:textId="77777777" w:rsidR="0093060A" w:rsidRDefault="0093060A" w:rsidP="003B49F1">
      <w:pPr>
        <w:pStyle w:val="ListBullet1"/>
      </w:pPr>
      <w:r>
        <w:t xml:space="preserve">around 115 sites will be serviced with </w:t>
      </w:r>
      <w:proofErr w:type="spellStart"/>
      <w:r>
        <w:t>Vocus</w:t>
      </w:r>
      <w:proofErr w:type="spellEnd"/>
      <w:r>
        <w:t xml:space="preserve"> fibre, with “renewed and increased scope” to  around 200 sites</w:t>
      </w:r>
    </w:p>
    <w:p w14:paraId="0C2B6EB8" w14:textId="77777777" w:rsidR="0093060A" w:rsidRDefault="0093060A" w:rsidP="003B49F1">
      <w:pPr>
        <w:pStyle w:val="ListBullet1"/>
      </w:pPr>
      <w:proofErr w:type="gramStart"/>
      <w:r>
        <w:t>it</w:t>
      </w:r>
      <w:proofErr w:type="gramEnd"/>
      <w:r>
        <w:t xml:space="preserve"> partnered with NBN for 65 new sites (using fibre and satellite) and Telstra for remaining sites</w:t>
      </w:r>
      <w:r w:rsidR="007A638A">
        <w:t>.</w:t>
      </w:r>
      <w:r w:rsidR="000C1B19">
        <w:rPr>
          <w:rStyle w:val="FootnoteReference"/>
        </w:rPr>
        <w:footnoteReference w:id="55"/>
      </w:r>
    </w:p>
    <w:p w14:paraId="79433C2B" w14:textId="77777777" w:rsidR="00402486" w:rsidRPr="00402486" w:rsidRDefault="00402486" w:rsidP="00DD2B23">
      <w:pPr>
        <w:pStyle w:val="Heading4"/>
      </w:pPr>
      <w:r w:rsidRPr="00402486">
        <w:t>Benefits in downstream retail and end-customer markets:</w:t>
      </w:r>
    </w:p>
    <w:p w14:paraId="236827B9" w14:textId="77777777" w:rsidR="00E34220" w:rsidRDefault="0098077D" w:rsidP="0098077D">
      <w:pPr>
        <w:pStyle w:val="BodyText"/>
      </w:pPr>
      <w:r w:rsidRPr="0098077D">
        <w:t xml:space="preserve">Benefits accruing to firms </w:t>
      </w:r>
      <w:r w:rsidR="00377B0F">
        <w:t xml:space="preserve">in markets downstream of RSPs </w:t>
      </w:r>
      <w:r w:rsidRPr="0098077D">
        <w:t xml:space="preserve">will depend on </w:t>
      </w:r>
      <w:r w:rsidRPr="006E24EC">
        <w:t>use cases</w:t>
      </w:r>
      <w:r w:rsidRPr="0098077D">
        <w:t xml:space="preserve"> and the </w:t>
      </w:r>
      <w:r w:rsidRPr="006E24EC">
        <w:t>degree of competition prior to NBN’s entry</w:t>
      </w:r>
      <w:r w:rsidR="00E34220">
        <w:t>:</w:t>
      </w:r>
      <w:r w:rsidR="00377B0F">
        <w:t xml:space="preserve"> </w:t>
      </w:r>
    </w:p>
    <w:p w14:paraId="6DC89F79" w14:textId="77777777" w:rsidR="0098077D" w:rsidRPr="006D3303" w:rsidRDefault="006D3303" w:rsidP="00E34220">
      <w:pPr>
        <w:pStyle w:val="ListBullet1"/>
        <w:rPr>
          <w:b/>
          <w:bCs/>
        </w:rPr>
      </w:pPr>
      <w:r w:rsidRPr="006D3303">
        <w:rPr>
          <w:b/>
          <w:bCs/>
        </w:rPr>
        <w:t>Use cases:</w:t>
      </w:r>
      <w:r>
        <w:t xml:space="preserve"> </w:t>
      </w:r>
      <w:r w:rsidR="00377B0F">
        <w:t>The significance of use cases is that higher speeds and quality must ultimately be able to deliver something that is of benefit to business - a way to reduce costs or to increase sales.</w:t>
      </w:r>
      <w:r w:rsidR="00A135FE">
        <w:t xml:space="preserve"> It is apparent that there are many use cases for business for very high symmetric speeds, even if that business is not managing a large workforce. Rather, businesses in fields that </w:t>
      </w:r>
      <w:r w:rsidR="005E5D42">
        <w:t xml:space="preserve">make use of cloud computing, e-commerce, </w:t>
      </w:r>
      <w:r w:rsidR="00175CCD">
        <w:t xml:space="preserve">or extensive content sharing are likely to obtain material benefits from better availability and lower prices for </w:t>
      </w:r>
      <w:r w:rsidR="00E34220">
        <w:t>business grade services.</w:t>
      </w:r>
    </w:p>
    <w:p w14:paraId="449AD8CC" w14:textId="77777777" w:rsidR="00652BDF" w:rsidRDefault="006D3303" w:rsidP="008A3B61">
      <w:pPr>
        <w:pStyle w:val="ListBullet1"/>
        <w:rPr>
          <w:bCs/>
        </w:rPr>
      </w:pPr>
      <w:r w:rsidRPr="006D3303">
        <w:rPr>
          <w:b/>
          <w:bCs/>
        </w:rPr>
        <w:t>Competition:</w:t>
      </w:r>
      <w:r>
        <w:t xml:space="preserve"> </w:t>
      </w:r>
      <w:r w:rsidR="00652BDF">
        <w:t xml:space="preserve">Those downstream firms that were in regions </w:t>
      </w:r>
      <w:r w:rsidR="00D83376">
        <w:t xml:space="preserve">that were previously in </w:t>
      </w:r>
      <w:r w:rsidR="00A7051D">
        <w:t xml:space="preserve">markets with single wholesale and retail providers are also likely to see the greatest benefits, as with pass through of price </w:t>
      </w:r>
      <w:r w:rsidR="003D547E">
        <w:t>discounts</w:t>
      </w:r>
      <w:r w:rsidR="00A7051D">
        <w:t xml:space="preserve"> offered by NBN Co</w:t>
      </w:r>
      <w:r w:rsidR="00D95E6F">
        <w:t>.</w:t>
      </w:r>
      <w:r w:rsidR="008A3B61">
        <w:rPr>
          <w:rStyle w:val="FootnoteReference"/>
        </w:rPr>
        <w:footnoteReference w:id="56"/>
      </w:r>
      <w:r w:rsidR="00D95E6F" w:rsidRPr="00D95E6F">
        <w:rPr>
          <w:bCs/>
        </w:rPr>
        <w:t xml:space="preserve"> </w:t>
      </w:r>
      <w:r w:rsidR="00D95E6F" w:rsidRPr="0098077D">
        <w:rPr>
          <w:bCs/>
        </w:rPr>
        <w:t>Firms requiring high-speed symmetric business services in monopoly local (wholesale) markets will show greatest benefits: lower prices and greater availability of services from retailers</w:t>
      </w:r>
      <w:r w:rsidR="002974DA">
        <w:rPr>
          <w:bCs/>
        </w:rPr>
        <w:t>.</w:t>
      </w:r>
      <w:r w:rsidR="006524A8">
        <w:rPr>
          <w:bCs/>
        </w:rPr>
        <w:t xml:space="preserve"> This also applies to firms that </w:t>
      </w:r>
      <w:r w:rsidR="00D95E6F" w:rsidRPr="0098077D">
        <w:rPr>
          <w:bCs/>
        </w:rPr>
        <w:t>require services as part of multi-site solution across non-competitive</w:t>
      </w:r>
      <w:r w:rsidR="006524A8">
        <w:rPr>
          <w:bCs/>
        </w:rPr>
        <w:t xml:space="preserve"> or less competitive</w:t>
      </w:r>
      <w:r w:rsidR="00D95E6F" w:rsidRPr="0098077D">
        <w:rPr>
          <w:bCs/>
        </w:rPr>
        <w:t xml:space="preserve"> and competitive local markets</w:t>
      </w:r>
      <w:r w:rsidR="008A3B61">
        <w:rPr>
          <w:bCs/>
        </w:rPr>
        <w:t>.</w:t>
      </w:r>
    </w:p>
    <w:p w14:paraId="037BDD0F" w14:textId="53F7E49A" w:rsidR="00852FCB" w:rsidRDefault="00852FCB" w:rsidP="00852FCB">
      <w:pPr>
        <w:pStyle w:val="BodyText"/>
      </w:pPr>
      <w:r>
        <w:t xml:space="preserve">We can </w:t>
      </w:r>
      <w:r w:rsidR="00DF05D4">
        <w:t xml:space="preserve">determine a rough measure of the kinds of downstream industry sectors that are likely to benefit most from competition and existing price </w:t>
      </w:r>
      <w:r w:rsidR="003D547E">
        <w:t>discounts</w:t>
      </w:r>
      <w:r w:rsidR="00DF05D4">
        <w:t xml:space="preserve"> by matching our index for remoteness </w:t>
      </w:r>
      <w:r w:rsidR="002330FE">
        <w:t xml:space="preserve">for the </w:t>
      </w:r>
      <w:r w:rsidR="00FD7E22">
        <w:t>Business Fibre Zone</w:t>
      </w:r>
      <w:r w:rsidR="002330FE">
        <w:t xml:space="preserve"> </w:t>
      </w:r>
      <w:r w:rsidR="00DF05D4">
        <w:t xml:space="preserve">(discussed in section 2) with </w:t>
      </w:r>
      <w:r w:rsidR="002330FE">
        <w:t xml:space="preserve">shares of GVA. We calculated the shares of GVA for industry sectors in </w:t>
      </w:r>
      <w:r w:rsidR="00750F0D">
        <w:t>the 30</w:t>
      </w:r>
      <w:r w:rsidR="002330FE">
        <w:t xml:space="preserve"> </w:t>
      </w:r>
      <w:r w:rsidR="00FD7E22">
        <w:t>Business Fibre Zone</w:t>
      </w:r>
      <w:r w:rsidR="002330FE">
        <w:t>s</w:t>
      </w:r>
      <w:r w:rsidR="00750F0D">
        <w:t xml:space="preserve"> with the highest remoteness score: this identified that the following sectors are likely to derive particular benefits</w:t>
      </w:r>
      <w:r w:rsidR="002803F6">
        <w:t xml:space="preserve"> from lower prices and better </w:t>
      </w:r>
      <w:r w:rsidR="00F1004A">
        <w:t>availability of retail services</w:t>
      </w:r>
      <w:r w:rsidR="00750F0D">
        <w:t>:</w:t>
      </w:r>
    </w:p>
    <w:p w14:paraId="439E94BE" w14:textId="77777777" w:rsidR="00DD2B23" w:rsidRDefault="00DD2B23" w:rsidP="00DD2B23">
      <w:pPr>
        <w:pStyle w:val="ListBullet1"/>
      </w:pPr>
      <w:r w:rsidRPr="002D6C0B">
        <w:t>Construction (11% of GVA)</w:t>
      </w:r>
      <w:r w:rsidRPr="00DD2B23">
        <w:t xml:space="preserve"> </w:t>
      </w:r>
    </w:p>
    <w:p w14:paraId="79C48F19" w14:textId="77777777" w:rsidR="00DD2B23" w:rsidRDefault="00DD2B23" w:rsidP="00DD2B23">
      <w:pPr>
        <w:pStyle w:val="ListBullet1"/>
      </w:pPr>
      <w:r w:rsidRPr="002D6C0B">
        <w:t>Retail trade (10%)</w:t>
      </w:r>
    </w:p>
    <w:p w14:paraId="6809CBBF" w14:textId="12EC9C3E" w:rsidR="00DD2B23" w:rsidRDefault="00DD2B23" w:rsidP="00DD2B23">
      <w:pPr>
        <w:pStyle w:val="ListBullet1"/>
      </w:pPr>
      <w:r w:rsidRPr="002D6C0B">
        <w:t>Health Care (9%)</w:t>
      </w:r>
    </w:p>
    <w:p w14:paraId="1A32BDEF" w14:textId="4BD49FAC" w:rsidR="00DD2B23" w:rsidRDefault="00DD2B23" w:rsidP="00DD2B23">
      <w:pPr>
        <w:pStyle w:val="ListBullet1"/>
      </w:pPr>
      <w:r w:rsidRPr="002D6C0B">
        <w:t>Manufacturing (8%)</w:t>
      </w:r>
    </w:p>
    <w:p w14:paraId="36FE771B" w14:textId="5B2C16AE" w:rsidR="00DD2B23" w:rsidRDefault="00DD2B23" w:rsidP="00DD2B23">
      <w:pPr>
        <w:pStyle w:val="ListBullet1"/>
      </w:pPr>
      <w:r w:rsidRPr="002D6C0B">
        <w:lastRenderedPageBreak/>
        <w:t>Transport, postal and warehousing (8%).</w:t>
      </w:r>
    </w:p>
    <w:p w14:paraId="1A782B34" w14:textId="0F1E36D8" w:rsidR="00DD2B23" w:rsidRDefault="00DD2B23" w:rsidP="00DD2B23">
      <w:pPr>
        <w:pStyle w:val="ListBullet1"/>
      </w:pPr>
      <w:r w:rsidRPr="002D6C0B">
        <w:t>Mining (8%)</w:t>
      </w:r>
    </w:p>
    <w:p w14:paraId="7FF3B38C" w14:textId="785212D3" w:rsidR="00F40B3B" w:rsidRPr="00F40B3B" w:rsidRDefault="002D6C0B" w:rsidP="00FA3533">
      <w:r>
        <w:t>Interestingly, these sectors are somewhat different from those that should experience the highest productivity gains, with both mining and transport sectors appearing. This reflects that these sectors are present in many parts of Australia where they can presently only access higher</w:t>
      </w:r>
      <w:r w:rsidR="00BC1863">
        <w:t>-</w:t>
      </w:r>
      <w:r>
        <w:t>cost services.</w:t>
      </w:r>
    </w:p>
    <w:p w14:paraId="433C0E20" w14:textId="11B7E3E1" w:rsidR="00A91058" w:rsidRDefault="00DD2B23" w:rsidP="00DD2B23">
      <w:pPr>
        <w:pStyle w:val="Heading2"/>
      </w:pPr>
      <w:bookmarkStart w:id="155" w:name="_Toc74574321"/>
      <w:bookmarkStart w:id="156" w:name="_Ref78362592"/>
      <w:bookmarkStart w:id="157" w:name="_Toc79671823"/>
      <w:bookmarkStart w:id="158" w:name="BMTOF"/>
      <w:r>
        <w:lastRenderedPageBreak/>
        <w:t xml:space="preserve">4. </w:t>
      </w:r>
      <w:r w:rsidR="00A91058">
        <w:t>Case studies on business impacts</w:t>
      </w:r>
      <w:bookmarkEnd w:id="155"/>
      <w:bookmarkEnd w:id="156"/>
      <w:bookmarkEnd w:id="157"/>
    </w:p>
    <w:p w14:paraId="71F6BCA9" w14:textId="7CB36941" w:rsidR="00586012" w:rsidRDefault="00586012" w:rsidP="00DD2B23">
      <w:pPr>
        <w:pStyle w:val="Heading3"/>
      </w:pPr>
      <w:bookmarkStart w:id="159" w:name="_Toc79671824"/>
      <w:bookmarkStart w:id="160" w:name="_Toc74051426"/>
      <w:bookmarkEnd w:id="158"/>
      <w:r>
        <w:t>Introduction</w:t>
      </w:r>
      <w:bookmarkEnd w:id="159"/>
      <w:r>
        <w:t xml:space="preserve"> </w:t>
      </w:r>
      <w:bookmarkEnd w:id="160"/>
    </w:p>
    <w:p w14:paraId="21B093D6" w14:textId="77777777" w:rsidR="00586012" w:rsidRDefault="00586012" w:rsidP="00586012">
      <w:pPr>
        <w:pStyle w:val="BodyText"/>
      </w:pPr>
      <w:r>
        <w:t xml:space="preserve">We have observed that it is challenging to quantify all the impacts of improvements to business broadband. </w:t>
      </w:r>
      <w:r w:rsidR="00045247">
        <w:t>B</w:t>
      </w:r>
      <w:r>
        <w:t xml:space="preserve">roadband is a </w:t>
      </w:r>
      <w:r w:rsidR="00C92ED6">
        <w:t>general-purpose</w:t>
      </w:r>
      <w:r>
        <w:t xml:space="preserve"> technology</w:t>
      </w:r>
      <w:r>
        <w:rPr>
          <w:rStyle w:val="FootnoteReference"/>
        </w:rPr>
        <w:footnoteReference w:id="57"/>
      </w:r>
      <w:r>
        <w:t xml:space="preserve"> that provides direct benefits to many different kinds of downstream services, such as:</w:t>
      </w:r>
    </w:p>
    <w:p w14:paraId="0E2436B6" w14:textId="77777777" w:rsidR="00586012" w:rsidRDefault="00586012" w:rsidP="00586012">
      <w:pPr>
        <w:pStyle w:val="ListBullet1"/>
      </w:pPr>
      <w:r>
        <w:t>Education</w:t>
      </w:r>
    </w:p>
    <w:p w14:paraId="1E539FEA" w14:textId="77777777" w:rsidR="00586012" w:rsidRDefault="00586012" w:rsidP="00586012">
      <w:pPr>
        <w:pStyle w:val="ListBullet1"/>
      </w:pPr>
      <w:r>
        <w:t>Transport/logistics</w:t>
      </w:r>
    </w:p>
    <w:p w14:paraId="092A858A" w14:textId="77777777" w:rsidR="00586012" w:rsidRDefault="00586012" w:rsidP="00586012">
      <w:pPr>
        <w:pStyle w:val="ListBullet1"/>
      </w:pPr>
      <w:r>
        <w:t>E-commerce</w:t>
      </w:r>
    </w:p>
    <w:p w14:paraId="3F51B515" w14:textId="77777777" w:rsidR="00586012" w:rsidRDefault="00586012" w:rsidP="00586012">
      <w:pPr>
        <w:pStyle w:val="ListBullet1"/>
      </w:pPr>
      <w:r>
        <w:t>Manufacturing</w:t>
      </w:r>
    </w:p>
    <w:p w14:paraId="3C9CB814" w14:textId="77777777" w:rsidR="00586012" w:rsidRDefault="00586012" w:rsidP="00586012">
      <w:pPr>
        <w:pStyle w:val="ListBullet1"/>
      </w:pPr>
      <w:r>
        <w:t>Health</w:t>
      </w:r>
    </w:p>
    <w:p w14:paraId="634E9BC0" w14:textId="77777777" w:rsidR="00586012" w:rsidRDefault="00586012" w:rsidP="00586012">
      <w:pPr>
        <w:pStyle w:val="BodyText"/>
      </w:pPr>
      <w:r>
        <w:t xml:space="preserve">Broadband also provides benefits to many other kinds of services where it is not a central feature of the service but improves the efficiency by which certain tasks can be undertaken. This might include mining, forestry and agriculture. </w:t>
      </w:r>
    </w:p>
    <w:p w14:paraId="59B9EF56" w14:textId="77777777" w:rsidR="00586012" w:rsidRDefault="00586012" w:rsidP="00586012">
      <w:pPr>
        <w:pStyle w:val="BodyText"/>
      </w:pPr>
      <w:r w:rsidRPr="00524612">
        <w:t xml:space="preserve">The purpose of these case studies is </w:t>
      </w:r>
      <w:r w:rsidR="00AF4802" w:rsidRPr="00322939">
        <w:t>to</w:t>
      </w:r>
      <w:r w:rsidR="00AF4802">
        <w:t xml:space="preserve"> </w:t>
      </w:r>
      <w:r w:rsidRPr="00524612">
        <w:t xml:space="preserve">bridge some of the measurement gap, by providing </w:t>
      </w:r>
      <w:r>
        <w:t xml:space="preserve">real examples of the kinds of benefits that businesses can expect. By highlighting the kinds of businesses that will be more likely to benefit from proposed changes, and identifying whether there are likely to be many of these kinds of businesses, we can provide a further sense for the overall benefits of the network upgrades and investments. </w:t>
      </w:r>
    </w:p>
    <w:p w14:paraId="34A4FE94" w14:textId="7FA91CDD" w:rsidR="00586012" w:rsidRPr="005F0681" w:rsidRDefault="00586012" w:rsidP="00586012">
      <w:pPr>
        <w:pStyle w:val="BodyText"/>
      </w:pPr>
      <w:r>
        <w:t xml:space="preserve">Information to develop case studies was sought from NBN Co. The case studies in </w:t>
      </w:r>
      <w:r w:rsidRPr="000349F4">
        <w:t xml:space="preserve">Section </w:t>
      </w:r>
      <w:r w:rsidR="000349F4" w:rsidRPr="000349F4">
        <w:t>3</w:t>
      </w:r>
      <w:r w:rsidR="000349F4">
        <w:rPr>
          <w:b/>
          <w:bCs/>
        </w:rPr>
        <w:t xml:space="preserve"> </w:t>
      </w:r>
      <w:r>
        <w:t xml:space="preserve">reflect this information while also seeking to identify more </w:t>
      </w:r>
      <w:proofErr w:type="spellStart"/>
      <w:r>
        <w:t>generalisable</w:t>
      </w:r>
      <w:proofErr w:type="spellEnd"/>
      <w:r>
        <w:t xml:space="preserve"> insights where possible.</w:t>
      </w:r>
    </w:p>
    <w:p w14:paraId="66E35420" w14:textId="77777777" w:rsidR="00DD2B23" w:rsidRDefault="00DD2B23">
      <w:pPr>
        <w:spacing w:before="0" w:after="0" w:line="240" w:lineRule="auto"/>
        <w:jc w:val="left"/>
        <w:rPr>
          <w:rFonts w:ascii="Open Sans SemiBold" w:hAnsi="Open Sans SemiBold"/>
          <w:color w:val="207BA1" w:themeColor="accent2"/>
          <w:sz w:val="28"/>
        </w:rPr>
      </w:pPr>
      <w:bookmarkStart w:id="161" w:name="_Toc74051428"/>
      <w:bookmarkStart w:id="162" w:name="_Ref74313849"/>
      <w:bookmarkStart w:id="163" w:name="_Ref74313853"/>
      <w:r>
        <w:br w:type="page"/>
      </w:r>
    </w:p>
    <w:p w14:paraId="38C742AA" w14:textId="3A1F43EA" w:rsidR="00586012" w:rsidRDefault="00586012" w:rsidP="00DD2B23">
      <w:pPr>
        <w:pStyle w:val="Heading3"/>
      </w:pPr>
      <w:bookmarkStart w:id="164" w:name="_Toc79671825"/>
      <w:r>
        <w:lastRenderedPageBreak/>
        <w:t>Case studies</w:t>
      </w:r>
      <w:bookmarkEnd w:id="161"/>
      <w:bookmarkEnd w:id="162"/>
      <w:bookmarkEnd w:id="163"/>
      <w:bookmarkEnd w:id="164"/>
    </w:p>
    <w:p w14:paraId="59C650DF" w14:textId="77777777" w:rsidR="00DD2B23" w:rsidRDefault="00DD2B23" w:rsidP="008A403D">
      <w:pPr>
        <w:pStyle w:val="CalloutBoxcaption"/>
        <w:keepNext/>
        <w:pBdr>
          <w:top w:val="single" w:sz="4" w:space="1" w:color="CFD1D2" w:themeColor="accent6"/>
          <w:left w:val="single" w:sz="4" w:space="4" w:color="CFD1D2" w:themeColor="accent6"/>
          <w:bottom w:val="single" w:sz="4" w:space="1" w:color="CFD1D2" w:themeColor="accent6"/>
          <w:right w:val="single" w:sz="4" w:space="4" w:color="CFD1D2" w:themeColor="accent6"/>
        </w:pBdr>
        <w:shd w:val="clear" w:color="auto" w:fill="F2F2F2" w:themeFill="background2"/>
        <w:tabs>
          <w:tab w:val="num" w:pos="360"/>
        </w:tabs>
        <w:jc w:val="left"/>
      </w:pPr>
      <w:bookmarkStart w:id="165" w:name="_Ref79503713"/>
      <w:bookmarkStart w:id="166" w:name="_Toc79585095"/>
      <w:r w:rsidRPr="00C55545">
        <w:rPr>
          <w:b/>
          <w:bCs/>
        </w:rPr>
        <w:t>:</w:t>
      </w:r>
      <w:r>
        <w:t xml:space="preserve"> Case Study – Cumulus Visual Effects</w:t>
      </w:r>
      <w:bookmarkEnd w:id="165"/>
      <w:bookmarkEnd w:id="166"/>
    </w:p>
    <w:p w14:paraId="09624CE2" w14:textId="77777777" w:rsidR="00DD2B23" w:rsidRDefault="00DD2B23" w:rsidP="008A403D">
      <w:pPr>
        <w:pStyle w:val="BodyText"/>
        <w:pBdr>
          <w:top w:val="single" w:sz="4" w:space="1" w:color="CFD1D2" w:themeColor="accent6"/>
          <w:left w:val="single" w:sz="4" w:space="4" w:color="CFD1D2" w:themeColor="accent6"/>
          <w:bottom w:val="single" w:sz="4" w:space="1" w:color="CFD1D2" w:themeColor="accent6"/>
          <w:right w:val="single" w:sz="4" w:space="4" w:color="CFD1D2" w:themeColor="accent6"/>
        </w:pBdr>
        <w:shd w:val="clear" w:color="auto" w:fill="F2F2F2" w:themeFill="background2"/>
      </w:pPr>
      <w:r>
        <w:t>Cumulus Visual Effects are a professional visual effects company who work across the film and television industries. The firm are based in Byron Bay, New South Wales, employing a core staff of 20 which grows for large projects.</w:t>
      </w:r>
    </w:p>
    <w:p w14:paraId="1B2C3D24" w14:textId="77777777" w:rsidR="00DD2B23" w:rsidRDefault="00DD2B23" w:rsidP="008A403D">
      <w:pPr>
        <w:pStyle w:val="BodyText"/>
        <w:pBdr>
          <w:top w:val="single" w:sz="4" w:space="1" w:color="CFD1D2" w:themeColor="accent6"/>
          <w:left w:val="single" w:sz="4" w:space="4" w:color="CFD1D2" w:themeColor="accent6"/>
          <w:bottom w:val="single" w:sz="4" w:space="1" w:color="CFD1D2" w:themeColor="accent6"/>
          <w:right w:val="single" w:sz="4" w:space="4" w:color="CFD1D2" w:themeColor="accent6"/>
        </w:pBdr>
        <w:shd w:val="clear" w:color="auto" w:fill="F2F2F2" w:themeFill="background2"/>
      </w:pPr>
      <w:r>
        <w:t>Cumulus work virtually with collaborators around the globe. Projects regularly require transfers of files in excess of a terabyte in size. They were doing this on an ADSL connection with upload speed capped at 10Mbps. In order to transfer files to clients, Cumulus were having to schedule their upload to commence three days before the delivery date.</w:t>
      </w:r>
    </w:p>
    <w:p w14:paraId="5F466153" w14:textId="77777777" w:rsidR="00DD2B23" w:rsidRDefault="00DD2B23" w:rsidP="008A403D">
      <w:pPr>
        <w:pStyle w:val="BodyText"/>
        <w:pBdr>
          <w:top w:val="single" w:sz="4" w:space="1" w:color="CFD1D2" w:themeColor="accent6"/>
          <w:left w:val="single" w:sz="4" w:space="4" w:color="CFD1D2" w:themeColor="accent6"/>
          <w:bottom w:val="single" w:sz="4" w:space="1" w:color="CFD1D2" w:themeColor="accent6"/>
          <w:right w:val="single" w:sz="4" w:space="4" w:color="CFD1D2" w:themeColor="accent6"/>
        </w:pBdr>
        <w:shd w:val="clear" w:color="auto" w:fill="F2F2F2" w:themeFill="background2"/>
      </w:pPr>
      <w:r>
        <w:t xml:space="preserve">Cumulus now have a business </w:t>
      </w:r>
      <w:proofErr w:type="spellStart"/>
      <w:r>
        <w:t>nbn</w:t>
      </w:r>
      <w:proofErr w:type="spellEnd"/>
      <w:r>
        <w:t xml:space="preserve"> Enterprise Ethernet Gigabit symmetric product (1000/1000 Mbps upload and download). This means that terabyte files can be sent and received in minutes rather than days. The higher speeds have allowed Cumulus to collaborate in ways that previously weren’t possible for them, for example being able to livestream 4K footage with a client in Los Angeles.</w:t>
      </w:r>
    </w:p>
    <w:p w14:paraId="2556D03D" w14:textId="2F44DC83" w:rsidR="00DD2B23" w:rsidRPr="00FE4336" w:rsidRDefault="00DD2B23" w:rsidP="008A403D">
      <w:pPr>
        <w:pStyle w:val="BodyText"/>
        <w:pBdr>
          <w:top w:val="single" w:sz="4" w:space="1" w:color="CFD1D2" w:themeColor="accent6"/>
          <w:left w:val="single" w:sz="4" w:space="4" w:color="CFD1D2" w:themeColor="accent6"/>
          <w:bottom w:val="single" w:sz="4" w:space="1" w:color="CFD1D2" w:themeColor="accent6"/>
          <w:right w:val="single" w:sz="4" w:space="4" w:color="CFD1D2" w:themeColor="accent6"/>
        </w:pBdr>
        <w:shd w:val="clear" w:color="auto" w:fill="F2F2F2" w:themeFill="background2"/>
        <w:rPr>
          <w:rStyle w:val="SubtleEmphasis"/>
        </w:rPr>
      </w:pPr>
      <w:r w:rsidRPr="00FE4336">
        <w:rPr>
          <w:rStyle w:val="SubtleEmphasis"/>
        </w:rPr>
        <w:t>“It’s really empowered us. We’ve been able to compete with some of the big kids in the big cities. The same opportunities that you would have had out of CBD Sydney. We’ve now engaged clients that we’ve never been able to get before.” Nicky Ladas, Senior IT Manager at Cumulus Visual Effects</w:t>
      </w:r>
    </w:p>
    <w:p w14:paraId="0E7F7739" w14:textId="77777777" w:rsidR="00DD2B23" w:rsidRDefault="00DD2B23" w:rsidP="008A403D">
      <w:pPr>
        <w:pBdr>
          <w:top w:val="single" w:sz="4" w:space="1" w:color="CFD1D2" w:themeColor="accent6"/>
          <w:left w:val="single" w:sz="4" w:space="4" w:color="CFD1D2" w:themeColor="accent6"/>
          <w:bottom w:val="single" w:sz="4" w:space="1" w:color="CFD1D2" w:themeColor="accent6"/>
          <w:right w:val="single" w:sz="4" w:space="4" w:color="CFD1D2" w:themeColor="accent6"/>
        </w:pBdr>
        <w:shd w:val="clear" w:color="auto" w:fill="F2F2F2" w:themeFill="background2"/>
      </w:pPr>
      <w:r w:rsidRPr="00EF1C88">
        <w:t>From a price perspective, the Business Fibre Zone pricing lowers the wholesale pricing of a Gigabit service in Byron Bay by 41%.</w:t>
      </w:r>
      <w:r w:rsidRPr="00EF1C88">
        <w:rPr>
          <w:rStyle w:val="FootnoteReference"/>
        </w:rPr>
        <w:footnoteReference w:id="58"/>
      </w:r>
      <w:r w:rsidRPr="00EF1C88">
        <w:t xml:space="preserve"> This equates to a monthly price saving of $425, or $15,300 over a 36 month period. The extent to which the retailer passed this saving through to Cumulus is not known.</w:t>
      </w:r>
    </w:p>
    <w:p w14:paraId="4B0D8EFD" w14:textId="77777777" w:rsidR="00DD2B23" w:rsidRDefault="00DD2B23" w:rsidP="008A403D">
      <w:pPr>
        <w:pBdr>
          <w:top w:val="single" w:sz="4" w:space="1" w:color="CFD1D2" w:themeColor="accent6"/>
          <w:left w:val="single" w:sz="4" w:space="4" w:color="CFD1D2" w:themeColor="accent6"/>
          <w:bottom w:val="single" w:sz="4" w:space="1" w:color="CFD1D2" w:themeColor="accent6"/>
          <w:right w:val="single" w:sz="4" w:space="4" w:color="CFD1D2" w:themeColor="accent6"/>
        </w:pBdr>
        <w:shd w:val="clear" w:color="auto" w:fill="F2F2F2" w:themeFill="background2"/>
      </w:pPr>
      <w:r>
        <w:t xml:space="preserve">Cumulus Visual Effects is an example of a firm with high connectivity needs who have experienced a step change in their business capability as a result of </w:t>
      </w:r>
      <w:proofErr w:type="spellStart"/>
      <w:r>
        <w:t>nbn</w:t>
      </w:r>
      <w:proofErr w:type="spellEnd"/>
      <w:r>
        <w:t xml:space="preserve"> Enterprise Ethernet. Since the upgrade they have experienced an increase in their competitiveness compared to similar international firms. </w:t>
      </w:r>
    </w:p>
    <w:p w14:paraId="22F95D72" w14:textId="15C54000" w:rsidR="00586012" w:rsidRPr="00FA3533" w:rsidRDefault="00DD2B23" w:rsidP="00FA3533">
      <w:pPr>
        <w:pStyle w:val="BodyText"/>
        <w:pBdr>
          <w:top w:val="single" w:sz="4" w:space="1" w:color="CFD1D2" w:themeColor="accent6"/>
          <w:left w:val="single" w:sz="4" w:space="4" w:color="CFD1D2" w:themeColor="accent6"/>
          <w:bottom w:val="single" w:sz="4" w:space="1" w:color="CFD1D2" w:themeColor="accent6"/>
          <w:right w:val="single" w:sz="4" w:space="4" w:color="CFD1D2" w:themeColor="accent6"/>
        </w:pBdr>
        <w:shd w:val="clear" w:color="auto" w:fill="F2F2F2" w:themeFill="background2"/>
        <w:rPr>
          <w:color w:val="3C3C3C" w:themeColor="background2" w:themeShade="40"/>
        </w:rPr>
      </w:pPr>
      <w:r w:rsidRPr="002F39D8">
        <w:rPr>
          <w:i/>
          <w:color w:val="3C3C3C" w:themeColor="background2" w:themeShade="40"/>
        </w:rPr>
        <w:t xml:space="preserve">Source: NBN case study available at </w:t>
      </w:r>
      <w:hyperlink r:id="rId62" w:history="1">
        <w:r w:rsidRPr="002F39D8">
          <w:rPr>
            <w:rStyle w:val="Hyperlink"/>
            <w:i/>
            <w:color w:val="3C3C3C" w:themeColor="background2" w:themeShade="40"/>
          </w:rPr>
          <w:t>https://www.nbnco.com.au/blog/business/positively-effecting-the-visual-effects-industry</w:t>
        </w:r>
      </w:hyperlink>
    </w:p>
    <w:p w14:paraId="538290B1" w14:textId="5D9D2037" w:rsidR="00586012" w:rsidRDefault="00586012" w:rsidP="00586012">
      <w:pPr>
        <w:spacing w:before="0" w:after="0" w:line="240" w:lineRule="auto"/>
        <w:jc w:val="left"/>
      </w:pPr>
      <w:r>
        <w:br w:type="page"/>
      </w:r>
    </w:p>
    <w:p w14:paraId="25DC6A76" w14:textId="77777777" w:rsidR="008A403D" w:rsidRDefault="008A403D" w:rsidP="008A403D">
      <w:pPr>
        <w:pStyle w:val="CalloutBoxcaption"/>
        <w:keepNext/>
        <w:pBdr>
          <w:top w:val="single" w:sz="4" w:space="1" w:color="CFD1D2" w:themeColor="accent6"/>
          <w:left w:val="single" w:sz="4" w:space="4" w:color="CFD1D2" w:themeColor="accent6"/>
          <w:bottom w:val="single" w:sz="4" w:space="1" w:color="CFD1D2" w:themeColor="accent6"/>
          <w:right w:val="single" w:sz="4" w:space="4" w:color="CFD1D2" w:themeColor="accent6"/>
        </w:pBdr>
        <w:shd w:val="clear" w:color="auto" w:fill="F2F2F2" w:themeFill="background2"/>
        <w:jc w:val="left"/>
      </w:pPr>
      <w:bookmarkStart w:id="167" w:name="_Toc79585096"/>
      <w:r w:rsidRPr="00C55545">
        <w:rPr>
          <w:b/>
          <w:bCs/>
        </w:rPr>
        <w:lastRenderedPageBreak/>
        <w:t>:</w:t>
      </w:r>
      <w:r>
        <w:t xml:space="preserve"> Case study – ADW Johnson</w:t>
      </w:r>
      <w:bookmarkEnd w:id="167"/>
    </w:p>
    <w:p w14:paraId="5E195736" w14:textId="77777777" w:rsidR="008A403D" w:rsidRDefault="008A403D" w:rsidP="008A403D">
      <w:pPr>
        <w:pStyle w:val="BodyText"/>
        <w:pBdr>
          <w:top w:val="single" w:sz="4" w:space="1" w:color="CFD1D2" w:themeColor="accent6"/>
          <w:left w:val="single" w:sz="4" w:space="4" w:color="CFD1D2" w:themeColor="accent6"/>
          <w:bottom w:val="single" w:sz="4" w:space="1" w:color="CFD1D2" w:themeColor="accent6"/>
          <w:right w:val="single" w:sz="4" w:space="4" w:color="CFD1D2" w:themeColor="accent6"/>
        </w:pBdr>
        <w:shd w:val="clear" w:color="auto" w:fill="F2F2F2" w:themeFill="background2"/>
      </w:pPr>
      <w:r>
        <w:t xml:space="preserve">ADW Johnson are a multi-disciplinary engineering firm who cover </w:t>
      </w:r>
      <w:r w:rsidRPr="00761830">
        <w:t>civil engineering</w:t>
      </w:r>
      <w:r>
        <w:t>,</w:t>
      </w:r>
      <w:r w:rsidRPr="00761830">
        <w:t xml:space="preserve"> design, </w:t>
      </w:r>
      <w:proofErr w:type="gramStart"/>
      <w:r w:rsidRPr="00761830">
        <w:t>town</w:t>
      </w:r>
      <w:proofErr w:type="gramEnd"/>
      <w:r w:rsidRPr="00761830">
        <w:t xml:space="preserve"> planning, surveying and project management.</w:t>
      </w:r>
      <w:r>
        <w:t xml:space="preserve"> The business has more than 100 employees who work out of three offices in Sydney, the Central Coast and Newcastle.</w:t>
      </w:r>
    </w:p>
    <w:p w14:paraId="0D33991F" w14:textId="77777777" w:rsidR="008A403D" w:rsidRDefault="008A403D" w:rsidP="008A403D">
      <w:pPr>
        <w:pBdr>
          <w:top w:val="single" w:sz="4" w:space="1" w:color="CFD1D2" w:themeColor="accent6"/>
          <w:left w:val="single" w:sz="4" w:space="4" w:color="CFD1D2" w:themeColor="accent6"/>
          <w:bottom w:val="single" w:sz="4" w:space="1" w:color="CFD1D2" w:themeColor="accent6"/>
          <w:right w:val="single" w:sz="4" w:space="4" w:color="CFD1D2" w:themeColor="accent6"/>
        </w:pBdr>
        <w:shd w:val="clear" w:color="auto" w:fill="F2F2F2" w:themeFill="background2"/>
      </w:pPr>
      <w:r>
        <w:t>ADW Johnson need to be able to collaborate across multiple locations, exchange large files, such as AutoCAD 3D design files, and participate in video conferencing. They need to be able to do this across their three offices and with staff working from home and from construction sites.</w:t>
      </w:r>
    </w:p>
    <w:p w14:paraId="0F860053" w14:textId="77777777" w:rsidR="008A403D" w:rsidRDefault="008A403D" w:rsidP="008A403D">
      <w:pPr>
        <w:pBdr>
          <w:top w:val="single" w:sz="4" w:space="1" w:color="CFD1D2" w:themeColor="accent6"/>
          <w:left w:val="single" w:sz="4" w:space="4" w:color="CFD1D2" w:themeColor="accent6"/>
          <w:bottom w:val="single" w:sz="4" w:space="1" w:color="CFD1D2" w:themeColor="accent6"/>
          <w:right w:val="single" w:sz="4" w:space="4" w:color="CFD1D2" w:themeColor="accent6"/>
        </w:pBdr>
        <w:shd w:val="clear" w:color="auto" w:fill="F2F2F2" w:themeFill="background2"/>
      </w:pPr>
      <w:r>
        <w:t>ADW Johnson now have b</w:t>
      </w:r>
      <w:r w:rsidRPr="00265B16">
        <w:t xml:space="preserve">usiness </w:t>
      </w:r>
      <w:proofErr w:type="spellStart"/>
      <w:r w:rsidRPr="00265B16">
        <w:t>nbn</w:t>
      </w:r>
      <w:proofErr w:type="spellEnd"/>
      <w:r w:rsidRPr="00265B16">
        <w:t xml:space="preserve"> Enterprise Ethernet (100/100 Mbps) </w:t>
      </w:r>
      <w:r>
        <w:t xml:space="preserve">at their </w:t>
      </w:r>
      <w:r w:rsidRPr="00265B16">
        <w:t>Central Coast and Newcastle offices.</w:t>
      </w:r>
      <w:r>
        <w:t xml:space="preserve"> They are now able to have 80 </w:t>
      </w:r>
      <w:r w:rsidRPr="00265B16">
        <w:t>employees concurrent</w:t>
      </w:r>
      <w:r>
        <w:t>ly</w:t>
      </w:r>
      <w:r w:rsidRPr="00265B16">
        <w:t xml:space="preserve"> access t</w:t>
      </w:r>
      <w:r>
        <w:t>heir</w:t>
      </w:r>
      <w:r w:rsidRPr="00265B16">
        <w:t xml:space="preserve"> company server via a Virtual Private Network</w:t>
      </w:r>
      <w:r>
        <w:t>. The upgrade has also allowed employees to work concurrently on engineering design files on the company server.</w:t>
      </w:r>
    </w:p>
    <w:p w14:paraId="0E810AB7" w14:textId="77777777" w:rsidR="008A403D" w:rsidRDefault="008A403D" w:rsidP="008A403D">
      <w:pPr>
        <w:pBdr>
          <w:top w:val="single" w:sz="4" w:space="1" w:color="CFD1D2" w:themeColor="accent6"/>
          <w:left w:val="single" w:sz="4" w:space="4" w:color="CFD1D2" w:themeColor="accent6"/>
          <w:bottom w:val="single" w:sz="4" w:space="1" w:color="CFD1D2" w:themeColor="accent6"/>
          <w:right w:val="single" w:sz="4" w:space="4" w:color="CFD1D2" w:themeColor="accent6"/>
        </w:pBdr>
        <w:shd w:val="clear" w:color="auto" w:fill="F2F2F2" w:themeFill="background2"/>
      </w:pPr>
      <w:r>
        <w:t>ADW Johnson have a b</w:t>
      </w:r>
      <w:r w:rsidRPr="00265B16">
        <w:t xml:space="preserve">usiness </w:t>
      </w:r>
      <w:proofErr w:type="spellStart"/>
      <w:r w:rsidRPr="00265B16">
        <w:t>nbn</w:t>
      </w:r>
      <w:proofErr w:type="spellEnd"/>
      <w:r w:rsidRPr="00265B16">
        <w:t xml:space="preserve"> Enterprise Ethernet</w:t>
      </w:r>
      <w:r>
        <w:t xml:space="preserve"> product with a “high class of service”. This relates to a wholesale Committed Information Rate which is less impacted by other internet traffic on the network. Together with a </w:t>
      </w:r>
      <w:r w:rsidRPr="00265B16">
        <w:t>4G backup</w:t>
      </w:r>
      <w:r>
        <w:t>, ADW Johnson now have a highly reliable and stable solution.</w:t>
      </w:r>
    </w:p>
    <w:p w14:paraId="4BBA5427" w14:textId="470E668D" w:rsidR="008A403D" w:rsidRPr="008A403D" w:rsidRDefault="008A403D" w:rsidP="008A403D">
      <w:pPr>
        <w:pBdr>
          <w:top w:val="single" w:sz="4" w:space="1" w:color="CFD1D2" w:themeColor="accent6"/>
          <w:left w:val="single" w:sz="4" w:space="4" w:color="CFD1D2" w:themeColor="accent6"/>
          <w:bottom w:val="single" w:sz="4" w:space="1" w:color="CFD1D2" w:themeColor="accent6"/>
          <w:right w:val="single" w:sz="4" w:space="4" w:color="CFD1D2" w:themeColor="accent6"/>
        </w:pBdr>
        <w:shd w:val="clear" w:color="auto" w:fill="F2F2F2" w:themeFill="background2"/>
        <w:rPr>
          <w:rStyle w:val="SubtleEmphasis"/>
        </w:rPr>
      </w:pPr>
      <w:r w:rsidRPr="008A403D">
        <w:rPr>
          <w:rStyle w:val="SubtleEmphasis"/>
        </w:rPr>
        <w:t>“We value reliability and stability so highly because we understand that the cost of downtime can be immense. Downtime can mean a loss of productive output from staff, up to 30%, or it can mean the loss of direct revenue to the business if downtime happens at a critical moment in working with a new client.” Scott Robinson, Director at ADW Johnson</w:t>
      </w:r>
    </w:p>
    <w:p w14:paraId="463B3A94" w14:textId="77777777" w:rsidR="008A403D" w:rsidRDefault="008A403D" w:rsidP="008A403D">
      <w:pPr>
        <w:pBdr>
          <w:top w:val="single" w:sz="4" w:space="1" w:color="CFD1D2" w:themeColor="accent6"/>
          <w:left w:val="single" w:sz="4" w:space="4" w:color="CFD1D2" w:themeColor="accent6"/>
          <w:bottom w:val="single" w:sz="4" w:space="1" w:color="CFD1D2" w:themeColor="accent6"/>
          <w:right w:val="single" w:sz="4" w:space="4" w:color="CFD1D2" w:themeColor="accent6"/>
        </w:pBdr>
        <w:shd w:val="clear" w:color="auto" w:fill="F2F2F2" w:themeFill="background2"/>
      </w:pPr>
      <w:r w:rsidRPr="00EF1C88">
        <w:t>From a cost perspective, the introduction of the Business Fibre Zone pricing has resulted in a 17% decrease in monthly wholesale charges. Assuming pass through of the saving, this would save ADW Engineering $6,120 over a 36 month contract compared to taking a 100/100 Mbps service prior to the Business Fibre Zone designation.</w:t>
      </w:r>
    </w:p>
    <w:p w14:paraId="69431482" w14:textId="77777777" w:rsidR="008A403D" w:rsidRDefault="008A403D" w:rsidP="008A403D">
      <w:pPr>
        <w:pBdr>
          <w:top w:val="single" w:sz="4" w:space="1" w:color="CFD1D2" w:themeColor="accent6"/>
          <w:left w:val="single" w:sz="4" w:space="4" w:color="CFD1D2" w:themeColor="accent6"/>
          <w:bottom w:val="single" w:sz="4" w:space="1" w:color="CFD1D2" w:themeColor="accent6"/>
          <w:right w:val="single" w:sz="4" w:space="4" w:color="CFD1D2" w:themeColor="accent6"/>
        </w:pBdr>
        <w:shd w:val="clear" w:color="auto" w:fill="F2F2F2" w:themeFill="background2"/>
      </w:pPr>
      <w:r>
        <w:t>B</w:t>
      </w:r>
      <w:r w:rsidRPr="00265B16">
        <w:t xml:space="preserve">usiness </w:t>
      </w:r>
      <w:proofErr w:type="spellStart"/>
      <w:r w:rsidRPr="00265B16">
        <w:t>nbn</w:t>
      </w:r>
      <w:proofErr w:type="spellEnd"/>
      <w:r w:rsidRPr="00265B16">
        <w:t xml:space="preserve"> Enterprise Ethernet</w:t>
      </w:r>
      <w:r>
        <w:t xml:space="preserve"> has allowed ADW Johnson to bring the connectivity of their </w:t>
      </w:r>
      <w:r w:rsidRPr="00265B16">
        <w:t>Central Coast and Newcastle offices</w:t>
      </w:r>
      <w:r>
        <w:t xml:space="preserve"> to similar level to their Sydney office. More than this, it has allowed better connectivity for their staff to work remotely. Other multi-site firms with inconsistent internet products could also benefit from b</w:t>
      </w:r>
      <w:r w:rsidRPr="007A7F08">
        <w:t xml:space="preserve">usiness </w:t>
      </w:r>
      <w:proofErr w:type="spellStart"/>
      <w:r w:rsidRPr="007A7F08">
        <w:t>nbn</w:t>
      </w:r>
      <w:proofErr w:type="spellEnd"/>
      <w:r w:rsidRPr="007A7F08">
        <w:t xml:space="preserve"> Enterprise Ethernet</w:t>
      </w:r>
      <w:r>
        <w:t>.</w:t>
      </w:r>
    </w:p>
    <w:p w14:paraId="0B93C3B3" w14:textId="4D76A9C6" w:rsidR="008A403D" w:rsidRPr="002F39D8" w:rsidRDefault="008A403D" w:rsidP="008A403D">
      <w:pPr>
        <w:pStyle w:val="BodyText"/>
        <w:pBdr>
          <w:top w:val="single" w:sz="4" w:space="1" w:color="CFD1D2" w:themeColor="accent6"/>
          <w:left w:val="single" w:sz="4" w:space="4" w:color="CFD1D2" w:themeColor="accent6"/>
          <w:bottom w:val="single" w:sz="4" w:space="1" w:color="CFD1D2" w:themeColor="accent6"/>
          <w:right w:val="single" w:sz="4" w:space="4" w:color="CFD1D2" w:themeColor="accent6"/>
        </w:pBdr>
        <w:shd w:val="clear" w:color="auto" w:fill="F2F2F2" w:themeFill="background2"/>
        <w:rPr>
          <w:color w:val="3C3C3C" w:themeColor="background2" w:themeShade="40"/>
          <w:sz w:val="22"/>
          <w:szCs w:val="22"/>
          <w:lang w:val="en-GB"/>
        </w:rPr>
      </w:pPr>
      <w:r w:rsidRPr="002F39D8">
        <w:rPr>
          <w:i/>
          <w:color w:val="3C3C3C" w:themeColor="background2" w:themeShade="40"/>
          <w:sz w:val="18"/>
          <w:szCs w:val="18"/>
        </w:rPr>
        <w:t xml:space="preserve">Source: NBN case study available at </w:t>
      </w:r>
      <w:hyperlink r:id="rId63" w:history="1">
        <w:r w:rsidRPr="002F39D8">
          <w:rPr>
            <w:rStyle w:val="Hyperlink"/>
            <w:i/>
            <w:color w:val="3C3C3C" w:themeColor="background2" w:themeShade="40"/>
            <w:sz w:val="18"/>
            <w:szCs w:val="18"/>
          </w:rPr>
          <w:t>https://www.nbnco.com.au/blog/business/supporting-collaboration-in-a-multi-site-workplace</w:t>
        </w:r>
      </w:hyperlink>
    </w:p>
    <w:p w14:paraId="2187AB02" w14:textId="0293513E" w:rsidR="002F39D8" w:rsidRDefault="002F39D8" w:rsidP="00586012">
      <w:pPr>
        <w:pStyle w:val="ListBullet1"/>
        <w:numPr>
          <w:ilvl w:val="0"/>
          <w:numId w:val="0"/>
        </w:numPr>
        <w:rPr>
          <w:lang w:val="en-US"/>
        </w:rPr>
      </w:pPr>
    </w:p>
    <w:p w14:paraId="68A079C2" w14:textId="77777777" w:rsidR="002F39D8" w:rsidRDefault="002F39D8">
      <w:pPr>
        <w:spacing w:before="0" w:after="0" w:line="240" w:lineRule="auto"/>
        <w:jc w:val="left"/>
        <w:rPr>
          <w:rFonts w:eastAsia="Calibri" w:cs="Arial"/>
          <w:szCs w:val="22"/>
          <w:lang w:val="en-US"/>
        </w:rPr>
      </w:pPr>
      <w:r>
        <w:rPr>
          <w:lang w:val="en-US"/>
        </w:rPr>
        <w:br w:type="page"/>
      </w:r>
    </w:p>
    <w:p w14:paraId="3240AC10" w14:textId="77777777" w:rsidR="002F39D8" w:rsidRDefault="002F39D8" w:rsidP="002F39D8">
      <w:pPr>
        <w:pStyle w:val="CalloutBoxcaption"/>
        <w:keepNext/>
        <w:pBdr>
          <w:top w:val="single" w:sz="4" w:space="1" w:color="CFD1D2" w:themeColor="accent6"/>
          <w:left w:val="single" w:sz="4" w:space="4" w:color="CFD1D2" w:themeColor="accent6"/>
          <w:bottom w:val="single" w:sz="4" w:space="1" w:color="CFD1D2" w:themeColor="accent6"/>
          <w:right w:val="single" w:sz="4" w:space="4" w:color="CFD1D2" w:themeColor="accent6"/>
        </w:pBdr>
        <w:shd w:val="clear" w:color="auto" w:fill="F2F2F2" w:themeFill="background2"/>
        <w:tabs>
          <w:tab w:val="num" w:pos="360"/>
        </w:tabs>
      </w:pPr>
      <w:bookmarkStart w:id="168" w:name="_Toc79585097"/>
      <w:r w:rsidRPr="00C55545">
        <w:rPr>
          <w:b/>
          <w:bCs/>
        </w:rPr>
        <w:lastRenderedPageBreak/>
        <w:t>:</w:t>
      </w:r>
      <w:r>
        <w:t xml:space="preserve"> Case study – Catholic Education Tasmania</w:t>
      </w:r>
      <w:bookmarkEnd w:id="168"/>
    </w:p>
    <w:p w14:paraId="6F6BF732" w14:textId="08D19944" w:rsidR="002F39D8" w:rsidRDefault="002F39D8" w:rsidP="002F39D8">
      <w:pPr>
        <w:pBdr>
          <w:top w:val="single" w:sz="4" w:space="1" w:color="CFD1D2" w:themeColor="accent6"/>
          <w:left w:val="single" w:sz="4" w:space="4" w:color="CFD1D2" w:themeColor="accent6"/>
          <w:bottom w:val="single" w:sz="4" w:space="1" w:color="CFD1D2" w:themeColor="accent6"/>
          <w:right w:val="single" w:sz="4" w:space="4" w:color="CFD1D2" w:themeColor="accent6"/>
        </w:pBdr>
        <w:shd w:val="clear" w:color="auto" w:fill="F2F2F2" w:themeFill="background2"/>
      </w:pPr>
      <w:r>
        <w:rPr>
          <w:i/>
          <w:color w:val="9BA1A5"/>
          <w:sz w:val="16"/>
          <w:szCs w:val="16"/>
        </w:rPr>
        <w:t xml:space="preserve"> </w:t>
      </w:r>
      <w:r>
        <w:t xml:space="preserve">Catholic Education Tasmania are a school network operating 38 schools and colleges across Tasmania. Locations range from the cities of Hobart and Launceston to small towns like Deloraine and Roseberry. </w:t>
      </w:r>
    </w:p>
    <w:p w14:paraId="1BF72357" w14:textId="77777777" w:rsidR="002F39D8" w:rsidRDefault="002F39D8" w:rsidP="002F39D8">
      <w:pPr>
        <w:pBdr>
          <w:top w:val="single" w:sz="4" w:space="1" w:color="CFD1D2" w:themeColor="accent6"/>
          <w:left w:val="single" w:sz="4" w:space="4" w:color="CFD1D2" w:themeColor="accent6"/>
          <w:bottom w:val="single" w:sz="4" w:space="1" w:color="CFD1D2" w:themeColor="accent6"/>
          <w:right w:val="single" w:sz="4" w:space="4" w:color="CFD1D2" w:themeColor="accent6"/>
        </w:pBdr>
        <w:shd w:val="clear" w:color="auto" w:fill="F2F2F2" w:themeFill="background2"/>
      </w:pPr>
      <w:r>
        <w:t xml:space="preserve">The schools in the network had a range of different internet connections with different bandwidths. Most were either on residential </w:t>
      </w:r>
      <w:proofErr w:type="spellStart"/>
      <w:r>
        <w:t>nbn</w:t>
      </w:r>
      <w:proofErr w:type="spellEnd"/>
      <w:r>
        <w:t xml:space="preserve"> or ADSL while there were instances where teachers were having to use their personal mobile hotspot to get online. This led to a digital divide where regional or remote schools in the network were often unable to use the same educational tools and applications as the metropolitan schools.</w:t>
      </w:r>
    </w:p>
    <w:p w14:paraId="3C82DE7D" w14:textId="77777777" w:rsidR="002F39D8" w:rsidRDefault="002F39D8" w:rsidP="002F39D8">
      <w:pPr>
        <w:pBdr>
          <w:top w:val="single" w:sz="4" w:space="1" w:color="CFD1D2" w:themeColor="accent6"/>
          <w:left w:val="single" w:sz="4" w:space="4" w:color="CFD1D2" w:themeColor="accent6"/>
          <w:bottom w:val="single" w:sz="4" w:space="1" w:color="CFD1D2" w:themeColor="accent6"/>
          <w:right w:val="single" w:sz="4" w:space="4" w:color="CFD1D2" w:themeColor="accent6"/>
        </w:pBdr>
        <w:shd w:val="clear" w:color="auto" w:fill="F2F2F2" w:themeFill="background2"/>
      </w:pPr>
      <w:r>
        <w:t>Catholic Education Tasmania now has b</w:t>
      </w:r>
      <w:r w:rsidRPr="000F02CF">
        <w:t xml:space="preserve">usiness </w:t>
      </w:r>
      <w:proofErr w:type="spellStart"/>
      <w:r w:rsidRPr="000F02CF">
        <w:t>nbn</w:t>
      </w:r>
      <w:proofErr w:type="spellEnd"/>
      <w:r w:rsidRPr="000F02CF">
        <w:t xml:space="preserve"> Enterprise Ethernet</w:t>
      </w:r>
      <w:r>
        <w:t xml:space="preserve"> at 26 sites in their network where they control IT management. This has allowed a roll out of digital learning tools including video conferencing replacing face-to-face for some interactions which required hours of travel for the teaching staff. It has also allowed for cloud-based systems for student information and finance, available across the 26 sites.</w:t>
      </w:r>
    </w:p>
    <w:p w14:paraId="4E9241B2" w14:textId="17A1FD66" w:rsidR="002F39D8" w:rsidRPr="002F39D8" w:rsidRDefault="002F39D8" w:rsidP="002F39D8">
      <w:pPr>
        <w:pBdr>
          <w:top w:val="single" w:sz="4" w:space="1" w:color="CFD1D2" w:themeColor="accent6"/>
          <w:left w:val="single" w:sz="4" w:space="4" w:color="CFD1D2" w:themeColor="accent6"/>
          <w:bottom w:val="single" w:sz="4" w:space="1" w:color="CFD1D2" w:themeColor="accent6"/>
          <w:right w:val="single" w:sz="4" w:space="4" w:color="CFD1D2" w:themeColor="accent6"/>
        </w:pBdr>
        <w:shd w:val="clear" w:color="auto" w:fill="F2F2F2" w:themeFill="background2"/>
        <w:rPr>
          <w:rStyle w:val="SubtleEmphasis"/>
        </w:rPr>
      </w:pPr>
      <w:r w:rsidRPr="002F39D8">
        <w:rPr>
          <w:rStyle w:val="SubtleEmphasis"/>
        </w:rPr>
        <w:t xml:space="preserve">“Students at Holy Rosary [Catholic School] have the opportunity to do robotics and to learn from people in America, they have the opportunity to have coaches in Japan – the connection that they can have with people as global citizens is quite phenomenal.” Catherine </w:t>
      </w:r>
      <w:proofErr w:type="spellStart"/>
      <w:r w:rsidRPr="002F39D8">
        <w:rPr>
          <w:rStyle w:val="SubtleEmphasis"/>
        </w:rPr>
        <w:t>Midson</w:t>
      </w:r>
      <w:proofErr w:type="spellEnd"/>
      <w:r w:rsidRPr="002F39D8">
        <w:rPr>
          <w:rStyle w:val="SubtleEmphasis"/>
        </w:rPr>
        <w:t>, Digital Technologies Teacher at Holy Rosary Catholic School</w:t>
      </w:r>
    </w:p>
    <w:p w14:paraId="5BEF18B6" w14:textId="77777777" w:rsidR="002F39D8" w:rsidRDefault="002F39D8" w:rsidP="002F39D8">
      <w:pPr>
        <w:pBdr>
          <w:top w:val="single" w:sz="4" w:space="1" w:color="CFD1D2" w:themeColor="accent6"/>
          <w:left w:val="single" w:sz="4" w:space="4" w:color="CFD1D2" w:themeColor="accent6"/>
          <w:bottom w:val="single" w:sz="4" w:space="1" w:color="CFD1D2" w:themeColor="accent6"/>
          <w:right w:val="single" w:sz="4" w:space="4" w:color="CFD1D2" w:themeColor="accent6"/>
        </w:pBdr>
        <w:shd w:val="clear" w:color="auto" w:fill="F2F2F2" w:themeFill="background2"/>
      </w:pPr>
      <w:r>
        <w:t>This example illustrates the social benefits that can be provided by b</w:t>
      </w:r>
      <w:r w:rsidRPr="000F02CF">
        <w:t xml:space="preserve">usiness </w:t>
      </w:r>
      <w:proofErr w:type="spellStart"/>
      <w:r w:rsidRPr="000F02CF">
        <w:t>nbn</w:t>
      </w:r>
      <w:proofErr w:type="spellEnd"/>
      <w:r w:rsidRPr="000F02CF">
        <w:t xml:space="preserve"> Enterprise Ethernet</w:t>
      </w:r>
      <w:r>
        <w:t xml:space="preserve">. Greater equity of access to digital learning opportunities, while difficult to quantify, are intuitively a desirable outcome. </w:t>
      </w:r>
    </w:p>
    <w:p w14:paraId="338B5046" w14:textId="7E93F028" w:rsidR="00586012" w:rsidRPr="002F39D8" w:rsidRDefault="002F39D8" w:rsidP="002F39D8">
      <w:pPr>
        <w:pStyle w:val="ListBullet1"/>
        <w:numPr>
          <w:ilvl w:val="0"/>
          <w:numId w:val="0"/>
        </w:numPr>
        <w:pBdr>
          <w:top w:val="single" w:sz="4" w:space="1" w:color="CFD1D2" w:themeColor="accent6"/>
          <w:left w:val="single" w:sz="4" w:space="4" w:color="CFD1D2" w:themeColor="accent6"/>
          <w:bottom w:val="single" w:sz="4" w:space="1" w:color="CFD1D2" w:themeColor="accent6"/>
          <w:right w:val="single" w:sz="4" w:space="4" w:color="CFD1D2" w:themeColor="accent6"/>
        </w:pBdr>
        <w:shd w:val="clear" w:color="auto" w:fill="F2F2F2" w:themeFill="background2"/>
        <w:rPr>
          <w:rFonts w:cs="Open Sans"/>
          <w:color w:val="3C3C3C" w:themeColor="background2" w:themeShade="40"/>
          <w:szCs w:val="20"/>
          <w:lang w:val="en-US"/>
        </w:rPr>
      </w:pPr>
      <w:r w:rsidRPr="002F39D8">
        <w:rPr>
          <w:rFonts w:cs="Open Sans"/>
          <w:i/>
          <w:color w:val="3C3C3C" w:themeColor="background2" w:themeShade="40"/>
          <w:szCs w:val="20"/>
        </w:rPr>
        <w:t xml:space="preserve">Source: NBN case study available at </w:t>
      </w:r>
      <w:hyperlink r:id="rId64" w:history="1">
        <w:r w:rsidRPr="002F39D8">
          <w:rPr>
            <w:rStyle w:val="Hyperlink"/>
            <w:rFonts w:cs="Open Sans"/>
            <w:i/>
            <w:color w:val="3C3C3C" w:themeColor="background2" w:themeShade="40"/>
            <w:szCs w:val="20"/>
          </w:rPr>
          <w:t>https://www.nbnco.com.au/blog/business/connecting-students-with-equal-opportunity-learning</w:t>
        </w:r>
      </w:hyperlink>
    </w:p>
    <w:p w14:paraId="46D60EC2" w14:textId="1D00F847" w:rsidR="002F39D8" w:rsidRDefault="002F39D8">
      <w:pPr>
        <w:spacing w:before="0" w:after="0" w:line="240" w:lineRule="auto"/>
        <w:jc w:val="left"/>
        <w:rPr>
          <w:rFonts w:eastAsia="Calibri" w:cs="Arial"/>
          <w:szCs w:val="22"/>
          <w:lang w:val="en-US"/>
        </w:rPr>
      </w:pPr>
      <w:r>
        <w:rPr>
          <w:lang w:val="en-US"/>
        </w:rPr>
        <w:br w:type="page"/>
      </w:r>
    </w:p>
    <w:p w14:paraId="6903C318" w14:textId="77777777" w:rsidR="002F39D8" w:rsidRDefault="002F39D8" w:rsidP="002F39D8">
      <w:pPr>
        <w:pStyle w:val="CalloutBoxcaption"/>
        <w:keepNext/>
        <w:pBdr>
          <w:top w:val="single" w:sz="4" w:space="1" w:color="CFD1D2" w:themeColor="accent6"/>
          <w:left w:val="single" w:sz="4" w:space="4" w:color="CFD1D2" w:themeColor="accent6"/>
          <w:bottom w:val="single" w:sz="4" w:space="1" w:color="CFD1D2" w:themeColor="accent6"/>
          <w:right w:val="single" w:sz="4" w:space="4" w:color="CFD1D2" w:themeColor="accent6"/>
        </w:pBdr>
        <w:shd w:val="clear" w:color="auto" w:fill="F2F2F2" w:themeFill="background2"/>
        <w:tabs>
          <w:tab w:val="num" w:pos="360"/>
        </w:tabs>
        <w:jc w:val="left"/>
      </w:pPr>
      <w:bookmarkStart w:id="169" w:name="_Toc79585098"/>
      <w:r w:rsidRPr="00C55545">
        <w:rPr>
          <w:b/>
          <w:bCs/>
        </w:rPr>
        <w:lastRenderedPageBreak/>
        <w:t>:</w:t>
      </w:r>
      <w:r>
        <w:t xml:space="preserve"> Case study – BIG4 Easts Beach Holiday Park</w:t>
      </w:r>
      <w:bookmarkEnd w:id="169"/>
    </w:p>
    <w:p w14:paraId="681E3426" w14:textId="77777777" w:rsidR="002F39D8" w:rsidRDefault="002F39D8" w:rsidP="00077577">
      <w:pPr>
        <w:pStyle w:val="BodyText"/>
        <w:pBdr>
          <w:top w:val="single" w:sz="4" w:space="1" w:color="CFD1D2" w:themeColor="accent6"/>
          <w:left w:val="single" w:sz="4" w:space="4" w:color="CFD1D2" w:themeColor="accent6"/>
          <w:bottom w:val="single" w:sz="4" w:space="1" w:color="CFD1D2" w:themeColor="accent6"/>
          <w:right w:val="single" w:sz="4" w:space="4" w:color="CFD1D2" w:themeColor="accent6"/>
        </w:pBdr>
        <w:shd w:val="clear" w:color="auto" w:fill="F2F2F2" w:themeFill="background2"/>
        <w:jc w:val="both"/>
      </w:pPr>
      <w:bookmarkStart w:id="170" w:name="_Toc74153155"/>
      <w:r>
        <w:t>The BIG4 Easts Beach Holiday Park in Kiama, NSW has over 550 sites and covers around 14 hectares. The Park employs 100 people in a town of 7,700.</w:t>
      </w:r>
      <w:bookmarkEnd w:id="170"/>
      <w:r>
        <w:t xml:space="preserve"> </w:t>
      </w:r>
    </w:p>
    <w:p w14:paraId="69C38C44" w14:textId="77777777" w:rsidR="002F39D8" w:rsidRDefault="002F39D8" w:rsidP="00077577">
      <w:pPr>
        <w:pStyle w:val="BodyText"/>
        <w:pBdr>
          <w:top w:val="single" w:sz="4" w:space="1" w:color="CFD1D2" w:themeColor="accent6"/>
          <w:left w:val="single" w:sz="4" w:space="4" w:color="CFD1D2" w:themeColor="accent6"/>
          <w:bottom w:val="single" w:sz="4" w:space="1" w:color="CFD1D2" w:themeColor="accent6"/>
          <w:right w:val="single" w:sz="4" w:space="4" w:color="CFD1D2" w:themeColor="accent6"/>
        </w:pBdr>
        <w:shd w:val="clear" w:color="auto" w:fill="F2F2F2" w:themeFill="background2"/>
        <w:jc w:val="both"/>
      </w:pPr>
      <w:bookmarkStart w:id="171" w:name="_Toc74153156"/>
      <w:r>
        <w:t xml:space="preserve">The Park offers free Wi-Fi to guests and there are up to 500 guests accessing the Wi-Fi network concurrently. In addition, they have business uses for broadband to make bookings, train staff and coordinate site maintenance. The Park found that their residential </w:t>
      </w:r>
      <w:proofErr w:type="spellStart"/>
      <w:r>
        <w:t>nbn</w:t>
      </w:r>
      <w:proofErr w:type="spellEnd"/>
      <w:r>
        <w:t xml:space="preserve"> plan (100/40 Mbps) was insufficient for their needs. In particular, the Park was starting to get complaints from guests about their Wi-Fi which was </w:t>
      </w:r>
      <w:r w:rsidRPr="00EE67BF">
        <w:t xml:space="preserve">appearing in online reviews for the </w:t>
      </w:r>
      <w:r>
        <w:t>P</w:t>
      </w:r>
      <w:r w:rsidRPr="00EE67BF">
        <w:t xml:space="preserve">ark and impacting on </w:t>
      </w:r>
      <w:r>
        <w:t xml:space="preserve">their </w:t>
      </w:r>
      <w:r w:rsidRPr="00EE67BF">
        <w:t>rating level</w:t>
      </w:r>
      <w:r>
        <w:t>.</w:t>
      </w:r>
      <w:bookmarkEnd w:id="171"/>
    </w:p>
    <w:p w14:paraId="0DE8ED37" w14:textId="77777777" w:rsidR="002F39D8" w:rsidRDefault="002F39D8" w:rsidP="00077577">
      <w:pPr>
        <w:pStyle w:val="BodyText"/>
        <w:pBdr>
          <w:top w:val="single" w:sz="4" w:space="1" w:color="CFD1D2" w:themeColor="accent6"/>
          <w:left w:val="single" w:sz="4" w:space="4" w:color="CFD1D2" w:themeColor="accent6"/>
          <w:bottom w:val="single" w:sz="4" w:space="1" w:color="CFD1D2" w:themeColor="accent6"/>
          <w:right w:val="single" w:sz="4" w:space="4" w:color="CFD1D2" w:themeColor="accent6"/>
        </w:pBdr>
        <w:shd w:val="clear" w:color="auto" w:fill="F2F2F2" w:themeFill="background2"/>
        <w:jc w:val="both"/>
      </w:pPr>
      <w:bookmarkStart w:id="172" w:name="_Toc74153157"/>
      <w:r>
        <w:t>The BIG4 Easts Beach Holiday Park has moved to b</w:t>
      </w:r>
      <w:r w:rsidRPr="000F02CF">
        <w:t xml:space="preserve">usiness </w:t>
      </w:r>
      <w:proofErr w:type="spellStart"/>
      <w:r w:rsidRPr="000F02CF">
        <w:t>nbn</w:t>
      </w:r>
      <w:proofErr w:type="spellEnd"/>
      <w:r w:rsidRPr="000F02CF">
        <w:t xml:space="preserve"> Enterprise Ethernet</w:t>
      </w:r>
      <w:r>
        <w:t>. They are now able to meet customer expectations including the ability to stream television and films on the Wi-Fi network. They have also been able to adapt to changes to work arrangements arising from covid-19 that has seen a rise in “work from holiday” where guests need access to Virtual Private Networks and video conferencing facilities</w:t>
      </w:r>
      <w:bookmarkEnd w:id="172"/>
      <w:r>
        <w:t>.</w:t>
      </w:r>
    </w:p>
    <w:p w14:paraId="3BE108A9" w14:textId="77777777" w:rsidR="002F39D8" w:rsidRDefault="002F39D8" w:rsidP="00077577">
      <w:pPr>
        <w:pStyle w:val="BodyText"/>
        <w:pBdr>
          <w:top w:val="single" w:sz="4" w:space="1" w:color="CFD1D2" w:themeColor="accent6"/>
          <w:left w:val="single" w:sz="4" w:space="4" w:color="CFD1D2" w:themeColor="accent6"/>
          <w:bottom w:val="single" w:sz="4" w:space="1" w:color="CFD1D2" w:themeColor="accent6"/>
          <w:right w:val="single" w:sz="4" w:space="4" w:color="CFD1D2" w:themeColor="accent6"/>
        </w:pBdr>
        <w:shd w:val="clear" w:color="auto" w:fill="F2F2F2" w:themeFill="background2"/>
        <w:jc w:val="both"/>
      </w:pPr>
      <w:bookmarkStart w:id="173" w:name="_Toc74153158"/>
      <w:r>
        <w:t>The move to b</w:t>
      </w:r>
      <w:r w:rsidRPr="000F02CF">
        <w:t xml:space="preserve">usiness </w:t>
      </w:r>
      <w:proofErr w:type="spellStart"/>
      <w:r w:rsidRPr="000F02CF">
        <w:t>nbn</w:t>
      </w:r>
      <w:proofErr w:type="spellEnd"/>
      <w:r w:rsidRPr="000F02CF">
        <w:t xml:space="preserve"> Enterprise Ethernet</w:t>
      </w:r>
      <w:r>
        <w:t xml:space="preserve"> has also been positive from a business operations perspective. </w:t>
      </w:r>
      <w:r w:rsidRPr="00EE67BF">
        <w:t xml:space="preserve">New staff </w:t>
      </w:r>
      <w:r>
        <w:t xml:space="preserve">are </w:t>
      </w:r>
      <w:r w:rsidRPr="00EE67BF">
        <w:t>able to undertake training on-the-go</w:t>
      </w:r>
      <w:r>
        <w:t xml:space="preserve"> using tablets </w:t>
      </w:r>
      <w:r w:rsidRPr="00EE67BF">
        <w:t xml:space="preserve">anywhere in the </w:t>
      </w:r>
      <w:r>
        <w:t>P</w:t>
      </w:r>
      <w:r w:rsidRPr="00EE67BF">
        <w:t>ark</w:t>
      </w:r>
      <w:r>
        <w:t>. The staff are now being upskilled quicker while actually doing productive work. The Park has also introduced a c</w:t>
      </w:r>
      <w:r w:rsidRPr="0076364A">
        <w:t>loud-based system allowing health and safety issues to be logged remotely from anywhere on the site</w:t>
      </w:r>
      <w:r>
        <w:t>.</w:t>
      </w:r>
      <w:bookmarkEnd w:id="173"/>
    </w:p>
    <w:p w14:paraId="4315FF48" w14:textId="77777777" w:rsidR="002F39D8" w:rsidRPr="00077577" w:rsidRDefault="002F39D8" w:rsidP="00077577">
      <w:pPr>
        <w:pStyle w:val="BodyText"/>
        <w:pBdr>
          <w:top w:val="single" w:sz="4" w:space="1" w:color="CFD1D2" w:themeColor="accent6"/>
          <w:left w:val="single" w:sz="4" w:space="4" w:color="CFD1D2" w:themeColor="accent6"/>
          <w:bottom w:val="single" w:sz="4" w:space="1" w:color="CFD1D2" w:themeColor="accent6"/>
          <w:right w:val="single" w:sz="4" w:space="4" w:color="CFD1D2" w:themeColor="accent6"/>
        </w:pBdr>
        <w:shd w:val="clear" w:color="auto" w:fill="F2F2F2" w:themeFill="background2"/>
        <w:jc w:val="both"/>
        <w:rPr>
          <w:rStyle w:val="SubtleEmphasis"/>
        </w:rPr>
      </w:pPr>
      <w:r w:rsidRPr="00077577">
        <w:rPr>
          <w:rStyle w:val="SubtleEmphasis"/>
        </w:rPr>
        <w:t>“Better connectivity on site has allowed us to improve our operational technology by changing how much we could do at any given time.” Jennifer Drummond, Director at Big4 Easts Beach Holiday Park.</w:t>
      </w:r>
    </w:p>
    <w:p w14:paraId="3DEF365D" w14:textId="77777777" w:rsidR="002F39D8" w:rsidRDefault="002F39D8" w:rsidP="00077577">
      <w:pPr>
        <w:pStyle w:val="BodyText"/>
        <w:pBdr>
          <w:top w:val="single" w:sz="4" w:space="1" w:color="CFD1D2" w:themeColor="accent6"/>
          <w:left w:val="single" w:sz="4" w:space="4" w:color="CFD1D2" w:themeColor="accent6"/>
          <w:bottom w:val="single" w:sz="4" w:space="1" w:color="CFD1D2" w:themeColor="accent6"/>
          <w:right w:val="single" w:sz="4" w:space="4" w:color="CFD1D2" w:themeColor="accent6"/>
        </w:pBdr>
        <w:shd w:val="clear" w:color="auto" w:fill="F2F2F2" w:themeFill="background2"/>
        <w:jc w:val="both"/>
      </w:pPr>
      <w:bookmarkStart w:id="174" w:name="_Toc74153159"/>
      <w:r>
        <w:t>This case study illustrates the advantages of b</w:t>
      </w:r>
      <w:r w:rsidRPr="000F02CF">
        <w:t xml:space="preserve">usiness </w:t>
      </w:r>
      <w:proofErr w:type="spellStart"/>
      <w:r w:rsidRPr="000F02CF">
        <w:t>nbn</w:t>
      </w:r>
      <w:proofErr w:type="spellEnd"/>
      <w:r w:rsidRPr="000F02CF">
        <w:t xml:space="preserve"> Enterprise Ethernet</w:t>
      </w:r>
      <w:r>
        <w:t xml:space="preserve"> for businesses who need connectivity for both their business operations and to satisfy guests who increasingly see a good Wi-Fi connection as a given.</w:t>
      </w:r>
      <w:bookmarkEnd w:id="174"/>
    </w:p>
    <w:p w14:paraId="4F1E9CA0" w14:textId="3CCF4A65" w:rsidR="002F39D8" w:rsidRPr="00FE4336" w:rsidRDefault="002F39D8" w:rsidP="00077577">
      <w:pPr>
        <w:pStyle w:val="ListBullet1"/>
        <w:numPr>
          <w:ilvl w:val="0"/>
          <w:numId w:val="0"/>
        </w:numPr>
        <w:pBdr>
          <w:top w:val="single" w:sz="4" w:space="1" w:color="CFD1D2" w:themeColor="accent6"/>
          <w:left w:val="single" w:sz="4" w:space="4" w:color="CFD1D2" w:themeColor="accent6"/>
          <w:bottom w:val="single" w:sz="4" w:space="1" w:color="CFD1D2" w:themeColor="accent6"/>
          <w:right w:val="single" w:sz="4" w:space="4" w:color="CFD1D2" w:themeColor="accent6"/>
        </w:pBdr>
        <w:shd w:val="clear" w:color="auto" w:fill="F2F2F2" w:themeFill="background2"/>
        <w:jc w:val="both"/>
        <w:rPr>
          <w:rFonts w:eastAsiaTheme="minorHAnsi" w:cs="Open Sans"/>
          <w:i/>
          <w:color w:val="323435" w:themeColor="accent6" w:themeShade="40"/>
          <w:szCs w:val="20"/>
          <w:lang w:val="en-AU"/>
        </w:rPr>
      </w:pPr>
      <w:bookmarkStart w:id="175" w:name="_Toc74153160"/>
      <w:r w:rsidRPr="00FE4336">
        <w:rPr>
          <w:rFonts w:eastAsiaTheme="minorHAnsi" w:cs="Open Sans"/>
          <w:i/>
          <w:color w:val="323435" w:themeColor="accent6" w:themeShade="40"/>
          <w:szCs w:val="20"/>
          <w:lang w:val="en-AU"/>
        </w:rPr>
        <w:t xml:space="preserve">Source: NBN case study available at: </w:t>
      </w:r>
      <w:bookmarkEnd w:id="175"/>
      <w:r w:rsidR="00077577" w:rsidRPr="00FE4336">
        <w:rPr>
          <w:rFonts w:eastAsiaTheme="minorHAnsi" w:cs="Open Sans"/>
          <w:i/>
          <w:color w:val="323435" w:themeColor="accent6" w:themeShade="40"/>
          <w:szCs w:val="20"/>
          <w:lang w:val="en-AU"/>
        </w:rPr>
        <w:fldChar w:fldCharType="begin"/>
      </w:r>
      <w:r w:rsidR="00077577" w:rsidRPr="00FE4336">
        <w:rPr>
          <w:rFonts w:eastAsiaTheme="minorHAnsi" w:cs="Open Sans"/>
          <w:i/>
          <w:color w:val="323435" w:themeColor="accent6" w:themeShade="40"/>
          <w:szCs w:val="20"/>
          <w:lang w:val="en-AU"/>
        </w:rPr>
        <w:instrText xml:space="preserve"> HYPERLINK "https://www.nbnco.com.au/blog/business/tourisms-triple-threat-bed-breakfast-and-broadband/" </w:instrText>
      </w:r>
      <w:r w:rsidR="00077577" w:rsidRPr="00FE4336">
        <w:rPr>
          <w:rFonts w:eastAsiaTheme="minorHAnsi" w:cs="Open Sans"/>
          <w:i/>
          <w:color w:val="323435" w:themeColor="accent6" w:themeShade="40"/>
          <w:szCs w:val="20"/>
          <w:lang w:val="en-AU"/>
        </w:rPr>
        <w:fldChar w:fldCharType="separate"/>
      </w:r>
      <w:r w:rsidR="00077577" w:rsidRPr="00FE4336">
        <w:rPr>
          <w:rFonts w:eastAsiaTheme="minorHAnsi" w:cs="Open Sans"/>
          <w:i/>
          <w:color w:val="323435" w:themeColor="accent6" w:themeShade="40"/>
          <w:szCs w:val="20"/>
          <w:lang w:val="en-AU"/>
        </w:rPr>
        <w:t>https://www.nbnco.com.au/blog/business/tourisms-triple-threat-bed-breakfast-and-broadband/</w:t>
      </w:r>
      <w:r w:rsidR="00077577" w:rsidRPr="00FE4336">
        <w:rPr>
          <w:rFonts w:eastAsiaTheme="minorHAnsi" w:cs="Open Sans"/>
          <w:i/>
          <w:color w:val="323435" w:themeColor="accent6" w:themeShade="40"/>
          <w:szCs w:val="20"/>
          <w:lang w:val="en-AU"/>
        </w:rPr>
        <w:fldChar w:fldCharType="end"/>
      </w:r>
    </w:p>
    <w:p w14:paraId="016F19FE" w14:textId="1AF4551B" w:rsidR="002F39D8" w:rsidRDefault="002F39D8">
      <w:pPr>
        <w:spacing w:before="0" w:after="0" w:line="240" w:lineRule="auto"/>
        <w:jc w:val="left"/>
        <w:rPr>
          <w:rFonts w:eastAsia="Calibri" w:cs="Arial"/>
          <w:szCs w:val="22"/>
          <w:lang w:val="en-US"/>
        </w:rPr>
      </w:pPr>
      <w:r>
        <w:rPr>
          <w:lang w:val="en-US"/>
        </w:rPr>
        <w:br w:type="page"/>
      </w:r>
    </w:p>
    <w:p w14:paraId="6A62F06B" w14:textId="77777777" w:rsidR="00077577" w:rsidRDefault="00077577" w:rsidP="00077577">
      <w:pPr>
        <w:pStyle w:val="CalloutBoxcaption"/>
        <w:keepNext/>
        <w:pBdr>
          <w:top w:val="single" w:sz="4" w:space="1" w:color="CFD1D2" w:themeColor="accent6"/>
          <w:left w:val="single" w:sz="4" w:space="4" w:color="CFD1D2" w:themeColor="accent6"/>
          <w:bottom w:val="single" w:sz="4" w:space="1" w:color="CFD1D2" w:themeColor="accent6"/>
          <w:right w:val="single" w:sz="4" w:space="4" w:color="CFD1D2" w:themeColor="accent6"/>
        </w:pBdr>
        <w:shd w:val="clear" w:color="auto" w:fill="F2F2F2" w:themeFill="background2"/>
        <w:jc w:val="left"/>
      </w:pPr>
      <w:bookmarkStart w:id="176" w:name="_Toc79585099"/>
      <w:r w:rsidRPr="00B511EA">
        <w:rPr>
          <w:b/>
          <w:bCs/>
        </w:rPr>
        <w:lastRenderedPageBreak/>
        <w:t>:</w:t>
      </w:r>
      <w:r>
        <w:t xml:space="preserve"> Case study – </w:t>
      </w:r>
      <w:proofErr w:type="spellStart"/>
      <w:r>
        <w:t>Forico</w:t>
      </w:r>
      <w:bookmarkEnd w:id="176"/>
      <w:proofErr w:type="spellEnd"/>
    </w:p>
    <w:p w14:paraId="3B4D779F" w14:textId="77777777" w:rsidR="00077577" w:rsidRDefault="00077577" w:rsidP="00077577">
      <w:pPr>
        <w:pBdr>
          <w:top w:val="single" w:sz="4" w:space="1" w:color="CFD1D2" w:themeColor="accent6"/>
          <w:left w:val="single" w:sz="4" w:space="4" w:color="CFD1D2" w:themeColor="accent6"/>
          <w:bottom w:val="single" w:sz="4" w:space="1" w:color="CFD1D2" w:themeColor="accent6"/>
          <w:right w:val="single" w:sz="4" w:space="4" w:color="CFD1D2" w:themeColor="accent6"/>
        </w:pBdr>
        <w:shd w:val="clear" w:color="auto" w:fill="F2F2F2" w:themeFill="background2"/>
      </w:pPr>
      <w:proofErr w:type="spellStart"/>
      <w:r>
        <w:t>Forico</w:t>
      </w:r>
      <w:proofErr w:type="spellEnd"/>
      <w:r>
        <w:t xml:space="preserve"> are </w:t>
      </w:r>
      <w:r w:rsidRPr="00204297">
        <w:t xml:space="preserve">Tasmania’s largest private forest management company. The company manage over 170,000 hectares of land which require a high level of communication and operational logistics. </w:t>
      </w:r>
      <w:proofErr w:type="spellStart"/>
      <w:r w:rsidRPr="00204297">
        <w:t>Forico</w:t>
      </w:r>
      <w:proofErr w:type="spellEnd"/>
      <w:r w:rsidRPr="00204297">
        <w:t xml:space="preserve">, has been </w:t>
      </w:r>
      <w:r>
        <w:t>increasing</w:t>
      </w:r>
      <w:r w:rsidRPr="00204297">
        <w:t xml:space="preserve"> its use of digital technology in a bid to increase productivity, sustainability and safety across its remote worksites.</w:t>
      </w:r>
    </w:p>
    <w:p w14:paraId="25F2DF50" w14:textId="77777777" w:rsidR="00077577" w:rsidRDefault="00077577" w:rsidP="00077577">
      <w:pPr>
        <w:pBdr>
          <w:top w:val="single" w:sz="4" w:space="1" w:color="CFD1D2" w:themeColor="accent6"/>
          <w:left w:val="single" w:sz="4" w:space="4" w:color="CFD1D2" w:themeColor="accent6"/>
          <w:bottom w:val="single" w:sz="4" w:space="1" w:color="CFD1D2" w:themeColor="accent6"/>
          <w:right w:val="single" w:sz="4" w:space="4" w:color="CFD1D2" w:themeColor="accent6"/>
        </w:pBdr>
        <w:shd w:val="clear" w:color="auto" w:fill="F2F2F2" w:themeFill="background2"/>
      </w:pPr>
      <w:proofErr w:type="spellStart"/>
      <w:r>
        <w:t>Forico</w:t>
      </w:r>
      <w:proofErr w:type="spellEnd"/>
      <w:r>
        <w:t xml:space="preserve"> has a data intensive business. </w:t>
      </w:r>
      <w:r w:rsidRPr="00CE61C4">
        <w:t xml:space="preserve">Backing up data was taking two and a half days prior to upgrade. At times </w:t>
      </w:r>
      <w:proofErr w:type="spellStart"/>
      <w:r w:rsidRPr="00CE61C4">
        <w:t>Forico’s</w:t>
      </w:r>
      <w:proofErr w:type="spellEnd"/>
      <w:r w:rsidRPr="00CE61C4">
        <w:t xml:space="preserve"> team would </w:t>
      </w:r>
      <w:r>
        <w:t xml:space="preserve">instead </w:t>
      </w:r>
      <w:r w:rsidRPr="00CE61C4">
        <w:t>opt to transfer data backups manually via a portable hard drive that would be physically driven to a backup storage site.</w:t>
      </w:r>
    </w:p>
    <w:p w14:paraId="716DBDA7" w14:textId="77777777" w:rsidR="00077577" w:rsidRDefault="00077577" w:rsidP="00077577">
      <w:pPr>
        <w:pBdr>
          <w:top w:val="single" w:sz="4" w:space="1" w:color="CFD1D2" w:themeColor="accent6"/>
          <w:left w:val="single" w:sz="4" w:space="4" w:color="CFD1D2" w:themeColor="accent6"/>
          <w:bottom w:val="single" w:sz="4" w:space="1" w:color="CFD1D2" w:themeColor="accent6"/>
          <w:right w:val="single" w:sz="4" w:space="4" w:color="CFD1D2" w:themeColor="accent6"/>
        </w:pBdr>
        <w:shd w:val="clear" w:color="auto" w:fill="F2F2F2" w:themeFill="background2"/>
      </w:pPr>
      <w:proofErr w:type="spellStart"/>
      <w:r>
        <w:t>Forico</w:t>
      </w:r>
      <w:proofErr w:type="spellEnd"/>
      <w:r>
        <w:t xml:space="preserve"> has adopted a hybrid solution to meet their connectivity needs. Their communications retailer, 42-24, proposed business </w:t>
      </w:r>
      <w:proofErr w:type="spellStart"/>
      <w:r>
        <w:t>nbn</w:t>
      </w:r>
      <w:proofErr w:type="spellEnd"/>
      <w:r>
        <w:t xml:space="preserve"> Enterprise Ethernet for their head office in Launceston with a microwave technology introduced at their Surrey Hills chip mill. This has allowed the head office to process more data while also improving communications with their remote sites, allowing for improvements in their transport and logistics functions.</w:t>
      </w:r>
    </w:p>
    <w:p w14:paraId="720A51EE" w14:textId="77777777" w:rsidR="00077577" w:rsidRDefault="00077577" w:rsidP="00077577">
      <w:pPr>
        <w:pBdr>
          <w:top w:val="single" w:sz="4" w:space="1" w:color="CFD1D2" w:themeColor="accent6"/>
          <w:left w:val="single" w:sz="4" w:space="4" w:color="CFD1D2" w:themeColor="accent6"/>
          <w:bottom w:val="single" w:sz="4" w:space="1" w:color="CFD1D2" w:themeColor="accent6"/>
          <w:right w:val="single" w:sz="4" w:space="4" w:color="CFD1D2" w:themeColor="accent6"/>
        </w:pBdr>
        <w:shd w:val="clear" w:color="auto" w:fill="F2F2F2" w:themeFill="background2"/>
      </w:pPr>
      <w:proofErr w:type="spellStart"/>
      <w:r w:rsidRPr="00CE61C4">
        <w:t>Forico</w:t>
      </w:r>
      <w:proofErr w:type="spellEnd"/>
      <w:r w:rsidRPr="00CE61C4">
        <w:t xml:space="preserve"> installed 3D laser scanning technology at its Surrey Hills site that measures the volume of wood arriving on trucks</w:t>
      </w:r>
      <w:r>
        <w:t>. This has enabled a transition from deliveries being paid based on weight to being based on volume. Under the previous regime there was no incentive to dry lumber, as less water weight meant less value for a driver. This created an issue of h</w:t>
      </w:r>
      <w:r w:rsidRPr="003208C0">
        <w:t>eavier loads mean</w:t>
      </w:r>
      <w:r>
        <w:t>ing</w:t>
      </w:r>
      <w:r w:rsidRPr="003208C0">
        <w:t xml:space="preserve"> more fuel burned and a less efficient logistics process.</w:t>
      </w:r>
    </w:p>
    <w:p w14:paraId="2F9B3D8B" w14:textId="0B0C4D9E" w:rsidR="00077577" w:rsidRPr="00077577" w:rsidRDefault="00077577" w:rsidP="00077577">
      <w:pPr>
        <w:pBdr>
          <w:top w:val="single" w:sz="4" w:space="1" w:color="CFD1D2" w:themeColor="accent6"/>
          <w:left w:val="single" w:sz="4" w:space="4" w:color="CFD1D2" w:themeColor="accent6"/>
          <w:bottom w:val="single" w:sz="4" w:space="1" w:color="CFD1D2" w:themeColor="accent6"/>
          <w:right w:val="single" w:sz="4" w:space="4" w:color="CFD1D2" w:themeColor="accent6"/>
        </w:pBdr>
        <w:shd w:val="clear" w:color="auto" w:fill="F2F2F2" w:themeFill="background2"/>
        <w:rPr>
          <w:rStyle w:val="SubtleEmphasis"/>
        </w:rPr>
      </w:pPr>
      <w:r w:rsidRPr="00077577">
        <w:rPr>
          <w:rStyle w:val="SubtleEmphasis"/>
        </w:rPr>
        <w:t xml:space="preserve">“The forest management industry is undergoing change powered by digital transformation. New technology like our digital docketing system […] has the potential to make operations more efficient, sustainable and safe for our staff.” </w:t>
      </w:r>
      <w:proofErr w:type="spellStart"/>
      <w:r w:rsidRPr="00077577">
        <w:rPr>
          <w:rStyle w:val="SubtleEmphasis"/>
        </w:rPr>
        <w:t>Shevaun</w:t>
      </w:r>
      <w:proofErr w:type="spellEnd"/>
      <w:r w:rsidRPr="00077577">
        <w:rPr>
          <w:rStyle w:val="SubtleEmphasis"/>
        </w:rPr>
        <w:t xml:space="preserve"> Mackenzie, IT Manager at </w:t>
      </w:r>
      <w:proofErr w:type="spellStart"/>
      <w:r w:rsidRPr="00077577">
        <w:rPr>
          <w:rStyle w:val="SubtleEmphasis"/>
        </w:rPr>
        <w:t>Forico</w:t>
      </w:r>
      <w:proofErr w:type="spellEnd"/>
    </w:p>
    <w:p w14:paraId="7194B889" w14:textId="77777777" w:rsidR="00077577" w:rsidRDefault="00077577" w:rsidP="00077577">
      <w:pPr>
        <w:pBdr>
          <w:top w:val="single" w:sz="4" w:space="1" w:color="CFD1D2" w:themeColor="accent6"/>
          <w:left w:val="single" w:sz="4" w:space="4" w:color="CFD1D2" w:themeColor="accent6"/>
          <w:bottom w:val="single" w:sz="4" w:space="1" w:color="CFD1D2" w:themeColor="accent6"/>
          <w:right w:val="single" w:sz="4" w:space="4" w:color="CFD1D2" w:themeColor="accent6"/>
        </w:pBdr>
        <w:shd w:val="clear" w:color="auto" w:fill="F2F2F2" w:themeFill="background2"/>
      </w:pPr>
      <w:r>
        <w:t xml:space="preserve">This case study provides an example of retailer stacking a business </w:t>
      </w:r>
      <w:proofErr w:type="spellStart"/>
      <w:r>
        <w:t>nbn</w:t>
      </w:r>
      <w:proofErr w:type="spellEnd"/>
      <w:r>
        <w:t xml:space="preserve"> Enterprise Ethernet solution with another technology to meet a business’ requirements.</w:t>
      </w:r>
    </w:p>
    <w:p w14:paraId="74157D52" w14:textId="71786510" w:rsidR="00077577" w:rsidRPr="00FE4336" w:rsidRDefault="00077577" w:rsidP="00077577">
      <w:pPr>
        <w:pStyle w:val="ListBullet1"/>
        <w:numPr>
          <w:ilvl w:val="0"/>
          <w:numId w:val="0"/>
        </w:numPr>
        <w:pBdr>
          <w:top w:val="single" w:sz="4" w:space="1" w:color="CFD1D2" w:themeColor="accent6"/>
          <w:left w:val="single" w:sz="4" w:space="4" w:color="CFD1D2" w:themeColor="accent6"/>
          <w:bottom w:val="single" w:sz="4" w:space="1" w:color="CFD1D2" w:themeColor="accent6"/>
          <w:right w:val="single" w:sz="4" w:space="4" w:color="CFD1D2" w:themeColor="accent6"/>
        </w:pBdr>
        <w:shd w:val="clear" w:color="auto" w:fill="F2F2F2" w:themeFill="background2"/>
        <w:jc w:val="both"/>
        <w:rPr>
          <w:rFonts w:cs="Open Sans"/>
          <w:i/>
          <w:color w:val="323435" w:themeColor="accent6" w:themeShade="40"/>
          <w:sz w:val="22"/>
          <w:szCs w:val="24"/>
          <w:lang w:val="en-US"/>
        </w:rPr>
      </w:pPr>
      <w:r w:rsidRPr="00FE4336">
        <w:rPr>
          <w:rFonts w:cs="Open Sans"/>
          <w:i/>
          <w:color w:val="323435" w:themeColor="accent6" w:themeShade="40"/>
          <w:sz w:val="18"/>
          <w:szCs w:val="18"/>
        </w:rPr>
        <w:t xml:space="preserve">Source: NBN case study available at: </w:t>
      </w:r>
      <w:hyperlink r:id="rId65" w:history="1">
        <w:r w:rsidRPr="00FE4336">
          <w:rPr>
            <w:rStyle w:val="Hyperlink"/>
            <w:rFonts w:cs="Open Sans"/>
            <w:i/>
            <w:color w:val="323435" w:themeColor="accent6" w:themeShade="40"/>
            <w:sz w:val="18"/>
            <w:szCs w:val="18"/>
          </w:rPr>
          <w:t>https://www.nbnco.com.au/blog/business/axing-barriers-to-digital-transformation</w:t>
        </w:r>
      </w:hyperlink>
    </w:p>
    <w:p w14:paraId="5059C1F8" w14:textId="5C9EC77B" w:rsidR="00077577" w:rsidRDefault="00077577">
      <w:pPr>
        <w:spacing w:before="0" w:after="0" w:line="240" w:lineRule="auto"/>
        <w:jc w:val="left"/>
        <w:rPr>
          <w:rFonts w:cs="Open Sans"/>
        </w:rPr>
      </w:pPr>
      <w:r>
        <w:br w:type="page"/>
      </w:r>
    </w:p>
    <w:p w14:paraId="379CE95A" w14:textId="77777777" w:rsidR="00077577" w:rsidRDefault="00077577" w:rsidP="00077577">
      <w:pPr>
        <w:pStyle w:val="CalloutBoxcaption"/>
        <w:keepNext/>
        <w:pBdr>
          <w:top w:val="single" w:sz="4" w:space="1" w:color="CFD1D2" w:themeColor="accent6"/>
          <w:left w:val="single" w:sz="4" w:space="4" w:color="CFD1D2" w:themeColor="accent6"/>
          <w:bottom w:val="single" w:sz="4" w:space="1" w:color="CFD1D2" w:themeColor="accent6"/>
          <w:right w:val="single" w:sz="4" w:space="4" w:color="CFD1D2" w:themeColor="accent6"/>
        </w:pBdr>
        <w:shd w:val="clear" w:color="auto" w:fill="F2F2F2" w:themeFill="background2"/>
        <w:tabs>
          <w:tab w:val="num" w:pos="360"/>
        </w:tabs>
        <w:jc w:val="left"/>
      </w:pPr>
      <w:bookmarkStart w:id="177" w:name="_Ref79504890"/>
      <w:bookmarkStart w:id="178" w:name="_Toc79585100"/>
      <w:r w:rsidRPr="00C55545">
        <w:rPr>
          <w:b/>
          <w:bCs/>
        </w:rPr>
        <w:lastRenderedPageBreak/>
        <w:t>:</w:t>
      </w:r>
      <w:r>
        <w:t xml:space="preserve"> Bureau of Metrology (BoM) trial of business </w:t>
      </w:r>
      <w:proofErr w:type="spellStart"/>
      <w:r>
        <w:t>nbn</w:t>
      </w:r>
      <w:proofErr w:type="spellEnd"/>
      <w:r>
        <w:t xml:space="preserve"> Satellite Service</w:t>
      </w:r>
      <w:bookmarkEnd w:id="177"/>
      <w:bookmarkEnd w:id="178"/>
    </w:p>
    <w:p w14:paraId="10C92E95" w14:textId="77777777" w:rsidR="00077577" w:rsidRDefault="00077577" w:rsidP="00077577">
      <w:pPr>
        <w:pBdr>
          <w:top w:val="single" w:sz="4" w:space="1" w:color="CFD1D2" w:themeColor="accent6"/>
          <w:left w:val="single" w:sz="4" w:space="4" w:color="CFD1D2" w:themeColor="accent6"/>
          <w:bottom w:val="single" w:sz="4" w:space="1" w:color="CFD1D2" w:themeColor="accent6"/>
          <w:right w:val="single" w:sz="4" w:space="4" w:color="CFD1D2" w:themeColor="accent6"/>
        </w:pBdr>
        <w:shd w:val="clear" w:color="auto" w:fill="F2F2F2" w:themeFill="background2"/>
      </w:pPr>
      <w:r>
        <w:t>The BoM have around 60 remote sites across Australia which are used to gather data about weather patterns. One example of this is their site on Willis Island – an island measuring around 450 x 150 metres which is located 450 kilometres off the coast of Cairns.</w:t>
      </w:r>
    </w:p>
    <w:p w14:paraId="110CB571" w14:textId="77777777" w:rsidR="00077577" w:rsidRDefault="00077577" w:rsidP="00077577">
      <w:pPr>
        <w:pBdr>
          <w:top w:val="single" w:sz="4" w:space="1" w:color="CFD1D2" w:themeColor="accent6"/>
          <w:left w:val="single" w:sz="4" w:space="4" w:color="CFD1D2" w:themeColor="accent6"/>
          <w:bottom w:val="single" w:sz="4" w:space="1" w:color="CFD1D2" w:themeColor="accent6"/>
          <w:right w:val="single" w:sz="4" w:space="4" w:color="CFD1D2" w:themeColor="accent6"/>
        </w:pBdr>
        <w:shd w:val="clear" w:color="auto" w:fill="F2F2F2" w:themeFill="background2"/>
      </w:pPr>
      <w:r>
        <w:t>Data connectivity is essential to the Bureau’s Willis Island site. This is not just required for transferring weather data back to the mainland. Given that scientists do 6-month rotations on the island, connectivity is also needed to allow them to stay connected with friends and family.</w:t>
      </w:r>
    </w:p>
    <w:p w14:paraId="2F996314" w14:textId="77777777" w:rsidR="00077577" w:rsidRDefault="00077577" w:rsidP="00077577">
      <w:pPr>
        <w:pBdr>
          <w:top w:val="single" w:sz="4" w:space="1" w:color="CFD1D2" w:themeColor="accent6"/>
          <w:left w:val="single" w:sz="4" w:space="4" w:color="CFD1D2" w:themeColor="accent6"/>
          <w:bottom w:val="single" w:sz="4" w:space="1" w:color="CFD1D2" w:themeColor="accent6"/>
          <w:right w:val="single" w:sz="4" w:space="4" w:color="CFD1D2" w:themeColor="accent6"/>
        </w:pBdr>
        <w:shd w:val="clear" w:color="auto" w:fill="F2F2F2" w:themeFill="background2"/>
      </w:pPr>
      <w:r>
        <w:t xml:space="preserve">Prior to the upgrade, the connection on the island was limited to 2 Mbps upload/download. Given the remoteness of Willis Island, </w:t>
      </w:r>
      <w:r w:rsidRPr="00322B41">
        <w:t xml:space="preserve">business </w:t>
      </w:r>
      <w:proofErr w:type="spellStart"/>
      <w:r w:rsidRPr="00322B41">
        <w:t>nbn</w:t>
      </w:r>
      <w:proofErr w:type="spellEnd"/>
      <w:r w:rsidRPr="00322B41">
        <w:t xml:space="preserve"> Satellite Service</w:t>
      </w:r>
      <w:r>
        <w:t xml:space="preserve"> was a good fit to improve connectivity. BoM used the site to trial the Virtual ISP (VISP) wholesale product provided by NBN Co. This product offers wholesale speed and network reliability.</w:t>
      </w:r>
    </w:p>
    <w:p w14:paraId="28316B7D" w14:textId="77777777" w:rsidR="00077577" w:rsidRDefault="00077577" w:rsidP="00077577">
      <w:pPr>
        <w:pBdr>
          <w:top w:val="single" w:sz="4" w:space="1" w:color="CFD1D2" w:themeColor="accent6"/>
          <w:left w:val="single" w:sz="4" w:space="4" w:color="CFD1D2" w:themeColor="accent6"/>
          <w:bottom w:val="single" w:sz="4" w:space="1" w:color="CFD1D2" w:themeColor="accent6"/>
          <w:right w:val="single" w:sz="4" w:space="4" w:color="CFD1D2" w:themeColor="accent6"/>
        </w:pBdr>
        <w:shd w:val="clear" w:color="auto" w:fill="F2F2F2" w:themeFill="background2"/>
      </w:pPr>
      <w:r>
        <w:t xml:space="preserve">The move to the </w:t>
      </w:r>
      <w:r w:rsidRPr="00322B41">
        <w:t xml:space="preserve">business </w:t>
      </w:r>
      <w:proofErr w:type="spellStart"/>
      <w:r w:rsidRPr="00322B41">
        <w:t>nbn</w:t>
      </w:r>
      <w:proofErr w:type="spellEnd"/>
      <w:r w:rsidRPr="00322B41">
        <w:t xml:space="preserve"> Satellite Service</w:t>
      </w:r>
      <w:r>
        <w:t xml:space="preserve"> has </w:t>
      </w:r>
      <w:r w:rsidRPr="00322B41">
        <w:t>increased the volume of corporate activity</w:t>
      </w:r>
      <w:r>
        <w:t>. It has also</w:t>
      </w:r>
      <w:r w:rsidRPr="00322B41">
        <w:t xml:space="preserve"> open</w:t>
      </w:r>
      <w:r>
        <w:t>ed</w:t>
      </w:r>
      <w:r w:rsidRPr="00322B41">
        <w:t xml:space="preserve"> up opportunities for on-site staff to have access to more social/welfare style uses such as video conferencing and entertainment.</w:t>
      </w:r>
    </w:p>
    <w:p w14:paraId="42D0E187" w14:textId="453548AA" w:rsidR="00077577" w:rsidRPr="00077577" w:rsidRDefault="00077577" w:rsidP="00077577">
      <w:pPr>
        <w:pBdr>
          <w:top w:val="single" w:sz="4" w:space="1" w:color="CFD1D2" w:themeColor="accent6"/>
          <w:left w:val="single" w:sz="4" w:space="4" w:color="CFD1D2" w:themeColor="accent6"/>
          <w:bottom w:val="single" w:sz="4" w:space="1" w:color="CFD1D2" w:themeColor="accent6"/>
          <w:right w:val="single" w:sz="4" w:space="4" w:color="CFD1D2" w:themeColor="accent6"/>
        </w:pBdr>
        <w:shd w:val="clear" w:color="auto" w:fill="F2F2F2" w:themeFill="background2"/>
        <w:rPr>
          <w:rStyle w:val="SubtleEmphasis"/>
        </w:rPr>
      </w:pPr>
      <w:r w:rsidRPr="00077577">
        <w:rPr>
          <w:rStyle w:val="SubtleEmphasis"/>
        </w:rPr>
        <w:t xml:space="preserve">“Our VISP product means customers can access applications and services that are important to their work. From cloud-based business applications and support for VoIP telephony services, disaster recovery, through to crew welfare including entertainment and communication services, like Skype and Netflix.” </w:t>
      </w:r>
      <w:proofErr w:type="spellStart"/>
      <w:r w:rsidRPr="00077577">
        <w:rPr>
          <w:rStyle w:val="SubtleEmphasis"/>
        </w:rPr>
        <w:t>Wesam</w:t>
      </w:r>
      <w:proofErr w:type="spellEnd"/>
      <w:r w:rsidRPr="00077577">
        <w:rPr>
          <w:rStyle w:val="SubtleEmphasis"/>
        </w:rPr>
        <w:t xml:space="preserve"> Al-</w:t>
      </w:r>
      <w:proofErr w:type="spellStart"/>
      <w:r w:rsidRPr="00077577">
        <w:rPr>
          <w:rStyle w:val="SubtleEmphasis"/>
        </w:rPr>
        <w:t>sudani</w:t>
      </w:r>
      <w:proofErr w:type="spellEnd"/>
      <w:r w:rsidRPr="00077577">
        <w:rPr>
          <w:rStyle w:val="SubtleEmphasis"/>
        </w:rPr>
        <w:t>, Network Operations Manager at the BoM</w:t>
      </w:r>
    </w:p>
    <w:p w14:paraId="6268C405" w14:textId="77777777" w:rsidR="00077577" w:rsidRDefault="00077577" w:rsidP="00077577">
      <w:pPr>
        <w:pBdr>
          <w:top w:val="single" w:sz="4" w:space="1" w:color="CFD1D2" w:themeColor="accent6"/>
          <w:left w:val="single" w:sz="4" w:space="4" w:color="CFD1D2" w:themeColor="accent6"/>
          <w:bottom w:val="single" w:sz="4" w:space="1" w:color="CFD1D2" w:themeColor="accent6"/>
          <w:right w:val="single" w:sz="4" w:space="4" w:color="CFD1D2" w:themeColor="accent6"/>
        </w:pBdr>
        <w:shd w:val="clear" w:color="auto" w:fill="F2F2F2" w:themeFill="background2"/>
      </w:pPr>
      <w:r>
        <w:t xml:space="preserve">This case study provides an example of the benefits that can be offered by business </w:t>
      </w:r>
      <w:proofErr w:type="spellStart"/>
      <w:r>
        <w:t>nbn</w:t>
      </w:r>
      <w:proofErr w:type="spellEnd"/>
      <w:r>
        <w:t xml:space="preserve"> Satellite Service for remote locations. This includes both productivity benefits for the business and also a broader social benefit for workers.</w:t>
      </w:r>
    </w:p>
    <w:p w14:paraId="2ACB23E2" w14:textId="6834D4B2" w:rsidR="00077577" w:rsidRPr="00FE4336" w:rsidRDefault="00077577" w:rsidP="00077577">
      <w:pPr>
        <w:pStyle w:val="BodyText"/>
        <w:pBdr>
          <w:top w:val="single" w:sz="4" w:space="1" w:color="CFD1D2" w:themeColor="accent6"/>
          <w:left w:val="single" w:sz="4" w:space="4" w:color="CFD1D2" w:themeColor="accent6"/>
          <w:bottom w:val="single" w:sz="4" w:space="1" w:color="CFD1D2" w:themeColor="accent6"/>
          <w:right w:val="single" w:sz="4" w:space="4" w:color="CFD1D2" w:themeColor="accent6"/>
        </w:pBdr>
        <w:shd w:val="clear" w:color="auto" w:fill="F2F2F2" w:themeFill="background2"/>
        <w:rPr>
          <w:i/>
        </w:rPr>
      </w:pPr>
      <w:r w:rsidRPr="00FE4336">
        <w:rPr>
          <w:i/>
          <w:color w:val="323435" w:themeColor="accent6" w:themeShade="40"/>
        </w:rPr>
        <w:t>Source: NBN case study available at: https://www.nbnco.com.au/blog/business/bureau-of-meteorology-trials-new-business-nbn-satellite-service-offering</w:t>
      </w:r>
    </w:p>
    <w:p w14:paraId="2D3A6954" w14:textId="77777777" w:rsidR="00586012" w:rsidRDefault="00586012" w:rsidP="00077577">
      <w:pPr>
        <w:pStyle w:val="Heading3"/>
      </w:pPr>
      <w:bookmarkStart w:id="179" w:name="_Toc79671826"/>
      <w:r>
        <w:t>Key lessons from the case studies</w:t>
      </w:r>
      <w:bookmarkEnd w:id="179"/>
    </w:p>
    <w:p w14:paraId="34E778A8" w14:textId="77777777" w:rsidR="00586012" w:rsidRDefault="00586012" w:rsidP="00586012">
      <w:pPr>
        <w:pStyle w:val="BodyText"/>
      </w:pPr>
      <w:r>
        <w:t xml:space="preserve">These case studies illustrate a broad range of benefits arising from </w:t>
      </w:r>
      <w:r w:rsidR="00C557A1">
        <w:t xml:space="preserve">increasing availability and affordability </w:t>
      </w:r>
      <w:r w:rsidR="00AF4802" w:rsidRPr="00322939">
        <w:t>of</w:t>
      </w:r>
      <w:r w:rsidR="00AF4802">
        <w:t xml:space="preserve"> </w:t>
      </w:r>
      <w:r>
        <w:t>business broadband products. These range from productivity and competitiveness economics benefits to broad social benefits.</w:t>
      </w:r>
    </w:p>
    <w:p w14:paraId="2F0CA743" w14:textId="3AA3D7A7" w:rsidR="00586012" w:rsidRPr="008E771C" w:rsidRDefault="00586012" w:rsidP="00586012">
      <w:pPr>
        <w:pStyle w:val="BodyText"/>
      </w:pPr>
      <w:r>
        <w:t xml:space="preserve">These case studies can be linked back to the quantitative impacts. For example, the </w:t>
      </w:r>
      <w:r w:rsidRPr="00532DD7">
        <w:t>Cumulus Visual Effects</w:t>
      </w:r>
      <w:r>
        <w:t xml:space="preserve"> case study in </w:t>
      </w:r>
      <w:r w:rsidR="00E12E75">
        <w:fldChar w:fldCharType="begin"/>
      </w:r>
      <w:r w:rsidR="00E12E75">
        <w:instrText xml:space="preserve"> REF _Ref79503713 \r \h </w:instrText>
      </w:r>
      <w:r w:rsidR="00E12E75">
        <w:fldChar w:fldCharType="separate"/>
      </w:r>
      <w:r w:rsidR="00DD5715">
        <w:t>Box 5</w:t>
      </w:r>
      <w:r w:rsidR="00E12E75">
        <w:fldChar w:fldCharType="end"/>
      </w:r>
      <w:r w:rsidR="00E12E75">
        <w:rPr>
          <w:b/>
          <w:bCs/>
        </w:rPr>
        <w:t xml:space="preserve"> </w:t>
      </w:r>
      <w:r>
        <w:t>represents a</w:t>
      </w:r>
      <w:r w:rsidR="005140DF">
        <w:t xml:space="preserve"> firm that is likely to achieve among the highest</w:t>
      </w:r>
      <w:r w:rsidR="00660D4C">
        <w:t xml:space="preserve"> economic</w:t>
      </w:r>
      <w:r>
        <w:t xml:space="preserve"> benefits</w:t>
      </w:r>
      <w:r w:rsidR="00D71F05">
        <w:t xml:space="preserve"> as well as significant input cost savings</w:t>
      </w:r>
      <w:r>
        <w:t xml:space="preserve">. This business is located in the Byron Bay </w:t>
      </w:r>
      <w:r w:rsidR="00FD7E22">
        <w:t>Business Fibre Zone</w:t>
      </w:r>
      <w:r>
        <w:t xml:space="preserve">, an area which is in the highest category for wholesale price decreases </w:t>
      </w:r>
      <w:r w:rsidRPr="00D71F05">
        <w:t>(a 45% price fall for the product taken by Cumulus Visual Effects</w:t>
      </w:r>
      <w:r>
        <w:t>) and average speed increase</w:t>
      </w:r>
      <w:r w:rsidR="00F879A7">
        <w:t xml:space="preserve"> given that this region was not </w:t>
      </w:r>
      <w:r w:rsidR="001743C0">
        <w:t>previously</w:t>
      </w:r>
      <w:r w:rsidR="00F879A7">
        <w:t xml:space="preserve"> well served by </w:t>
      </w:r>
      <w:r w:rsidR="001743C0">
        <w:t xml:space="preserve">affordable </w:t>
      </w:r>
      <w:r w:rsidR="00F879A7">
        <w:t>fibre infrastructure</w:t>
      </w:r>
      <w:r>
        <w:t xml:space="preserve">. Based on the productivity estimates in our analysis, </w:t>
      </w:r>
      <w:r w:rsidRPr="00490DFB">
        <w:t>Cumulus Visual Effects</w:t>
      </w:r>
      <w:r>
        <w:t xml:space="preserve"> is </w:t>
      </w:r>
      <w:r w:rsidR="00660D4C">
        <w:t xml:space="preserve">also </w:t>
      </w:r>
      <w:r>
        <w:t xml:space="preserve">estimated to </w:t>
      </w:r>
      <w:r w:rsidR="00660D4C">
        <w:t>receive</w:t>
      </w:r>
      <w:r>
        <w:t xml:space="preserve"> a 12% productivity benefit. </w:t>
      </w:r>
    </w:p>
    <w:p w14:paraId="13799434" w14:textId="77777777" w:rsidR="00586012" w:rsidRDefault="00586012" w:rsidP="00586012">
      <w:pPr>
        <w:pStyle w:val="BodyText"/>
      </w:pPr>
      <w:r>
        <w:t xml:space="preserve">ADW Johnson are another example of a business being at the upper end of the benefits spectrum. The </w:t>
      </w:r>
      <w:r w:rsidR="00FD7E22">
        <w:t>Business Fibre Zone</w:t>
      </w:r>
      <w:r>
        <w:t xml:space="preserve"> has </w:t>
      </w:r>
      <w:r w:rsidRPr="002B17DF">
        <w:t>resulted in a 17% decrease in monthly wholesale charges</w:t>
      </w:r>
      <w:r w:rsidR="00E01BA1">
        <w:t>, and o</w:t>
      </w:r>
      <w:r>
        <w:t>u</w:t>
      </w:r>
      <w:r w:rsidR="004807A4">
        <w:t>r</w:t>
      </w:r>
      <w:r>
        <w:t xml:space="preserve"> analysis estimates productivity benefits for firms like ADW Johnson to be </w:t>
      </w:r>
      <w:r w:rsidR="00E01BA1">
        <w:t xml:space="preserve">up to </w:t>
      </w:r>
      <w:r>
        <w:t>11%.</w:t>
      </w:r>
    </w:p>
    <w:p w14:paraId="3A3740B8" w14:textId="77777777" w:rsidR="00586012" w:rsidRDefault="00586012" w:rsidP="00586012">
      <w:pPr>
        <w:pStyle w:val="BodyText"/>
      </w:pPr>
      <w:r>
        <w:t xml:space="preserve">At a higher level, these case studies appear to provide a reasonable cross-section of likely users of </w:t>
      </w:r>
      <w:r w:rsidR="00C557A1">
        <w:t xml:space="preserve">NBN </w:t>
      </w:r>
      <w:proofErr w:type="spellStart"/>
      <w:r w:rsidR="00C557A1">
        <w:t>Co’s</w:t>
      </w:r>
      <w:proofErr w:type="spellEnd"/>
      <w:r>
        <w:t xml:space="preserve"> business broadband products. They include creative, professional services, education, tourism, forestry and government uses of business broadband. They also cover a variety of business sizes, services and locations. </w:t>
      </w:r>
      <w:r w:rsidRPr="00532DD7">
        <w:t>Cumulus Visual Effects</w:t>
      </w:r>
      <w:r>
        <w:t xml:space="preserve"> is the example with the </w:t>
      </w:r>
      <w:r>
        <w:lastRenderedPageBreak/>
        <w:t xml:space="preserve">highest usage </w:t>
      </w:r>
      <w:r w:rsidR="00FB3489">
        <w:t>needs,</w:t>
      </w:r>
      <w:r>
        <w:t xml:space="preserve"> and it is unclear the extent to which it is reflective of other sectors with high usage requirements such as </w:t>
      </w:r>
      <w:r w:rsidR="00BF55E9">
        <w:t>IT</w:t>
      </w:r>
      <w:r>
        <w:t xml:space="preserve">, healthcare and financial services. </w:t>
      </w:r>
      <w:r w:rsidR="00C3244C">
        <w:t xml:space="preserve">Given that the </w:t>
      </w:r>
      <w:r w:rsidR="00FD7E22">
        <w:t>Business Fibre Zone</w:t>
      </w:r>
      <w:r w:rsidR="00C3244C">
        <w:t xml:space="preserve">s include 14 </w:t>
      </w:r>
      <w:r w:rsidR="005B4380">
        <w:t xml:space="preserve">specific </w:t>
      </w:r>
      <w:r w:rsidR="00C3244C">
        <w:t>health precincts, this is a sector where it would be especially useful to better understand the benefits.</w:t>
      </w:r>
      <w:r>
        <w:t xml:space="preserve"> Unfortunately</w:t>
      </w:r>
      <w:r w:rsidR="001743C0">
        <w:t>,</w:t>
      </w:r>
      <w:r>
        <w:t xml:space="preserve"> it was not possible to develop case studies for these sectors</w:t>
      </w:r>
      <w:r w:rsidR="00B87C70">
        <w:t xml:space="preserve"> at this time</w:t>
      </w:r>
      <w:r>
        <w:t>.</w:t>
      </w:r>
    </w:p>
    <w:p w14:paraId="74BAA4AA" w14:textId="77777777" w:rsidR="00586012" w:rsidRDefault="00586012" w:rsidP="00586012">
      <w:pPr>
        <w:pStyle w:val="BodyText"/>
      </w:pPr>
      <w:r>
        <w:t xml:space="preserve">The case studies </w:t>
      </w:r>
      <w:r w:rsidR="008247BE">
        <w:t xml:space="preserve">do </w:t>
      </w:r>
      <w:r>
        <w:t xml:space="preserve">also capture broader benefits which are not captured in the </w:t>
      </w:r>
      <w:r w:rsidR="00E01BA1">
        <w:t xml:space="preserve">formal </w:t>
      </w:r>
      <w:r>
        <w:t xml:space="preserve">analysis. These </w:t>
      </w:r>
      <w:r w:rsidR="00707E11">
        <w:t>encompass a broad range of benefits, including of firms maintaining competitiveness</w:t>
      </w:r>
      <w:r w:rsidR="00707E11">
        <w:rPr>
          <w:rStyle w:val="FootnoteReference"/>
        </w:rPr>
        <w:footnoteReference w:id="59"/>
      </w:r>
      <w:r w:rsidR="00707E11">
        <w:t xml:space="preserve"> and improvements to occupational health and safety. </w:t>
      </w:r>
      <w:r w:rsidR="008247BE">
        <w:t>They</w:t>
      </w:r>
      <w:r>
        <w:t xml:space="preserve"> </w:t>
      </w:r>
      <w:r w:rsidR="00707E11">
        <w:t>also</w:t>
      </w:r>
      <w:r w:rsidR="008247BE">
        <w:t xml:space="preserve"> capture</w:t>
      </w:r>
      <w:r w:rsidR="00707E11">
        <w:t xml:space="preserve"> </w:t>
      </w:r>
      <w:r>
        <w:t>social benefits including improved equity of access to digital learning opportunities and improved communication for workers in remote locations</w:t>
      </w:r>
      <w:r w:rsidR="00707E11">
        <w:t xml:space="preserve"> (which may lead to improved staff satisfaction and wellbeing)</w:t>
      </w:r>
      <w:r>
        <w:t>.</w:t>
      </w:r>
    </w:p>
    <w:p w14:paraId="7806130C" w14:textId="77777777" w:rsidR="00AD0B20" w:rsidRDefault="00AD0B20" w:rsidP="00AD0B20">
      <w:pPr>
        <w:pStyle w:val="BodyText"/>
      </w:pPr>
    </w:p>
    <w:p w14:paraId="1C15AD32" w14:textId="77777777" w:rsidR="00EF62DD" w:rsidRDefault="00EF62DD" w:rsidP="00A91058">
      <w:pPr>
        <w:pStyle w:val="BodyText"/>
        <w:sectPr w:rsidR="00EF62DD" w:rsidSect="008905FC">
          <w:pgSz w:w="11906" w:h="16838" w:code="9"/>
          <w:pgMar w:top="1871" w:right="1418" w:bottom="1134" w:left="1418" w:header="567" w:footer="567" w:gutter="0"/>
          <w:pgNumType w:chapStyle="1"/>
          <w:cols w:space="708"/>
          <w:formProt w:val="0"/>
          <w:docGrid w:linePitch="360"/>
        </w:sectPr>
      </w:pPr>
    </w:p>
    <w:p w14:paraId="06A21821" w14:textId="5A394C34" w:rsidR="00A91058" w:rsidRPr="00077577" w:rsidRDefault="00FA3533" w:rsidP="00FA3533">
      <w:pPr>
        <w:pStyle w:val="Heading2"/>
      </w:pPr>
      <w:bookmarkStart w:id="180" w:name="_Toc74574327"/>
      <w:bookmarkStart w:id="181" w:name="_Ref75509795"/>
      <w:bookmarkStart w:id="182" w:name="_Ref75800085"/>
      <w:bookmarkStart w:id="183" w:name="_Toc79671827"/>
      <w:bookmarkStart w:id="184" w:name="AnnexSection"/>
      <w:r>
        <w:lastRenderedPageBreak/>
        <w:t>A</w:t>
      </w:r>
      <w:r>
        <w:tab/>
      </w:r>
      <w:r w:rsidR="00A91058" w:rsidRPr="00077577">
        <w:t>Literature review on the economic effects of broadband investment</w:t>
      </w:r>
      <w:bookmarkEnd w:id="180"/>
      <w:bookmarkEnd w:id="181"/>
      <w:bookmarkEnd w:id="182"/>
      <w:bookmarkEnd w:id="183"/>
    </w:p>
    <w:bookmarkEnd w:id="184"/>
    <w:p w14:paraId="13846FF9" w14:textId="77777777" w:rsidR="008E726F" w:rsidRDefault="008E726F" w:rsidP="008E726F">
      <w:pPr>
        <w:pStyle w:val="BodyText"/>
      </w:pPr>
      <w:r>
        <w:t xml:space="preserve">We </w:t>
      </w:r>
      <w:r w:rsidR="003D1FAF">
        <w:t>undertook</w:t>
      </w:r>
      <w:r>
        <w:t xml:space="preserve"> a literature review on the impacts of broadband deployment to inform our analysis</w:t>
      </w:r>
      <w:r w:rsidR="003D1FAF">
        <w:t xml:space="preserve">. This annex describes the scope of the review and our key </w:t>
      </w:r>
      <w:r w:rsidR="00A670A1">
        <w:t>findings.</w:t>
      </w:r>
    </w:p>
    <w:p w14:paraId="5AC86FF5" w14:textId="77777777" w:rsidR="008E726F" w:rsidRDefault="008E726F" w:rsidP="00FA3533">
      <w:pPr>
        <w:pStyle w:val="Heading3"/>
      </w:pPr>
      <w:bookmarkStart w:id="185" w:name="_Hlk69122157"/>
      <w:bookmarkStart w:id="186" w:name="_Toc74574328"/>
      <w:bookmarkStart w:id="187" w:name="_Toc79671828"/>
      <w:r>
        <w:t xml:space="preserve">Scope of </w:t>
      </w:r>
      <w:r w:rsidRPr="00FA3533">
        <w:t>review</w:t>
      </w:r>
      <w:bookmarkEnd w:id="185"/>
      <w:bookmarkEnd w:id="186"/>
      <w:bookmarkEnd w:id="187"/>
    </w:p>
    <w:p w14:paraId="567BF54D" w14:textId="53831443" w:rsidR="008E726F" w:rsidRDefault="008E726F" w:rsidP="008E726F">
      <w:pPr>
        <w:pStyle w:val="BodyText"/>
      </w:pPr>
      <w:r>
        <w:t xml:space="preserve">The relevant mechanisms through which broadband deployment delivery benefit at an aggregate level / to the economy, are highlighted in </w:t>
      </w:r>
      <w:r>
        <w:fldChar w:fldCharType="begin"/>
      </w:r>
      <w:r>
        <w:instrText xml:space="preserve"> REF _Ref69111252 \h </w:instrText>
      </w:r>
      <w:r>
        <w:fldChar w:fldCharType="separate"/>
      </w:r>
      <w:r w:rsidR="00DD5715" w:rsidRPr="007C5D2E">
        <w:rPr>
          <w:rStyle w:val="Bold"/>
        </w:rPr>
        <w:t xml:space="preserve">Figure </w:t>
      </w:r>
      <w:r w:rsidR="00DD5715">
        <w:rPr>
          <w:rStyle w:val="Bold"/>
          <w:noProof/>
        </w:rPr>
        <w:t>28</w:t>
      </w:r>
      <w:r>
        <w:fldChar w:fldCharType="end"/>
      </w:r>
      <w:r>
        <w:t>. Given the focus on business enterprises, we will first focus on enterprise (productivity) effects as highlighted in the blue boxes.</w:t>
      </w:r>
    </w:p>
    <w:p w14:paraId="6C7E6901" w14:textId="3BE0A4FE" w:rsidR="008E726F" w:rsidRDefault="008E726F" w:rsidP="008E726F">
      <w:pPr>
        <w:pStyle w:val="Caption"/>
      </w:pPr>
      <w:bookmarkStart w:id="188" w:name="_Ref69111252"/>
      <w:bookmarkStart w:id="189" w:name="_Toc74684943"/>
      <w:bookmarkStart w:id="190" w:name="_Toc79585089"/>
      <w:r w:rsidRPr="007C5D2E">
        <w:rPr>
          <w:rStyle w:val="Bold"/>
        </w:rPr>
        <w:t xml:space="preserve">Figure </w:t>
      </w:r>
      <w:r w:rsidRPr="007C5D2E">
        <w:rPr>
          <w:rStyle w:val="Bold"/>
        </w:rPr>
        <w:fldChar w:fldCharType="begin"/>
      </w:r>
      <w:r w:rsidRPr="007C5D2E">
        <w:rPr>
          <w:rStyle w:val="Bold"/>
        </w:rPr>
        <w:instrText xml:space="preserve"> SEQ Figure \* ARABIC </w:instrText>
      </w:r>
      <w:r w:rsidRPr="007C5D2E">
        <w:rPr>
          <w:rStyle w:val="Bold"/>
        </w:rPr>
        <w:fldChar w:fldCharType="separate"/>
      </w:r>
      <w:r w:rsidR="00DD5715">
        <w:rPr>
          <w:rStyle w:val="Bold"/>
          <w:noProof/>
        </w:rPr>
        <w:t>28</w:t>
      </w:r>
      <w:r w:rsidRPr="007C5D2E">
        <w:rPr>
          <w:rStyle w:val="Bold"/>
        </w:rPr>
        <w:fldChar w:fldCharType="end"/>
      </w:r>
      <w:bookmarkEnd w:id="188"/>
      <w:r w:rsidRPr="00BE496A">
        <w:t xml:space="preserve">: </w:t>
      </w:r>
      <w:r>
        <w:t xml:space="preserve">Types of </w:t>
      </w:r>
      <w:r w:rsidR="000C0213">
        <w:t>e</w:t>
      </w:r>
      <w:r>
        <w:t xml:space="preserve">conomic </w:t>
      </w:r>
      <w:r w:rsidR="000C0213">
        <w:t>i</w:t>
      </w:r>
      <w:r>
        <w:t>mpact</w:t>
      </w:r>
      <w:bookmarkEnd w:id="189"/>
      <w:bookmarkEnd w:id="190"/>
    </w:p>
    <w:p w14:paraId="488F49FE" w14:textId="551032F8" w:rsidR="008E726F" w:rsidRDefault="00611EEE" w:rsidP="00611EEE">
      <w:r>
        <w:rPr>
          <w:noProof/>
          <w:lang w:eastAsia="en-AU"/>
        </w:rPr>
        <w:drawing>
          <wp:inline distT="0" distB="0" distL="0" distR="0" wp14:anchorId="2C6D0364" wp14:editId="6D27E6CC">
            <wp:extent cx="5701435" cy="2488688"/>
            <wp:effectExtent l="0" t="0" r="0" b="0"/>
            <wp:docPr id="223" name="Picture 223" descr="This figure charts the relevant benefits due to NBN Co’s business initiatives estimated in this study. NBN Co’s business initiatives can lead to&#10;(1) Direct benefits based on increased accessibility and affordability and&#10;(2) Deployment benefits (for example, employment, construction and spending).&#10;&#10;The relevant benefits estimated in this study focus on direct benefits. In particular, the focus is on enterprise (productivity) effects and impacts of these productivity benefits on GD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Picture 222" descr="This figure charts the relevant benefits due to NBN Co’s business initiatives estimated in this study. NBN Co’s business initiatives can lead to&#10;(1) Direct benefits based on increased accessibility and affordability and&#10;(2) Deployment benefits (for example, employment, construction and spending).&#10;&#10;The relevant benefits estimated in this study focus on direct benefits. In particular, the focus is on enterprise (productivity) effects and impacts of these productivity benefits on GDP."/>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721592" cy="2497487"/>
                    </a:xfrm>
                    <a:prstGeom prst="rect">
                      <a:avLst/>
                    </a:prstGeom>
                    <a:noFill/>
                  </pic:spPr>
                </pic:pic>
              </a:graphicData>
            </a:graphic>
          </wp:inline>
        </w:drawing>
      </w:r>
    </w:p>
    <w:p w14:paraId="3C166E37" w14:textId="77777777" w:rsidR="008E726F" w:rsidRPr="003335D6" w:rsidRDefault="008E726F" w:rsidP="003335D6">
      <w:pPr>
        <w:pStyle w:val="Source"/>
      </w:pPr>
      <w:r w:rsidRPr="003335D6">
        <w:t>Source: Frontier Economics, based on ITU (2012)</w:t>
      </w:r>
    </w:p>
    <w:p w14:paraId="438EFEC2" w14:textId="77777777" w:rsidR="008E726F" w:rsidRDefault="008E726F" w:rsidP="008E726F">
      <w:pPr>
        <w:pStyle w:val="BodyText"/>
      </w:pPr>
      <w:r>
        <w:t>Broadly speaking, the review considers three key types of studies:</w:t>
      </w:r>
    </w:p>
    <w:p w14:paraId="5FD03CF4" w14:textId="77777777" w:rsidR="008E726F" w:rsidRDefault="008E726F" w:rsidP="008E726F">
      <w:pPr>
        <w:pStyle w:val="ListNumber1"/>
        <w:spacing w:line="264" w:lineRule="auto"/>
      </w:pPr>
      <w:r w:rsidRPr="0060215E">
        <w:t xml:space="preserve">At an aggregate level, the review focusses on GDP and GDP growth as the </w:t>
      </w:r>
      <w:r>
        <w:t xml:space="preserve">key macroeconomic </w:t>
      </w:r>
      <w:r w:rsidRPr="0060215E">
        <w:t xml:space="preserve">variables likely to be affected by growth in business broadband. </w:t>
      </w:r>
    </w:p>
    <w:p w14:paraId="52BF4CBC" w14:textId="77777777" w:rsidR="008E726F" w:rsidRDefault="008E726F" w:rsidP="008E726F">
      <w:pPr>
        <w:pStyle w:val="ListNumber1"/>
        <w:spacing w:line="264" w:lineRule="auto"/>
      </w:pPr>
      <w:r>
        <w:t xml:space="preserve">At a firm-level, the review focusses on literature one-step removed from GDP impacts of broadband deployment, and examines research on enterprise productivity impacts </w:t>
      </w:r>
    </w:p>
    <w:p w14:paraId="0FEF97F3" w14:textId="77777777" w:rsidR="008E726F" w:rsidRPr="006E2491" w:rsidRDefault="008E726F" w:rsidP="008E726F">
      <w:pPr>
        <w:pStyle w:val="ListNumber1"/>
        <w:spacing w:line="264" w:lineRule="auto"/>
      </w:pPr>
      <w:r>
        <w:t xml:space="preserve">Finally, we consider studies on other </w:t>
      </w:r>
      <w:r w:rsidRPr="0060215E">
        <w:t>partial indicators or variables from aggregate or firm-level studies if credible published data and studies are available</w:t>
      </w:r>
      <w:r>
        <w:t xml:space="preserve">. These examine the broader benefits of broadband deployment, </w:t>
      </w:r>
      <w:r w:rsidRPr="0060215E">
        <w:t>speed or affordability of broadband on</w:t>
      </w:r>
    </w:p>
    <w:p w14:paraId="75A4FBF9" w14:textId="77777777" w:rsidR="008E726F" w:rsidRDefault="008E726F" w:rsidP="008E726F">
      <w:pPr>
        <w:pStyle w:val="ParaBullet2"/>
        <w:spacing w:line="264" w:lineRule="auto"/>
      </w:pPr>
      <w:r>
        <w:t>Development of new businesses (perhaps indicating falling barriers to entry)</w:t>
      </w:r>
    </w:p>
    <w:p w14:paraId="55637039" w14:textId="77777777" w:rsidR="008E726F" w:rsidRDefault="008E726F" w:rsidP="008E726F">
      <w:pPr>
        <w:pStyle w:val="ParaBullet2"/>
        <w:spacing w:line="264" w:lineRule="auto"/>
      </w:pPr>
      <w:r>
        <w:lastRenderedPageBreak/>
        <w:t>Employment and</w:t>
      </w:r>
    </w:p>
    <w:p w14:paraId="62D522C8" w14:textId="77777777" w:rsidR="008E726F" w:rsidRDefault="008E726F" w:rsidP="008E726F">
      <w:pPr>
        <w:pStyle w:val="ParaBullet2"/>
        <w:spacing w:line="264" w:lineRule="auto"/>
      </w:pPr>
      <w:r>
        <w:t>Other notable ancillary benefits</w:t>
      </w:r>
    </w:p>
    <w:p w14:paraId="25A437F6" w14:textId="77777777" w:rsidR="008E726F" w:rsidRDefault="008E726F" w:rsidP="00FA3533">
      <w:pPr>
        <w:pStyle w:val="Heading3"/>
      </w:pPr>
      <w:bookmarkStart w:id="191" w:name="_Toc79671829"/>
      <w:r>
        <w:t xml:space="preserve">Direct </w:t>
      </w:r>
      <w:r w:rsidRPr="00FA3533">
        <w:t>benefits</w:t>
      </w:r>
      <w:bookmarkEnd w:id="191"/>
    </w:p>
    <w:p w14:paraId="2803A206" w14:textId="77777777" w:rsidR="008E726F" w:rsidRDefault="008E726F" w:rsidP="00FA3533">
      <w:pPr>
        <w:pStyle w:val="Heading4"/>
      </w:pPr>
      <w:r>
        <w:t xml:space="preserve">Macroeconomic studies: </w:t>
      </w:r>
      <w:r w:rsidRPr="00FA3533">
        <w:t>broadband</w:t>
      </w:r>
      <w:r>
        <w:t xml:space="preserve"> deployment and its contribution to GDP</w:t>
      </w:r>
    </w:p>
    <w:p w14:paraId="2E6B88DD" w14:textId="77777777" w:rsidR="008E726F" w:rsidRDefault="008E726F" w:rsidP="008E726F">
      <w:pPr>
        <w:pStyle w:val="BodyText"/>
      </w:pPr>
      <w:r>
        <w:t>A number of papers draw a direct empirical association between marginal improvements in broadband deployment and use and the value of production (GDP</w:t>
      </w:r>
      <w:proofErr w:type="gramStart"/>
      <w:r>
        <w:t>) .</w:t>
      </w:r>
      <w:proofErr w:type="gramEnd"/>
      <w:r>
        <w:t xml:space="preserve"> These studies have been conducted at a state or sub-state level and generally find positive macroeconomic </w:t>
      </w:r>
      <w:r w:rsidRPr="00E57A9D">
        <w:t>effects of investment in broadband infrastructure.</w:t>
      </w:r>
      <w:r>
        <w:t xml:space="preserve"> Most often these studies examine impacts of improved broadband </w:t>
      </w:r>
      <w:r w:rsidRPr="00A37AE7">
        <w:rPr>
          <w:i/>
          <w:iCs/>
        </w:rPr>
        <w:t>speed</w:t>
      </w:r>
      <w:r>
        <w:t xml:space="preserve">, or </w:t>
      </w:r>
      <w:r w:rsidRPr="00A37AE7">
        <w:t>increased</w:t>
      </w:r>
      <w:r>
        <w:t xml:space="preserve"> </w:t>
      </w:r>
      <w:r w:rsidRPr="00A37AE7">
        <w:rPr>
          <w:i/>
          <w:iCs/>
        </w:rPr>
        <w:t>penetration</w:t>
      </w:r>
      <w:r>
        <w:t xml:space="preserve"> of improved broadband.</w:t>
      </w:r>
    </w:p>
    <w:p w14:paraId="6E6E411A" w14:textId="77777777" w:rsidR="008E726F" w:rsidRDefault="008E726F" w:rsidP="008E726F">
      <w:pPr>
        <w:pStyle w:val="BodyText"/>
      </w:pPr>
      <w:proofErr w:type="spellStart"/>
      <w:r w:rsidRPr="00525380">
        <w:t>Briglauer</w:t>
      </w:r>
      <w:proofErr w:type="spellEnd"/>
      <w:r w:rsidRPr="00525380">
        <w:t xml:space="preserve"> </w:t>
      </w:r>
      <w:r>
        <w:t xml:space="preserve">and </w:t>
      </w:r>
      <w:proofErr w:type="spellStart"/>
      <w:r>
        <w:t>Guglar</w:t>
      </w:r>
      <w:proofErr w:type="spellEnd"/>
      <w:r w:rsidRPr="00525380">
        <w:t xml:space="preserve"> (2019)</w:t>
      </w:r>
      <w:r>
        <w:t xml:space="preserve"> use data on EU27 member states over the period 2001-2015 to study the impacts of the incremental effect of end-to-end fibre-based broadband relative to basic (non-fibre) broadband. It therefore is primarily measuring </w:t>
      </w:r>
      <w:r w:rsidRPr="00A37AE7">
        <w:rPr>
          <w:b/>
          <w:bCs/>
        </w:rPr>
        <w:t>speed</w:t>
      </w:r>
      <w:r>
        <w:t xml:space="preserve"> or </w:t>
      </w:r>
      <w:r w:rsidRPr="00A37AE7">
        <w:rPr>
          <w:b/>
          <w:bCs/>
        </w:rPr>
        <w:t>other quality</w:t>
      </w:r>
      <w:r>
        <w:t xml:space="preserve"> effects. They found that a 1% increase in fibre adoption leads to an increase of 0.002%-0.005% of GDP, or, alternatively that moving from basic broadband to 100% fibre broadband would increase GDP by 0.2% to 0.5% per year - equivalent to $3.6-$9.0 billion in Australia.</w:t>
      </w:r>
      <w:r>
        <w:rPr>
          <w:rStyle w:val="FootnoteReference"/>
        </w:rPr>
        <w:footnoteReference w:id="60"/>
      </w:r>
      <w:r>
        <w:t xml:space="preserve"> This study appears related to the circumstances of the NBN business fibre rollout as i</w:t>
      </w:r>
      <w:r w:rsidR="0079034A">
        <w:t>t</w:t>
      </w:r>
      <w:r>
        <w:t xml:space="preserve"> examines an incremental improvement to existing broadband infrastructure to new generations of broadband.</w:t>
      </w:r>
      <w:r>
        <w:rPr>
          <w:rStyle w:val="FootnoteReference"/>
        </w:rPr>
        <w:footnoteReference w:id="61"/>
      </w:r>
      <w:r>
        <w:t xml:space="preserve"> </w:t>
      </w:r>
    </w:p>
    <w:p w14:paraId="16C472D7" w14:textId="77777777" w:rsidR="008E726F" w:rsidRPr="00413827" w:rsidRDefault="008E726F" w:rsidP="008E726F">
      <w:pPr>
        <w:pStyle w:val="BodyText"/>
      </w:pPr>
      <w:proofErr w:type="spellStart"/>
      <w:r w:rsidRPr="00413827">
        <w:t>Briglauer</w:t>
      </w:r>
      <w:proofErr w:type="spellEnd"/>
      <w:r w:rsidRPr="00413827">
        <w:t xml:space="preserve"> et al. (2021) explore </w:t>
      </w:r>
      <w:r w:rsidRPr="00752D96">
        <w:t>effects of broadband</w:t>
      </w:r>
      <w:r>
        <w:t xml:space="preserve"> deployment</w:t>
      </w:r>
      <w:r w:rsidRPr="00752D96">
        <w:t xml:space="preserve"> on regional GDP using German county-level data. They find that </w:t>
      </w:r>
      <w:r>
        <w:t xml:space="preserve">for each unit increase broadband speed (by 1 </w:t>
      </w:r>
      <w:r w:rsidR="002D3DE4">
        <w:t>Mbps</w:t>
      </w:r>
      <w:r>
        <w:t xml:space="preserve">), there is a positive contribution to regional GDP of 0.18% on average. The further find there are ‘spill over’ effects. Namely, a unit increase in broadband speed of nearby counties also contributes </w:t>
      </w:r>
      <w:proofErr w:type="gramStart"/>
      <w:r>
        <w:t>to</w:t>
      </w:r>
      <w:proofErr w:type="gramEnd"/>
      <w:r>
        <w:t xml:space="preserve"> positively to regional GDP.</w:t>
      </w:r>
      <w:r>
        <w:rPr>
          <w:rStyle w:val="FootnoteReference"/>
        </w:rPr>
        <w:footnoteReference w:id="62"/>
      </w:r>
      <w:r>
        <w:t xml:space="preserve"> Taking both the direct impact of speed and the speed of neighbouring counties into account, a 1 </w:t>
      </w:r>
      <w:r w:rsidR="002D3DE4">
        <w:t>Mbps</w:t>
      </w:r>
      <w:r>
        <w:t xml:space="preserve"> increase in speed contributes to 0.31% increase in regional GDP.</w:t>
      </w:r>
    </w:p>
    <w:p w14:paraId="09766745" w14:textId="77777777" w:rsidR="008E726F" w:rsidRDefault="008E726F" w:rsidP="008E726F">
      <w:pPr>
        <w:pStyle w:val="BodyText"/>
      </w:pPr>
      <w:proofErr w:type="spellStart"/>
      <w:r>
        <w:t>Soza</w:t>
      </w:r>
      <w:proofErr w:type="spellEnd"/>
      <w:r>
        <w:t xml:space="preserve"> (2014) examine the effect of gigabit broadband</w:t>
      </w:r>
      <w:r>
        <w:rPr>
          <w:rStyle w:val="FootnoteReference"/>
        </w:rPr>
        <w:footnoteReference w:id="63"/>
      </w:r>
      <w:r>
        <w:t xml:space="preserve"> on GDP per capita using data from nine </w:t>
      </w:r>
      <w:r w:rsidRPr="00071D8F">
        <w:t>metropolitan statistical area</w:t>
      </w:r>
      <w:r>
        <w:t>s (MSAs)</w:t>
      </w:r>
      <w:r w:rsidRPr="00071D8F">
        <w:t xml:space="preserve"> </w:t>
      </w:r>
      <w:r>
        <w:t xml:space="preserve">which have more than 50% gigabit broadband coverage in the United States. By comparing them to MSAs in the same state, they found that </w:t>
      </w:r>
      <w:r w:rsidRPr="00041501">
        <w:t>GDP per capita was about 1.1 per cent higher in states that have more than 50 per cent gigabit coverage</w:t>
      </w:r>
      <w:r>
        <w:t>. However, our view is that with a lack of controls at the level of the MSA, this is likely to overstate the causal impact of the high-speed broadband on GDP.</w:t>
      </w:r>
      <w:r>
        <w:rPr>
          <w:rStyle w:val="FootnoteReference"/>
        </w:rPr>
        <w:footnoteReference w:id="64"/>
      </w:r>
    </w:p>
    <w:p w14:paraId="1E646848" w14:textId="77777777" w:rsidR="008E726F" w:rsidRDefault="008E726F" w:rsidP="008E726F">
      <w:pPr>
        <w:pStyle w:val="BodyText"/>
      </w:pPr>
      <w:r>
        <w:rPr>
          <w:shd w:val="clear" w:color="auto" w:fill="FFFFFF"/>
        </w:rPr>
        <w:lastRenderedPageBreak/>
        <w:t xml:space="preserve">Most other macroeconomic studies to date have analysed the investment or adoption up to basic broadband, either explicitly or implicitly as indicated by the range of speed improvement that the research examines. For example, </w:t>
      </w:r>
      <w:r w:rsidRPr="00425D52">
        <w:t xml:space="preserve">Gruber </w:t>
      </w:r>
      <w:r>
        <w:t xml:space="preserve">et al. (2014) consider incremental improvements in (the speed of) broadband that  utilise data on </w:t>
      </w:r>
      <w:r w:rsidRPr="00425D52">
        <w:t xml:space="preserve">EU27 </w:t>
      </w:r>
      <w:r>
        <w:t xml:space="preserve">nations over </w:t>
      </w:r>
      <w:r w:rsidRPr="00425D52">
        <w:t>2005</w:t>
      </w:r>
      <w:r>
        <w:t xml:space="preserve"> to </w:t>
      </w:r>
      <w:r w:rsidRPr="00425D52">
        <w:t>2011</w:t>
      </w:r>
      <w:r>
        <w:t xml:space="preserve"> to find that having broadband speeds above 2 MB/s relative to speeds of 2 MB/s or slower positively impact GDP growth by 0.032%.</w:t>
      </w:r>
      <w:r>
        <w:rPr>
          <w:rStyle w:val="FootnoteReference"/>
        </w:rPr>
        <w:footnoteReference w:id="65"/>
      </w:r>
    </w:p>
    <w:p w14:paraId="0D015E10" w14:textId="77777777" w:rsidR="008E726F" w:rsidRDefault="008E726F" w:rsidP="008E726F">
      <w:pPr>
        <w:pStyle w:val="BodyText"/>
      </w:pPr>
      <w:r>
        <w:t xml:space="preserve">In an older study, </w:t>
      </w:r>
      <w:proofErr w:type="spellStart"/>
      <w:r w:rsidRPr="007F5020">
        <w:t>Rohman</w:t>
      </w:r>
      <w:proofErr w:type="spellEnd"/>
      <w:r w:rsidRPr="007F5020">
        <w:t xml:space="preserve"> and </w:t>
      </w:r>
      <w:proofErr w:type="spellStart"/>
      <w:r w:rsidRPr="007F5020">
        <w:t>Bohlin</w:t>
      </w:r>
      <w:proofErr w:type="spellEnd"/>
      <w:r>
        <w:t xml:space="preserve"> (</w:t>
      </w:r>
      <w:r w:rsidRPr="007F5020">
        <w:t>2012</w:t>
      </w:r>
      <w:r>
        <w:t>) seek to identify a more general impact of broadband speed on GDP. They utilise data from 33 OECD countries over 2008-2010 and found that d</w:t>
      </w:r>
      <w:r w:rsidRPr="00B25E9C">
        <w:t>oubling the broadband speed contributes 0.3% GDP growth</w:t>
      </w:r>
      <w:r>
        <w:t>, controlling for a range of demographic factors and broadband penetration and price. Given their modelling suggests a linear impact of broadband speed on GDP growth, an implication is that the impact of broadband improvements is greater for countries that experienced lower economic growth in previous years (relatively). These results – that a d</w:t>
      </w:r>
      <w:r w:rsidRPr="00B25E9C">
        <w:t>oubling the broadband speed contributes 0.3% GDP growth</w:t>
      </w:r>
      <w:r>
        <w:t xml:space="preserve"> – correspond with results from a subsequent study on the impact of broadband in the United Kingdom (</w:t>
      </w:r>
      <w:r>
        <w:rPr>
          <w:lang w:val="en-SG"/>
        </w:rPr>
        <w:t>SQW, 2013).</w:t>
      </w:r>
      <w:r>
        <w:rPr>
          <w:rStyle w:val="FootnoteReference"/>
          <w:lang w:val="en-SG"/>
        </w:rPr>
        <w:footnoteReference w:id="66"/>
      </w:r>
      <w:r w:rsidRPr="00D76302">
        <w:rPr>
          <w:lang w:val="en-SG"/>
        </w:rPr>
        <w:t xml:space="preserve"> </w:t>
      </w:r>
      <w:r>
        <w:rPr>
          <w:lang w:val="en-SG"/>
        </w:rPr>
        <w:t xml:space="preserve">In this subsequent study, they further </w:t>
      </w:r>
      <w:r>
        <w:t>emphasise</w:t>
      </w:r>
      <w:r w:rsidRPr="00D76302">
        <w:t xml:space="preserve"> that evidence of the relationship between broadband speed and productivity has yet to be fully addressed in the academic literature and the impact estimate is uncertain</w:t>
      </w:r>
      <w:r>
        <w:t>.</w:t>
      </w:r>
      <w:r>
        <w:rPr>
          <w:rStyle w:val="FootnoteReference"/>
        </w:rPr>
        <w:footnoteReference w:id="67"/>
      </w:r>
    </w:p>
    <w:p w14:paraId="08823F5E" w14:textId="77777777" w:rsidR="008E726F" w:rsidRDefault="008E726F" w:rsidP="008E726F">
      <w:pPr>
        <w:pStyle w:val="BodyText"/>
      </w:pPr>
      <w:r>
        <w:t xml:space="preserve">A few studies examine the GDP impact of broadband deployment as a result of increased </w:t>
      </w:r>
      <w:r w:rsidRPr="00A37AE7">
        <w:rPr>
          <w:b/>
          <w:bCs/>
        </w:rPr>
        <w:t>penetration</w:t>
      </w:r>
      <w:r>
        <w:t>. For example, ITU (2018) link broadband penetration to GDP and found that a 1% increase in broadband subscriber penetration leads to a 0.08% increase in GDP. As an intermediate step, ITU also present indicative results on the impact of HHI</w:t>
      </w:r>
      <w:r>
        <w:rPr>
          <w:rStyle w:val="FootnoteReference"/>
        </w:rPr>
        <w:footnoteReference w:id="68"/>
      </w:r>
      <w:r>
        <w:t xml:space="preserve"> in the broadband market on broadband subscriber penetration. They find that 0.1 decrease in HHI in fixed line broadband market is associated with a 3.5% increase in fixed broadband subscriber penetration.</w:t>
      </w:r>
      <w:r>
        <w:rPr>
          <w:rStyle w:val="FootnoteReference"/>
        </w:rPr>
        <w:footnoteReference w:id="69"/>
      </w:r>
      <w:r>
        <w:t xml:space="preserve"> </w:t>
      </w:r>
      <w:proofErr w:type="spellStart"/>
      <w:r w:rsidRPr="00EC7FF5">
        <w:t>Koutroumpis</w:t>
      </w:r>
      <w:proofErr w:type="spellEnd"/>
      <w:r w:rsidRPr="00EC7FF5">
        <w:t xml:space="preserve"> (2009)</w:t>
      </w:r>
      <w:r>
        <w:t xml:space="preserve"> conducts similar research based on 22 OECD countries and found a positive contribution of broadband deployment to GDP, though found that this impact increased with the level of existing fixed broadband penetration in the country. In particular, he found that 1% increase in broadband adoption contributes to 0.008% to 0.014% to GDP growth depending on existing broadband penetration. This suggests there are increasing returns to scale of broadband deployment. An update by </w:t>
      </w:r>
      <w:proofErr w:type="spellStart"/>
      <w:r>
        <w:t>Koutroumpis</w:t>
      </w:r>
      <w:proofErr w:type="spellEnd"/>
      <w:r>
        <w:t xml:space="preserve"> for </w:t>
      </w:r>
      <w:proofErr w:type="spellStart"/>
      <w:r>
        <w:t>Ofcom</w:t>
      </w:r>
      <w:proofErr w:type="spellEnd"/>
      <w:r>
        <w:t xml:space="preserve"> (2018) using more recent data confirmed these findings, including that:</w:t>
      </w:r>
    </w:p>
    <w:p w14:paraId="07C5AB6E" w14:textId="77777777" w:rsidR="008E726F" w:rsidRDefault="008E726F" w:rsidP="008E726F">
      <w:pPr>
        <w:pStyle w:val="ListBullet1"/>
        <w:spacing w:line="264" w:lineRule="auto"/>
      </w:pPr>
      <w:r>
        <w:t>the increase in broadband connections per 100 people from 3.8 (2002) to 31.3 (2016) contributed to a cumulative GDP increase of 4.34% for the countries in the sample</w:t>
      </w:r>
    </w:p>
    <w:p w14:paraId="454E49DE" w14:textId="77777777" w:rsidR="008E726F" w:rsidRDefault="008E726F" w:rsidP="008E726F">
      <w:pPr>
        <w:pStyle w:val="ListBullet1"/>
        <w:spacing w:line="264" w:lineRule="auto"/>
      </w:pPr>
      <w:r>
        <w:lastRenderedPageBreak/>
        <w:t>the effect declined as penetration increased, so that a ten-line increase from 10 to 20 lines yielded 1.40% GDP increase but 20 to 30 lines per 100 people lead to a 0.82% GDP impact.</w:t>
      </w:r>
      <w:r>
        <w:rPr>
          <w:rStyle w:val="FootnoteReference"/>
        </w:rPr>
        <w:footnoteReference w:id="70"/>
      </w:r>
      <w:r>
        <w:t xml:space="preserve"> </w:t>
      </w:r>
    </w:p>
    <w:p w14:paraId="6774983F" w14:textId="77777777" w:rsidR="008E726F" w:rsidRDefault="008E726F" w:rsidP="00FA3533">
      <w:pPr>
        <w:pStyle w:val="Heading4"/>
      </w:pPr>
      <w:r>
        <w:t xml:space="preserve">Firm-level studies: </w:t>
      </w:r>
      <w:r w:rsidRPr="00FA3533">
        <w:t>broadband</w:t>
      </w:r>
      <w:r>
        <w:t xml:space="preserve"> deployment and its contribution to enterprise productivity</w:t>
      </w:r>
    </w:p>
    <w:p w14:paraId="7F01977A" w14:textId="77777777" w:rsidR="008E726F" w:rsidRDefault="008E726F" w:rsidP="008E726F">
      <w:pPr>
        <w:pStyle w:val="BodyText"/>
      </w:pPr>
      <w:r>
        <w:t>There is some literature focussed on firm-level productivity impacts of broadband deployment, which does not quantify the contribution of these productivity improvements on GDP. While these cannot be used directly to estimate broad or general effects, growth in productivity has been closely tied to GDP growth in the field of economics since Solow’s (1957) seminal paper on explanations for output growth. More recent literature on general purpose technologies highlights that broadband can be an “engines for growth.” It is increasing pervasive, improving over time, and leading to complementary innovation (</w:t>
      </w:r>
      <w:proofErr w:type="spellStart"/>
      <w:r>
        <w:t>Bresnahan</w:t>
      </w:r>
      <w:proofErr w:type="spellEnd"/>
      <w:r>
        <w:t xml:space="preserve"> and </w:t>
      </w:r>
      <w:proofErr w:type="spellStart"/>
      <w:r>
        <w:t>Trajtenberg</w:t>
      </w:r>
      <w:proofErr w:type="spellEnd"/>
      <w:r>
        <w:t xml:space="preserve"> 1995).</w:t>
      </w:r>
    </w:p>
    <w:p w14:paraId="7B1D276A" w14:textId="77777777" w:rsidR="008E726F" w:rsidRDefault="008E726F" w:rsidP="008E726F">
      <w:pPr>
        <w:pStyle w:val="BodyText"/>
      </w:pPr>
      <w:r>
        <w:t xml:space="preserve">As with macroeconomic studies, older firm-level studies largely examined </w:t>
      </w:r>
      <w:r w:rsidRPr="00B2381E">
        <w:t>investment or adoption up to basic broadband</w:t>
      </w:r>
      <w:r>
        <w:t xml:space="preserve">, while newer studies include coverage of faster broadband. The results of these studies are mixed, with the following five studies identifying positive effects: </w:t>
      </w:r>
    </w:p>
    <w:p w14:paraId="287E16B4" w14:textId="77777777" w:rsidR="008E726F" w:rsidRDefault="008E726F" w:rsidP="008E726F">
      <w:pPr>
        <w:pStyle w:val="ListBullet1"/>
        <w:spacing w:line="264" w:lineRule="auto"/>
      </w:pPr>
      <w:proofErr w:type="spellStart"/>
      <w:r>
        <w:t>Canzian</w:t>
      </w:r>
      <w:proofErr w:type="spellEnd"/>
      <w:r>
        <w:t xml:space="preserve"> et al. (2019) studied the effect of broadband accessibility in rural areas on firm performance of limited companies in Italy. They found that the availability</w:t>
      </w:r>
      <w:r>
        <w:rPr>
          <w:rStyle w:val="FootnoteReference"/>
        </w:rPr>
        <w:footnoteReference w:id="71"/>
      </w:r>
      <w:r>
        <w:t xml:space="preserve"> of ADSL2+ contributes to a 9.1% increase in total factor productivity, accumulated over two years following ADSL2+ activation.</w:t>
      </w:r>
      <w:r>
        <w:rPr>
          <w:rStyle w:val="FootnoteReference"/>
        </w:rPr>
        <w:footnoteReference w:id="72"/>
      </w:r>
      <w:r>
        <w:t xml:space="preserve"> </w:t>
      </w:r>
    </w:p>
    <w:p w14:paraId="0839C159" w14:textId="77777777" w:rsidR="008E726F" w:rsidRDefault="008E726F" w:rsidP="008E726F">
      <w:pPr>
        <w:pStyle w:val="ListBullet1"/>
        <w:spacing w:line="264" w:lineRule="auto"/>
      </w:pPr>
      <w:r>
        <w:t>In a more qualitative study from</w:t>
      </w:r>
      <w:r w:rsidRPr="00F122BB">
        <w:t xml:space="preserve"> </w:t>
      </w:r>
      <w:r>
        <w:t xml:space="preserve">2016 </w:t>
      </w:r>
      <w:r w:rsidRPr="00F122BB">
        <w:t>study prepared for the European Commission</w:t>
      </w:r>
      <w:r>
        <w:t xml:space="preserve"> by a consortium of consultants</w:t>
      </w:r>
      <w:r>
        <w:rPr>
          <w:rStyle w:val="FootnoteReference"/>
        </w:rPr>
        <w:footnoteReference w:id="73"/>
      </w:r>
      <w:r>
        <w:t xml:space="preserve"> they found broadband speed is positively correlated with total factor productivity across major industrial sectors. </w:t>
      </w:r>
    </w:p>
    <w:p w14:paraId="2ABB3186" w14:textId="77777777" w:rsidR="008E726F" w:rsidRDefault="008E726F" w:rsidP="008E726F">
      <w:pPr>
        <w:pStyle w:val="ListBullet1"/>
        <w:spacing w:line="264" w:lineRule="auto"/>
      </w:pPr>
      <w:proofErr w:type="spellStart"/>
      <w:r>
        <w:t>Mölleryd</w:t>
      </w:r>
      <w:proofErr w:type="spellEnd"/>
      <w:r>
        <w:t xml:space="preserve"> (2015) had similar findings though positing a specific causal chain to product impacts. He examined the ADSL broadband rollout in the United Kingdom over the period 1999-2004 found a positive causal relationship from ADSL enablement to ICT intensity and from ICT intensity to labour productivity in a firm. </w:t>
      </w:r>
    </w:p>
    <w:p w14:paraId="6A67B260" w14:textId="77777777" w:rsidR="008E726F" w:rsidRDefault="008E726F" w:rsidP="008E726F">
      <w:pPr>
        <w:pStyle w:val="ListBullet1"/>
        <w:spacing w:line="264" w:lineRule="auto"/>
      </w:pPr>
      <w:r>
        <w:t>Grimes et al. (2012) found that broadband adoption boosts productivity</w:t>
      </w:r>
      <w:r>
        <w:rPr>
          <w:rStyle w:val="FootnoteReference"/>
        </w:rPr>
        <w:footnoteReference w:id="74"/>
      </w:r>
      <w:r>
        <w:t xml:space="preserve"> within New Zealand firms. The study uses survey data from 2006, which compromises a representative, economy-wide sample of approximately 6,000 firms with at least six employees. The authors find an impact of between 7 to 10 percent improvement in productivity across all firms. The authors </w:t>
      </w:r>
      <w:r>
        <w:lastRenderedPageBreak/>
        <w:t xml:space="preserve">further find that productivity improvements were not dependent on the </w:t>
      </w:r>
      <w:bookmarkStart w:id="192" w:name="_Hlk69986659"/>
      <w:r>
        <w:t>knowledge intensity of the sector</w:t>
      </w:r>
      <w:bookmarkEnd w:id="192"/>
      <w:r>
        <w:t xml:space="preserve"> and whether the firm is located in an urban or rural location. </w:t>
      </w:r>
      <w:r>
        <w:rPr>
          <w:rStyle w:val="FootnoteReference"/>
        </w:rPr>
        <w:footnoteReference w:id="75"/>
      </w:r>
    </w:p>
    <w:p w14:paraId="2732FEC5" w14:textId="77777777" w:rsidR="008E726F" w:rsidRDefault="008E726F" w:rsidP="008E726F">
      <w:pPr>
        <w:pStyle w:val="ListBullet1"/>
        <w:spacing w:line="264" w:lineRule="auto"/>
      </w:pPr>
      <w:proofErr w:type="spellStart"/>
      <w:r w:rsidRPr="006D1104">
        <w:t>Ipsos</w:t>
      </w:r>
      <w:proofErr w:type="spellEnd"/>
      <w:r w:rsidRPr="006D1104">
        <w:t xml:space="preserve"> MORI (2018)</w:t>
      </w:r>
      <w:r>
        <w:t xml:space="preserve"> evaluated the impacts of the deployment of UK’s Superfast Broadband Programme in which the federal government provided co-funding to local bodies in England for broadband deployment.</w:t>
      </w:r>
      <w:r>
        <w:rPr>
          <w:rStyle w:val="FootnoteReference"/>
          <w:lang w:val="en-AU"/>
        </w:rPr>
        <w:footnoteReference w:id="76"/>
      </w:r>
      <w:r>
        <w:t xml:space="preserve"> The study found the co-funding led to improved firm productivity of firms in the subsidised areas (1-2 years following deployment), largely due to firms relocating to receive the subsidised broadband coverage.</w:t>
      </w:r>
      <w:r>
        <w:rPr>
          <w:rStyle w:val="FootnoteReference"/>
          <w:lang w:val="en-AU"/>
        </w:rPr>
        <w:footnoteReference w:id="77"/>
      </w:r>
    </w:p>
    <w:p w14:paraId="6A6482A3" w14:textId="77777777" w:rsidR="008E726F" w:rsidRDefault="008E726F" w:rsidP="008E726F">
      <w:pPr>
        <w:pStyle w:val="BodyText"/>
      </w:pPr>
      <w:r>
        <w:t>A further three studies found little or no positive association between broadband adoption and productivity:</w:t>
      </w:r>
    </w:p>
    <w:p w14:paraId="2CF49476" w14:textId="77777777" w:rsidR="008E726F" w:rsidRDefault="008E726F" w:rsidP="008E726F">
      <w:pPr>
        <w:pStyle w:val="ListBullet1"/>
        <w:spacing w:line="264" w:lineRule="auto"/>
      </w:pPr>
      <w:r>
        <w:t xml:space="preserve">In another study however, </w:t>
      </w:r>
      <w:proofErr w:type="spellStart"/>
      <w:r>
        <w:t>Akerman</w:t>
      </w:r>
      <w:proofErr w:type="spellEnd"/>
      <w:r>
        <w:t xml:space="preserve"> et al. (2015) did not find a general positive association between broadband adoption and productivity. In particular, they use data on Norwegian firms and finds that the adoption of broadband only boots firm productivity for skilled workers, while reducing productivity for unskilled workers. </w:t>
      </w:r>
    </w:p>
    <w:p w14:paraId="3DF04643" w14:textId="77777777" w:rsidR="008E726F" w:rsidRDefault="008E726F" w:rsidP="008E726F">
      <w:pPr>
        <w:pStyle w:val="ListBullet1"/>
        <w:spacing w:line="264" w:lineRule="auto"/>
      </w:pPr>
      <w:r>
        <w:t xml:space="preserve">Haller and Lyons (2015) employed Irish firm-level data and also fail to find a general positive relationship between broadband adoption and productivity. Focussing on the manufacturing industry, they found no significant impact of firms adopting faster DSL (speeds above 2 MB/s relative to speeds of 2 MB/s or slower) on firm productivity. </w:t>
      </w:r>
    </w:p>
    <w:p w14:paraId="45C4588C" w14:textId="77777777" w:rsidR="008E726F" w:rsidRDefault="008E726F" w:rsidP="008E726F">
      <w:pPr>
        <w:pStyle w:val="ListBullet1"/>
        <w:spacing w:line="264" w:lineRule="auto"/>
      </w:pPr>
      <w:r>
        <w:t xml:space="preserve">Similarly, in a working paper by Fabling and Grimes for </w:t>
      </w:r>
      <w:r w:rsidRPr="00190ABE">
        <w:t>Motu Economic and Public Policy Research</w:t>
      </w:r>
      <w:r>
        <w:t xml:space="preserve"> (2016) they found a lack of impact on firm productivity due to ultrafast broadband adoption, through focusing on data from the rollout of ultra-fast broadband in New Zealand.</w:t>
      </w:r>
      <w:r>
        <w:rPr>
          <w:rStyle w:val="FootnoteReference"/>
        </w:rPr>
        <w:footnoteReference w:id="78"/>
      </w:r>
      <w:r>
        <w:t xml:space="preserve"> They further suggest productivity improvements may be available for firms that make complementary business capital investments to improve their ICT utilisation.</w:t>
      </w:r>
      <w:r>
        <w:rPr>
          <w:rStyle w:val="FootnoteReference"/>
        </w:rPr>
        <w:footnoteReference w:id="79"/>
      </w:r>
      <w:r>
        <w:t xml:space="preserve"> However, they qualify this further result by suggesting the relationship between concurrent investment, broadband adoption and productivity may not be causal.</w:t>
      </w:r>
    </w:p>
    <w:p w14:paraId="1885D565" w14:textId="77777777" w:rsidR="008E726F" w:rsidRDefault="008E726F" w:rsidP="008E726F">
      <w:pPr>
        <w:pStyle w:val="BodyText"/>
      </w:pPr>
      <w:r>
        <w:lastRenderedPageBreak/>
        <w:t>A key lesson that emerges from the literature is that firms may only realise the potential benefits of broadband if broadband improvements are combined with sufficient changes in how the business operates.</w:t>
      </w:r>
    </w:p>
    <w:p w14:paraId="615831B2" w14:textId="77777777" w:rsidR="008E726F" w:rsidRDefault="008E726F" w:rsidP="00FA3533">
      <w:pPr>
        <w:pStyle w:val="Heading4"/>
      </w:pPr>
      <w:r>
        <w:t xml:space="preserve">Broader impacts of </w:t>
      </w:r>
      <w:r w:rsidRPr="00FA3533">
        <w:t>broadband</w:t>
      </w:r>
      <w:r>
        <w:t xml:space="preserve"> deployment</w:t>
      </w:r>
    </w:p>
    <w:p w14:paraId="0F7767BD" w14:textId="77777777" w:rsidR="008E726F" w:rsidRDefault="008E726F" w:rsidP="00FA3533">
      <w:pPr>
        <w:pStyle w:val="Heading5"/>
      </w:pPr>
      <w:r>
        <w:t>Employment, job creation and wages</w:t>
      </w:r>
    </w:p>
    <w:p w14:paraId="72D36A9D" w14:textId="77777777" w:rsidR="008E726F" w:rsidRDefault="008E726F" w:rsidP="008E726F">
      <w:pPr>
        <w:pStyle w:val="BodyText"/>
      </w:pPr>
      <w:r>
        <w:t xml:space="preserve">The aforementioned </w:t>
      </w:r>
      <w:proofErr w:type="spellStart"/>
      <w:r w:rsidRPr="00525380">
        <w:t>Briglauer</w:t>
      </w:r>
      <w:proofErr w:type="spellEnd"/>
      <w:r w:rsidRPr="00525380">
        <w:t xml:space="preserve"> et al. (2019)</w:t>
      </w:r>
      <w:r>
        <w:t xml:space="preserve"> paper also explored the impacts of </w:t>
      </w:r>
      <w:r w:rsidRPr="00525380">
        <w:t>increase</w:t>
      </w:r>
      <w:r>
        <w:t>d</w:t>
      </w:r>
      <w:r w:rsidRPr="00525380">
        <w:t xml:space="preserve"> in broadband coverage </w:t>
      </w:r>
      <w:r>
        <w:t xml:space="preserve">on job creation, wages and employment. While it found increases in the local employment rate as a result of greater coverage, </w:t>
      </w:r>
      <w:r w:rsidRPr="00525380">
        <w:t xml:space="preserve">no </w:t>
      </w:r>
      <w:r>
        <w:t xml:space="preserve">statistically </w:t>
      </w:r>
      <w:r w:rsidRPr="00525380">
        <w:t>significant effect on local job creation or wages</w:t>
      </w:r>
      <w:r>
        <w:t xml:space="preserve"> were found. </w:t>
      </w:r>
    </w:p>
    <w:p w14:paraId="33AE08A4" w14:textId="77777777" w:rsidR="008E726F" w:rsidRDefault="008E726F" w:rsidP="008E726F">
      <w:pPr>
        <w:pStyle w:val="BodyText"/>
      </w:pPr>
      <w:r>
        <w:t xml:space="preserve">Bai (2017) also explores the effect of broadband deployment on employment, though via deployment impact on internet speed. The paper relied on </w:t>
      </w:r>
      <w:r w:rsidRPr="00DE35E6">
        <w:t>US county-level data for the years from 2011 to 2014</w:t>
      </w:r>
      <w:r>
        <w:t xml:space="preserve"> and found a positive association between broadband speed and job creation. However, despite the positive impact of broadband speed at lower speeds, the estimates from the paper does not find a positive employment impact of going from ‘fast’ to ‘very fast’ broadband.</w:t>
      </w:r>
      <w:r>
        <w:rPr>
          <w:rStyle w:val="FootnoteReference"/>
        </w:rPr>
        <w:footnoteReference w:id="80"/>
      </w:r>
      <w:r>
        <w:t xml:space="preserve"> </w:t>
      </w:r>
    </w:p>
    <w:p w14:paraId="368E3BF1" w14:textId="77777777" w:rsidR="008E726F" w:rsidRPr="00826439" w:rsidRDefault="008E726F" w:rsidP="008E726F">
      <w:pPr>
        <w:pStyle w:val="BodyText"/>
        <w:rPr>
          <w:lang w:val="en-GB"/>
        </w:rPr>
      </w:pPr>
      <w:proofErr w:type="spellStart"/>
      <w:r>
        <w:t>Mölleryd</w:t>
      </w:r>
      <w:proofErr w:type="spellEnd"/>
      <w:r>
        <w:t xml:space="preserve"> (2015) found an association between fibre penetration and employment using municipal level data from Sweden from 2010-2012, finding that 10% higher fibre penetration is correlated with 1.1% higher employment.</w:t>
      </w:r>
      <w:r>
        <w:rPr>
          <w:rStyle w:val="FootnoteReference"/>
        </w:rPr>
        <w:footnoteReference w:id="81"/>
      </w:r>
      <w:r>
        <w:t xml:space="preserve"> </w:t>
      </w:r>
      <w:r w:rsidRPr="00987749">
        <w:t xml:space="preserve">Singer et al. (2015) </w:t>
      </w:r>
      <w:r>
        <w:t xml:space="preserve">also conduct a municipal level study and explore </w:t>
      </w:r>
      <w:r w:rsidRPr="00987749">
        <w:t>the deployment of FTTP</w:t>
      </w:r>
      <w:r w:rsidRPr="00987749">
        <w:rPr>
          <w:vertAlign w:val="superscript"/>
        </w:rPr>
        <w:footnoteReference w:id="82"/>
      </w:r>
      <w:r w:rsidRPr="00987749">
        <w:t xml:space="preserve"> broadband in Canada</w:t>
      </w:r>
      <w:r>
        <w:t xml:space="preserve">. They found </w:t>
      </w:r>
      <w:r w:rsidRPr="00987749">
        <w:t>that 100% deployment at the municipal level leads to an increase in employment of around 2.9% for that municipality</w:t>
      </w:r>
      <w:r>
        <w:t>.</w:t>
      </w:r>
    </w:p>
    <w:p w14:paraId="099E6784" w14:textId="77777777" w:rsidR="008E726F" w:rsidRPr="00811E33" w:rsidRDefault="008E726F" w:rsidP="00FA3533">
      <w:pPr>
        <w:pStyle w:val="Heading5"/>
      </w:pPr>
      <w:r w:rsidRPr="00811E33">
        <w:t xml:space="preserve">Development of new </w:t>
      </w:r>
      <w:r w:rsidRPr="00FA3533">
        <w:t>businesses</w:t>
      </w:r>
      <w:r w:rsidRPr="00811E33">
        <w:t xml:space="preserve"> </w:t>
      </w:r>
    </w:p>
    <w:p w14:paraId="1CF5FA10" w14:textId="77777777" w:rsidR="008E726F" w:rsidRDefault="008E726F" w:rsidP="008E726F">
      <w:pPr>
        <w:pStyle w:val="BodyText"/>
      </w:pPr>
      <w:r>
        <w:t xml:space="preserve">In a conference paper, </w:t>
      </w:r>
      <w:proofErr w:type="spellStart"/>
      <w:r>
        <w:t>Hasbi</w:t>
      </w:r>
      <w:proofErr w:type="spellEnd"/>
      <w:r>
        <w:t xml:space="preserve"> (2017) uses French municipal-level data for non-farm sectors over 9 years (2006-2014), a period over which high-speed broadband was deployed in France</w:t>
      </w:r>
      <w:r>
        <w:rPr>
          <w:rStyle w:val="FootnoteReference"/>
        </w:rPr>
        <w:footnoteReference w:id="83"/>
      </w:r>
      <w:r>
        <w:t xml:space="preserve"> He found that municipalities where high-speed broadband is deployed have 3.2% higher business creation of sole proprietorships than municipalities where high-speed broadband is not deployed. In a similar study, McCoy et al. (2016) find that the availability of fibre-based infrastructure has a positive impact on business creation but only in areas where high-education human capital is available</w:t>
      </w:r>
      <w:r w:rsidRPr="00F55B7C">
        <w:rPr>
          <w:rFonts w:cstheme="minorBidi"/>
        </w:rPr>
        <w:t xml:space="preserve"> </w:t>
      </w:r>
      <w:r>
        <w:t>using data from</w:t>
      </w:r>
      <w:r w:rsidRPr="00F55B7C">
        <w:t xml:space="preserve"> locations which are at or above the 75th percentile of employment density in Ireland</w:t>
      </w:r>
      <w:r>
        <w:t>.</w:t>
      </w:r>
      <w:r>
        <w:rPr>
          <w:rStyle w:val="FootnoteReference"/>
        </w:rPr>
        <w:footnoteReference w:id="84"/>
      </w:r>
      <w:r>
        <w:t xml:space="preserve"> The </w:t>
      </w:r>
      <w:proofErr w:type="spellStart"/>
      <w:r>
        <w:t>Mölleryd</w:t>
      </w:r>
      <w:proofErr w:type="spellEnd"/>
      <w:r>
        <w:t xml:space="preserve"> (2015) study found that an increase of broadband fibre penetration of 10% led to business creation by one additional company per 12000 </w:t>
      </w:r>
      <w:r>
        <w:lastRenderedPageBreak/>
        <w:t>inhabitants per year, equivalent to around 2100 additional businesses a year based on current Australia’s population.</w:t>
      </w:r>
    </w:p>
    <w:p w14:paraId="2386F9C0" w14:textId="77777777" w:rsidR="008E726F" w:rsidRDefault="008E726F" w:rsidP="008E726F">
      <w:pPr>
        <w:pStyle w:val="BodyText"/>
      </w:pPr>
      <w:proofErr w:type="spellStart"/>
      <w:r>
        <w:t>AlphaBeta</w:t>
      </w:r>
      <w:proofErr w:type="spellEnd"/>
      <w:r>
        <w:t xml:space="preserve"> Australia (2020) also found positive associations between broadband </w:t>
      </w:r>
      <w:proofErr w:type="gramStart"/>
      <w:r>
        <w:t>deployment</w:t>
      </w:r>
      <w:proofErr w:type="gramEnd"/>
      <w:r>
        <w:t xml:space="preserve"> on job creation, especially for metropolitan areas.</w:t>
      </w:r>
    </w:p>
    <w:p w14:paraId="0C280E99" w14:textId="77777777" w:rsidR="008E726F" w:rsidRDefault="008E726F" w:rsidP="00FA3533">
      <w:pPr>
        <w:pStyle w:val="Heading5"/>
      </w:pPr>
      <w:r>
        <w:t xml:space="preserve">Other </w:t>
      </w:r>
      <w:r w:rsidRPr="00FA3533">
        <w:t>impacts</w:t>
      </w:r>
    </w:p>
    <w:p w14:paraId="77C4C0DF" w14:textId="77777777" w:rsidR="008E726F" w:rsidRPr="00472D8C" w:rsidRDefault="008E726F" w:rsidP="008E726F">
      <w:pPr>
        <w:pStyle w:val="BodyText"/>
      </w:pPr>
      <w:r>
        <w:t>A number of studies have examined ancillary benefits of broadband deployment.</w:t>
      </w:r>
    </w:p>
    <w:p w14:paraId="52281B2E" w14:textId="77777777" w:rsidR="008E726F" w:rsidRPr="00ED36B3" w:rsidRDefault="008E726F" w:rsidP="008E726F">
      <w:pPr>
        <w:pStyle w:val="BodyText"/>
      </w:pPr>
      <w:r>
        <w:t xml:space="preserve">The aforementioned </w:t>
      </w:r>
      <w:proofErr w:type="spellStart"/>
      <w:r>
        <w:t>Mölleryd</w:t>
      </w:r>
      <w:proofErr w:type="spellEnd"/>
      <w:r>
        <w:t xml:space="preserve"> (2015) study also examined data from Sweden, finding a positive association between the deployment of fibre networks and decreased driving. The idea proposed in the paper was that physical transport may be substituted by high-speed broadband to some extent e.g. the possibility for certain goods and services to be ordered and obtained online in place of a physical trip to a brick and mortar store. Overall, it found that a 10% increase in fibre penetration is correlated with lower drive distances of 135km/</w:t>
      </w:r>
      <w:proofErr w:type="spellStart"/>
      <w:r>
        <w:t>yr</w:t>
      </w:r>
      <w:proofErr w:type="spellEnd"/>
      <w:r>
        <w:t xml:space="preserve">/inhabitant on average. </w:t>
      </w:r>
      <w:r w:rsidRPr="00472D8C">
        <w:t xml:space="preserve">Grimes </w:t>
      </w:r>
      <w:r>
        <w:t xml:space="preserve">and </w:t>
      </w:r>
      <w:r w:rsidRPr="00472D8C">
        <w:t>Townsen</w:t>
      </w:r>
      <w:r>
        <w:t xml:space="preserve">d (2018) examine the impact of fibre broadband rollout in New Zealand and find that its adoption by primary schools increases passing rates in standardised assessment by approximately one percentage point. </w:t>
      </w:r>
    </w:p>
    <w:p w14:paraId="67A78A67" w14:textId="77777777" w:rsidR="008E726F" w:rsidRDefault="008E726F" w:rsidP="008E726F">
      <w:pPr>
        <w:pStyle w:val="BodyText"/>
      </w:pPr>
      <w:proofErr w:type="spellStart"/>
      <w:r>
        <w:t>AlphaBeta</w:t>
      </w:r>
      <w:proofErr w:type="spellEnd"/>
      <w:r>
        <w:t xml:space="preserve"> Australia (2020) posit a number of ancillary benefits of improved broadband related to the labour market. This research is at an aggregate level i.e. does not specifically relevant to business broadband, though suggests improved broadband in general leads to:</w:t>
      </w:r>
    </w:p>
    <w:p w14:paraId="21757154" w14:textId="77777777" w:rsidR="008E726F" w:rsidRDefault="008E726F" w:rsidP="008E726F">
      <w:pPr>
        <w:pStyle w:val="ListBullet1"/>
        <w:spacing w:line="264" w:lineRule="auto"/>
      </w:pPr>
      <w:r w:rsidRPr="006E702D">
        <w:rPr>
          <w:b/>
          <w:bCs/>
        </w:rPr>
        <w:t>Teleworking benefits</w:t>
      </w:r>
      <w:r>
        <w:t>:</w:t>
      </w:r>
      <w:r>
        <w:rPr>
          <w:rStyle w:val="FootnoteReference"/>
        </w:rPr>
        <w:footnoteReference w:id="85"/>
      </w:r>
      <w:r>
        <w:t xml:space="preserve"> Additional people able to work from home, which are estimated to lead to additional total working hours based on survey data</w:t>
      </w:r>
    </w:p>
    <w:p w14:paraId="31896A2D" w14:textId="77777777" w:rsidR="008E726F" w:rsidRDefault="008E726F" w:rsidP="008E726F">
      <w:pPr>
        <w:pStyle w:val="ListBullet1"/>
        <w:spacing w:line="264" w:lineRule="auto"/>
      </w:pPr>
      <w:r w:rsidRPr="00ED36B3">
        <w:rPr>
          <w:b/>
          <w:bCs/>
        </w:rPr>
        <w:t>Job search benefits</w:t>
      </w:r>
      <w:r>
        <w:t>: Additional people undertaking online education which they would not have otherwise undertaken. They then use ABS data on hours worked and earnings to determine the impact of holding a qualification on earnings and find a positive relationship</w:t>
      </w:r>
    </w:p>
    <w:p w14:paraId="7FBAFED6" w14:textId="77777777" w:rsidR="008E726F" w:rsidRDefault="008E726F" w:rsidP="008E726F">
      <w:pPr>
        <w:pStyle w:val="ListBullet1"/>
        <w:spacing w:line="264" w:lineRule="auto"/>
      </w:pPr>
      <w:r w:rsidRPr="00ED36B3">
        <w:rPr>
          <w:b/>
          <w:bCs/>
        </w:rPr>
        <w:t>Online education benefits</w:t>
      </w:r>
      <w:r>
        <w:t>: Additional people engaging in online job search, which is expected to lead to reduced time spent searching for work-based job-search literature</w:t>
      </w:r>
      <w:r>
        <w:rPr>
          <w:rStyle w:val="FootnoteReference"/>
        </w:rPr>
        <w:footnoteReference w:id="86"/>
      </w:r>
    </w:p>
    <w:p w14:paraId="43CF4450" w14:textId="77777777" w:rsidR="008E726F" w:rsidRDefault="008E726F" w:rsidP="00077577">
      <w:pPr>
        <w:pStyle w:val="Heading3"/>
      </w:pPr>
      <w:bookmarkStart w:id="193" w:name="_Toc74574329"/>
      <w:bookmarkStart w:id="194" w:name="_Ref75716600"/>
      <w:bookmarkStart w:id="195" w:name="_Toc79671830"/>
      <w:r>
        <w:t xml:space="preserve">Assessing the evidence from </w:t>
      </w:r>
      <w:r w:rsidRPr="00077577">
        <w:t>literature</w:t>
      </w:r>
      <w:r>
        <w:t xml:space="preserve"> review</w:t>
      </w:r>
      <w:bookmarkEnd w:id="193"/>
      <w:bookmarkEnd w:id="194"/>
      <w:bookmarkEnd w:id="195"/>
    </w:p>
    <w:p w14:paraId="017C928C" w14:textId="77777777" w:rsidR="008E726F" w:rsidRDefault="008E726F" w:rsidP="008E726F">
      <w:pPr>
        <w:pStyle w:val="BodyText"/>
      </w:pPr>
      <w:r>
        <w:t>How we will use the relevant literature will depend on the type of literature assessed:</w:t>
      </w:r>
    </w:p>
    <w:p w14:paraId="230EC467" w14:textId="77777777" w:rsidR="008E726F" w:rsidRDefault="008E726F" w:rsidP="008C7A5E">
      <w:pPr>
        <w:pStyle w:val="ListNumber1"/>
        <w:numPr>
          <w:ilvl w:val="0"/>
          <w:numId w:val="15"/>
        </w:numPr>
        <w:spacing w:line="264" w:lineRule="auto"/>
      </w:pPr>
      <w:r>
        <w:t>Macroeconomic studies that look at the impact of deployment on GDP and GDP growth</w:t>
      </w:r>
    </w:p>
    <w:p w14:paraId="08915819" w14:textId="77777777" w:rsidR="008E726F" w:rsidRDefault="008E726F" w:rsidP="008E726F">
      <w:pPr>
        <w:pStyle w:val="ListBullet1"/>
        <w:numPr>
          <w:ilvl w:val="0"/>
          <w:numId w:val="0"/>
        </w:numPr>
        <w:ind w:left="284"/>
      </w:pPr>
      <w:r>
        <w:t xml:space="preserve">These studies identify impacts of deployment at the municipal to national level of improved broadband (typically </w:t>
      </w:r>
      <w:proofErr w:type="spellStart"/>
      <w:r>
        <w:t>proxied</w:t>
      </w:r>
      <w:proofErr w:type="spellEnd"/>
      <w:r>
        <w:t xml:space="preserve"> via improvements in speed). However, the impacts quantified in these studies will</w:t>
      </w:r>
      <w:r w:rsidRPr="00826439">
        <w:t xml:space="preserve"> have to be applied carefully</w:t>
      </w:r>
      <w:r>
        <w:t xml:space="preserve"> to NBN </w:t>
      </w:r>
      <w:proofErr w:type="spellStart"/>
      <w:r>
        <w:t>Co’s</w:t>
      </w:r>
      <w:proofErr w:type="spellEnd"/>
      <w:r>
        <w:t xml:space="preserve"> initiatives</w:t>
      </w:r>
      <w:r w:rsidRPr="000B60A4">
        <w:t>.</w:t>
      </w:r>
      <w:r>
        <w:t xml:space="preserve"> These studies are at a relatively high level of aggregation, for instance, looking at the impact of broadband deployment on GDP due to its aggregate affect in a state, municipality, or other bounded area. In general, this means that these studies do not necessarily look specifically at deployment of broadband for business. Additionally, many of the studies look at adoption of </w:t>
      </w:r>
      <w:r>
        <w:lastRenderedPageBreak/>
        <w:t xml:space="preserve">early broadband technologies, while we are interested mostly in the adoption of fibre or later broadband technologies in general, where macroeconomic effects may be different. The study and results of </w:t>
      </w:r>
      <w:proofErr w:type="spellStart"/>
      <w:r w:rsidRPr="00525380">
        <w:t>Briglauer</w:t>
      </w:r>
      <w:proofErr w:type="spellEnd"/>
      <w:r w:rsidRPr="00525380">
        <w:t xml:space="preserve"> </w:t>
      </w:r>
      <w:r>
        <w:t xml:space="preserve">and </w:t>
      </w:r>
      <w:proofErr w:type="spellStart"/>
      <w:r>
        <w:t>Guglar</w:t>
      </w:r>
      <w:proofErr w:type="spellEnd"/>
      <w:r w:rsidRPr="00525380">
        <w:t xml:space="preserve"> (2019)</w:t>
      </w:r>
      <w:r>
        <w:t xml:space="preserve"> </w:t>
      </w:r>
      <w:r w:rsidR="009A60F2">
        <w:t xml:space="preserve">and </w:t>
      </w:r>
      <w:proofErr w:type="spellStart"/>
      <w:r w:rsidR="009A60F2">
        <w:t>Briglauer</w:t>
      </w:r>
      <w:proofErr w:type="spellEnd"/>
      <w:r w:rsidR="009A60F2">
        <w:t xml:space="preserve"> et al (2021) </w:t>
      </w:r>
      <w:r>
        <w:t>are likely to be the most relevant for this study.</w:t>
      </w:r>
    </w:p>
    <w:p w14:paraId="4AED6A4C" w14:textId="77777777" w:rsidR="008E726F" w:rsidRDefault="008E726F" w:rsidP="008C7A5E">
      <w:pPr>
        <w:pStyle w:val="ListNumber1"/>
        <w:numPr>
          <w:ilvl w:val="0"/>
          <w:numId w:val="15"/>
        </w:numPr>
        <w:spacing w:line="264" w:lineRule="auto"/>
      </w:pPr>
      <w:r>
        <w:t>Firm-level studies that look at the impact of broadband deployment on firm productivity</w:t>
      </w:r>
    </w:p>
    <w:p w14:paraId="1113B214" w14:textId="77777777" w:rsidR="008E726F" w:rsidRDefault="008E726F" w:rsidP="008E726F">
      <w:pPr>
        <w:pStyle w:val="ParaBullet2"/>
        <w:numPr>
          <w:ilvl w:val="0"/>
          <w:numId w:val="0"/>
        </w:numPr>
        <w:ind w:left="284"/>
      </w:pPr>
      <w:r>
        <w:t xml:space="preserve">These studies are potentially more useful as they identify and test for causal relationships between broadband deployment and firm outcomes. These studies present a mixed picture on effects and can be quite region and time-specific, but can be used to develop upper and lower bound impacts for firms in different industry sectors or locations. The studies of </w:t>
      </w:r>
      <w:proofErr w:type="spellStart"/>
      <w:r>
        <w:t>Canzian</w:t>
      </w:r>
      <w:proofErr w:type="spellEnd"/>
      <w:r>
        <w:t xml:space="preserve"> (2019) and Grimes et al (2012) appear most relevant to this study</w:t>
      </w:r>
      <w:r w:rsidR="005C0632">
        <w:t>, although the Grimes et al study is now dated</w:t>
      </w:r>
      <w:r>
        <w:t xml:space="preserve">. </w:t>
      </w:r>
    </w:p>
    <w:p w14:paraId="3BA35792" w14:textId="77777777" w:rsidR="008E726F" w:rsidRDefault="008E726F" w:rsidP="008E726F">
      <w:pPr>
        <w:pStyle w:val="ParaBullet2"/>
        <w:numPr>
          <w:ilvl w:val="0"/>
          <w:numId w:val="0"/>
        </w:numPr>
        <w:ind w:left="284"/>
      </w:pPr>
    </w:p>
    <w:p w14:paraId="04635F9F" w14:textId="77777777" w:rsidR="008E726F" w:rsidRPr="00857B00" w:rsidRDefault="008E726F" w:rsidP="008E726F">
      <w:pPr>
        <w:pStyle w:val="ParaBullet2"/>
        <w:numPr>
          <w:ilvl w:val="0"/>
          <w:numId w:val="0"/>
        </w:numPr>
        <w:ind w:left="284"/>
        <w:sectPr w:rsidR="008E726F" w:rsidRPr="00857B00" w:rsidSect="002D3DE4">
          <w:footerReference w:type="first" r:id="rId66"/>
          <w:pgSz w:w="11906" w:h="16838" w:code="9"/>
          <w:pgMar w:top="2007" w:right="1440" w:bottom="1440" w:left="1440" w:header="567" w:footer="567" w:gutter="0"/>
          <w:cols w:space="708"/>
          <w:docGrid w:linePitch="360"/>
        </w:sectPr>
      </w:pPr>
    </w:p>
    <w:p w14:paraId="73581998" w14:textId="79E2498E" w:rsidR="00A91058" w:rsidRDefault="00FA3533" w:rsidP="00FA3533">
      <w:pPr>
        <w:pStyle w:val="Heading2"/>
      </w:pPr>
      <w:bookmarkStart w:id="196" w:name="_Toc74574330"/>
      <w:bookmarkStart w:id="197" w:name="_Toc79671831"/>
      <w:r>
        <w:lastRenderedPageBreak/>
        <w:t>B</w:t>
      </w:r>
      <w:r>
        <w:tab/>
      </w:r>
      <w:r w:rsidR="00924020">
        <w:t xml:space="preserve">Further details on </w:t>
      </w:r>
      <w:r w:rsidR="00924020" w:rsidRPr="00FA3533">
        <w:t>benefits</w:t>
      </w:r>
      <w:r w:rsidR="00924020">
        <w:t xml:space="preserve"> methodology</w:t>
      </w:r>
      <w:bookmarkEnd w:id="196"/>
      <w:bookmarkEnd w:id="197"/>
    </w:p>
    <w:p w14:paraId="15DADD53" w14:textId="5D6157D6" w:rsidR="00001CCB" w:rsidRDefault="00001CCB" w:rsidP="00FA3533">
      <w:pPr>
        <w:pStyle w:val="Heading3"/>
      </w:pPr>
      <w:bookmarkStart w:id="198" w:name="_Toc79671832"/>
      <w:r>
        <w:t>Estimation of gross value added</w:t>
      </w:r>
      <w:bookmarkEnd w:id="198"/>
    </w:p>
    <w:p w14:paraId="08696B6F" w14:textId="77777777" w:rsidR="00F61293" w:rsidRPr="00EF1C88" w:rsidRDefault="00F61293" w:rsidP="00FA3533">
      <w:pPr>
        <w:pStyle w:val="Heading4"/>
      </w:pPr>
      <w:r>
        <w:t xml:space="preserve">Gross value added in each industry by </w:t>
      </w:r>
      <w:r w:rsidR="00D358F3">
        <w:t>statistical areas</w:t>
      </w:r>
    </w:p>
    <w:p w14:paraId="4F4B303B" w14:textId="77777777" w:rsidR="00D358F3" w:rsidRDefault="00D358F3" w:rsidP="00001CCB">
      <w:pPr>
        <w:pStyle w:val="BodyText"/>
      </w:pPr>
      <w:r>
        <w:t xml:space="preserve">We use GVA to weight estimates in particular locations. We estimate GVA in each Statistical Area Level 2 (SA2) as the relevant unit and align these with Business Fibre Zones. </w:t>
      </w:r>
      <w:r w:rsidRPr="00D358F3">
        <w:t>SA2</w:t>
      </w:r>
      <w:r>
        <w:t>s</w:t>
      </w:r>
      <w:r w:rsidRPr="00D358F3">
        <w:t xml:space="preserve"> are medium-sized general purpose areas built up from whole S</w:t>
      </w:r>
      <w:r>
        <w:t>A1s, with</w:t>
      </w:r>
      <w:r w:rsidRPr="00D358F3">
        <w:t xml:space="preserve"> a population range of 3,000 to 25,000 persons</w:t>
      </w:r>
      <w:r>
        <w:t xml:space="preserve"> and a</w:t>
      </w:r>
      <w:r w:rsidRPr="00D358F3">
        <w:t>n average population of about 10,000 persons.</w:t>
      </w:r>
      <w:r>
        <w:rPr>
          <w:rStyle w:val="FootnoteReference"/>
        </w:rPr>
        <w:footnoteReference w:id="87"/>
      </w:r>
    </w:p>
    <w:p w14:paraId="12861609" w14:textId="77777777" w:rsidR="00001CCB" w:rsidRDefault="00001CCB" w:rsidP="00001CCB">
      <w:pPr>
        <w:pStyle w:val="BodyText"/>
      </w:pPr>
      <w:r>
        <w:t xml:space="preserve">To estimate </w:t>
      </w:r>
      <w:r w:rsidR="00F61293">
        <w:t xml:space="preserve">GVA </w:t>
      </w:r>
      <w:r>
        <w:t>by SA2 and by industry/</w:t>
      </w:r>
      <w:r w:rsidR="00FD7E22">
        <w:t>Business Fibre Zone</w:t>
      </w:r>
      <w:r w:rsidR="00F61293">
        <w:t xml:space="preserve"> (BFZ)</w:t>
      </w:r>
      <w:r>
        <w:t>, we first estimate GVA for each industry for each SA2.</w:t>
      </w:r>
    </w:p>
    <w:p w14:paraId="3D081F80" w14:textId="77777777" w:rsidR="00001CCB" w:rsidRDefault="00001CCB" w:rsidP="00001CCB">
      <w:pPr>
        <w:pStyle w:val="BodyText"/>
      </w:pPr>
      <w:r>
        <w:t>To derive GVA by industry/region we first used ABS data on turnover by industry by SA2 area.</w:t>
      </w:r>
      <w:r>
        <w:rPr>
          <w:rStyle w:val="FootnoteReference"/>
        </w:rPr>
        <w:footnoteReference w:id="88"/>
      </w:r>
      <w:r>
        <w:t xml:space="preserve"> However, this data presents turnover rather than GVA, and presents turnover as counts of businesses within turnover size ranges. To convert to GVA, we supplement with alternative sources of data.</w:t>
      </w:r>
    </w:p>
    <w:p w14:paraId="7BAD4F3B" w14:textId="77777777" w:rsidR="00001CCB" w:rsidRDefault="00001CCB" w:rsidP="00001CCB">
      <w:pPr>
        <w:pStyle w:val="BodyText"/>
      </w:pPr>
      <w:r>
        <w:t>We take ABS data on industry turnover (income) in 2020</w:t>
      </w:r>
      <w:r>
        <w:rPr>
          <w:rStyle w:val="FootnoteReference"/>
        </w:rPr>
        <w:footnoteReference w:id="89"/>
      </w:r>
      <w:r>
        <w:t xml:space="preserve">  and gross value added in FY2020.</w:t>
      </w:r>
      <w:r>
        <w:rPr>
          <w:rStyle w:val="FootnoteReference"/>
        </w:rPr>
        <w:footnoteReference w:id="90"/>
      </w:r>
      <w:r>
        <w:t xml:space="preserve"> This allows us to construct a ratio between turnover and GVA for each industry, as well as the total GVA for each industry. However, turnover information was not available for Division K: Financial and Insurance Services; we used the Rental, Hiring and Real Estate Services industry as a comparator for the ratio between turnover and GVA.</w:t>
      </w:r>
    </w:p>
    <w:p w14:paraId="42C5938D" w14:textId="77777777" w:rsidR="00001CCB" w:rsidRDefault="00001CCB" w:rsidP="00001CCB">
      <w:pPr>
        <w:pStyle w:val="BodyText"/>
      </w:pPr>
      <w:r>
        <w:t>For each industry, we take the total number of businesses in each of the turnover size bins, and reconcile with the total GVA. Rather than taking the midpoint of each turnover bin as the average turnover for businesses in that bin, we instead fit a log-normal distribution of business turnover to the data.</w:t>
      </w:r>
      <w:r>
        <w:rPr>
          <w:rStyle w:val="FootnoteReference"/>
        </w:rPr>
        <w:footnoteReference w:id="91"/>
      </w:r>
      <w:r>
        <w:t xml:space="preserve"> This allows us to estimate the average turnover of firms within each bin. While this method provides an estimate of average turnover (by industry) of firms in the highest “$10M or more” bin, we prefer to use the turnover that equates the observed total GVA to that obtained when summing across turnover bins the number of firms with each bin multiplied by the average turnover of firms in the bin, divided by the turnover to GVA ratio. This yields for each bin/industry, the average GVA of firms in that bin, such that the total GVA reconciles with that in the raw data. This then allows us to derive the GVA of each industry/SA2 area.</w:t>
      </w:r>
    </w:p>
    <w:p w14:paraId="30BA71A6" w14:textId="77777777" w:rsidR="00F61293" w:rsidRDefault="00F61293" w:rsidP="00FA3533">
      <w:pPr>
        <w:pStyle w:val="Heading4"/>
      </w:pPr>
      <w:r>
        <w:lastRenderedPageBreak/>
        <w:t xml:space="preserve">Gross value added in each </w:t>
      </w:r>
      <w:r w:rsidR="00FD7E22" w:rsidRPr="00FA3533">
        <w:t>Business</w:t>
      </w:r>
      <w:r w:rsidR="00FD7E22">
        <w:t xml:space="preserve"> Fibre Zone</w:t>
      </w:r>
    </w:p>
    <w:p w14:paraId="7BA6B695" w14:textId="77777777" w:rsidR="00001CCB" w:rsidRDefault="00001CCB" w:rsidP="00001CCB">
      <w:pPr>
        <w:pStyle w:val="BodyText"/>
      </w:pPr>
      <w:r>
        <w:t>To derive the GVA of each industry in each BFZ, we first find for each BFZ the SA2 areas which are at least partially covered by the BFZ.</w:t>
      </w:r>
      <w:r>
        <w:rPr>
          <w:rStyle w:val="FootnoteReference"/>
        </w:rPr>
        <w:footnoteReference w:id="92"/>
      </w:r>
      <w:r>
        <w:t xml:space="preserve"> We then consider two approaches: </w:t>
      </w:r>
    </w:p>
    <w:p w14:paraId="45B764B2" w14:textId="77777777" w:rsidR="00001CCB" w:rsidRDefault="00001CCB" w:rsidP="00001CCB">
      <w:pPr>
        <w:pStyle w:val="ListBullet1"/>
        <w:numPr>
          <w:ilvl w:val="0"/>
          <w:numId w:val="34"/>
        </w:numPr>
      </w:pPr>
      <w:r>
        <w:t>Allocate the GVA within each SA2 to the BFZ on the basis of the share the SA2 area that is within the BFZ</w:t>
      </w:r>
    </w:p>
    <w:p w14:paraId="279ED02A" w14:textId="77777777" w:rsidR="00001CCB" w:rsidRDefault="00001CCB" w:rsidP="00001CCB">
      <w:pPr>
        <w:pStyle w:val="ListBullet1"/>
        <w:numPr>
          <w:ilvl w:val="0"/>
          <w:numId w:val="34"/>
        </w:numPr>
      </w:pPr>
      <w:r>
        <w:t>Allocate all of the GVA within each SA2 to the BFZ if the BFZ covers at least part of the SA2.</w:t>
      </w:r>
    </w:p>
    <w:p w14:paraId="12A4AA63" w14:textId="77777777" w:rsidR="00001CCB" w:rsidRDefault="00001CCB" w:rsidP="00001CCB">
      <w:pPr>
        <w:pStyle w:val="BodyText"/>
      </w:pPr>
      <w:r>
        <w:t>The first is likely biased downwards, as firms would typically not be uniformly distributed over an SA2; rather they would be located towards the city area, i.e. the BFZ. The second is of course biased upwards, as there are likely some firms located outside the BFZ if the SA2 is only partially covered by the BFZ. As a consequence, we take the average of the two approaches to derive the GVA, by industry, for each BFZ.</w:t>
      </w:r>
    </w:p>
    <w:p w14:paraId="5229443F" w14:textId="77777777" w:rsidR="006C258F" w:rsidRDefault="00001CCB" w:rsidP="00001CCB">
      <w:pPr>
        <w:pStyle w:val="BodyText"/>
      </w:pPr>
      <w:r>
        <w:t>We take ABS data on GVA by industry in 2020.</w:t>
      </w:r>
      <w:r>
        <w:rPr>
          <w:rStyle w:val="FootnoteReference"/>
        </w:rPr>
        <w:footnoteReference w:id="93"/>
      </w:r>
    </w:p>
    <w:p w14:paraId="142C0C24" w14:textId="77777777" w:rsidR="00AB6986" w:rsidRPr="00AB6986" w:rsidRDefault="00720F53" w:rsidP="00FA3533">
      <w:pPr>
        <w:pStyle w:val="Heading3"/>
      </w:pPr>
      <w:bookmarkStart w:id="199" w:name="_Toc79671833"/>
      <w:r>
        <w:t>Productivity benefit</w:t>
      </w:r>
      <w:bookmarkEnd w:id="199"/>
    </w:p>
    <w:p w14:paraId="78DA8017" w14:textId="63BABA68" w:rsidR="000D1EAC" w:rsidRDefault="000D1EAC" w:rsidP="000D1EAC">
      <w:pPr>
        <w:pStyle w:val="BodyText"/>
      </w:pPr>
      <w:r>
        <w:t xml:space="preserve">Our methodology for </w:t>
      </w:r>
      <w:r w:rsidR="00195F51">
        <w:t>estimating</w:t>
      </w:r>
      <w:r>
        <w:t xml:space="preserve"> productivity</w:t>
      </w:r>
      <w:r w:rsidR="00195F51">
        <w:t xml:space="preserve"> gains by industry sector and by location is</w:t>
      </w:r>
      <w:r>
        <w:t xml:space="preserve"> summarised in </w:t>
      </w:r>
      <w:r>
        <w:fldChar w:fldCharType="begin"/>
      </w:r>
      <w:r>
        <w:instrText xml:space="preserve"> REF _Ref74138642 \h </w:instrText>
      </w:r>
      <w:r>
        <w:fldChar w:fldCharType="separate"/>
      </w:r>
      <w:r w:rsidR="00DD5715" w:rsidRPr="002D3DE4">
        <w:rPr>
          <w:rStyle w:val="Bold"/>
        </w:rPr>
        <w:t xml:space="preserve">Figure </w:t>
      </w:r>
      <w:r w:rsidR="00DD5715">
        <w:rPr>
          <w:rStyle w:val="Bold"/>
          <w:noProof/>
        </w:rPr>
        <w:t>13</w:t>
      </w:r>
      <w:r>
        <w:fldChar w:fldCharType="end"/>
      </w:r>
      <w:r>
        <w:t>. In summary, we:</w:t>
      </w:r>
    </w:p>
    <w:p w14:paraId="7170E957" w14:textId="77777777" w:rsidR="000D1EAC" w:rsidRDefault="000D1EAC" w:rsidP="000D1EAC">
      <w:pPr>
        <w:pStyle w:val="ListBullet1"/>
      </w:pPr>
      <w:r>
        <w:t xml:space="preserve">Estimate an average productivity gain from the “treatment” - NBN </w:t>
      </w:r>
      <w:proofErr w:type="spellStart"/>
      <w:r>
        <w:t>Co’s</w:t>
      </w:r>
      <w:proofErr w:type="spellEnd"/>
      <w:r>
        <w:t xml:space="preserve"> relevant business investments and their impact on the internet speed of firms that take up its services</w:t>
      </w:r>
    </w:p>
    <w:p w14:paraId="13B49988" w14:textId="77777777" w:rsidR="000D1EAC" w:rsidRDefault="000D1EAC" w:rsidP="000D1EAC">
      <w:pPr>
        <w:pStyle w:val="ListBullet1"/>
      </w:pPr>
      <w:r>
        <w:t>Decompose that impact by firm industry type and by location.</w:t>
      </w:r>
    </w:p>
    <w:p w14:paraId="1272B1AD" w14:textId="7754D4E2" w:rsidR="000D1EAC" w:rsidRDefault="000D1EAC" w:rsidP="000D1EAC">
      <w:pPr>
        <w:pStyle w:val="Caption"/>
      </w:pPr>
      <w:bookmarkStart w:id="200" w:name="_Toc79585090"/>
      <w:r w:rsidRPr="007C5D2E">
        <w:rPr>
          <w:rStyle w:val="Bold"/>
        </w:rPr>
        <w:t xml:space="preserve">Figure </w:t>
      </w:r>
      <w:r w:rsidRPr="007C5D2E">
        <w:rPr>
          <w:rStyle w:val="Bold"/>
        </w:rPr>
        <w:fldChar w:fldCharType="begin"/>
      </w:r>
      <w:r w:rsidRPr="007C5D2E">
        <w:rPr>
          <w:rStyle w:val="Bold"/>
        </w:rPr>
        <w:instrText xml:space="preserve"> SEQ Figure \* ARABIC </w:instrText>
      </w:r>
      <w:r w:rsidRPr="007C5D2E">
        <w:rPr>
          <w:rStyle w:val="Bold"/>
        </w:rPr>
        <w:fldChar w:fldCharType="separate"/>
      </w:r>
      <w:r w:rsidR="00DD5715">
        <w:rPr>
          <w:rStyle w:val="Bold"/>
          <w:noProof/>
        </w:rPr>
        <w:t>29</w:t>
      </w:r>
      <w:r w:rsidRPr="007C5D2E">
        <w:rPr>
          <w:rStyle w:val="Bold"/>
        </w:rPr>
        <w:fldChar w:fldCharType="end"/>
      </w:r>
      <w:r w:rsidRPr="00BE496A">
        <w:t xml:space="preserve">: </w:t>
      </w:r>
      <w:r>
        <w:t>Methodology for estimating specific firm productivity effects</w:t>
      </w:r>
      <w:bookmarkEnd w:id="200"/>
    </w:p>
    <w:p w14:paraId="55170753" w14:textId="4D3AEE0F" w:rsidR="000D1EAC" w:rsidRDefault="00257A85" w:rsidP="000D1EAC">
      <w:pPr>
        <w:pStyle w:val="Image-Page1fullwidth"/>
        <w:keepNext/>
        <w:framePr w:w="0" w:hSpace="0" w:wrap="auto" w:vAnchor="margin" w:yAlign="inline"/>
        <w:spacing w:after="0" w:line="240" w:lineRule="auto"/>
      </w:pPr>
      <w:r>
        <w:rPr>
          <w:lang w:eastAsia="en-AU"/>
        </w:rPr>
        <w:drawing>
          <wp:inline distT="0" distB="0" distL="0" distR="0" wp14:anchorId="68CB8FE3" wp14:editId="645BDA85">
            <wp:extent cx="5488305" cy="2005573"/>
            <wp:effectExtent l="0" t="0" r="0" b="0"/>
            <wp:docPr id="60" name="Picture 60" descr="This figure highlights the method used for estimating firm productivity effects by sector and location. An average productivity effect is decomposed into sector and location effects using indexes for IT intensity and forecast change in speeds. A measure of complementary investment was also considered, but not adopted due to a lack of relevant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Picture 258" descr="This figure highlights the method used for estimating firm productivity effects by sector and location. An average productivity effect is decomposed into sector and location effects using indexes for IT intensity and forecast change in speeds. A measure of complementary investment was also considered, but not adopted due to a lack of relevant data."/>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498836" cy="2009421"/>
                    </a:xfrm>
                    <a:prstGeom prst="rect">
                      <a:avLst/>
                    </a:prstGeom>
                    <a:noFill/>
                  </pic:spPr>
                </pic:pic>
              </a:graphicData>
            </a:graphic>
          </wp:inline>
        </w:drawing>
      </w:r>
    </w:p>
    <w:p w14:paraId="6F80CDF2" w14:textId="77777777" w:rsidR="000D1EAC" w:rsidRPr="003335D6" w:rsidRDefault="000D1EAC" w:rsidP="003335D6">
      <w:pPr>
        <w:pStyle w:val="Source"/>
      </w:pPr>
      <w:r w:rsidRPr="003335D6">
        <w:t>Source: Frontier Economics</w:t>
      </w:r>
    </w:p>
    <w:p w14:paraId="3B69B21A" w14:textId="77777777" w:rsidR="000D1EAC" w:rsidRPr="00F611FF" w:rsidRDefault="000D1EAC" w:rsidP="000D1EAC">
      <w:pPr>
        <w:pStyle w:val="BodyText"/>
      </w:pPr>
      <w:r>
        <w:t xml:space="preserve">We focus our estimations on firms within </w:t>
      </w:r>
      <w:r w:rsidR="00FD7E22">
        <w:t>Business Fibre Zone</w:t>
      </w:r>
      <w:r>
        <w:t xml:space="preserve">s, as we have the most information on these firms. However, the average results across sectors are also relevant to those firms </w:t>
      </w:r>
      <w:r>
        <w:lastRenderedPageBreak/>
        <w:t xml:space="preserve">outside </w:t>
      </w:r>
      <w:r w:rsidR="00FD7E22">
        <w:t>Business Fibre Zone</w:t>
      </w:r>
      <w:r>
        <w:t>s</w:t>
      </w:r>
      <w:r w:rsidR="00BF55E9">
        <w:t xml:space="preserve"> to the extent that speed increases (caused by increased availability)</w:t>
      </w:r>
      <w:r>
        <w:t>.</w:t>
      </w:r>
    </w:p>
    <w:p w14:paraId="60E26C94" w14:textId="77777777" w:rsidR="00720F53" w:rsidRDefault="00720F53" w:rsidP="00720F53">
      <w:pPr>
        <w:pStyle w:val="BodyText"/>
      </w:pPr>
      <w:r>
        <w:t>The following methodology was applied in calculating productivity benefits resultant from the rollout of the business fibre initiative:</w:t>
      </w:r>
    </w:p>
    <w:p w14:paraId="696C6180" w14:textId="77777777" w:rsidR="00547247" w:rsidRPr="00322939" w:rsidRDefault="00720F53" w:rsidP="00322939">
      <w:pPr>
        <w:pStyle w:val="ListNumber1"/>
        <w:numPr>
          <w:ilvl w:val="0"/>
          <w:numId w:val="25"/>
        </w:numPr>
        <w:rPr>
          <w:b/>
          <w:bCs/>
        </w:rPr>
      </w:pPr>
      <w:r w:rsidRPr="00322939">
        <w:rPr>
          <w:b/>
          <w:bCs/>
        </w:rPr>
        <w:t xml:space="preserve">Utilise </w:t>
      </w:r>
      <w:r w:rsidR="00547247" w:rsidRPr="00322939">
        <w:rPr>
          <w:b/>
          <w:bCs/>
        </w:rPr>
        <w:t>average productivity benefit from credible study</w:t>
      </w:r>
    </w:p>
    <w:p w14:paraId="7DE54F60" w14:textId="57B607E0" w:rsidR="00EF1C64" w:rsidRPr="00EF1C64" w:rsidRDefault="00450422" w:rsidP="00322939">
      <w:pPr>
        <w:pStyle w:val="ListNumber1"/>
        <w:numPr>
          <w:ilvl w:val="0"/>
          <w:numId w:val="0"/>
        </w:numPr>
        <w:ind w:left="284"/>
        <w:rPr>
          <w:lang w:val="en-AU"/>
        </w:rPr>
      </w:pPr>
      <w:r>
        <w:t xml:space="preserve">Based on </w:t>
      </w:r>
      <w:r w:rsidR="00BC5CF4">
        <w:t xml:space="preserve">a review of literature on the productivity </w:t>
      </w:r>
      <w:r>
        <w:t xml:space="preserve">benefits </w:t>
      </w:r>
      <w:r w:rsidR="00EF1C64">
        <w:t>attributable</w:t>
      </w:r>
      <w:r w:rsidR="00BC544F">
        <w:t xml:space="preserve"> from broadband deployment, we identified the credible and relevant stud</w:t>
      </w:r>
      <w:r w:rsidR="00BF55E9">
        <w:t>ies</w:t>
      </w:r>
      <w:r w:rsidR="00BC544F">
        <w:t xml:space="preserve">. </w:t>
      </w:r>
      <w:r w:rsidR="00EF1C64">
        <w:t>Th</w:t>
      </w:r>
      <w:r w:rsidR="00BF55E9">
        <w:t>e most relevant study</w:t>
      </w:r>
      <w:r w:rsidR="00EF1C64">
        <w:t xml:space="preserve"> was identified as the study on productivity benefits by </w:t>
      </w:r>
      <w:proofErr w:type="spellStart"/>
      <w:r w:rsidR="00EF1C64">
        <w:t>Canzian</w:t>
      </w:r>
      <w:proofErr w:type="spellEnd"/>
      <w:r w:rsidR="00EF1C64">
        <w:t xml:space="preserve"> et al. (2019), as described in Appendix </w:t>
      </w:r>
      <w:r w:rsidR="00EF1C64">
        <w:fldChar w:fldCharType="begin"/>
      </w:r>
      <w:r w:rsidR="00EF1C64">
        <w:instrText xml:space="preserve"> REF _Ref75509795 \n \h </w:instrText>
      </w:r>
      <w:r w:rsidR="00EF1C64">
        <w:fldChar w:fldCharType="separate"/>
      </w:r>
      <w:r w:rsidR="00DD5715">
        <w:t>0</w:t>
      </w:r>
      <w:r w:rsidR="00EF1C64">
        <w:fldChar w:fldCharType="end"/>
      </w:r>
      <w:r w:rsidR="00EF1C64">
        <w:t xml:space="preserve">. </w:t>
      </w:r>
      <w:r w:rsidR="00EF1C64">
        <w:rPr>
          <w:lang w:val="en-AU"/>
        </w:rPr>
        <w:t>The study was based on the performance of</w:t>
      </w:r>
      <w:r w:rsidR="00EF1C64" w:rsidRPr="00EF1C64">
        <w:rPr>
          <w:lang w:val="en-AU"/>
        </w:rPr>
        <w:t xml:space="preserve"> limited companies</w:t>
      </w:r>
      <w:r w:rsidR="00EF1C64">
        <w:rPr>
          <w:lang w:val="en-AU"/>
        </w:rPr>
        <w:t xml:space="preserve"> </w:t>
      </w:r>
      <w:r w:rsidR="00EF1C64" w:rsidRPr="00EF1C64">
        <w:rPr>
          <w:lang w:val="en-AU"/>
        </w:rPr>
        <w:t>in the Province of Trento (Italy)</w:t>
      </w:r>
      <w:r w:rsidR="00EF1C64">
        <w:rPr>
          <w:lang w:val="en-AU"/>
        </w:rPr>
        <w:t>.</w:t>
      </w:r>
      <w:r w:rsidR="00BF55E9">
        <w:rPr>
          <w:lang w:val="en-AU"/>
        </w:rPr>
        <w:t xml:space="preserve"> While we are aware of other studies, as described in Annex </w:t>
      </w:r>
      <w:proofErr w:type="gramStart"/>
      <w:r w:rsidR="00BF55E9">
        <w:rPr>
          <w:lang w:val="en-AU"/>
        </w:rPr>
        <w:t>A</w:t>
      </w:r>
      <w:proofErr w:type="gramEnd"/>
      <w:r w:rsidR="00BF55E9">
        <w:rPr>
          <w:lang w:val="en-AU"/>
        </w:rPr>
        <w:t>, these other studies are limited due to their age or relevance of findings.</w:t>
      </w:r>
    </w:p>
    <w:p w14:paraId="61231AF2" w14:textId="77777777" w:rsidR="00BC544F" w:rsidRDefault="00BC544F" w:rsidP="00BC544F">
      <w:pPr>
        <w:pStyle w:val="ListNumber1"/>
        <w:numPr>
          <w:ilvl w:val="0"/>
          <w:numId w:val="0"/>
        </w:numPr>
        <w:ind w:left="284"/>
      </w:pPr>
      <w:r>
        <w:t xml:space="preserve">From this </w:t>
      </w:r>
      <w:r w:rsidR="00BF55E9">
        <w:t xml:space="preserve">study, </w:t>
      </w:r>
      <w:r>
        <w:t xml:space="preserve">we obtained an average productivity benefit experienced </w:t>
      </w:r>
      <w:r w:rsidR="00BF55E9">
        <w:t>from improved</w:t>
      </w:r>
      <w:r>
        <w:t xml:space="preserve"> broadband deployment</w:t>
      </w:r>
      <w:r w:rsidR="00BF55E9">
        <w:t xml:space="preserve"> on business speeds</w:t>
      </w:r>
      <w:r>
        <w:t>.</w:t>
      </w:r>
    </w:p>
    <w:p w14:paraId="1ACDA689" w14:textId="77777777" w:rsidR="00BC544F" w:rsidRDefault="00BC544F" w:rsidP="00BC544F">
      <w:pPr>
        <w:pStyle w:val="ListNumber1"/>
        <w:numPr>
          <w:ilvl w:val="0"/>
          <w:numId w:val="15"/>
        </w:numPr>
        <w:rPr>
          <w:b/>
          <w:bCs/>
        </w:rPr>
      </w:pPr>
      <w:r w:rsidRPr="00322939">
        <w:rPr>
          <w:b/>
          <w:bCs/>
        </w:rPr>
        <w:t>Adjust productivity benefit for Australian circumstances.</w:t>
      </w:r>
    </w:p>
    <w:p w14:paraId="5E7A8978" w14:textId="77777777" w:rsidR="00921EE0" w:rsidRPr="00A63A4B" w:rsidRDefault="00921EE0" w:rsidP="00322939">
      <w:pPr>
        <w:pStyle w:val="ListNumber1"/>
        <w:numPr>
          <w:ilvl w:val="0"/>
          <w:numId w:val="0"/>
        </w:numPr>
        <w:ind w:left="284"/>
      </w:pPr>
      <w:r w:rsidRPr="00322939">
        <w:t>Two</w:t>
      </w:r>
      <w:r>
        <w:t xml:space="preserve"> adjustments were made to the productivity estimate measured in the study to account for relevant differences between the area of the study and Australia.</w:t>
      </w:r>
      <w:r w:rsidRPr="00322939">
        <w:t xml:space="preserve"> </w:t>
      </w:r>
    </w:p>
    <w:p w14:paraId="1DF8A72C" w14:textId="77777777" w:rsidR="00450422" w:rsidRPr="00322939" w:rsidRDefault="00BC544F" w:rsidP="00BC544F">
      <w:pPr>
        <w:pStyle w:val="ListNumber1"/>
        <w:numPr>
          <w:ilvl w:val="0"/>
          <w:numId w:val="24"/>
        </w:numPr>
        <w:rPr>
          <w:b/>
          <w:bCs/>
          <w:lang w:val="en-AU"/>
        </w:rPr>
      </w:pPr>
      <w:r w:rsidRPr="00322939">
        <w:rPr>
          <w:b/>
          <w:bCs/>
        </w:rPr>
        <w:t xml:space="preserve">Based on </w:t>
      </w:r>
      <w:r w:rsidR="0078293A" w:rsidRPr="00322939">
        <w:rPr>
          <w:b/>
          <w:bCs/>
        </w:rPr>
        <w:t xml:space="preserve">average </w:t>
      </w:r>
      <w:r w:rsidRPr="00322939">
        <w:rPr>
          <w:b/>
          <w:bCs/>
        </w:rPr>
        <w:t xml:space="preserve">difference in </w:t>
      </w:r>
      <w:r w:rsidR="00547247" w:rsidRPr="00322939">
        <w:rPr>
          <w:b/>
          <w:bCs/>
        </w:rPr>
        <w:t xml:space="preserve">IT intensity </w:t>
      </w:r>
      <w:r w:rsidRPr="00322939">
        <w:rPr>
          <w:b/>
          <w:bCs/>
        </w:rPr>
        <w:t>between Australia relative to Trento</w:t>
      </w:r>
    </w:p>
    <w:p w14:paraId="67321002" w14:textId="77777777" w:rsidR="00921EE0" w:rsidRPr="00A63A4B" w:rsidRDefault="00921EE0" w:rsidP="00322939">
      <w:pPr>
        <w:pStyle w:val="ListNumber1"/>
        <w:numPr>
          <w:ilvl w:val="0"/>
          <w:numId w:val="0"/>
        </w:numPr>
        <w:ind w:left="284"/>
      </w:pPr>
      <w:r>
        <w:t>Our literature review found that the overall productivity impact of broadband deployment is related to the ICT intensity of the region on which broadband is deployed. As such, we adjust the productivity benefit measured in the study to account for differences in IT intensity between the region of the study and Australia.</w:t>
      </w:r>
    </w:p>
    <w:p w14:paraId="069D1271" w14:textId="77777777" w:rsidR="00450422" w:rsidRDefault="00450422" w:rsidP="00A63A4B">
      <w:pPr>
        <w:pStyle w:val="ListNumber1"/>
        <w:numPr>
          <w:ilvl w:val="0"/>
          <w:numId w:val="0"/>
        </w:numPr>
        <w:ind w:left="284"/>
      </w:pPr>
      <w:r>
        <w:t xml:space="preserve">To calculate these </w:t>
      </w:r>
      <w:r w:rsidR="00BC544F">
        <w:t>intensities,</w:t>
      </w:r>
      <w:r>
        <w:t xml:space="preserve"> we utilised national accounts data from Australian Bureau of Statistics on net capital stock and net IT capital stock by industry. IT intensity </w:t>
      </w:r>
      <w:r w:rsidR="0078293A">
        <w:t>was</w:t>
      </w:r>
      <w:r>
        <w:rPr>
          <w:rFonts w:eastAsiaTheme="minorEastAsia"/>
        </w:rPr>
        <w:t xml:space="preserve"> calculated by dividing </w:t>
      </w:r>
      <w:r w:rsidR="0078293A">
        <w:rPr>
          <w:rFonts w:eastAsiaTheme="minorEastAsia"/>
        </w:rPr>
        <w:t xml:space="preserve">the sum of </w:t>
      </w:r>
      <w:r>
        <w:rPr>
          <w:rFonts w:eastAsiaTheme="minorEastAsia"/>
        </w:rPr>
        <w:t xml:space="preserve">IT capital stock by </w:t>
      </w:r>
      <w:r w:rsidR="0078293A">
        <w:rPr>
          <w:rFonts w:eastAsiaTheme="minorEastAsia"/>
        </w:rPr>
        <w:t xml:space="preserve">the sum of </w:t>
      </w:r>
      <w:r>
        <w:rPr>
          <w:rFonts w:eastAsiaTheme="minorEastAsia"/>
        </w:rPr>
        <w:t>net IT capital stock</w:t>
      </w:r>
      <w:r w:rsidR="0078293A">
        <w:rPr>
          <w:rFonts w:eastAsiaTheme="minorEastAsia"/>
        </w:rPr>
        <w:t xml:space="preserve"> across </w:t>
      </w:r>
      <w:proofErr w:type="gramStart"/>
      <w:r w:rsidR="0078293A">
        <w:rPr>
          <w:rFonts w:eastAsiaTheme="minorEastAsia"/>
        </w:rPr>
        <w:t xml:space="preserve">industries </w:t>
      </w:r>
      <w:proofErr w:type="gramEnd"/>
      <m:oMath>
        <m:r>
          <w:rPr>
            <w:rFonts w:ascii="Cambria Math" w:eastAsiaTheme="minorEastAsia" w:hAnsi="Cambria Math"/>
          </w:rPr>
          <m:t>i</m:t>
        </m:r>
      </m:oMath>
      <w:r w:rsidR="0078293A">
        <w:rPr>
          <w:rFonts w:eastAsiaTheme="minorEastAsia"/>
        </w:rPr>
        <w:t>. This can be expressed algebraically as follows:</w:t>
      </w:r>
    </w:p>
    <w:p w14:paraId="52D93A3D" w14:textId="77777777" w:rsidR="0078293A" w:rsidRDefault="00450422" w:rsidP="0078293A">
      <w:pPr>
        <w:pStyle w:val="ListNumber1"/>
        <w:numPr>
          <w:ilvl w:val="0"/>
          <w:numId w:val="0"/>
        </w:numPr>
        <w:ind w:left="284"/>
        <w:rPr>
          <w:rFonts w:eastAsiaTheme="minorEastAsia"/>
          <w:lang w:val="en-AU"/>
        </w:rPr>
      </w:pPr>
      <m:oMathPara>
        <m:oMath>
          <m:r>
            <w:rPr>
              <w:rFonts w:ascii="Cambria Math" w:hAnsi="Cambria Math"/>
              <w:lang w:val="en-AU"/>
            </w:rPr>
            <m:t>IT intensity=</m:t>
          </m:r>
          <m:f>
            <m:fPr>
              <m:ctrlPr>
                <w:rPr>
                  <w:rFonts w:ascii="Cambria Math" w:hAnsi="Cambria Math"/>
                  <w:i/>
                  <w:lang w:val="en-AU"/>
                </w:rPr>
              </m:ctrlPr>
            </m:fPr>
            <m:num>
              <m:r>
                <w:rPr>
                  <w:rFonts w:ascii="Cambria Math" w:hAnsi="Cambria Math"/>
                  <w:lang w:val="en-AU"/>
                </w:rPr>
                <m:t>∑Net IT capital stoc</m:t>
              </m:r>
              <m:sSub>
                <m:sSubPr>
                  <m:ctrlPr>
                    <w:rPr>
                      <w:rFonts w:ascii="Cambria Math" w:hAnsi="Cambria Math"/>
                      <w:i/>
                      <w:lang w:val="en-AU"/>
                    </w:rPr>
                  </m:ctrlPr>
                </m:sSubPr>
                <m:e>
                  <m:r>
                    <w:rPr>
                      <w:rFonts w:ascii="Cambria Math" w:hAnsi="Cambria Math"/>
                      <w:lang w:val="en-AU"/>
                    </w:rPr>
                    <m:t>k</m:t>
                  </m:r>
                </m:e>
                <m:sub>
                  <m:r>
                    <w:rPr>
                      <w:rFonts w:ascii="Cambria Math" w:hAnsi="Cambria Math"/>
                      <w:lang w:val="en-AU"/>
                    </w:rPr>
                    <m:t>i</m:t>
                  </m:r>
                </m:sub>
              </m:sSub>
            </m:num>
            <m:den>
              <m:r>
                <w:rPr>
                  <w:rFonts w:ascii="Cambria Math" w:hAnsi="Cambria Math"/>
                  <w:lang w:val="en-AU"/>
                </w:rPr>
                <m:t>∑Net capital stoc</m:t>
              </m:r>
              <m:sSub>
                <m:sSubPr>
                  <m:ctrlPr>
                    <w:rPr>
                      <w:rFonts w:ascii="Cambria Math" w:hAnsi="Cambria Math"/>
                      <w:i/>
                      <w:lang w:val="en-AU"/>
                    </w:rPr>
                  </m:ctrlPr>
                </m:sSubPr>
                <m:e>
                  <m:r>
                    <w:rPr>
                      <w:rFonts w:ascii="Cambria Math" w:hAnsi="Cambria Math"/>
                      <w:lang w:val="en-AU"/>
                    </w:rPr>
                    <m:t>k</m:t>
                  </m:r>
                </m:e>
                <m:sub>
                  <m:r>
                    <w:rPr>
                      <w:rFonts w:ascii="Cambria Math" w:hAnsi="Cambria Math"/>
                      <w:lang w:val="en-AU"/>
                    </w:rPr>
                    <m:t>i</m:t>
                  </m:r>
                </m:sub>
              </m:sSub>
            </m:den>
          </m:f>
        </m:oMath>
      </m:oMathPara>
    </w:p>
    <w:p w14:paraId="729C110C" w14:textId="77777777" w:rsidR="0078293A" w:rsidRDefault="0078293A" w:rsidP="00322939">
      <w:pPr>
        <w:pStyle w:val="ListNumber1"/>
        <w:numPr>
          <w:ilvl w:val="0"/>
          <w:numId w:val="0"/>
        </w:numPr>
        <w:ind w:left="284"/>
        <w:rPr>
          <w:lang w:val="en-AU"/>
        </w:rPr>
      </w:pPr>
      <w:r>
        <w:rPr>
          <w:lang w:val="en-AU"/>
        </w:rPr>
        <w:t>For Australia, this was simply the sum of IT capital stock across all industry divided by the sum of net capital stock across all industries</w:t>
      </w:r>
      <w:r w:rsidR="00AB3F65">
        <w:rPr>
          <w:lang w:val="en-AU"/>
        </w:rPr>
        <w:t>, excluding mining and agriculture</w:t>
      </w:r>
      <w:r>
        <w:rPr>
          <w:lang w:val="en-AU"/>
        </w:rPr>
        <w:t>.</w:t>
      </w:r>
      <w:r w:rsidR="00AB3F65">
        <w:rPr>
          <w:rStyle w:val="FootnoteReference"/>
          <w:lang w:val="en-AU"/>
        </w:rPr>
        <w:footnoteReference w:id="94"/>
      </w:r>
      <w:r>
        <w:rPr>
          <w:lang w:val="en-AU"/>
        </w:rPr>
        <w:t xml:space="preserve"> </w:t>
      </w:r>
      <w:proofErr w:type="spellStart"/>
      <w:r w:rsidR="00502941">
        <w:rPr>
          <w:lang w:val="en-AU"/>
        </w:rPr>
        <w:t>Canzian</w:t>
      </w:r>
      <w:proofErr w:type="spellEnd"/>
      <w:r w:rsidR="00EF1C64">
        <w:rPr>
          <w:lang w:val="en-AU"/>
        </w:rPr>
        <w:t xml:space="preserve"> et al.</w:t>
      </w:r>
      <w:r w:rsidR="00502941">
        <w:rPr>
          <w:lang w:val="en-AU"/>
        </w:rPr>
        <w:t xml:space="preserve"> (2019)</w:t>
      </w:r>
      <w:r>
        <w:rPr>
          <w:lang w:val="en-AU"/>
        </w:rPr>
        <w:t xml:space="preserve"> did not include mining and agricultural firms, so these industries were left out in calculating the IT intensity in Trento.</w:t>
      </w:r>
      <w:r>
        <w:rPr>
          <w:rStyle w:val="FootnoteReference"/>
          <w:lang w:val="en-AU"/>
        </w:rPr>
        <w:footnoteReference w:id="95"/>
      </w:r>
      <w:r>
        <w:rPr>
          <w:lang w:val="en-AU"/>
        </w:rPr>
        <w:t xml:space="preserve"> The relative IT intensity of Australia can then be expressed algebraically as follows:</w:t>
      </w:r>
    </w:p>
    <w:p w14:paraId="6846DFDC" w14:textId="77777777" w:rsidR="0078293A" w:rsidRDefault="0078293A" w:rsidP="0078293A">
      <w:pPr>
        <w:pStyle w:val="ListNumber1"/>
        <w:numPr>
          <w:ilvl w:val="0"/>
          <w:numId w:val="0"/>
        </w:numPr>
        <w:ind w:left="284"/>
        <w:rPr>
          <w:rFonts w:eastAsiaTheme="minorEastAsia"/>
          <w:lang w:val="en-AU"/>
        </w:rPr>
      </w:pPr>
      <m:oMathPara>
        <m:oMath>
          <m:r>
            <w:rPr>
              <w:rFonts w:ascii="Cambria Math" w:hAnsi="Cambria Math"/>
              <w:lang w:val="en-AU"/>
            </w:rPr>
            <m:t>IT intensit</m:t>
          </m:r>
          <m:sSub>
            <m:sSubPr>
              <m:ctrlPr>
                <w:rPr>
                  <w:rFonts w:ascii="Cambria Math" w:hAnsi="Cambria Math"/>
                  <w:i/>
                  <w:lang w:val="en-AU"/>
                </w:rPr>
              </m:ctrlPr>
            </m:sSubPr>
            <m:e>
              <m:r>
                <w:rPr>
                  <w:rFonts w:ascii="Cambria Math" w:hAnsi="Cambria Math"/>
                  <w:lang w:val="en-AU"/>
                </w:rPr>
                <m:t>y</m:t>
              </m:r>
            </m:e>
            <m:sub>
              <m:r>
                <w:rPr>
                  <w:rFonts w:ascii="Cambria Math" w:hAnsi="Cambria Math"/>
                  <w:lang w:val="en-AU"/>
                </w:rPr>
                <m:t>relative</m:t>
              </m:r>
            </m:sub>
          </m:sSub>
          <m:r>
            <w:rPr>
              <w:rFonts w:ascii="Cambria Math" w:hAnsi="Cambria Math"/>
              <w:lang w:val="en-AU"/>
            </w:rPr>
            <m:t>=</m:t>
          </m:r>
          <m:f>
            <m:fPr>
              <m:ctrlPr>
                <w:rPr>
                  <w:rFonts w:ascii="Cambria Math" w:hAnsi="Cambria Math"/>
                  <w:i/>
                  <w:lang w:val="en-AU"/>
                </w:rPr>
              </m:ctrlPr>
            </m:fPr>
            <m:num>
              <m:r>
                <w:rPr>
                  <w:rFonts w:ascii="Cambria Math" w:hAnsi="Cambria Math"/>
                  <w:lang w:val="en-AU"/>
                </w:rPr>
                <m:t>IT intensit</m:t>
              </m:r>
              <m:sSub>
                <m:sSubPr>
                  <m:ctrlPr>
                    <w:rPr>
                      <w:rFonts w:ascii="Cambria Math" w:hAnsi="Cambria Math"/>
                      <w:i/>
                      <w:lang w:val="en-AU"/>
                    </w:rPr>
                  </m:ctrlPr>
                </m:sSubPr>
                <m:e>
                  <m:r>
                    <w:rPr>
                      <w:rFonts w:ascii="Cambria Math" w:hAnsi="Cambria Math"/>
                      <w:lang w:val="en-AU"/>
                    </w:rPr>
                    <m:t>y</m:t>
                  </m:r>
                </m:e>
                <m:sub>
                  <m:r>
                    <w:rPr>
                      <w:rFonts w:ascii="Cambria Math" w:hAnsi="Cambria Math"/>
                      <w:lang w:val="en-AU"/>
                    </w:rPr>
                    <m:t>Australia</m:t>
                  </m:r>
                </m:sub>
              </m:sSub>
            </m:num>
            <m:den>
              <m:r>
                <w:rPr>
                  <w:rFonts w:ascii="Cambria Math" w:hAnsi="Cambria Math"/>
                  <w:lang w:val="en-AU"/>
                </w:rPr>
                <m:t>IT intensit</m:t>
              </m:r>
              <m:sSub>
                <m:sSubPr>
                  <m:ctrlPr>
                    <w:rPr>
                      <w:rFonts w:ascii="Cambria Math" w:hAnsi="Cambria Math"/>
                      <w:i/>
                      <w:lang w:val="en-AU"/>
                    </w:rPr>
                  </m:ctrlPr>
                </m:sSubPr>
                <m:e>
                  <m:r>
                    <w:rPr>
                      <w:rFonts w:ascii="Cambria Math" w:hAnsi="Cambria Math"/>
                      <w:lang w:val="en-AU"/>
                    </w:rPr>
                    <m:t>y</m:t>
                  </m:r>
                </m:e>
                <m:sub>
                  <m:r>
                    <w:rPr>
                      <w:rFonts w:ascii="Cambria Math" w:hAnsi="Cambria Math"/>
                      <w:lang w:val="en-AU"/>
                    </w:rPr>
                    <m:t>Trento</m:t>
                  </m:r>
                </m:sub>
              </m:sSub>
            </m:den>
          </m:f>
        </m:oMath>
      </m:oMathPara>
    </w:p>
    <w:p w14:paraId="0206E759" w14:textId="77777777" w:rsidR="0078293A" w:rsidRPr="00322939" w:rsidRDefault="0078293A" w:rsidP="00322939">
      <w:pPr>
        <w:pStyle w:val="ListNumber1"/>
        <w:numPr>
          <w:ilvl w:val="0"/>
          <w:numId w:val="0"/>
        </w:numPr>
        <w:ind w:left="284"/>
        <w:rPr>
          <w:rFonts w:eastAsiaTheme="minorEastAsia"/>
          <w:lang w:val="en-AU"/>
        </w:rPr>
      </w:pPr>
    </w:p>
    <w:p w14:paraId="5DE5EE70" w14:textId="77777777" w:rsidR="00547247" w:rsidRDefault="00BC544F" w:rsidP="00322939">
      <w:pPr>
        <w:pStyle w:val="ListNumber1"/>
        <w:numPr>
          <w:ilvl w:val="0"/>
          <w:numId w:val="0"/>
        </w:numPr>
        <w:ind w:left="284"/>
      </w:pPr>
      <w:r>
        <w:t xml:space="preserve">At the end of this step, </w:t>
      </w:r>
      <w:r w:rsidR="00BC5CF4">
        <w:t xml:space="preserve">we obtain </w:t>
      </w:r>
      <w:proofErr w:type="gramStart"/>
      <w:r w:rsidR="00BC5CF4">
        <w:t>a obtain</w:t>
      </w:r>
      <w:proofErr w:type="gramEnd"/>
      <w:r w:rsidR="00BC5CF4">
        <w:t xml:space="preserve"> an average productivity benefit</w:t>
      </w:r>
      <w:r w:rsidR="00BF55E9">
        <w:t xml:space="preserve"> as</w:t>
      </w:r>
      <w:r w:rsidR="00BC5CF4">
        <w:t xml:space="preserve"> if the study </w:t>
      </w:r>
      <w:r w:rsidR="00BF55E9">
        <w:t>w</w:t>
      </w:r>
      <w:r w:rsidR="00BC5CF4">
        <w:t xml:space="preserve">as </w:t>
      </w:r>
      <w:r w:rsidR="00BF55E9">
        <w:t xml:space="preserve">conducted on Australian firms subject to the same </w:t>
      </w:r>
      <w:r w:rsidR="00BC5CF4">
        <w:t>change in broadband speeds</w:t>
      </w:r>
      <w:r w:rsidR="00BF55E9">
        <w:t>.</w:t>
      </w:r>
    </w:p>
    <w:p w14:paraId="58F925DD" w14:textId="77777777" w:rsidR="00BC544F" w:rsidRPr="00322939" w:rsidRDefault="00BC544F" w:rsidP="00BC544F">
      <w:pPr>
        <w:pStyle w:val="ListNumber1"/>
        <w:numPr>
          <w:ilvl w:val="0"/>
          <w:numId w:val="24"/>
        </w:numPr>
        <w:rPr>
          <w:b/>
          <w:bCs/>
        </w:rPr>
      </w:pPr>
      <w:r w:rsidRPr="00322939">
        <w:rPr>
          <w:b/>
          <w:bCs/>
        </w:rPr>
        <w:t>Based on difference in speed increase experienced in Australia relative to Trento</w:t>
      </w:r>
    </w:p>
    <w:p w14:paraId="692E84B2" w14:textId="77777777" w:rsidR="00A168C9" w:rsidRDefault="00502941" w:rsidP="00BA6FB2">
      <w:pPr>
        <w:pStyle w:val="ListNumber1"/>
        <w:numPr>
          <w:ilvl w:val="0"/>
          <w:numId w:val="0"/>
        </w:numPr>
        <w:ind w:left="284"/>
      </w:pPr>
      <w:r>
        <w:lastRenderedPageBreak/>
        <w:t>A</w:t>
      </w:r>
      <w:r w:rsidR="00921EE0">
        <w:t xml:space="preserve"> key mechanism through which the broadband de</w:t>
      </w:r>
      <w:r>
        <w:t>ployment delivers benefits is via the improved speeds. To account for this, we have adjusted the productivity impact to account for differences in the speed increase experienced in Trento relative to that experienced in Australia.</w:t>
      </w:r>
      <w:r w:rsidR="00BA6FB2">
        <w:t xml:space="preserve"> </w:t>
      </w:r>
    </w:p>
    <w:p w14:paraId="38A592B5" w14:textId="77777777" w:rsidR="00BC544F" w:rsidRDefault="00EF1C64" w:rsidP="00BA6FB2">
      <w:pPr>
        <w:pStyle w:val="ListNumber1"/>
        <w:numPr>
          <w:ilvl w:val="0"/>
          <w:numId w:val="0"/>
        </w:numPr>
        <w:ind w:left="284"/>
      </w:pPr>
      <w:r>
        <w:t>The relative speed increase experienced in Australia can be expressed algebraically as follows:</w:t>
      </w:r>
    </w:p>
    <w:p w14:paraId="42F9EEC3" w14:textId="77777777" w:rsidR="00BA6FB2" w:rsidRPr="00A63A4B" w:rsidRDefault="00BF55E9" w:rsidP="00720F53">
      <w:pPr>
        <w:pStyle w:val="ListNumber1"/>
        <w:numPr>
          <w:ilvl w:val="0"/>
          <w:numId w:val="0"/>
        </w:numPr>
        <w:ind w:left="284" w:hanging="284"/>
        <w:rPr>
          <w:rFonts w:eastAsiaTheme="minorEastAsia"/>
        </w:rPr>
      </w:pPr>
      <m:oMathPara>
        <m:oMath>
          <m:r>
            <w:rPr>
              <w:rFonts w:ascii="Cambria Math" w:eastAsiaTheme="minorEastAsia" w:hAnsi="Cambria Math"/>
            </w:rPr>
            <m:t>%∆Spee</m:t>
          </m:r>
          <m:sSub>
            <m:sSubPr>
              <m:ctrlPr>
                <w:rPr>
                  <w:rFonts w:ascii="Cambria Math" w:eastAsiaTheme="minorEastAsia" w:hAnsi="Cambria Math"/>
                  <w:i/>
                </w:rPr>
              </m:ctrlPr>
            </m:sSubPr>
            <m:e>
              <m:r>
                <w:rPr>
                  <w:rFonts w:ascii="Cambria Math" w:eastAsiaTheme="minorEastAsia" w:hAnsi="Cambria Math"/>
                </w:rPr>
                <m:t>d</m:t>
              </m:r>
            </m:e>
            <m:sub>
              <m:r>
                <w:rPr>
                  <w:rFonts w:ascii="Cambria Math" w:eastAsiaTheme="minorEastAsia" w:hAnsi="Cambria Math"/>
                </w:rPr>
                <m:t>relative</m:t>
              </m:r>
            </m:sub>
          </m:sSub>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%∆Spee</m:t>
              </m:r>
              <m:sSub>
                <m:sSubPr>
                  <m:ctrlPr>
                    <w:rPr>
                      <w:rFonts w:ascii="Cambria Math" w:eastAsiaTheme="minorEastAsia" w:hAnsi="Cambria Math"/>
                      <w:i/>
                    </w:rPr>
                  </m:ctrlPr>
                </m:sSubPr>
                <m:e>
                  <m:r>
                    <w:rPr>
                      <w:rFonts w:ascii="Cambria Math" w:eastAsiaTheme="minorEastAsia" w:hAnsi="Cambria Math"/>
                    </w:rPr>
                    <m:t>d</m:t>
                  </m:r>
                </m:e>
                <m:sub>
                  <m:r>
                    <w:rPr>
                      <w:rFonts w:ascii="Cambria Math" w:eastAsiaTheme="minorEastAsia" w:hAnsi="Cambria Math"/>
                    </w:rPr>
                    <m:t>Australia</m:t>
                  </m:r>
                </m:sub>
              </m:sSub>
            </m:num>
            <m:den>
              <m:r>
                <w:rPr>
                  <w:rFonts w:ascii="Cambria Math" w:eastAsiaTheme="minorEastAsia" w:hAnsi="Cambria Math"/>
                </w:rPr>
                <m:t>%∆Spee</m:t>
              </m:r>
              <m:sSub>
                <m:sSubPr>
                  <m:ctrlPr>
                    <w:rPr>
                      <w:rFonts w:ascii="Cambria Math" w:eastAsiaTheme="minorEastAsia" w:hAnsi="Cambria Math"/>
                      <w:i/>
                    </w:rPr>
                  </m:ctrlPr>
                </m:sSubPr>
                <m:e>
                  <m:r>
                    <w:rPr>
                      <w:rFonts w:ascii="Cambria Math" w:eastAsiaTheme="minorEastAsia" w:hAnsi="Cambria Math"/>
                    </w:rPr>
                    <m:t>d</m:t>
                  </m:r>
                </m:e>
                <m:sub>
                  <m:r>
                    <w:rPr>
                      <w:rFonts w:ascii="Cambria Math" w:eastAsiaTheme="minorEastAsia" w:hAnsi="Cambria Math"/>
                    </w:rPr>
                    <m:t>Trento</m:t>
                  </m:r>
                </m:sub>
              </m:sSub>
            </m:den>
          </m:f>
        </m:oMath>
      </m:oMathPara>
    </w:p>
    <w:p w14:paraId="094993D9" w14:textId="77777777" w:rsidR="00C3717E" w:rsidRDefault="00C3717E" w:rsidP="00C3717E">
      <w:pPr>
        <w:pStyle w:val="ListNumber1"/>
        <w:numPr>
          <w:ilvl w:val="0"/>
          <w:numId w:val="0"/>
        </w:numPr>
        <w:ind w:left="284"/>
        <w:rPr>
          <w:rFonts w:eastAsiaTheme="minorEastAsia"/>
        </w:rPr>
      </w:pPr>
      <w:r>
        <w:rPr>
          <w:rFonts w:eastAsiaTheme="minorEastAsia"/>
        </w:rPr>
        <w:t xml:space="preserve">At the end of this step, we are able to obtain an average productivity benefit </w:t>
      </w:r>
      <w:proofErr w:type="spellStart"/>
      <w:r>
        <w:rPr>
          <w:rFonts w:eastAsiaTheme="minorEastAsia"/>
        </w:rPr>
        <w:t>appliable</w:t>
      </w:r>
      <w:proofErr w:type="spellEnd"/>
      <w:r>
        <w:rPr>
          <w:rFonts w:eastAsiaTheme="minorEastAsia"/>
        </w:rPr>
        <w:t xml:space="preserve"> to Australia (</w:t>
      </w:r>
      <m:oMath>
        <m:r>
          <w:rPr>
            <w:rFonts w:ascii="Cambria Math" w:eastAsiaTheme="minorEastAsia" w:hAnsi="Cambria Math"/>
          </w:rPr>
          <m:t>P</m:t>
        </m:r>
        <m:sSub>
          <m:sSubPr>
            <m:ctrlPr>
              <w:rPr>
                <w:rFonts w:ascii="Cambria Math" w:eastAsiaTheme="minorEastAsia" w:hAnsi="Cambria Math"/>
                <w:i/>
              </w:rPr>
            </m:ctrlPr>
          </m:sSubPr>
          <m:e>
            <m:r>
              <w:rPr>
                <w:rFonts w:ascii="Cambria Math" w:eastAsiaTheme="minorEastAsia" w:hAnsi="Cambria Math"/>
              </w:rPr>
              <m:t>B</m:t>
            </m:r>
          </m:e>
          <m:sub>
            <m:r>
              <w:rPr>
                <w:rFonts w:ascii="Cambria Math" w:eastAsiaTheme="minorEastAsia" w:hAnsi="Cambria Math"/>
              </w:rPr>
              <m:t>Australia</m:t>
            </m:r>
          </m:sub>
        </m:sSub>
        <m:r>
          <w:rPr>
            <w:rFonts w:ascii="Cambria Math" w:eastAsiaTheme="minorEastAsia" w:hAnsi="Cambria Math"/>
          </w:rPr>
          <m:t>)</m:t>
        </m:r>
      </m:oMath>
      <w:r>
        <w:rPr>
          <w:rFonts w:eastAsiaTheme="minorEastAsia"/>
        </w:rPr>
        <w:t xml:space="preserve"> based on adjusting the benefit from the study (</w:t>
      </w:r>
      <m:oMath>
        <m:r>
          <w:rPr>
            <w:rFonts w:ascii="Cambria Math" w:eastAsiaTheme="minorEastAsia" w:hAnsi="Cambria Math"/>
          </w:rPr>
          <m:t>P</m:t>
        </m:r>
        <m:sSub>
          <m:sSubPr>
            <m:ctrlPr>
              <w:rPr>
                <w:rFonts w:ascii="Cambria Math" w:eastAsiaTheme="minorEastAsia" w:hAnsi="Cambria Math"/>
                <w:i/>
              </w:rPr>
            </m:ctrlPr>
          </m:sSubPr>
          <m:e>
            <m:r>
              <w:rPr>
                <w:rFonts w:ascii="Cambria Math" w:eastAsiaTheme="minorEastAsia" w:hAnsi="Cambria Math"/>
              </w:rPr>
              <m:t>B</m:t>
            </m:r>
          </m:e>
          <m:sub>
            <m:r>
              <w:rPr>
                <w:rFonts w:ascii="Cambria Math" w:eastAsiaTheme="minorEastAsia" w:hAnsi="Cambria Math"/>
              </w:rPr>
              <m:t>study</m:t>
            </m:r>
          </m:sub>
        </m:sSub>
        <m:r>
          <w:rPr>
            <w:rFonts w:ascii="Cambria Math" w:eastAsiaTheme="minorEastAsia" w:hAnsi="Cambria Math"/>
          </w:rPr>
          <m:t>)</m:t>
        </m:r>
      </m:oMath>
      <w:r>
        <w:rPr>
          <w:rFonts w:eastAsiaTheme="minorEastAsia"/>
        </w:rPr>
        <w:t xml:space="preserve">. </w:t>
      </w:r>
      <w:r w:rsidR="00EF1C64">
        <w:rPr>
          <w:rFonts w:eastAsiaTheme="minorEastAsia"/>
        </w:rPr>
        <w:t xml:space="preserve">We can </w:t>
      </w:r>
      <w:r w:rsidR="0056642F">
        <w:rPr>
          <w:rFonts w:eastAsiaTheme="minorEastAsia"/>
        </w:rPr>
        <w:t>express</w:t>
      </w:r>
      <w:r w:rsidR="00EF1C64">
        <w:rPr>
          <w:rFonts w:eastAsiaTheme="minorEastAsia"/>
        </w:rPr>
        <w:t xml:space="preserve"> the average</w:t>
      </w:r>
      <w:r>
        <w:rPr>
          <w:rFonts w:eastAsiaTheme="minorEastAsia"/>
        </w:rPr>
        <w:t xml:space="preserve"> Australian </w:t>
      </w:r>
      <w:r w:rsidR="00BF55E9">
        <w:rPr>
          <w:rFonts w:eastAsiaTheme="minorEastAsia"/>
        </w:rPr>
        <w:t xml:space="preserve">firm </w:t>
      </w:r>
      <w:r w:rsidR="00EF1C64">
        <w:rPr>
          <w:rFonts w:eastAsiaTheme="minorEastAsia"/>
        </w:rPr>
        <w:t xml:space="preserve">productivity </w:t>
      </w:r>
      <w:r>
        <w:rPr>
          <w:rFonts w:eastAsiaTheme="minorEastAsia"/>
        </w:rPr>
        <w:t xml:space="preserve">benefit algebraically </w:t>
      </w:r>
      <w:r w:rsidR="0056642F">
        <w:rPr>
          <w:rFonts w:eastAsiaTheme="minorEastAsia"/>
        </w:rPr>
        <w:t>as follows</w:t>
      </w:r>
      <w:r>
        <w:rPr>
          <w:rFonts w:eastAsiaTheme="minorEastAsia"/>
        </w:rPr>
        <w:t>:</w:t>
      </w:r>
    </w:p>
    <w:p w14:paraId="66B9999C" w14:textId="77777777" w:rsidR="00C3717E" w:rsidRPr="00322939" w:rsidRDefault="00C3717E" w:rsidP="00322939">
      <w:pPr>
        <w:pStyle w:val="ListNumber1"/>
        <w:numPr>
          <w:ilvl w:val="0"/>
          <w:numId w:val="0"/>
        </w:numPr>
        <w:ind w:left="284"/>
        <w:rPr>
          <w:rFonts w:eastAsiaTheme="minorEastAsia"/>
        </w:rPr>
      </w:pPr>
      <m:oMathPara>
        <m:oMath>
          <m:r>
            <w:rPr>
              <w:rFonts w:ascii="Cambria Math" w:eastAsiaTheme="minorEastAsia" w:hAnsi="Cambria Math"/>
            </w:rPr>
            <m:t>P</m:t>
          </m:r>
          <m:sSub>
            <m:sSubPr>
              <m:ctrlPr>
                <w:rPr>
                  <w:rFonts w:ascii="Cambria Math" w:eastAsiaTheme="minorEastAsia" w:hAnsi="Cambria Math"/>
                  <w:i/>
                </w:rPr>
              </m:ctrlPr>
            </m:sSubPr>
            <m:e>
              <m:r>
                <w:rPr>
                  <w:rFonts w:ascii="Cambria Math" w:eastAsiaTheme="minorEastAsia" w:hAnsi="Cambria Math"/>
                </w:rPr>
                <m:t>B</m:t>
              </m:r>
            </m:e>
            <m:sub>
              <m:r>
                <w:rPr>
                  <w:rFonts w:ascii="Cambria Math" w:eastAsiaTheme="minorEastAsia" w:hAnsi="Cambria Math"/>
                </w:rPr>
                <m:t>Australia</m:t>
              </m:r>
            </m:sub>
          </m:sSub>
          <m:r>
            <w:rPr>
              <w:rFonts w:ascii="Cambria Math" w:eastAsiaTheme="minorEastAsia" w:hAnsi="Cambria Math"/>
            </w:rPr>
            <m:t>=P</m:t>
          </m:r>
          <m:sSub>
            <m:sSubPr>
              <m:ctrlPr>
                <w:rPr>
                  <w:rFonts w:ascii="Cambria Math" w:eastAsiaTheme="minorEastAsia" w:hAnsi="Cambria Math"/>
                  <w:i/>
                </w:rPr>
              </m:ctrlPr>
            </m:sSubPr>
            <m:e>
              <m:r>
                <w:rPr>
                  <w:rFonts w:ascii="Cambria Math" w:eastAsiaTheme="minorEastAsia" w:hAnsi="Cambria Math"/>
                </w:rPr>
                <m:t>B</m:t>
              </m:r>
            </m:e>
            <m:sub>
              <m:r>
                <w:rPr>
                  <w:rFonts w:ascii="Cambria Math" w:eastAsiaTheme="minorEastAsia" w:hAnsi="Cambria Math"/>
                </w:rPr>
                <m:t>Trento</m:t>
              </m:r>
            </m:sub>
          </m:sSub>
          <m:r>
            <w:rPr>
              <w:rFonts w:ascii="Cambria Math" w:eastAsiaTheme="minorEastAsia" w:hAnsi="Cambria Math"/>
            </w:rPr>
            <m:t>*</m:t>
          </m:r>
          <m:r>
            <w:rPr>
              <w:rFonts w:ascii="Cambria Math" w:hAnsi="Cambria Math"/>
              <w:lang w:val="en-AU"/>
            </w:rPr>
            <m:t>IT intensit</m:t>
          </m:r>
          <m:sSub>
            <m:sSubPr>
              <m:ctrlPr>
                <w:rPr>
                  <w:rFonts w:ascii="Cambria Math" w:hAnsi="Cambria Math"/>
                  <w:i/>
                  <w:lang w:val="en-AU"/>
                </w:rPr>
              </m:ctrlPr>
            </m:sSubPr>
            <m:e>
              <m:r>
                <w:rPr>
                  <w:rFonts w:ascii="Cambria Math" w:hAnsi="Cambria Math"/>
                  <w:lang w:val="en-AU"/>
                </w:rPr>
                <m:t>y</m:t>
              </m:r>
            </m:e>
            <m:sub>
              <m:r>
                <w:rPr>
                  <w:rFonts w:ascii="Cambria Math" w:hAnsi="Cambria Math"/>
                  <w:lang w:val="en-AU"/>
                </w:rPr>
                <m:t>relative</m:t>
              </m:r>
            </m:sub>
          </m:sSub>
          <m:r>
            <w:rPr>
              <w:rFonts w:ascii="Cambria Math" w:hAnsi="Cambria Math"/>
              <w:lang w:val="en-AU"/>
            </w:rPr>
            <m:t>*%</m:t>
          </m:r>
          <m:r>
            <w:rPr>
              <w:rFonts w:ascii="Cambria Math" w:eastAsiaTheme="minorEastAsia" w:hAnsi="Cambria Math"/>
            </w:rPr>
            <m:t>∆Spee</m:t>
          </m:r>
          <m:sSub>
            <m:sSubPr>
              <m:ctrlPr>
                <w:rPr>
                  <w:rFonts w:ascii="Cambria Math" w:eastAsiaTheme="minorEastAsia" w:hAnsi="Cambria Math"/>
                  <w:i/>
                </w:rPr>
              </m:ctrlPr>
            </m:sSubPr>
            <m:e>
              <m:r>
                <w:rPr>
                  <w:rFonts w:ascii="Cambria Math" w:eastAsiaTheme="minorEastAsia" w:hAnsi="Cambria Math"/>
                </w:rPr>
                <m:t>d</m:t>
              </m:r>
            </m:e>
            <m:sub>
              <m:r>
                <w:rPr>
                  <w:rFonts w:ascii="Cambria Math" w:eastAsiaTheme="minorEastAsia" w:hAnsi="Cambria Math"/>
                </w:rPr>
                <m:t>relative</m:t>
              </m:r>
            </m:sub>
          </m:sSub>
          <m:r>
            <w:rPr>
              <w:rStyle w:val="FootnoteReference"/>
              <w:rFonts w:ascii="Cambria Math" w:eastAsiaTheme="minorEastAsia" w:hAnsi="Cambria Math"/>
              <w:i/>
            </w:rPr>
            <w:footnoteReference w:id="96"/>
          </m:r>
        </m:oMath>
      </m:oMathPara>
    </w:p>
    <w:p w14:paraId="7946F532" w14:textId="77777777" w:rsidR="00C3717E" w:rsidRDefault="00AB3F65" w:rsidP="00C3717E">
      <w:pPr>
        <w:pStyle w:val="ListNumber1"/>
        <w:numPr>
          <w:ilvl w:val="0"/>
          <w:numId w:val="15"/>
        </w:numPr>
        <w:rPr>
          <w:b/>
          <w:bCs/>
        </w:rPr>
      </w:pPr>
      <w:r>
        <w:rPr>
          <w:b/>
          <w:bCs/>
        </w:rPr>
        <w:t>Calculate industry-specific</w:t>
      </w:r>
      <w:r w:rsidR="00C3717E">
        <w:rPr>
          <w:b/>
          <w:bCs/>
        </w:rPr>
        <w:t xml:space="preserve"> productivity benefit</w:t>
      </w:r>
      <w:r>
        <w:rPr>
          <w:b/>
          <w:bCs/>
        </w:rPr>
        <w:t>s</w:t>
      </w:r>
      <w:r w:rsidR="00C3717E" w:rsidRPr="004D605B">
        <w:rPr>
          <w:b/>
          <w:bCs/>
        </w:rPr>
        <w:t>.</w:t>
      </w:r>
    </w:p>
    <w:p w14:paraId="32398536" w14:textId="77777777" w:rsidR="0056642F" w:rsidRDefault="0056642F" w:rsidP="0056642F">
      <w:pPr>
        <w:pStyle w:val="ListNumber1"/>
        <w:numPr>
          <w:ilvl w:val="0"/>
          <w:numId w:val="30"/>
        </w:numPr>
        <w:rPr>
          <w:b/>
          <w:bCs/>
        </w:rPr>
      </w:pPr>
      <w:r w:rsidRPr="00322939">
        <w:rPr>
          <w:b/>
          <w:bCs/>
        </w:rPr>
        <w:t>Calculate industry-specific</w:t>
      </w:r>
      <w:r w:rsidR="001812BB">
        <w:rPr>
          <w:b/>
          <w:bCs/>
        </w:rPr>
        <w:t xml:space="preserve"> relative</w:t>
      </w:r>
      <w:r w:rsidRPr="00322939">
        <w:rPr>
          <w:b/>
          <w:bCs/>
        </w:rPr>
        <w:t xml:space="preserve"> IT intensities</w:t>
      </w:r>
    </w:p>
    <w:p w14:paraId="63B840CE" w14:textId="77777777" w:rsidR="00AB3F65" w:rsidRPr="00322939" w:rsidRDefault="00AB3F65" w:rsidP="00322939">
      <w:pPr>
        <w:pStyle w:val="ListNumber1"/>
        <w:numPr>
          <w:ilvl w:val="0"/>
          <w:numId w:val="0"/>
        </w:numPr>
        <w:ind w:left="720"/>
      </w:pPr>
      <w:r>
        <w:t xml:space="preserve">The relative IT intensity for industry </w:t>
      </w:r>
      <m:oMath>
        <m:r>
          <w:rPr>
            <w:rFonts w:ascii="Cambria Math" w:hAnsi="Cambria Math"/>
          </w:rPr>
          <m:t>i</m:t>
        </m:r>
      </m:oMath>
      <w:r>
        <w:rPr>
          <w:rFonts w:eastAsiaTheme="minorEastAsia"/>
        </w:rPr>
        <w:t xml:space="preserve"> is given by the </w:t>
      </w:r>
      <w:r w:rsidR="00BF55E9">
        <w:rPr>
          <w:rFonts w:eastAsiaTheme="minorEastAsia"/>
        </w:rPr>
        <w:t>IT</w:t>
      </w:r>
      <w:r>
        <w:rPr>
          <w:rFonts w:eastAsiaTheme="minorEastAsia"/>
        </w:rPr>
        <w:t xml:space="preserve"> intensity of the industry divided by the </w:t>
      </w:r>
      <w:r w:rsidR="00BF55E9">
        <w:rPr>
          <w:rFonts w:eastAsiaTheme="minorEastAsia"/>
        </w:rPr>
        <w:t>IT</w:t>
      </w:r>
      <w:r>
        <w:rPr>
          <w:rFonts w:eastAsiaTheme="minorEastAsia"/>
        </w:rPr>
        <w:t xml:space="preserve"> intensity of All Industries. </w:t>
      </w:r>
      <w:r w:rsidR="00A96F78">
        <w:rPr>
          <w:rFonts w:eastAsiaTheme="minorEastAsia"/>
        </w:rPr>
        <w:t>This can be expressed algebraically as follows:</w:t>
      </w:r>
    </w:p>
    <w:p w14:paraId="2E9B1706" w14:textId="77777777" w:rsidR="00D41BC1" w:rsidRPr="00A63A4B" w:rsidRDefault="001812BB" w:rsidP="00D41BC1">
      <w:pPr>
        <w:pStyle w:val="ListNumber1"/>
        <w:numPr>
          <w:ilvl w:val="0"/>
          <w:numId w:val="0"/>
        </w:numPr>
        <w:ind w:left="720"/>
        <w:rPr>
          <w:rFonts w:eastAsiaTheme="minorEastAsia"/>
          <w:lang w:val="en-AU"/>
        </w:rPr>
      </w:pPr>
      <m:oMathPara>
        <m:oMath>
          <m:r>
            <w:rPr>
              <w:rFonts w:ascii="Cambria Math" w:hAnsi="Cambria Math"/>
            </w:rPr>
            <m:t>Relative IT</m:t>
          </m:r>
          <m:r>
            <w:rPr>
              <w:rFonts w:ascii="Cambria Math" w:eastAsiaTheme="minorEastAsia" w:hAnsi="Cambria Math"/>
            </w:rPr>
            <m:t xml:space="preserve"> intensit</m:t>
          </m:r>
          <m:sSub>
            <m:sSubPr>
              <m:ctrlPr>
                <w:rPr>
                  <w:rFonts w:ascii="Cambria Math" w:eastAsiaTheme="minorEastAsia" w:hAnsi="Cambria Math"/>
                  <w:i/>
                </w:rPr>
              </m:ctrlPr>
            </m:sSubPr>
            <m:e>
              <m:r>
                <w:rPr>
                  <w:rFonts w:ascii="Cambria Math" w:eastAsiaTheme="minorEastAsia" w:hAnsi="Cambria Math"/>
                </w:rPr>
                <m:t>y</m:t>
              </m:r>
            </m:e>
            <m:sub>
              <m:r>
                <w:rPr>
                  <w:rFonts w:ascii="Cambria Math" w:eastAsiaTheme="minorEastAsia" w:hAnsi="Cambria Math"/>
                </w:rPr>
                <m:t>i</m:t>
              </m:r>
            </m:sub>
          </m:sSub>
          <m:r>
            <w:rPr>
              <w:rFonts w:ascii="Cambria Math" w:eastAsiaTheme="minorEastAsia" w:hAnsi="Cambria Math"/>
            </w:rPr>
            <m:t>=</m:t>
          </m:r>
          <m:f>
            <m:fPr>
              <m:ctrlPr>
                <w:rPr>
                  <w:rFonts w:ascii="Cambria Math" w:hAnsi="Cambria Math"/>
                  <w:i/>
                  <w:lang w:val="en-AU"/>
                </w:rPr>
              </m:ctrlPr>
            </m:fPr>
            <m:num>
              <m:r>
                <w:rPr>
                  <w:rFonts w:ascii="Cambria Math" w:hAnsi="Cambria Math"/>
                  <w:lang w:val="en-AU"/>
                </w:rPr>
                <m:t>IT intesit</m:t>
              </m:r>
              <m:sSub>
                <m:sSubPr>
                  <m:ctrlPr>
                    <w:rPr>
                      <w:rFonts w:ascii="Cambria Math" w:hAnsi="Cambria Math"/>
                      <w:i/>
                      <w:lang w:val="en-AU"/>
                    </w:rPr>
                  </m:ctrlPr>
                </m:sSubPr>
                <m:e>
                  <m:r>
                    <w:rPr>
                      <w:rFonts w:ascii="Cambria Math" w:hAnsi="Cambria Math"/>
                      <w:lang w:val="en-AU"/>
                    </w:rPr>
                    <m:t>y</m:t>
                  </m:r>
                </m:e>
                <m:sub>
                  <m:r>
                    <w:rPr>
                      <w:rFonts w:ascii="Cambria Math" w:hAnsi="Cambria Math"/>
                      <w:lang w:val="en-AU"/>
                    </w:rPr>
                    <m:t>i</m:t>
                  </m:r>
                </m:sub>
              </m:sSub>
              <m:ctrlPr>
                <w:rPr>
                  <w:rFonts w:ascii="Cambria Math" w:hAnsi="Cambria Math"/>
                  <w:i/>
                </w:rPr>
              </m:ctrlPr>
            </m:num>
            <m:den>
              <m:r>
                <w:rPr>
                  <w:rFonts w:ascii="Cambria Math" w:hAnsi="Cambria Math"/>
                </w:rPr>
                <m:t>IT intensit</m:t>
              </m:r>
              <m:sSub>
                <m:sSubPr>
                  <m:ctrlPr>
                    <w:rPr>
                      <w:rFonts w:ascii="Cambria Math" w:hAnsi="Cambria Math"/>
                      <w:i/>
                    </w:rPr>
                  </m:ctrlPr>
                </m:sSubPr>
                <m:e>
                  <m:r>
                    <w:rPr>
                      <w:rFonts w:ascii="Cambria Math" w:hAnsi="Cambria Math"/>
                    </w:rPr>
                    <m:t>y</m:t>
                  </m:r>
                </m:e>
                <m:sub>
                  <m:r>
                    <w:rPr>
                      <w:rFonts w:ascii="Cambria Math" w:hAnsi="Cambria Math"/>
                    </w:rPr>
                    <m:t>All industries</m:t>
                  </m:r>
                </m:sub>
              </m:sSub>
            </m:den>
          </m:f>
        </m:oMath>
      </m:oMathPara>
    </w:p>
    <w:p w14:paraId="0ECF0225" w14:textId="77777777" w:rsidR="00A96F78" w:rsidRPr="00A63A4B" w:rsidRDefault="00A96F78" w:rsidP="00A63A4B">
      <w:pPr>
        <w:pStyle w:val="ListNumber1"/>
        <w:numPr>
          <w:ilvl w:val="0"/>
          <w:numId w:val="30"/>
        </w:numPr>
        <w:rPr>
          <w:b/>
          <w:bCs/>
        </w:rPr>
      </w:pPr>
      <w:r w:rsidRPr="00322939">
        <w:rPr>
          <w:b/>
          <w:bCs/>
        </w:rPr>
        <w:t xml:space="preserve">Adjust for the non-linear relationship between </w:t>
      </w:r>
      <w:r w:rsidR="00BF55E9">
        <w:rPr>
          <w:b/>
          <w:bCs/>
        </w:rPr>
        <w:t>IT</w:t>
      </w:r>
      <w:r w:rsidRPr="00322939">
        <w:rPr>
          <w:b/>
          <w:bCs/>
        </w:rPr>
        <w:t xml:space="preserve"> intensity and productivity</w:t>
      </w:r>
    </w:p>
    <w:p w14:paraId="36920B6D" w14:textId="77777777" w:rsidR="0056642F" w:rsidRDefault="00AB3F65" w:rsidP="0056642F">
      <w:pPr>
        <w:pStyle w:val="ListNumber1"/>
        <w:numPr>
          <w:ilvl w:val="0"/>
          <w:numId w:val="0"/>
        </w:numPr>
        <w:ind w:left="720"/>
      </w:pPr>
      <w:r>
        <w:t xml:space="preserve">We adjust the relative </w:t>
      </w:r>
      <w:r w:rsidR="00BF55E9">
        <w:t>IT</w:t>
      </w:r>
      <w:r>
        <w:t xml:space="preserve"> intensity to account for the</w:t>
      </w:r>
      <w:r w:rsidR="0056642F">
        <w:t xml:space="preserve"> non-linear relationship between </w:t>
      </w:r>
      <w:r w:rsidR="00BF55E9">
        <w:t>IT</w:t>
      </w:r>
      <w:r w:rsidR="0056642F">
        <w:t xml:space="preserve"> intensity and productivity. We may expect, for example, t</w:t>
      </w:r>
      <w:r w:rsidR="0056642F" w:rsidRPr="003D27C5">
        <w:t xml:space="preserve">he relationship between </w:t>
      </w:r>
      <w:r w:rsidR="00BF55E9">
        <w:t>IT</w:t>
      </w:r>
      <w:r w:rsidR="0056642F" w:rsidRPr="003D27C5">
        <w:t xml:space="preserve"> intensity and </w:t>
      </w:r>
      <w:r w:rsidR="0056642F">
        <w:t xml:space="preserve">estimated </w:t>
      </w:r>
      <w:r w:rsidR="0056642F" w:rsidRPr="003D27C5">
        <w:t xml:space="preserve">productivity benefit </w:t>
      </w:r>
      <w:r w:rsidR="0056642F">
        <w:t>from faster broadband shows increasing or decreasing returns, or have a fixed and variable component</w:t>
      </w:r>
      <w:r w:rsidR="0056642F" w:rsidRPr="003D27C5">
        <w:t>.</w:t>
      </w:r>
      <w:r w:rsidR="0056642F">
        <w:rPr>
          <w:rStyle w:val="FootnoteReference"/>
        </w:rPr>
        <w:footnoteReference w:id="97"/>
      </w:r>
      <w:r w:rsidR="0056642F">
        <w:t xml:space="preserve"> To account for this,</w:t>
      </w:r>
      <w:r w:rsidR="0056642F" w:rsidRPr="003D27C5">
        <w:t xml:space="preserve"> use a </w:t>
      </w:r>
      <w:r w:rsidR="0056642F">
        <w:t xml:space="preserve">further </w:t>
      </w:r>
      <w:r w:rsidR="0056642F" w:rsidRPr="003D27C5">
        <w:t xml:space="preserve">scaling factor </w:t>
      </w:r>
      <w:r w:rsidR="0056642F">
        <w:t>which adjusts for the relative effect between sectors</w:t>
      </w:r>
      <w:r w:rsidR="0056642F" w:rsidRPr="003D27C5">
        <w:t xml:space="preserve"> - i.e. </w:t>
      </w:r>
      <w:r w:rsidR="0056642F">
        <w:t>we do not use</w:t>
      </w:r>
      <w:r w:rsidR="0056642F" w:rsidRPr="003D27C5">
        <w:t xml:space="preserve"> </w:t>
      </w:r>
      <w:r w:rsidR="00BF55E9">
        <w:t>IT</w:t>
      </w:r>
      <w:r w:rsidR="0056642F" w:rsidRPr="003D27C5">
        <w:t xml:space="preserve"> intensity directly to </w:t>
      </w:r>
      <w:r w:rsidR="0056642F">
        <w:t>decompose</w:t>
      </w:r>
      <w:r w:rsidR="0056642F" w:rsidRPr="003D27C5">
        <w:t xml:space="preserve"> </w:t>
      </w:r>
      <w:r w:rsidR="0056642F">
        <w:t xml:space="preserve">the overall forecast </w:t>
      </w:r>
      <w:r w:rsidR="0056642F" w:rsidRPr="003D27C5">
        <w:t>productivity effect.</w:t>
      </w:r>
      <w:r w:rsidR="0056642F">
        <w:t xml:space="preserve"> We adopt a scaling factor of 0.75 in our standard case</w:t>
      </w:r>
      <w:r w:rsidR="001812BB">
        <w:t>.</w:t>
      </w:r>
    </w:p>
    <w:p w14:paraId="1BCD211A" w14:textId="77777777" w:rsidR="001812BB" w:rsidRDefault="001812BB" w:rsidP="0056642F">
      <w:pPr>
        <w:pStyle w:val="ListNumber1"/>
        <w:numPr>
          <w:ilvl w:val="0"/>
          <w:numId w:val="0"/>
        </w:numPr>
        <w:ind w:left="720"/>
      </w:pPr>
      <w:r>
        <w:t xml:space="preserve">What this does is reduce the impact of </w:t>
      </w:r>
      <w:r w:rsidR="00BF55E9">
        <w:t>IT</w:t>
      </w:r>
      <w:r>
        <w:t xml:space="preserve"> intensity for industries that have a </w:t>
      </w:r>
      <w:r w:rsidR="001A297F">
        <w:t>higher</w:t>
      </w:r>
      <w:r w:rsidR="00A96F78">
        <w:t xml:space="preserve"> relative </w:t>
      </w:r>
      <w:r w:rsidR="00BF55E9">
        <w:t>IT</w:t>
      </w:r>
      <w:r w:rsidR="00A96F78">
        <w:t xml:space="preserve"> intensity</w:t>
      </w:r>
      <w:r w:rsidR="00AB3F65">
        <w:t xml:space="preserve"> and </w:t>
      </w:r>
      <w:r w:rsidR="001A297F">
        <w:t>lower</w:t>
      </w:r>
      <w:r w:rsidR="00AB3F65">
        <w:t xml:space="preserve"> the impact of </w:t>
      </w:r>
      <w:r w:rsidR="00BF55E9">
        <w:t>IT</w:t>
      </w:r>
      <w:r w:rsidR="00AB3F65">
        <w:t xml:space="preserve"> intensity for industries with higher relative </w:t>
      </w:r>
      <w:r w:rsidR="00BF55E9">
        <w:t>IT</w:t>
      </w:r>
      <w:r w:rsidR="00AB3F65">
        <w:t xml:space="preserve"> intensit</w:t>
      </w:r>
      <w:r w:rsidR="00A96F78">
        <w:t>y</w:t>
      </w:r>
      <w:r w:rsidR="00AB3F65">
        <w:t xml:space="preserve">. </w:t>
      </w:r>
      <w:r w:rsidR="00A96F78">
        <w:t>We can express the adjusted intensity algebraically as follows:</w:t>
      </w:r>
    </w:p>
    <w:p w14:paraId="277BA762" w14:textId="77777777" w:rsidR="00D41BC1" w:rsidRPr="00A63A4B" w:rsidRDefault="00D41BC1" w:rsidP="00322939">
      <w:pPr>
        <w:pStyle w:val="ListNumber1"/>
        <w:numPr>
          <w:ilvl w:val="0"/>
          <w:numId w:val="0"/>
        </w:numPr>
        <w:ind w:left="720"/>
      </w:pPr>
      <m:oMathPara>
        <m:oMath>
          <m:r>
            <w:rPr>
              <w:rFonts w:ascii="Cambria Math" w:hAnsi="Cambria Math"/>
            </w:rPr>
            <m:t>IT</m:t>
          </m:r>
          <m:r>
            <w:rPr>
              <w:rFonts w:ascii="Cambria Math" w:eastAsiaTheme="minorEastAsia" w:hAnsi="Cambria Math"/>
            </w:rPr>
            <m:t xml:space="preserve"> intensit</m:t>
          </m:r>
          <m:sSub>
            <m:sSubPr>
              <m:ctrlPr>
                <w:rPr>
                  <w:rFonts w:ascii="Cambria Math" w:eastAsiaTheme="minorEastAsia" w:hAnsi="Cambria Math"/>
                  <w:i/>
                </w:rPr>
              </m:ctrlPr>
            </m:sSubPr>
            <m:e>
              <m:r>
                <w:rPr>
                  <w:rFonts w:ascii="Cambria Math" w:eastAsiaTheme="minorEastAsia" w:hAnsi="Cambria Math"/>
                </w:rPr>
                <m:t>y</m:t>
              </m:r>
            </m:e>
            <m:sub>
              <m:r>
                <w:rPr>
                  <w:rFonts w:ascii="Cambria Math" w:eastAsiaTheme="minorEastAsia" w:hAnsi="Cambria Math"/>
                </w:rPr>
                <m:t>i(adjusted)</m:t>
              </m:r>
            </m:sub>
          </m:sSub>
          <m:r>
            <w:rPr>
              <w:rFonts w:ascii="Cambria Math" w:eastAsiaTheme="minorEastAsia" w:hAnsi="Cambria Math"/>
            </w:rPr>
            <m:t xml:space="preserve">=100*[Relative </m:t>
          </m:r>
          <m:r>
            <w:rPr>
              <w:rFonts w:ascii="Cambria Math" w:hAnsi="Cambria Math"/>
              <w:lang w:val="en-AU"/>
            </w:rPr>
            <m:t>IT intensit</m:t>
          </m:r>
          <m:sSub>
            <m:sSubPr>
              <m:ctrlPr>
                <w:rPr>
                  <w:rFonts w:ascii="Cambria Math" w:hAnsi="Cambria Math"/>
                  <w:i/>
                  <w:lang w:val="en-AU"/>
                </w:rPr>
              </m:ctrlPr>
            </m:sSubPr>
            <m:e>
              <m:r>
                <w:rPr>
                  <w:rFonts w:ascii="Cambria Math" w:hAnsi="Cambria Math"/>
                  <w:lang w:val="en-AU"/>
                </w:rPr>
                <m:t>y</m:t>
              </m:r>
            </m:e>
            <m:sub>
              <m:r>
                <w:rPr>
                  <w:rFonts w:ascii="Cambria Math" w:hAnsi="Cambria Math"/>
                  <w:lang w:val="en-AU"/>
                </w:rPr>
                <m:t>i</m:t>
              </m:r>
            </m:sub>
          </m:sSub>
          <m:r>
            <w:rPr>
              <w:rFonts w:ascii="Cambria Math" w:eastAsiaTheme="minorEastAsia" w:hAnsi="Cambria Math"/>
              <w:lang w:val="en-AU"/>
            </w:rPr>
            <m:t>*Scaling factor+</m:t>
          </m:r>
          <m:d>
            <m:dPr>
              <m:ctrlPr>
                <w:rPr>
                  <w:rFonts w:ascii="Cambria Math" w:eastAsiaTheme="minorEastAsia" w:hAnsi="Cambria Math"/>
                  <w:i/>
                  <w:lang w:val="en-AU"/>
                </w:rPr>
              </m:ctrlPr>
            </m:dPr>
            <m:e>
              <m:r>
                <w:rPr>
                  <w:rFonts w:ascii="Cambria Math" w:eastAsiaTheme="minorEastAsia" w:hAnsi="Cambria Math"/>
                  <w:lang w:val="en-AU"/>
                </w:rPr>
                <m:t>1-Scaling factor</m:t>
              </m:r>
            </m:e>
          </m:d>
          <m:r>
            <w:rPr>
              <w:rFonts w:ascii="Cambria Math" w:eastAsiaTheme="minorEastAsia" w:hAnsi="Cambria Math"/>
              <w:lang w:val="en-AU"/>
            </w:rPr>
            <m:t>]</m:t>
          </m:r>
        </m:oMath>
      </m:oMathPara>
    </w:p>
    <w:p w14:paraId="4DD11246" w14:textId="77777777" w:rsidR="0056642F" w:rsidRDefault="0056642F" w:rsidP="0056642F">
      <w:pPr>
        <w:pStyle w:val="ListNumber1"/>
        <w:numPr>
          <w:ilvl w:val="0"/>
          <w:numId w:val="30"/>
        </w:numPr>
        <w:rPr>
          <w:b/>
          <w:bCs/>
        </w:rPr>
      </w:pPr>
      <w:r>
        <w:rPr>
          <w:b/>
          <w:bCs/>
        </w:rPr>
        <w:t xml:space="preserve">Apply average productivity effect to industry-specific </w:t>
      </w:r>
      <w:r w:rsidR="00BF55E9">
        <w:rPr>
          <w:b/>
          <w:bCs/>
        </w:rPr>
        <w:t>IT</w:t>
      </w:r>
      <w:r>
        <w:rPr>
          <w:b/>
          <w:bCs/>
        </w:rPr>
        <w:t xml:space="preserve"> intensities</w:t>
      </w:r>
    </w:p>
    <w:p w14:paraId="68B6DFB1" w14:textId="77777777" w:rsidR="00A96F78" w:rsidRPr="00322939" w:rsidRDefault="00A96F78" w:rsidP="00322939">
      <w:pPr>
        <w:pStyle w:val="ListNumber1"/>
        <w:numPr>
          <w:ilvl w:val="0"/>
          <w:numId w:val="0"/>
        </w:numPr>
        <w:ind w:left="720"/>
      </w:pPr>
      <w:r>
        <w:t xml:space="preserve">We then apply the adjusted </w:t>
      </w:r>
      <w:r w:rsidR="00BF55E9">
        <w:t>IT</w:t>
      </w:r>
      <w:r>
        <w:t xml:space="preserve"> intensity for each industry to the average Australian productivity benefits as follows:</w:t>
      </w:r>
    </w:p>
    <w:p w14:paraId="4AB08874" w14:textId="77777777" w:rsidR="0056642F" w:rsidRPr="00A63A4B" w:rsidRDefault="0056642F" w:rsidP="0056642F">
      <w:pPr>
        <w:pStyle w:val="ListNumber1"/>
        <w:numPr>
          <w:ilvl w:val="0"/>
          <w:numId w:val="0"/>
        </w:numPr>
        <w:ind w:left="720"/>
        <w:rPr>
          <w:rFonts w:eastAsiaTheme="minorEastAsia"/>
        </w:rPr>
      </w:pPr>
      <m:oMathPara>
        <m:oMath>
          <m:r>
            <w:rPr>
              <w:rFonts w:ascii="Cambria Math" w:hAnsi="Cambria Math"/>
            </w:rPr>
            <m:t>P</m:t>
          </m:r>
          <m:sSub>
            <m:sSubPr>
              <m:ctrlPr>
                <w:rPr>
                  <w:rFonts w:ascii="Cambria Math" w:eastAsiaTheme="minorEastAsia" w:hAnsi="Cambria Math"/>
                  <w:i/>
                </w:rPr>
              </m:ctrlPr>
            </m:sSubPr>
            <m:e>
              <m:r>
                <w:rPr>
                  <w:rFonts w:ascii="Cambria Math" w:hAnsi="Cambria Math"/>
                </w:rPr>
                <m:t>B</m:t>
              </m:r>
              <m:ctrlPr>
                <w:rPr>
                  <w:rFonts w:ascii="Cambria Math" w:hAnsi="Cambria Math"/>
                  <w:i/>
                </w:rPr>
              </m:ctrlPr>
            </m:e>
            <m:sub>
              <m:r>
                <w:rPr>
                  <w:rFonts w:ascii="Cambria Math" w:eastAsiaTheme="minorEastAsia" w:hAnsi="Cambria Math"/>
                </w:rPr>
                <m:t>i</m:t>
              </m:r>
            </m:sub>
          </m:sSub>
          <m:r>
            <w:rPr>
              <w:rFonts w:ascii="Cambria Math" w:eastAsiaTheme="minorEastAsia" w:hAnsi="Cambria Math"/>
            </w:rPr>
            <m:t>=P</m:t>
          </m:r>
          <m:sSub>
            <m:sSubPr>
              <m:ctrlPr>
                <w:rPr>
                  <w:rFonts w:ascii="Cambria Math" w:eastAsiaTheme="minorEastAsia" w:hAnsi="Cambria Math"/>
                  <w:i/>
                </w:rPr>
              </m:ctrlPr>
            </m:sSubPr>
            <m:e>
              <m:r>
                <w:rPr>
                  <w:rFonts w:ascii="Cambria Math" w:eastAsiaTheme="minorEastAsia" w:hAnsi="Cambria Math"/>
                </w:rPr>
                <m:t>B</m:t>
              </m:r>
            </m:e>
            <m:sub>
              <m:r>
                <w:rPr>
                  <w:rFonts w:ascii="Cambria Math" w:eastAsiaTheme="minorEastAsia" w:hAnsi="Cambria Math"/>
                </w:rPr>
                <m:t>Australia</m:t>
              </m:r>
            </m:sub>
          </m:sSub>
          <m:r>
            <w:rPr>
              <w:rFonts w:ascii="Cambria Math" w:eastAsiaTheme="minorEastAsia" w:hAnsi="Cambria Math"/>
            </w:rPr>
            <m:t>*IT intensit</m:t>
          </m:r>
          <m:sSub>
            <m:sSubPr>
              <m:ctrlPr>
                <w:rPr>
                  <w:rFonts w:ascii="Cambria Math" w:eastAsiaTheme="minorEastAsia" w:hAnsi="Cambria Math"/>
                  <w:i/>
                </w:rPr>
              </m:ctrlPr>
            </m:sSubPr>
            <m:e>
              <m:r>
                <w:rPr>
                  <w:rFonts w:ascii="Cambria Math" w:eastAsiaTheme="minorEastAsia" w:hAnsi="Cambria Math"/>
                </w:rPr>
                <m:t>y</m:t>
              </m:r>
            </m:e>
            <m:sub>
              <m:r>
                <w:rPr>
                  <w:rFonts w:ascii="Cambria Math" w:eastAsiaTheme="minorEastAsia" w:hAnsi="Cambria Math"/>
                </w:rPr>
                <m:t>i(adjusted)</m:t>
              </m:r>
            </m:sub>
          </m:sSub>
        </m:oMath>
      </m:oMathPara>
    </w:p>
    <w:p w14:paraId="716FAD58" w14:textId="77777777" w:rsidR="00C3717E" w:rsidRDefault="00AB3F65" w:rsidP="0056642F">
      <w:pPr>
        <w:pStyle w:val="ListNumber1"/>
        <w:numPr>
          <w:ilvl w:val="0"/>
          <w:numId w:val="15"/>
        </w:numPr>
        <w:rPr>
          <w:b/>
          <w:bCs/>
        </w:rPr>
      </w:pPr>
      <w:r>
        <w:rPr>
          <w:b/>
          <w:bCs/>
        </w:rPr>
        <w:t>Calculate</w:t>
      </w:r>
      <w:r w:rsidR="0056642F" w:rsidRPr="00322939">
        <w:rPr>
          <w:b/>
          <w:bCs/>
        </w:rPr>
        <w:t xml:space="preserve"> </w:t>
      </w:r>
      <w:r w:rsidR="00FD7E22">
        <w:rPr>
          <w:b/>
          <w:bCs/>
        </w:rPr>
        <w:t>Business Fibre Zone</w:t>
      </w:r>
      <w:r>
        <w:rPr>
          <w:b/>
          <w:bCs/>
        </w:rPr>
        <w:t>-specific productivity benefits.</w:t>
      </w:r>
    </w:p>
    <w:p w14:paraId="6459F5B0" w14:textId="77777777" w:rsidR="00A96F78" w:rsidRDefault="00AB3F65" w:rsidP="00A96F78">
      <w:pPr>
        <w:pStyle w:val="ListNumber1"/>
        <w:numPr>
          <w:ilvl w:val="0"/>
          <w:numId w:val="0"/>
        </w:numPr>
        <w:ind w:left="284"/>
      </w:pPr>
      <w:r>
        <w:t xml:space="preserve">Once we have obtained productivity benefits by Australian industry, we calculate productivity benefits by </w:t>
      </w:r>
      <w:r w:rsidR="00D358F3" w:rsidRPr="00322939">
        <w:rPr>
          <w:lang w:val="en-AU"/>
        </w:rPr>
        <w:t>Business Fibre Zone</w:t>
      </w:r>
      <w:r>
        <w:t>.</w:t>
      </w:r>
      <w:r w:rsidR="00A96F78">
        <w:t xml:space="preserve"> We do this be adjusting the productivity benefit by industry </w:t>
      </w:r>
      <w:r w:rsidR="00A96F78">
        <w:lastRenderedPageBreak/>
        <w:t xml:space="preserve">for the </w:t>
      </w:r>
      <w:r w:rsidR="007B15A2">
        <w:t>‘starting point’ of each</w:t>
      </w:r>
      <w:r w:rsidR="00A96F78">
        <w:t xml:space="preserve"> </w:t>
      </w:r>
      <w:r w:rsidR="00FD7E22">
        <w:t>Business Fibre Zone</w:t>
      </w:r>
      <w:r w:rsidR="007B15A2">
        <w:t xml:space="preserve"> and the</w:t>
      </w:r>
      <w:r w:rsidR="003F4256">
        <w:t xml:space="preserve">n account for the materiality of benefit by weighting benefits by the share of GVA of the </w:t>
      </w:r>
      <w:r w:rsidR="00FD7E22">
        <w:t>Business Fibre Zone</w:t>
      </w:r>
      <w:r w:rsidR="003F4256">
        <w:t>.</w:t>
      </w:r>
    </w:p>
    <w:p w14:paraId="6A33505B" w14:textId="77777777" w:rsidR="00A96F78" w:rsidRDefault="003F4256" w:rsidP="00A96F78">
      <w:pPr>
        <w:pStyle w:val="ListNumber1"/>
        <w:numPr>
          <w:ilvl w:val="0"/>
          <w:numId w:val="32"/>
        </w:numPr>
        <w:rPr>
          <w:b/>
          <w:bCs/>
        </w:rPr>
      </w:pPr>
      <w:r>
        <w:rPr>
          <w:b/>
          <w:bCs/>
        </w:rPr>
        <w:t>Adjust for the ‘starting point’</w:t>
      </w:r>
      <w:r w:rsidR="00A96F78" w:rsidRPr="00322939">
        <w:rPr>
          <w:b/>
          <w:bCs/>
        </w:rPr>
        <w:t xml:space="preserve"> for each </w:t>
      </w:r>
      <w:r w:rsidR="00FD7E22">
        <w:rPr>
          <w:b/>
          <w:bCs/>
          <w:lang w:val="en-AU"/>
        </w:rPr>
        <w:t>Business Fibre Zone</w:t>
      </w:r>
    </w:p>
    <w:p w14:paraId="4D9E90B8" w14:textId="77777777" w:rsidR="00A96F78" w:rsidRDefault="00A96F78" w:rsidP="00A96F78">
      <w:pPr>
        <w:pStyle w:val="ListNumber1"/>
        <w:numPr>
          <w:ilvl w:val="0"/>
          <w:numId w:val="0"/>
        </w:numPr>
        <w:ind w:left="644"/>
        <w:rPr>
          <w:lang w:val="en-AU"/>
        </w:rPr>
      </w:pPr>
      <w:r>
        <w:rPr>
          <w:lang w:val="en-AU"/>
        </w:rPr>
        <w:t>We would expect there to be locational effects to the productivity impact of broadband deployment. For example,</w:t>
      </w:r>
      <w:r w:rsidRPr="00A96F78">
        <w:rPr>
          <w:lang w:val="en-AU"/>
        </w:rPr>
        <w:t xml:space="preserve"> CBD areas that are already well served by fibre, the economic benefits are likely to be relatively smaller than in Ballina in regional NSW, which does not presently have access for enterprise-grade fibre services at no upfront cost. </w:t>
      </w:r>
    </w:p>
    <w:p w14:paraId="5722BEA1" w14:textId="77777777" w:rsidR="003F4256" w:rsidRDefault="003F4256" w:rsidP="00A96F78">
      <w:pPr>
        <w:pStyle w:val="ListNumber1"/>
        <w:numPr>
          <w:ilvl w:val="0"/>
          <w:numId w:val="0"/>
        </w:numPr>
        <w:ind w:left="644"/>
        <w:rPr>
          <w:lang w:val="en-AU"/>
        </w:rPr>
      </w:pPr>
      <w:r>
        <w:rPr>
          <w:lang w:val="en-AU"/>
        </w:rPr>
        <w:t xml:space="preserve">Ideally, we would use granular information on broadband access, speed and the gains in each </w:t>
      </w:r>
      <w:r w:rsidR="00FD7E22">
        <w:rPr>
          <w:lang w:val="en-AU"/>
        </w:rPr>
        <w:t>Business Fibre Zone</w:t>
      </w:r>
      <w:r>
        <w:rPr>
          <w:lang w:val="en-AU"/>
        </w:rPr>
        <w:t xml:space="preserve"> with respect to these variables in order to account for these locational effects. Given limited data, we construct an </w:t>
      </w:r>
      <w:r w:rsidR="00A96F78" w:rsidRPr="00A96F78">
        <w:rPr>
          <w:lang w:val="en-AU"/>
        </w:rPr>
        <w:t xml:space="preserve">index for the remoteness of the </w:t>
      </w:r>
      <w:r w:rsidR="00FD7E22">
        <w:rPr>
          <w:lang w:val="en-AU"/>
        </w:rPr>
        <w:t>Business Fibre Zone</w:t>
      </w:r>
      <w:r>
        <w:rPr>
          <w:lang w:val="en-AU"/>
        </w:rPr>
        <w:t xml:space="preserve">s </w:t>
      </w:r>
      <w:r w:rsidR="00A96F78" w:rsidRPr="00A96F78">
        <w:rPr>
          <w:lang w:val="en-AU"/>
        </w:rPr>
        <w:t xml:space="preserve">based on NBN </w:t>
      </w:r>
      <w:proofErr w:type="spellStart"/>
      <w:r w:rsidR="00A96F78" w:rsidRPr="00A96F78">
        <w:rPr>
          <w:lang w:val="en-AU"/>
        </w:rPr>
        <w:t>Co’s</w:t>
      </w:r>
      <w:proofErr w:type="spellEnd"/>
      <w:r w:rsidR="0028428C">
        <w:rPr>
          <w:lang w:val="en-AU"/>
        </w:rPr>
        <w:t xml:space="preserve"> zone</w:t>
      </w:r>
      <w:r w:rsidR="00A96F78" w:rsidRPr="00A96F78">
        <w:rPr>
          <w:lang w:val="en-AU"/>
        </w:rPr>
        <w:t xml:space="preserve"> categorisations</w:t>
      </w:r>
      <w:r w:rsidR="00A96F78" w:rsidRPr="00A96F78">
        <w:rPr>
          <w:vertAlign w:val="superscript"/>
          <w:lang w:val="en-AU"/>
        </w:rPr>
        <w:footnoteReference w:id="98"/>
      </w:r>
      <w:r w:rsidR="00A96F78" w:rsidRPr="00A96F78">
        <w:rPr>
          <w:lang w:val="en-AU"/>
        </w:rPr>
        <w:t xml:space="preserve"> </w:t>
      </w:r>
      <w:r w:rsidR="0028428C">
        <w:rPr>
          <w:lang w:val="en-AU"/>
        </w:rPr>
        <w:t xml:space="preserve">(NBN zones) </w:t>
      </w:r>
      <w:r w:rsidR="00A96F78" w:rsidRPr="00A96F78">
        <w:rPr>
          <w:lang w:val="en-AU"/>
        </w:rPr>
        <w:t>and use these to proxy for pre-upgrade business internet quality</w:t>
      </w:r>
      <w:r w:rsidR="00A96F78">
        <w:rPr>
          <w:lang w:val="en-AU"/>
        </w:rPr>
        <w:t>.</w:t>
      </w:r>
    </w:p>
    <w:p w14:paraId="6AF813E2" w14:textId="77777777" w:rsidR="00AD6AD6" w:rsidRDefault="00EB7839" w:rsidP="00A96F78">
      <w:pPr>
        <w:pStyle w:val="ListNumber1"/>
        <w:numPr>
          <w:ilvl w:val="0"/>
          <w:numId w:val="0"/>
        </w:numPr>
        <w:ind w:left="644"/>
        <w:rPr>
          <w:lang w:val="en-AU"/>
        </w:rPr>
      </w:pPr>
      <w:r>
        <w:rPr>
          <w:lang w:val="en-AU"/>
        </w:rPr>
        <w:t xml:space="preserve">NBN </w:t>
      </w:r>
      <w:proofErr w:type="spellStart"/>
      <w:r>
        <w:rPr>
          <w:lang w:val="en-AU"/>
        </w:rPr>
        <w:t>Co’s</w:t>
      </w:r>
      <w:proofErr w:type="spellEnd"/>
      <w:r>
        <w:rPr>
          <w:lang w:val="en-AU"/>
        </w:rPr>
        <w:t xml:space="preserve"> data contains a complete list of SA1 statistical units with each Business Fibre Zone, and so </w:t>
      </w:r>
      <w:r w:rsidR="0028428C">
        <w:rPr>
          <w:lang w:val="en-AU"/>
        </w:rPr>
        <w:t xml:space="preserve">we are able to </w:t>
      </w:r>
      <w:r w:rsidR="00AD6AD6">
        <w:rPr>
          <w:lang w:val="en-AU"/>
        </w:rPr>
        <w:t xml:space="preserve">calculate the proportion of </w:t>
      </w:r>
      <w:r w:rsidR="0028428C">
        <w:rPr>
          <w:lang w:val="en-AU"/>
        </w:rPr>
        <w:t xml:space="preserve">SA1 statistical units in each NBN zone, for each </w:t>
      </w:r>
      <w:r w:rsidR="00D358F3">
        <w:rPr>
          <w:lang w:val="en-AU"/>
        </w:rPr>
        <w:t>Business Fibre Zone</w:t>
      </w:r>
      <w:r w:rsidR="0028428C">
        <w:rPr>
          <w:lang w:val="en-AU"/>
        </w:rPr>
        <w:t xml:space="preserve">. </w:t>
      </w:r>
      <w:r w:rsidR="00AD6AD6">
        <w:rPr>
          <w:lang w:val="en-AU"/>
        </w:rPr>
        <w:t>By weighting these proportions by the remoteness of each NBN zone, we construct a remoteness index.</w:t>
      </w:r>
      <w:r w:rsidR="0028428C">
        <w:rPr>
          <w:lang w:val="en-AU"/>
        </w:rPr>
        <w:t xml:space="preserve"> </w:t>
      </w:r>
    </w:p>
    <w:p w14:paraId="4A1FA66F" w14:textId="77777777" w:rsidR="0028428C" w:rsidRDefault="0028428C" w:rsidP="00A96F78">
      <w:pPr>
        <w:pStyle w:val="ListNumber1"/>
        <w:numPr>
          <w:ilvl w:val="0"/>
          <w:numId w:val="0"/>
        </w:numPr>
        <w:ind w:left="644"/>
        <w:rPr>
          <w:lang w:val="en-AU"/>
        </w:rPr>
      </w:pPr>
      <w:r>
        <w:rPr>
          <w:lang w:val="en-AU"/>
        </w:rPr>
        <w:t xml:space="preserve">If we denote a </w:t>
      </w:r>
      <w:r w:rsidR="00FD7E22">
        <w:rPr>
          <w:lang w:val="en-AU"/>
        </w:rPr>
        <w:t>Business Fibre Zone</w:t>
      </w:r>
      <w:r>
        <w:rPr>
          <w:lang w:val="en-AU"/>
        </w:rPr>
        <w:t xml:space="preserve"> </w:t>
      </w:r>
      <w:proofErr w:type="gramStart"/>
      <w:r>
        <w:rPr>
          <w:lang w:val="en-AU"/>
        </w:rPr>
        <w:t xml:space="preserve">by </w:t>
      </w:r>
      <w:proofErr w:type="gramEnd"/>
      <m:oMath>
        <m:r>
          <w:rPr>
            <w:rFonts w:ascii="Cambria Math" w:hAnsi="Cambria Math"/>
            <w:lang w:val="en-AU"/>
          </w:rPr>
          <m:t>j</m:t>
        </m:r>
      </m:oMath>
      <w:r w:rsidR="00AD6AD6">
        <w:rPr>
          <w:rFonts w:eastAsiaTheme="minorEastAsia"/>
          <w:lang w:val="en-AU"/>
        </w:rPr>
        <w:t xml:space="preserve">, </w:t>
      </w:r>
      <w:r>
        <w:rPr>
          <w:rFonts w:eastAsiaTheme="minorEastAsia"/>
          <w:lang w:val="en-AU"/>
        </w:rPr>
        <w:t xml:space="preserve">an NBN zone by </w:t>
      </w:r>
      <m:oMath>
        <m:r>
          <w:rPr>
            <w:rFonts w:ascii="Cambria Math" w:eastAsiaTheme="minorEastAsia" w:hAnsi="Cambria Math"/>
            <w:lang w:val="en-AU"/>
          </w:rPr>
          <m:t>l</m:t>
        </m:r>
      </m:oMath>
      <w:r w:rsidR="00AD6AD6">
        <w:rPr>
          <w:rFonts w:eastAsiaTheme="minorEastAsia"/>
          <w:lang w:val="en-AU"/>
        </w:rPr>
        <w:t xml:space="preserve">, the count of SA1 statistical units by </w:t>
      </w:r>
      <m:oMath>
        <m:r>
          <w:rPr>
            <w:rFonts w:ascii="Cambria Math" w:eastAsiaTheme="minorEastAsia" w:hAnsi="Cambria Math"/>
            <w:lang w:val="en-AU"/>
          </w:rPr>
          <m:t>SA1</m:t>
        </m:r>
      </m:oMath>
      <w:r w:rsidR="00AD6AD6">
        <w:rPr>
          <w:rFonts w:eastAsiaTheme="minorEastAsia"/>
          <w:lang w:val="en-AU"/>
        </w:rPr>
        <w:t xml:space="preserve">, </w:t>
      </w:r>
      <w:r w:rsidR="00220DEB">
        <w:rPr>
          <w:rFonts w:eastAsiaTheme="minorEastAsia"/>
          <w:lang w:val="en-AU"/>
        </w:rPr>
        <w:t xml:space="preserve">and remoteness score by </w:t>
      </w:r>
      <m:oMath>
        <m:r>
          <w:rPr>
            <w:rFonts w:ascii="Cambria Math" w:eastAsiaTheme="minorEastAsia" w:hAnsi="Cambria Math"/>
            <w:lang w:val="en-AU"/>
          </w:rPr>
          <m:t>RScore</m:t>
        </m:r>
      </m:oMath>
      <w:r w:rsidR="00220DEB">
        <w:rPr>
          <w:rFonts w:eastAsiaTheme="minorEastAsia"/>
          <w:lang w:val="en-AU"/>
        </w:rPr>
        <w:t xml:space="preserve">, </w:t>
      </w:r>
      <w:r w:rsidR="00AD6AD6">
        <w:rPr>
          <w:rFonts w:eastAsiaTheme="minorEastAsia"/>
          <w:lang w:val="en-AU"/>
        </w:rPr>
        <w:t xml:space="preserve">then the </w:t>
      </w:r>
      <w:r>
        <w:rPr>
          <w:rFonts w:eastAsiaTheme="minorEastAsia"/>
          <w:lang w:val="en-AU"/>
        </w:rPr>
        <w:t>remoteness score can be expressed algebraically as follows:</w:t>
      </w:r>
    </w:p>
    <w:p w14:paraId="3B40C85E" w14:textId="77777777" w:rsidR="00702112" w:rsidRPr="00AD6AD6" w:rsidRDefault="00220DEB" w:rsidP="00A96F78">
      <w:pPr>
        <w:pStyle w:val="ListNumber1"/>
        <w:numPr>
          <w:ilvl w:val="0"/>
          <w:numId w:val="0"/>
        </w:numPr>
        <w:ind w:left="644"/>
        <w:rPr>
          <w:rFonts w:eastAsiaTheme="minorEastAsia"/>
          <w:lang w:val="en-AU"/>
        </w:rPr>
      </w:pPr>
      <m:oMathPara>
        <m:oMath>
          <m:r>
            <w:rPr>
              <w:rFonts w:ascii="Cambria Math" w:hAnsi="Cambria Math"/>
              <w:lang w:val="en-AU"/>
            </w:rPr>
            <m:t>Rscor</m:t>
          </m:r>
          <m:sSub>
            <m:sSubPr>
              <m:ctrlPr>
                <w:rPr>
                  <w:rFonts w:ascii="Cambria Math" w:hAnsi="Cambria Math"/>
                  <w:i/>
                  <w:lang w:val="en-AU"/>
                </w:rPr>
              </m:ctrlPr>
            </m:sSubPr>
            <m:e>
              <m:r>
                <w:rPr>
                  <w:rFonts w:ascii="Cambria Math" w:hAnsi="Cambria Math"/>
                  <w:lang w:val="en-AU"/>
                </w:rPr>
                <m:t>e</m:t>
              </m:r>
            </m:e>
            <m:sub>
              <m:r>
                <w:rPr>
                  <w:rFonts w:ascii="Cambria Math" w:hAnsi="Cambria Math"/>
                  <w:lang w:val="en-AU"/>
                </w:rPr>
                <m:t>j</m:t>
              </m:r>
            </m:sub>
          </m:sSub>
          <m:r>
            <w:rPr>
              <w:rFonts w:ascii="Cambria Math" w:hAnsi="Cambria Math"/>
              <w:lang w:val="en-AU"/>
            </w:rPr>
            <m:t>=</m:t>
          </m:r>
          <m:f>
            <m:fPr>
              <m:ctrlPr>
                <w:rPr>
                  <w:rFonts w:ascii="Cambria Math" w:hAnsi="Cambria Math"/>
                  <w:i/>
                  <w:lang w:val="en-AU"/>
                </w:rPr>
              </m:ctrlPr>
            </m:fPr>
            <m:num>
              <m:r>
                <w:rPr>
                  <w:rFonts w:ascii="Cambria Math" w:hAnsi="Cambria Math"/>
                  <w:lang w:val="en-AU"/>
                </w:rPr>
                <m:t>∑SA</m:t>
              </m:r>
              <m:sSub>
                <m:sSubPr>
                  <m:ctrlPr>
                    <w:rPr>
                      <w:rFonts w:ascii="Cambria Math" w:hAnsi="Cambria Math"/>
                      <w:i/>
                      <w:lang w:val="en-AU"/>
                    </w:rPr>
                  </m:ctrlPr>
                </m:sSubPr>
                <m:e>
                  <m:r>
                    <w:rPr>
                      <w:rFonts w:ascii="Cambria Math" w:hAnsi="Cambria Math"/>
                      <w:lang w:val="en-AU"/>
                    </w:rPr>
                    <m:t>1</m:t>
                  </m:r>
                </m:e>
                <m:sub>
                  <m:r>
                    <w:rPr>
                      <w:rFonts w:ascii="Cambria Math" w:hAnsi="Cambria Math"/>
                      <w:lang w:val="en-AU"/>
                    </w:rPr>
                    <m:t>l1</m:t>
                  </m:r>
                </m:sub>
              </m:sSub>
              <m:r>
                <w:rPr>
                  <w:rFonts w:ascii="Cambria Math" w:hAnsi="Cambria Math"/>
                  <w:lang w:val="en-AU"/>
                </w:rPr>
                <m:t>+2*∑SA</m:t>
              </m:r>
              <m:sSub>
                <m:sSubPr>
                  <m:ctrlPr>
                    <w:rPr>
                      <w:rFonts w:ascii="Cambria Math" w:hAnsi="Cambria Math"/>
                      <w:i/>
                      <w:lang w:val="en-AU"/>
                    </w:rPr>
                  </m:ctrlPr>
                </m:sSubPr>
                <m:e>
                  <m:r>
                    <w:rPr>
                      <w:rFonts w:ascii="Cambria Math" w:hAnsi="Cambria Math"/>
                      <w:lang w:val="en-AU"/>
                    </w:rPr>
                    <m:t>1</m:t>
                  </m:r>
                </m:e>
                <m:sub>
                  <m:r>
                    <w:rPr>
                      <w:rFonts w:ascii="Cambria Math" w:hAnsi="Cambria Math"/>
                      <w:lang w:val="en-AU"/>
                    </w:rPr>
                    <m:t>l2</m:t>
                  </m:r>
                </m:sub>
              </m:sSub>
              <m:r>
                <w:rPr>
                  <w:rFonts w:ascii="Cambria Math" w:hAnsi="Cambria Math"/>
                  <w:lang w:val="en-AU"/>
                </w:rPr>
                <m:t>+3*∑SA</m:t>
              </m:r>
              <m:sSub>
                <m:sSubPr>
                  <m:ctrlPr>
                    <w:rPr>
                      <w:rFonts w:ascii="Cambria Math" w:hAnsi="Cambria Math"/>
                      <w:i/>
                      <w:lang w:val="en-AU"/>
                    </w:rPr>
                  </m:ctrlPr>
                </m:sSubPr>
                <m:e>
                  <m:r>
                    <w:rPr>
                      <w:rFonts w:ascii="Cambria Math" w:hAnsi="Cambria Math"/>
                      <w:lang w:val="en-AU"/>
                    </w:rPr>
                    <m:t>1</m:t>
                  </m:r>
                </m:e>
                <m:sub>
                  <m:r>
                    <w:rPr>
                      <w:rFonts w:ascii="Cambria Math" w:hAnsi="Cambria Math"/>
                      <w:lang w:val="en-AU"/>
                    </w:rPr>
                    <m:t>l3</m:t>
                  </m:r>
                </m:sub>
              </m:sSub>
              <m:r>
                <w:rPr>
                  <w:rFonts w:ascii="Cambria Math" w:hAnsi="Cambria Math"/>
                  <w:lang w:val="en-AU"/>
                </w:rPr>
                <m:t>+4*∑SA</m:t>
              </m:r>
              <m:sSub>
                <m:sSubPr>
                  <m:ctrlPr>
                    <w:rPr>
                      <w:rFonts w:ascii="Cambria Math" w:hAnsi="Cambria Math"/>
                      <w:i/>
                      <w:lang w:val="en-AU"/>
                    </w:rPr>
                  </m:ctrlPr>
                </m:sSubPr>
                <m:e>
                  <m:r>
                    <w:rPr>
                      <w:rFonts w:ascii="Cambria Math" w:hAnsi="Cambria Math"/>
                      <w:lang w:val="en-AU"/>
                    </w:rPr>
                    <m:t>1</m:t>
                  </m:r>
                </m:e>
                <m:sub>
                  <m:r>
                    <w:rPr>
                      <w:rFonts w:ascii="Cambria Math" w:hAnsi="Cambria Math"/>
                      <w:lang w:val="en-AU"/>
                    </w:rPr>
                    <m:t>l4</m:t>
                  </m:r>
                </m:sub>
              </m:sSub>
            </m:num>
            <m:den>
              <m:r>
                <w:rPr>
                  <w:rFonts w:ascii="Cambria Math" w:hAnsi="Cambria Math"/>
                  <w:lang w:val="en-AU"/>
                </w:rPr>
                <m:t>∑SA</m:t>
              </m:r>
              <m:sSub>
                <m:sSubPr>
                  <m:ctrlPr>
                    <w:rPr>
                      <w:rFonts w:ascii="Cambria Math" w:hAnsi="Cambria Math"/>
                      <w:i/>
                      <w:lang w:val="en-AU"/>
                    </w:rPr>
                  </m:ctrlPr>
                </m:sSubPr>
                <m:e>
                  <m:r>
                    <w:rPr>
                      <w:rFonts w:ascii="Cambria Math" w:hAnsi="Cambria Math"/>
                      <w:lang w:val="en-AU"/>
                    </w:rPr>
                    <m:t>1</m:t>
                  </m:r>
                </m:e>
                <m:sub>
                  <m:r>
                    <w:rPr>
                      <w:rFonts w:ascii="Cambria Math" w:hAnsi="Cambria Math"/>
                      <w:lang w:val="en-AU"/>
                    </w:rPr>
                    <m:t>j</m:t>
                  </m:r>
                </m:sub>
              </m:sSub>
            </m:den>
          </m:f>
        </m:oMath>
      </m:oMathPara>
    </w:p>
    <w:p w14:paraId="3F538209" w14:textId="77777777" w:rsidR="00AD6AD6" w:rsidRPr="00AD6AD6" w:rsidRDefault="00AD6AD6" w:rsidP="00A96F78">
      <w:pPr>
        <w:pStyle w:val="ListNumber1"/>
        <w:numPr>
          <w:ilvl w:val="0"/>
          <w:numId w:val="0"/>
        </w:numPr>
        <w:ind w:left="644"/>
        <w:rPr>
          <w:rFonts w:eastAsiaTheme="minorEastAsia"/>
          <w:lang w:val="en-AU"/>
        </w:rPr>
      </w:pPr>
      <m:oMathPara>
        <m:oMath>
          <m:r>
            <w:rPr>
              <w:rFonts w:ascii="Cambria Math" w:hAnsi="Cambria Math"/>
              <w:lang w:val="en-AU"/>
            </w:rPr>
            <m:t xml:space="preserve">where </m:t>
          </m:r>
          <m:d>
            <m:dPr>
              <m:begChr m:val="{"/>
              <m:endChr m:val="}"/>
              <m:ctrlPr>
                <w:rPr>
                  <w:rFonts w:ascii="Cambria Math" w:hAnsi="Cambria Math"/>
                  <w:i/>
                  <w:lang w:val="en-AU"/>
                </w:rPr>
              </m:ctrlPr>
            </m:dPr>
            <m:e>
              <m:r>
                <w:rPr>
                  <w:rFonts w:ascii="Cambria Math" w:hAnsi="Cambria Math"/>
                  <w:lang w:val="en-AU"/>
                </w:rPr>
                <m:t>l1,l2,l3,l4</m:t>
              </m:r>
            </m:e>
          </m:d>
          <m:r>
            <w:rPr>
              <w:rFonts w:ascii="Cambria Math" w:hAnsi="Cambria Math"/>
              <w:lang w:val="en-AU"/>
            </w:rPr>
            <m:t xml:space="preserve"> ϵ</m:t>
          </m:r>
          <m:r>
            <w:rPr>
              <w:rFonts w:ascii="Cambria Math" w:eastAsiaTheme="minorEastAsia" w:hAnsi="Cambria Math"/>
              <w:lang w:val="en-AU"/>
            </w:rPr>
            <m:t xml:space="preserve"> {CBD, Zone 1, Zone 2, Zone 3}</m:t>
          </m:r>
        </m:oMath>
      </m:oMathPara>
    </w:p>
    <w:p w14:paraId="01B05C7B" w14:textId="77777777" w:rsidR="00B25E61" w:rsidRDefault="00B25E61" w:rsidP="00A96F78">
      <w:pPr>
        <w:pStyle w:val="ListNumber1"/>
        <w:numPr>
          <w:ilvl w:val="0"/>
          <w:numId w:val="0"/>
        </w:numPr>
        <w:ind w:left="644"/>
        <w:rPr>
          <w:lang w:val="en-AU"/>
        </w:rPr>
      </w:pPr>
      <w:r>
        <w:rPr>
          <w:lang w:val="en-AU"/>
        </w:rPr>
        <w:t>Given our weighting procedure, our remoteness score assigns a value of:</w:t>
      </w:r>
    </w:p>
    <w:p w14:paraId="65D8798D" w14:textId="77777777" w:rsidR="00AD6AD6" w:rsidRDefault="00B25E61" w:rsidP="00B25E61">
      <w:pPr>
        <w:pStyle w:val="ParaBullet3"/>
        <w:numPr>
          <w:ilvl w:val="3"/>
          <w:numId w:val="8"/>
        </w:numPr>
      </w:pPr>
      <w:r>
        <w:t xml:space="preserve">4 to </w:t>
      </w:r>
      <w:r w:rsidR="00FD7E22">
        <w:t>Business Fibre Zone</w:t>
      </w:r>
      <w:r>
        <w:t>s where all of its SA1 statistical units reside in NBN zone, Zone 3</w:t>
      </w:r>
    </w:p>
    <w:p w14:paraId="3CBC1022" w14:textId="77777777" w:rsidR="00B25E61" w:rsidRDefault="00B25E61" w:rsidP="00B25E61">
      <w:pPr>
        <w:pStyle w:val="ParaBullet3"/>
        <w:numPr>
          <w:ilvl w:val="3"/>
          <w:numId w:val="8"/>
        </w:numPr>
      </w:pPr>
      <w:r>
        <w:t xml:space="preserve">1 to </w:t>
      </w:r>
      <w:r w:rsidR="00FD7E22">
        <w:t>Business Fibre Zone</w:t>
      </w:r>
      <w:r>
        <w:t>s where all of its SA1 statistical units reside in NBN zone, CBD</w:t>
      </w:r>
    </w:p>
    <w:p w14:paraId="15C3C724" w14:textId="77777777" w:rsidR="00B25E61" w:rsidRDefault="00B25E61" w:rsidP="00B25E61">
      <w:pPr>
        <w:pStyle w:val="ParaBullet3"/>
        <w:numPr>
          <w:ilvl w:val="3"/>
          <w:numId w:val="8"/>
        </w:numPr>
      </w:pPr>
      <w:r>
        <w:t xml:space="preserve">Between 1 and 4 for all other </w:t>
      </w:r>
      <w:r w:rsidR="00FD7E22">
        <w:t>Business Fibre Zone</w:t>
      </w:r>
      <w:r>
        <w:t>s</w:t>
      </w:r>
    </w:p>
    <w:p w14:paraId="12BB5AF1" w14:textId="77777777" w:rsidR="00220DEB" w:rsidRDefault="00220DEB" w:rsidP="007B15A2">
      <w:pPr>
        <w:pStyle w:val="ListNumber1"/>
        <w:numPr>
          <w:ilvl w:val="0"/>
          <w:numId w:val="0"/>
        </w:numPr>
        <w:ind w:left="644"/>
        <w:rPr>
          <w:rFonts w:eastAsia="Calibri"/>
          <w:lang w:val="en-AU"/>
        </w:rPr>
      </w:pPr>
      <w:r w:rsidRPr="00220DEB">
        <w:rPr>
          <w:rFonts w:eastAsia="Calibri"/>
          <w:lang w:val="en-AU"/>
        </w:rPr>
        <w:t xml:space="preserve">We </w:t>
      </w:r>
      <w:r>
        <w:rPr>
          <w:rFonts w:eastAsia="Calibri"/>
          <w:lang w:val="en-AU"/>
        </w:rPr>
        <w:t xml:space="preserve">further adjust the remoteness score scale </w:t>
      </w:r>
      <w:r w:rsidRPr="00220DEB">
        <w:rPr>
          <w:rFonts w:eastAsia="Calibri"/>
          <w:lang w:val="en-AU"/>
        </w:rPr>
        <w:t xml:space="preserve">to account for relative </w:t>
      </w:r>
      <w:r>
        <w:rPr>
          <w:rFonts w:eastAsia="Calibri"/>
          <w:lang w:val="en-AU"/>
        </w:rPr>
        <w:t xml:space="preserve">differences </w:t>
      </w:r>
      <w:r w:rsidR="00FD7E22">
        <w:rPr>
          <w:rFonts w:eastAsia="Calibri"/>
          <w:lang w:val="en-AU"/>
        </w:rPr>
        <w:t>Business Fibre Zone</w:t>
      </w:r>
      <w:r>
        <w:rPr>
          <w:rFonts w:eastAsia="Calibri"/>
          <w:lang w:val="en-AU"/>
        </w:rPr>
        <w:t xml:space="preserve">s. We rescale the remoteness score to lie between 75 and 150 </w:t>
      </w:r>
      <w:r w:rsidRPr="00220DEB">
        <w:rPr>
          <w:rFonts w:eastAsia="Calibri"/>
          <w:lang w:val="en-AU"/>
        </w:rPr>
        <w:t>in our standard case</w:t>
      </w:r>
      <w:r>
        <w:rPr>
          <w:rFonts w:eastAsia="Calibri"/>
          <w:lang w:val="en-AU"/>
        </w:rPr>
        <w:t xml:space="preserve">. We use a standard approach to making this linear adjustment. If we denote the new upper and lower bound values of the remoteness score by </w:t>
      </w:r>
      <m:oMath>
        <m:r>
          <w:rPr>
            <w:rFonts w:ascii="Cambria Math" w:eastAsia="Calibri" w:hAnsi="Cambria Math"/>
            <w:lang w:val="en-AU"/>
          </w:rPr>
          <m:t>UB</m:t>
        </m:r>
      </m:oMath>
      <w:r>
        <w:rPr>
          <w:rFonts w:eastAsia="Calibri"/>
          <w:lang w:val="en-AU"/>
        </w:rPr>
        <w:t xml:space="preserve"> </w:t>
      </w:r>
      <w:proofErr w:type="gramStart"/>
      <w:r>
        <w:rPr>
          <w:rFonts w:eastAsia="Calibri"/>
          <w:lang w:val="en-AU"/>
        </w:rPr>
        <w:t xml:space="preserve">and </w:t>
      </w:r>
      <w:proofErr w:type="gramEnd"/>
      <m:oMath>
        <m:r>
          <w:rPr>
            <w:rFonts w:ascii="Cambria Math" w:eastAsia="Calibri" w:hAnsi="Cambria Math"/>
            <w:lang w:val="en-AU"/>
          </w:rPr>
          <m:t>LB</m:t>
        </m:r>
      </m:oMath>
      <w:r>
        <w:rPr>
          <w:rFonts w:eastAsia="Calibri"/>
          <w:lang w:val="en-AU"/>
        </w:rPr>
        <w:t>, respectively, we can express the adjusted remoteness score algebraically as follows:</w:t>
      </w:r>
    </w:p>
    <w:p w14:paraId="389C7F22" w14:textId="77777777" w:rsidR="00220DEB" w:rsidRPr="00A168C9" w:rsidRDefault="00220DEB" w:rsidP="007B15A2">
      <w:pPr>
        <w:pStyle w:val="ListNumber1"/>
        <w:numPr>
          <w:ilvl w:val="0"/>
          <w:numId w:val="0"/>
        </w:numPr>
        <w:ind w:left="644"/>
        <w:rPr>
          <w:rFonts w:eastAsia="Calibri"/>
          <w:lang w:val="en-AU"/>
        </w:rPr>
      </w:pPr>
      <m:oMathPara>
        <m:oMath>
          <m:r>
            <w:rPr>
              <w:rFonts w:ascii="Cambria Math" w:eastAsia="Calibri" w:hAnsi="Cambria Math"/>
              <w:lang w:val="en-AU"/>
            </w:rPr>
            <m:t>Remoteness scor</m:t>
          </m:r>
          <m:sSub>
            <m:sSubPr>
              <m:ctrlPr>
                <w:rPr>
                  <w:rFonts w:ascii="Cambria Math" w:eastAsia="Calibri" w:hAnsi="Cambria Math"/>
                  <w:i/>
                  <w:lang w:val="en-AU"/>
                </w:rPr>
              </m:ctrlPr>
            </m:sSubPr>
            <m:e>
              <m:r>
                <w:rPr>
                  <w:rFonts w:ascii="Cambria Math" w:eastAsia="Calibri" w:hAnsi="Cambria Math"/>
                  <w:lang w:val="en-AU"/>
                </w:rPr>
                <m:t>e</m:t>
              </m:r>
            </m:e>
            <m:sub>
              <m:r>
                <w:rPr>
                  <w:rFonts w:ascii="Cambria Math" w:eastAsia="Calibri" w:hAnsi="Cambria Math"/>
                  <w:lang w:val="en-AU"/>
                </w:rPr>
                <m:t>j(adjusted)</m:t>
              </m:r>
            </m:sub>
          </m:sSub>
          <m:r>
            <w:rPr>
              <w:rFonts w:ascii="Cambria Math" w:eastAsia="Calibri" w:hAnsi="Cambria Math"/>
              <w:lang w:val="en-AU"/>
            </w:rPr>
            <m:t>=</m:t>
          </m:r>
          <m:d>
            <m:dPr>
              <m:ctrlPr>
                <w:rPr>
                  <w:rFonts w:ascii="Cambria Math" w:eastAsia="Calibri" w:hAnsi="Cambria Math"/>
                  <w:i/>
                  <w:lang w:val="en-AU"/>
                </w:rPr>
              </m:ctrlPr>
            </m:dPr>
            <m:e>
              <m:r>
                <w:rPr>
                  <w:rFonts w:ascii="Cambria Math" w:eastAsia="Calibri" w:hAnsi="Cambria Math"/>
                  <w:lang w:val="en-AU"/>
                </w:rPr>
                <m:t>UB-LB</m:t>
              </m:r>
            </m:e>
          </m:d>
          <m:r>
            <w:rPr>
              <w:rFonts w:ascii="Cambria Math" w:eastAsia="Calibri" w:hAnsi="Cambria Math"/>
              <w:lang w:val="en-AU"/>
            </w:rPr>
            <m:t>*</m:t>
          </m:r>
          <m:f>
            <m:fPr>
              <m:ctrlPr>
                <w:rPr>
                  <w:rFonts w:ascii="Cambria Math" w:eastAsia="Calibri" w:hAnsi="Cambria Math"/>
                  <w:i/>
                  <w:lang w:val="en-AU"/>
                </w:rPr>
              </m:ctrlPr>
            </m:fPr>
            <m:num>
              <m:r>
                <w:rPr>
                  <w:rFonts w:ascii="Cambria Math" w:eastAsia="Calibri" w:hAnsi="Cambria Math"/>
                  <w:lang w:val="en-AU"/>
                </w:rPr>
                <m:t>Rscor</m:t>
              </m:r>
              <m:sSub>
                <m:sSubPr>
                  <m:ctrlPr>
                    <w:rPr>
                      <w:rFonts w:ascii="Cambria Math" w:eastAsia="Calibri" w:hAnsi="Cambria Math"/>
                      <w:i/>
                      <w:lang w:val="en-AU"/>
                    </w:rPr>
                  </m:ctrlPr>
                </m:sSubPr>
                <m:e>
                  <m:r>
                    <w:rPr>
                      <w:rFonts w:ascii="Cambria Math" w:eastAsia="Calibri" w:hAnsi="Cambria Math"/>
                      <w:lang w:val="en-AU"/>
                    </w:rPr>
                    <m:t>e</m:t>
                  </m:r>
                </m:e>
                <m:sub>
                  <m:r>
                    <w:rPr>
                      <w:rFonts w:ascii="Cambria Math" w:eastAsia="Calibri" w:hAnsi="Cambria Math"/>
                      <w:lang w:val="en-AU"/>
                    </w:rPr>
                    <m:t>j</m:t>
                  </m:r>
                </m:sub>
              </m:sSub>
              <m:r>
                <w:rPr>
                  <w:rFonts w:ascii="Cambria Math" w:eastAsia="Calibri" w:hAnsi="Cambria Math"/>
                  <w:lang w:val="en-AU"/>
                </w:rPr>
                <m:t>-</m:t>
              </m:r>
              <m:func>
                <m:funcPr>
                  <m:ctrlPr>
                    <w:rPr>
                      <w:rFonts w:ascii="Cambria Math" w:eastAsia="Calibri" w:hAnsi="Cambria Math"/>
                      <w:lang w:val="en-AU"/>
                    </w:rPr>
                  </m:ctrlPr>
                </m:funcPr>
                <m:fName>
                  <m:r>
                    <m:rPr>
                      <m:sty m:val="p"/>
                    </m:rPr>
                    <w:rPr>
                      <w:rFonts w:ascii="Cambria Math" w:eastAsia="Calibri" w:hAnsi="Cambria Math"/>
                      <w:lang w:val="en-AU"/>
                    </w:rPr>
                    <m:t>min</m:t>
                  </m:r>
                  <m:ctrlPr>
                    <w:rPr>
                      <w:rFonts w:ascii="Cambria Math" w:eastAsia="Calibri" w:hAnsi="Cambria Math"/>
                      <w:i/>
                      <w:lang w:val="en-AU"/>
                    </w:rPr>
                  </m:ctrlPr>
                </m:fName>
                <m:e>
                  <m:d>
                    <m:dPr>
                      <m:ctrlPr>
                        <w:rPr>
                          <w:rFonts w:ascii="Cambria Math" w:eastAsia="Calibri" w:hAnsi="Cambria Math"/>
                          <w:i/>
                          <w:lang w:val="en-AU"/>
                        </w:rPr>
                      </m:ctrlPr>
                    </m:dPr>
                    <m:e>
                      <m:r>
                        <w:rPr>
                          <w:rFonts w:ascii="Cambria Math" w:eastAsia="Calibri" w:hAnsi="Cambria Math"/>
                          <w:lang w:val="en-AU"/>
                        </w:rPr>
                        <m:t>Rscore</m:t>
                      </m:r>
                    </m:e>
                  </m:d>
                </m:e>
              </m:func>
            </m:num>
            <m:den>
              <m:func>
                <m:funcPr>
                  <m:ctrlPr>
                    <w:rPr>
                      <w:rFonts w:ascii="Cambria Math" w:eastAsia="Calibri" w:hAnsi="Cambria Math"/>
                      <w:lang w:val="en-AU"/>
                    </w:rPr>
                  </m:ctrlPr>
                </m:funcPr>
                <m:fName>
                  <m:r>
                    <m:rPr>
                      <m:sty m:val="p"/>
                    </m:rPr>
                    <w:rPr>
                      <w:rFonts w:ascii="Cambria Math" w:eastAsia="Calibri" w:hAnsi="Cambria Math"/>
                      <w:lang w:val="en-AU"/>
                    </w:rPr>
                    <m:t>max</m:t>
                  </m:r>
                </m:fName>
                <m:e>
                  <m:d>
                    <m:dPr>
                      <m:ctrlPr>
                        <w:rPr>
                          <w:rFonts w:ascii="Cambria Math" w:eastAsia="Calibri" w:hAnsi="Cambria Math"/>
                          <w:i/>
                          <w:lang w:val="en-AU"/>
                        </w:rPr>
                      </m:ctrlPr>
                    </m:dPr>
                    <m:e>
                      <m:r>
                        <w:rPr>
                          <w:rFonts w:ascii="Cambria Math" w:eastAsia="Calibri" w:hAnsi="Cambria Math"/>
                          <w:lang w:val="en-AU"/>
                        </w:rPr>
                        <m:t>Rscore</m:t>
                      </m:r>
                    </m:e>
                  </m:d>
                </m:e>
              </m:func>
              <m:r>
                <w:rPr>
                  <w:rFonts w:ascii="Cambria Math" w:eastAsia="Calibri" w:hAnsi="Cambria Math"/>
                  <w:lang w:val="en-AU"/>
                </w:rPr>
                <m:t>-</m:t>
              </m:r>
              <m:func>
                <m:funcPr>
                  <m:ctrlPr>
                    <w:rPr>
                      <w:rFonts w:ascii="Cambria Math" w:eastAsia="Calibri" w:hAnsi="Cambria Math"/>
                      <w:lang w:val="en-AU"/>
                    </w:rPr>
                  </m:ctrlPr>
                </m:funcPr>
                <m:fName>
                  <m:r>
                    <m:rPr>
                      <m:sty m:val="p"/>
                    </m:rPr>
                    <w:rPr>
                      <w:rFonts w:ascii="Cambria Math" w:eastAsia="Calibri" w:hAnsi="Cambria Math"/>
                      <w:lang w:val="en-AU"/>
                    </w:rPr>
                    <m:t>min</m:t>
                  </m:r>
                  <m:ctrlPr>
                    <w:rPr>
                      <w:rFonts w:ascii="Cambria Math" w:eastAsia="Calibri" w:hAnsi="Cambria Math"/>
                      <w:i/>
                      <w:lang w:val="en-AU"/>
                    </w:rPr>
                  </m:ctrlPr>
                </m:fName>
                <m:e>
                  <m:d>
                    <m:dPr>
                      <m:ctrlPr>
                        <w:rPr>
                          <w:rFonts w:ascii="Cambria Math" w:eastAsia="Calibri" w:hAnsi="Cambria Math"/>
                          <w:i/>
                          <w:lang w:val="en-AU"/>
                        </w:rPr>
                      </m:ctrlPr>
                    </m:dPr>
                    <m:e>
                      <m:r>
                        <w:rPr>
                          <w:rFonts w:ascii="Cambria Math" w:eastAsia="Calibri" w:hAnsi="Cambria Math"/>
                          <w:lang w:val="en-AU"/>
                        </w:rPr>
                        <m:t>Rscore</m:t>
                      </m:r>
                    </m:e>
                  </m:d>
                </m:e>
              </m:func>
            </m:den>
          </m:f>
          <m:r>
            <w:rPr>
              <w:rFonts w:ascii="Cambria Math" w:eastAsia="Calibri" w:hAnsi="Cambria Math"/>
              <w:lang w:val="en-AU"/>
            </w:rPr>
            <m:t>+LB</m:t>
          </m:r>
        </m:oMath>
      </m:oMathPara>
    </w:p>
    <w:p w14:paraId="66C5FBF0" w14:textId="77777777" w:rsidR="00A168C9" w:rsidRPr="00A168C9" w:rsidRDefault="00A168C9" w:rsidP="007B15A2">
      <w:pPr>
        <w:pStyle w:val="ListNumber1"/>
        <w:numPr>
          <w:ilvl w:val="0"/>
          <w:numId w:val="0"/>
        </w:numPr>
        <w:ind w:left="644"/>
        <w:rPr>
          <w:rFonts w:eastAsia="Calibri"/>
          <w:lang w:val="en-AU"/>
        </w:rPr>
      </w:pPr>
      <w:r>
        <w:rPr>
          <w:rFonts w:eastAsia="Calibri"/>
          <w:lang w:val="en-AU"/>
        </w:rPr>
        <w:t>W</w:t>
      </w:r>
      <w:r w:rsidRPr="00A168C9">
        <w:rPr>
          <w:rFonts w:eastAsia="Calibri"/>
          <w:lang w:val="en-AU"/>
        </w:rPr>
        <w:t>here</w:t>
      </w:r>
      <w:r>
        <w:rPr>
          <w:rFonts w:eastAsia="Calibri"/>
          <w:lang w:val="en-AU"/>
        </w:rPr>
        <w:t xml:space="preserve"> </w:t>
      </w:r>
      <m:oMath>
        <m:func>
          <m:funcPr>
            <m:ctrlPr>
              <w:rPr>
                <w:rFonts w:ascii="Cambria Math" w:eastAsia="Calibri" w:hAnsi="Cambria Math"/>
                <w:i/>
                <w:lang w:val="en-AU"/>
              </w:rPr>
            </m:ctrlPr>
          </m:funcPr>
          <m:fName>
            <m:r>
              <m:rPr>
                <m:sty m:val="p"/>
              </m:rPr>
              <w:rPr>
                <w:rFonts w:ascii="Cambria Math" w:eastAsia="Calibri" w:hAnsi="Cambria Math"/>
                <w:lang w:val="en-AU"/>
              </w:rPr>
              <m:t>min</m:t>
            </m:r>
          </m:fName>
          <m:e>
            <m:d>
              <m:dPr>
                <m:ctrlPr>
                  <w:rPr>
                    <w:rFonts w:ascii="Cambria Math" w:eastAsia="Calibri" w:hAnsi="Cambria Math"/>
                    <w:i/>
                    <w:lang w:val="en-AU"/>
                  </w:rPr>
                </m:ctrlPr>
              </m:dPr>
              <m:e>
                <m:r>
                  <w:rPr>
                    <w:rFonts w:ascii="Cambria Math" w:eastAsia="Calibri" w:hAnsi="Cambria Math"/>
                    <w:lang w:val="en-AU"/>
                  </w:rPr>
                  <m:t>Rscore</m:t>
                </m:r>
              </m:e>
            </m:d>
          </m:e>
        </m:func>
      </m:oMath>
      <w:r>
        <w:rPr>
          <w:rFonts w:eastAsia="Calibri"/>
          <w:lang w:val="en-AU"/>
        </w:rPr>
        <w:t xml:space="preserve"> and </w:t>
      </w:r>
      <m:oMath>
        <m:func>
          <m:funcPr>
            <m:ctrlPr>
              <w:rPr>
                <w:rFonts w:ascii="Cambria Math" w:eastAsia="Calibri" w:hAnsi="Cambria Math"/>
                <w:i/>
                <w:lang w:val="en-AU"/>
              </w:rPr>
            </m:ctrlPr>
          </m:funcPr>
          <m:fName>
            <m:r>
              <m:rPr>
                <m:sty m:val="p"/>
              </m:rPr>
              <w:rPr>
                <w:rFonts w:ascii="Cambria Math" w:eastAsia="Calibri" w:hAnsi="Cambria Math"/>
                <w:lang w:val="en-AU"/>
              </w:rPr>
              <m:t>max</m:t>
            </m:r>
          </m:fName>
          <m:e>
            <m:d>
              <m:dPr>
                <m:ctrlPr>
                  <w:rPr>
                    <w:rFonts w:ascii="Cambria Math" w:eastAsia="Calibri" w:hAnsi="Cambria Math"/>
                    <w:i/>
                    <w:lang w:val="en-AU"/>
                  </w:rPr>
                </m:ctrlPr>
              </m:dPr>
              <m:e>
                <m:r>
                  <w:rPr>
                    <w:rFonts w:ascii="Cambria Math" w:eastAsia="Calibri" w:hAnsi="Cambria Math"/>
                    <w:lang w:val="en-AU"/>
                  </w:rPr>
                  <m:t>Rscore</m:t>
                </m:r>
              </m:e>
            </m:d>
          </m:e>
        </m:func>
      </m:oMath>
      <w:r>
        <w:rPr>
          <w:rFonts w:eastAsia="Calibri"/>
          <w:lang w:val="en-AU"/>
        </w:rPr>
        <w:t xml:space="preserve"> a</w:t>
      </w:r>
      <w:r w:rsidRPr="00A168C9">
        <w:rPr>
          <w:rFonts w:eastAsia="Calibri"/>
          <w:lang w:val="en-AU"/>
        </w:rPr>
        <w:t>re the minimum and maximum of the unadjusted remoteness score</w:t>
      </w:r>
      <w:r>
        <w:rPr>
          <w:rFonts w:eastAsia="Calibri"/>
          <w:lang w:val="en-AU"/>
        </w:rPr>
        <w:t xml:space="preserve"> (i.e. 1 and 4 respectively)</w:t>
      </w:r>
    </w:p>
    <w:p w14:paraId="545F160E" w14:textId="77777777" w:rsidR="00702112" w:rsidRPr="00322939" w:rsidRDefault="00A168C9" w:rsidP="00322939">
      <w:pPr>
        <w:pStyle w:val="ListNumber1"/>
        <w:numPr>
          <w:ilvl w:val="0"/>
          <w:numId w:val="0"/>
        </w:numPr>
        <w:ind w:left="644"/>
      </w:pPr>
      <w:r w:rsidRPr="00322939">
        <w:rPr>
          <w:rFonts w:eastAsia="Calibri"/>
          <w:lang w:val="en-AU"/>
        </w:rPr>
        <w:t>F</w:t>
      </w:r>
      <w:r>
        <w:rPr>
          <w:rFonts w:eastAsia="Calibri"/>
          <w:lang w:val="en-AU"/>
        </w:rPr>
        <w:t xml:space="preserve">inally, we </w:t>
      </w:r>
      <w:r w:rsidR="00E82ACC">
        <w:rPr>
          <w:lang w:val="en-AU"/>
        </w:rPr>
        <w:t>use the</w:t>
      </w:r>
      <w:r w:rsidR="00702112" w:rsidRPr="007B15A2">
        <w:rPr>
          <w:lang w:val="en-AU"/>
        </w:rPr>
        <w:t xml:space="preserve"> remoteness score to obtain </w:t>
      </w:r>
      <w:r w:rsidR="00E82ACC">
        <w:rPr>
          <w:lang w:val="en-AU"/>
        </w:rPr>
        <w:t xml:space="preserve">a % </w:t>
      </w:r>
      <w:r w:rsidR="00702112" w:rsidRPr="007B15A2">
        <w:rPr>
          <w:lang w:val="en-AU"/>
        </w:rPr>
        <w:t xml:space="preserve">productivity impact by </w:t>
      </w:r>
      <w:r w:rsidR="00FD7E22">
        <w:rPr>
          <w:lang w:val="en-AU"/>
        </w:rPr>
        <w:t>Business Fibre Zone</w:t>
      </w:r>
      <w:r w:rsidR="00E82ACC">
        <w:rPr>
          <w:lang w:val="en-AU"/>
        </w:rPr>
        <w:t xml:space="preserve"> and industry</w:t>
      </w:r>
      <w:r>
        <w:t>. W</w:t>
      </w:r>
      <w:proofErr w:type="spellStart"/>
      <w:r w:rsidR="00702112">
        <w:rPr>
          <w:rFonts w:eastAsiaTheme="minorEastAsia"/>
          <w:lang w:val="en-AU"/>
        </w:rPr>
        <w:t>e</w:t>
      </w:r>
      <w:proofErr w:type="spellEnd"/>
      <w:r w:rsidR="00702112">
        <w:rPr>
          <w:rFonts w:eastAsiaTheme="minorEastAsia"/>
          <w:lang w:val="en-AU"/>
        </w:rPr>
        <w:t xml:space="preserve"> can express </w:t>
      </w:r>
      <w:r w:rsidR="00E82ACC">
        <w:rPr>
          <w:rFonts w:eastAsiaTheme="minorEastAsia"/>
          <w:lang w:val="en-AU"/>
        </w:rPr>
        <w:t xml:space="preserve">this </w:t>
      </w:r>
      <w:r w:rsidR="00702112">
        <w:rPr>
          <w:rFonts w:eastAsiaTheme="minorEastAsia"/>
          <w:lang w:val="en-AU"/>
        </w:rPr>
        <w:t>productivity benefit algebraically as follows:</w:t>
      </w:r>
    </w:p>
    <w:p w14:paraId="5EDDF831" w14:textId="77777777" w:rsidR="00702112" w:rsidRPr="00372BB1" w:rsidRDefault="00702112">
      <w:pPr>
        <w:pStyle w:val="ListNumber1"/>
        <w:numPr>
          <w:ilvl w:val="0"/>
          <w:numId w:val="0"/>
        </w:numPr>
        <w:ind w:left="644"/>
        <w:rPr>
          <w:rFonts w:eastAsiaTheme="minorEastAsia"/>
        </w:rPr>
      </w:pPr>
      <m:oMathPara>
        <m:oMath>
          <m:r>
            <w:rPr>
              <w:rFonts w:ascii="Cambria Math" w:hAnsi="Cambria Math"/>
            </w:rPr>
            <m:t>P</m:t>
          </m:r>
          <m:sSub>
            <m:sSubPr>
              <m:ctrlPr>
                <w:rPr>
                  <w:rFonts w:ascii="Cambria Math" w:hAnsi="Cambria Math"/>
                  <w:i/>
                </w:rPr>
              </m:ctrlPr>
            </m:sSubPr>
            <m:e>
              <m:r>
                <w:rPr>
                  <w:rFonts w:ascii="Cambria Math" w:hAnsi="Cambria Math"/>
                </w:rPr>
                <m:t>B</m:t>
              </m:r>
            </m:e>
            <m:sub>
              <m:r>
                <w:rPr>
                  <w:rFonts w:ascii="Cambria Math" w:hAnsi="Cambria Math"/>
                </w:rPr>
                <m:t>ij</m:t>
              </m:r>
            </m:sub>
          </m:sSub>
          <m:r>
            <w:rPr>
              <w:rFonts w:ascii="Cambria Math" w:hAnsi="Cambria Math"/>
            </w:rPr>
            <m:t>=P</m:t>
          </m:r>
          <m:sSub>
            <m:sSubPr>
              <m:ctrlPr>
                <w:rPr>
                  <w:rFonts w:ascii="Cambria Math" w:hAnsi="Cambria Math"/>
                  <w:i/>
                </w:rPr>
              </m:ctrlPr>
            </m:sSubPr>
            <m:e>
              <m:r>
                <w:rPr>
                  <w:rFonts w:ascii="Cambria Math" w:hAnsi="Cambria Math"/>
                </w:rPr>
                <m:t>B</m:t>
              </m:r>
            </m:e>
            <m:sub>
              <m:r>
                <w:rPr>
                  <w:rFonts w:ascii="Cambria Math" w:hAnsi="Cambria Math"/>
                </w:rPr>
                <m:t>i</m:t>
              </m:r>
            </m:sub>
          </m:sSub>
          <m:r>
            <w:rPr>
              <w:rFonts w:ascii="Cambria Math" w:hAnsi="Cambria Math"/>
            </w:rPr>
            <m:t>*Rscor</m:t>
          </m:r>
          <m:sSub>
            <m:sSubPr>
              <m:ctrlPr>
                <w:rPr>
                  <w:rFonts w:ascii="Cambria Math" w:hAnsi="Cambria Math"/>
                  <w:i/>
                </w:rPr>
              </m:ctrlPr>
            </m:sSubPr>
            <m:e>
              <m:r>
                <w:rPr>
                  <w:rFonts w:ascii="Cambria Math" w:hAnsi="Cambria Math"/>
                </w:rPr>
                <m:t>e</m:t>
              </m:r>
            </m:e>
            <m:sub>
              <m:r>
                <w:rPr>
                  <w:rFonts w:ascii="Cambria Math" w:hAnsi="Cambria Math"/>
                </w:rPr>
                <m:t>j(adjusted)</m:t>
              </m:r>
            </m:sub>
          </m:sSub>
        </m:oMath>
      </m:oMathPara>
    </w:p>
    <w:p w14:paraId="0487593B" w14:textId="77777777" w:rsidR="00372BB1" w:rsidRDefault="00372BB1" w:rsidP="00372BB1">
      <w:pPr>
        <w:pStyle w:val="ListNumber1"/>
        <w:numPr>
          <w:ilvl w:val="0"/>
          <w:numId w:val="32"/>
        </w:numPr>
        <w:rPr>
          <w:b/>
          <w:bCs/>
        </w:rPr>
      </w:pPr>
      <w:r>
        <w:rPr>
          <w:b/>
          <w:bCs/>
        </w:rPr>
        <w:lastRenderedPageBreak/>
        <w:t>(Adjust for complementary investment)</w:t>
      </w:r>
    </w:p>
    <w:p w14:paraId="5776CF59" w14:textId="77777777" w:rsidR="00372BB1" w:rsidRPr="00A63A4B" w:rsidRDefault="00372BB1" w:rsidP="00322939">
      <w:pPr>
        <w:pStyle w:val="ListNumber1"/>
        <w:numPr>
          <w:ilvl w:val="0"/>
          <w:numId w:val="0"/>
        </w:numPr>
        <w:ind w:left="644"/>
      </w:pPr>
      <w:r>
        <w:t xml:space="preserve">We note here that our literature review revealed that the extent to which business make complementary investments along with take up of broadband, is a potentially important factor in realising the benefits of broadband deployment. We investigated potential data sources to help capture this in our productivity calculation but were unable to find an appropriately granular source of data to </w:t>
      </w:r>
      <w:r w:rsidR="00C77870">
        <w:t xml:space="preserve">capture the extent of complementary investment. </w:t>
      </w:r>
      <w:r w:rsidR="000267E7">
        <w:t>To the extent that a measure of this could be defined</w:t>
      </w:r>
      <w:r w:rsidR="00464607">
        <w:t xml:space="preserve"> in future, it would enhance the accuracy of forecasts.</w:t>
      </w:r>
    </w:p>
    <w:p w14:paraId="03FD7BE7" w14:textId="77777777" w:rsidR="00702112" w:rsidRDefault="00702112" w:rsidP="00702112">
      <w:pPr>
        <w:pStyle w:val="ListNumber1"/>
        <w:numPr>
          <w:ilvl w:val="0"/>
          <w:numId w:val="32"/>
        </w:numPr>
        <w:rPr>
          <w:b/>
          <w:bCs/>
        </w:rPr>
      </w:pPr>
      <w:r w:rsidRPr="00322939">
        <w:rPr>
          <w:b/>
          <w:bCs/>
        </w:rPr>
        <w:t xml:space="preserve">Weight </w:t>
      </w:r>
      <w:r w:rsidR="00FD7E22">
        <w:rPr>
          <w:b/>
          <w:bCs/>
        </w:rPr>
        <w:t>Business Fibre Zone</w:t>
      </w:r>
      <w:r w:rsidRPr="00322939">
        <w:rPr>
          <w:b/>
          <w:bCs/>
        </w:rPr>
        <w:t>-specific productivity benefits by</w:t>
      </w:r>
      <w:r w:rsidR="00C77E11">
        <w:rPr>
          <w:b/>
          <w:bCs/>
        </w:rPr>
        <w:t xml:space="preserve"> share of</w:t>
      </w:r>
      <w:r w:rsidRPr="00322939">
        <w:rPr>
          <w:b/>
          <w:bCs/>
        </w:rPr>
        <w:t xml:space="preserve"> GVA</w:t>
      </w:r>
    </w:p>
    <w:p w14:paraId="2E86F5FB" w14:textId="77777777" w:rsidR="00702112" w:rsidRDefault="00702112" w:rsidP="00C271B7">
      <w:pPr>
        <w:pStyle w:val="ListNumber1"/>
        <w:numPr>
          <w:ilvl w:val="0"/>
          <w:numId w:val="0"/>
        </w:numPr>
        <w:ind w:left="644"/>
      </w:pPr>
      <w:r>
        <w:t xml:space="preserve">The productivity benefits </w:t>
      </w:r>
      <m:oMath>
        <m:r>
          <w:rPr>
            <w:rFonts w:ascii="Cambria Math" w:hAnsi="Cambria Math"/>
          </w:rPr>
          <m:t>P</m:t>
        </m:r>
        <m:sSub>
          <m:sSubPr>
            <m:ctrlPr>
              <w:rPr>
                <w:rFonts w:ascii="Cambria Math" w:hAnsi="Cambria Math"/>
                <w:i/>
              </w:rPr>
            </m:ctrlPr>
          </m:sSubPr>
          <m:e>
            <m:r>
              <w:rPr>
                <w:rFonts w:ascii="Cambria Math" w:hAnsi="Cambria Math"/>
              </w:rPr>
              <m:t>B</m:t>
            </m:r>
          </m:e>
          <m:sub>
            <m:r>
              <w:rPr>
                <w:rFonts w:ascii="Cambria Math" w:hAnsi="Cambria Math"/>
              </w:rPr>
              <m:t>j</m:t>
            </m:r>
          </m:sub>
        </m:sSub>
      </m:oMath>
      <w:r w:rsidR="00A168C9">
        <w:rPr>
          <w:rFonts w:eastAsiaTheme="minorEastAsia"/>
        </w:rPr>
        <w:t xml:space="preserve"> </w:t>
      </w:r>
      <w:r>
        <w:t xml:space="preserve">calculated up until this step express benefits in % terms and therefore do not tell us much about the significance of a particular industry in a </w:t>
      </w:r>
      <w:r w:rsidR="00FD7E22">
        <w:t>Business Fibre Zone</w:t>
      </w:r>
      <w:r>
        <w:t>. For example, a forecast that finance firms that would expect an increase in productivity of 15% in a particular zone may overstate benefits and there might be very few or no firms offering those services in that zone.</w:t>
      </w:r>
    </w:p>
    <w:p w14:paraId="0A976658" w14:textId="77777777" w:rsidR="00DD23E1" w:rsidRDefault="00702112" w:rsidP="00C77E11">
      <w:pPr>
        <w:pStyle w:val="ListNumber1"/>
        <w:numPr>
          <w:ilvl w:val="0"/>
          <w:numId w:val="0"/>
        </w:numPr>
        <w:ind w:left="644"/>
      </w:pPr>
      <w:r>
        <w:t xml:space="preserve">To understand the materiality of productivity benefits more deeply, as a final step we estimate the gross value added (GVA) by industry in each </w:t>
      </w:r>
      <w:r w:rsidR="00FD7E22">
        <w:t>Business Fibre Zone</w:t>
      </w:r>
      <w:r>
        <w:t>. We then use this to identify industry sectors that (</w:t>
      </w:r>
      <w:proofErr w:type="spellStart"/>
      <w:r>
        <w:t>i</w:t>
      </w:r>
      <w:proofErr w:type="spellEnd"/>
      <w:r>
        <w:t>) are forecast to receive a material productivity gain and (ii) contribute materially to GVA in that fibre zone.</w:t>
      </w:r>
    </w:p>
    <w:p w14:paraId="6D3DEE5F" w14:textId="77777777" w:rsidR="00E82ACC" w:rsidRDefault="00E82ACC" w:rsidP="00C77E11">
      <w:pPr>
        <w:pStyle w:val="ListNumber1"/>
        <w:numPr>
          <w:ilvl w:val="0"/>
          <w:numId w:val="0"/>
        </w:numPr>
        <w:ind w:left="644"/>
      </w:pPr>
      <w:r>
        <w:t xml:space="preserve">We can express the GVA-share-weighted productivity benefits for a </w:t>
      </w:r>
      <w:r w:rsidR="00FD7E22">
        <w:t>Business Fibre Zone</w:t>
      </w:r>
      <w:r>
        <w:t xml:space="preserve"> as follows:</w:t>
      </w:r>
    </w:p>
    <w:p w14:paraId="7BEE9963" w14:textId="77777777" w:rsidR="00BE7A34" w:rsidRPr="00BE7A34" w:rsidRDefault="00C77E11" w:rsidP="002468B1">
      <w:pPr>
        <w:pStyle w:val="ListNumber1"/>
        <w:numPr>
          <w:ilvl w:val="0"/>
          <w:numId w:val="0"/>
        </w:numPr>
        <w:ind w:left="644"/>
      </w:pPr>
      <m:oMathPara>
        <m:oMath>
          <m:r>
            <w:rPr>
              <w:rFonts w:ascii="Cambria Math" w:hAnsi="Cambria Math"/>
            </w:rPr>
            <m:t>P</m:t>
          </m:r>
          <m:sSub>
            <m:sSubPr>
              <m:ctrlPr>
                <w:rPr>
                  <w:rFonts w:ascii="Cambria Math" w:hAnsi="Cambria Math"/>
                  <w:i/>
                </w:rPr>
              </m:ctrlPr>
            </m:sSubPr>
            <m:e>
              <m:r>
                <w:rPr>
                  <w:rFonts w:ascii="Cambria Math" w:hAnsi="Cambria Math"/>
                </w:rPr>
                <m:t>B</m:t>
              </m:r>
            </m:e>
            <m:sub>
              <m:r>
                <w:rPr>
                  <w:rFonts w:ascii="Cambria Math" w:hAnsi="Cambria Math"/>
                </w:rPr>
                <m:t>ij(weighted)</m:t>
              </m:r>
            </m:sub>
          </m:sSub>
          <m:r>
            <w:rPr>
              <w:rFonts w:ascii="Cambria Math" w:hAnsi="Cambria Math"/>
            </w:rPr>
            <m:t>=</m:t>
          </m:r>
          <m:r>
            <w:rPr>
              <w:rFonts w:ascii="Cambria Math" w:eastAsiaTheme="minorEastAsia" w:hAnsi="Cambria Math"/>
            </w:rPr>
            <m:t>P</m:t>
          </m:r>
          <m:sSub>
            <m:sSubPr>
              <m:ctrlPr>
                <w:rPr>
                  <w:rFonts w:ascii="Cambria Math" w:eastAsiaTheme="minorEastAsia" w:hAnsi="Cambria Math"/>
                  <w:i/>
                </w:rPr>
              </m:ctrlPr>
            </m:sSubPr>
            <m:e>
              <m:r>
                <w:rPr>
                  <w:rFonts w:ascii="Cambria Math" w:eastAsiaTheme="minorEastAsia" w:hAnsi="Cambria Math"/>
                </w:rPr>
                <m:t>B</m:t>
              </m:r>
            </m:e>
            <m:sub>
              <m:r>
                <w:rPr>
                  <w:rFonts w:ascii="Cambria Math" w:eastAsiaTheme="minorEastAsia" w:hAnsi="Cambria Math"/>
                </w:rPr>
                <m:t>j</m:t>
              </m:r>
            </m:sub>
          </m:sSub>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GV</m:t>
              </m:r>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ij</m:t>
                  </m:r>
                </m:sub>
              </m:sSub>
            </m:num>
            <m:den>
              <m:r>
                <w:rPr>
                  <w:rFonts w:ascii="Cambria Math" w:eastAsiaTheme="minorEastAsia" w:hAnsi="Cambria Math"/>
                </w:rPr>
                <m:t>GV</m:t>
              </m:r>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j</m:t>
                  </m:r>
                </m:sub>
              </m:sSub>
            </m:den>
          </m:f>
        </m:oMath>
      </m:oMathPara>
    </w:p>
    <w:p w14:paraId="0B7F53F1" w14:textId="77777777" w:rsidR="00B117BE" w:rsidRPr="00B117BE" w:rsidRDefault="00B117BE" w:rsidP="00B117BE">
      <w:pPr>
        <w:pStyle w:val="BodyText"/>
      </w:pPr>
    </w:p>
    <w:p w14:paraId="2EC40A76" w14:textId="77777777" w:rsidR="00E828FB" w:rsidRDefault="00E828FB" w:rsidP="00C02423">
      <w:pPr>
        <w:pStyle w:val="BodyText"/>
      </w:pPr>
    </w:p>
    <w:p w14:paraId="31D21667" w14:textId="77777777" w:rsidR="000569C2" w:rsidRDefault="000569C2" w:rsidP="00C02423">
      <w:pPr>
        <w:pStyle w:val="BodyText"/>
      </w:pPr>
    </w:p>
    <w:p w14:paraId="63B23679" w14:textId="77777777" w:rsidR="00AD3BDF" w:rsidRDefault="00E031EF" w:rsidP="00C02423">
      <w:pPr>
        <w:pStyle w:val="BodyText"/>
        <w:sectPr w:rsidR="00AD3BDF" w:rsidSect="008905FC">
          <w:pgSz w:w="11906" w:h="16838" w:code="9"/>
          <w:pgMar w:top="1871" w:right="1418" w:bottom="1134" w:left="1418" w:header="567" w:footer="567" w:gutter="0"/>
          <w:pgNumType w:chapStyle="1"/>
          <w:cols w:space="708"/>
          <w:formProt w:val="0"/>
          <w:docGrid w:linePitch="360"/>
        </w:sectPr>
      </w:pPr>
      <w:sdt>
        <w:sdtPr>
          <w:alias w:val="locked section break"/>
          <w:tag w:val="locked section break"/>
          <w:id w:val="726644853"/>
          <w:lock w:val="sdtLocked"/>
          <w:placeholder>
            <w:docPart w:val="43813F36158B46ADA7694532865B02D8"/>
          </w:placeholder>
          <w:showingPlcHdr/>
          <w:text/>
        </w:sdtPr>
        <w:sdtEndPr/>
        <w:sdtContent>
          <w:r w:rsidR="00CE3607">
            <w:rPr>
              <w:rStyle w:val="PlaceholderText"/>
            </w:rPr>
            <w:t xml:space="preserve">  </w:t>
          </w:r>
        </w:sdtContent>
      </w:sdt>
    </w:p>
    <w:p w14:paraId="46E09D9E" w14:textId="006AEE94" w:rsidR="007D44B2" w:rsidRDefault="00FA3533" w:rsidP="00FA3533">
      <w:pPr>
        <w:pStyle w:val="Heading2"/>
      </w:pPr>
      <w:bookmarkStart w:id="201" w:name="_Ref75767621"/>
      <w:bookmarkStart w:id="202" w:name="_Toc79671834"/>
      <w:r>
        <w:lastRenderedPageBreak/>
        <w:t>C</w:t>
      </w:r>
      <w:r>
        <w:tab/>
      </w:r>
      <w:r w:rsidR="007D44B2">
        <w:t xml:space="preserve">ANZSIC </w:t>
      </w:r>
      <w:r w:rsidR="00D76DEC" w:rsidRPr="00D76DEC">
        <w:t xml:space="preserve">division and </w:t>
      </w:r>
      <w:r w:rsidR="00D76DEC" w:rsidRPr="00FA3533">
        <w:t>subdivision</w:t>
      </w:r>
      <w:r w:rsidR="00D76DEC" w:rsidRPr="00D76DEC">
        <w:t xml:space="preserve"> codes and titles</w:t>
      </w:r>
      <w:bookmarkEnd w:id="201"/>
      <w:bookmarkEnd w:id="202"/>
    </w:p>
    <w:tbl>
      <w:tblPr>
        <w:tblStyle w:val="FETableStyle"/>
        <w:tblW w:w="0" w:type="auto"/>
        <w:shd w:val="clear" w:color="auto" w:fill="F2F2F2" w:themeFill="background2"/>
        <w:tblLook w:val="06A0" w:firstRow="1" w:lastRow="0" w:firstColumn="1" w:lastColumn="0" w:noHBand="1" w:noVBand="1"/>
        <w:tblDescription w:val="ANZSIC division and subdivision codes and titles"/>
      </w:tblPr>
      <w:tblGrid>
        <w:gridCol w:w="1002"/>
        <w:gridCol w:w="8068"/>
      </w:tblGrid>
      <w:tr w:rsidR="00770A5B" w:rsidRPr="00770A5B" w14:paraId="68074FCD" w14:textId="77777777" w:rsidTr="005D5DD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002" w:type="dxa"/>
          </w:tcPr>
          <w:p w14:paraId="787AA6CB" w14:textId="77777777" w:rsidR="00770A5B" w:rsidRPr="00770A5B" w:rsidRDefault="00770A5B" w:rsidP="00770A5B">
            <w:pPr>
              <w:keepNext w:val="0"/>
              <w:autoSpaceDE w:val="0"/>
              <w:autoSpaceDN w:val="0"/>
              <w:adjustRightInd w:val="0"/>
              <w:spacing w:before="0" w:after="0" w:line="240" w:lineRule="auto"/>
              <w:jc w:val="left"/>
              <w:rPr>
                <w:rFonts w:cs="Open Sans"/>
                <w:b/>
                <w:bCs/>
                <w:color w:val="FFFFFF" w:themeColor="background1"/>
                <w:sz w:val="24"/>
                <w:szCs w:val="24"/>
              </w:rPr>
            </w:pPr>
            <w:r w:rsidRPr="00770A5B">
              <w:rPr>
                <w:rFonts w:cs="Open Sans"/>
                <w:b/>
                <w:bCs/>
                <w:color w:val="FFFFFF" w:themeColor="background1"/>
                <w:sz w:val="24"/>
                <w:szCs w:val="24"/>
              </w:rPr>
              <w:t>CODE</w:t>
            </w:r>
          </w:p>
        </w:tc>
        <w:tc>
          <w:tcPr>
            <w:tcW w:w="8068" w:type="dxa"/>
          </w:tcPr>
          <w:p w14:paraId="145DA81E" w14:textId="77777777" w:rsidR="00770A5B" w:rsidRPr="00770A5B" w:rsidRDefault="00770A5B" w:rsidP="00770A5B">
            <w:pPr>
              <w:keepNext w:val="0"/>
              <w:autoSpaceDE w:val="0"/>
              <w:autoSpaceDN w:val="0"/>
              <w:adjustRightInd w:val="0"/>
              <w:spacing w:before="0" w:after="0" w:line="240" w:lineRule="auto"/>
              <w:jc w:val="left"/>
              <w:cnfStyle w:val="100000000000" w:firstRow="1" w:lastRow="0" w:firstColumn="0" w:lastColumn="0" w:oddVBand="0" w:evenVBand="0" w:oddHBand="0" w:evenHBand="0" w:firstRowFirstColumn="0" w:firstRowLastColumn="0" w:lastRowFirstColumn="0" w:lastRowLastColumn="0"/>
              <w:rPr>
                <w:rFonts w:cs="Open Sans"/>
                <w:b/>
                <w:bCs/>
                <w:color w:val="FFFFFF" w:themeColor="background1"/>
                <w:sz w:val="24"/>
                <w:szCs w:val="24"/>
              </w:rPr>
            </w:pPr>
            <w:r w:rsidRPr="00770A5B">
              <w:rPr>
                <w:rFonts w:cs="Open Sans"/>
                <w:b/>
                <w:bCs/>
                <w:color w:val="FFFFFF" w:themeColor="background1"/>
                <w:sz w:val="24"/>
                <w:szCs w:val="24"/>
              </w:rPr>
              <w:t>DIVISION AND SUBDIVISION TITLE</w:t>
            </w:r>
          </w:p>
        </w:tc>
      </w:tr>
      <w:tr w:rsidR="00770A5B" w:rsidRPr="00770A5B" w14:paraId="504DF98A" w14:textId="77777777" w:rsidTr="00770A5B">
        <w:tc>
          <w:tcPr>
            <w:cnfStyle w:val="001000000000" w:firstRow="0" w:lastRow="0" w:firstColumn="1" w:lastColumn="0" w:oddVBand="0" w:evenVBand="0" w:oddHBand="0" w:evenHBand="0" w:firstRowFirstColumn="0" w:firstRowLastColumn="0" w:lastRowFirstColumn="0" w:lastRowLastColumn="0"/>
            <w:tcW w:w="1002" w:type="dxa"/>
            <w:shd w:val="clear" w:color="auto" w:fill="F2F2F2" w:themeFill="background2"/>
          </w:tcPr>
          <w:p w14:paraId="7B8D618E" w14:textId="77777777" w:rsidR="00770A5B" w:rsidRPr="00770A5B" w:rsidRDefault="00770A5B" w:rsidP="00770A5B">
            <w:pPr>
              <w:keepNext w:val="0"/>
              <w:autoSpaceDE w:val="0"/>
              <w:autoSpaceDN w:val="0"/>
              <w:adjustRightInd w:val="0"/>
              <w:spacing w:before="0" w:after="0" w:line="240" w:lineRule="auto"/>
              <w:jc w:val="left"/>
              <w:rPr>
                <w:rFonts w:cs="Open Sans"/>
                <w:color w:val="333333"/>
                <w:sz w:val="24"/>
                <w:szCs w:val="24"/>
              </w:rPr>
            </w:pPr>
            <w:r w:rsidRPr="00770A5B">
              <w:rPr>
                <w:rFonts w:cs="Open Sans"/>
                <w:color w:val="333333"/>
                <w:sz w:val="24"/>
                <w:szCs w:val="24"/>
              </w:rPr>
              <w:t>A</w:t>
            </w:r>
          </w:p>
        </w:tc>
        <w:tc>
          <w:tcPr>
            <w:tcW w:w="8068" w:type="dxa"/>
            <w:shd w:val="clear" w:color="auto" w:fill="F2F2F2" w:themeFill="background2"/>
          </w:tcPr>
          <w:p w14:paraId="79E48EFA" w14:textId="77777777" w:rsidR="00770A5B" w:rsidRPr="00770A5B" w:rsidRDefault="00770A5B" w:rsidP="00770A5B">
            <w:pPr>
              <w:keepNext w:val="0"/>
              <w:autoSpaceDE w:val="0"/>
              <w:autoSpaceDN w:val="0"/>
              <w:adjustRightInd w:val="0"/>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cs="Open Sans"/>
                <w:color w:val="333333"/>
                <w:sz w:val="24"/>
                <w:szCs w:val="24"/>
              </w:rPr>
            </w:pPr>
            <w:r w:rsidRPr="00770A5B">
              <w:rPr>
                <w:rFonts w:cs="Open Sans"/>
                <w:color w:val="333333"/>
                <w:sz w:val="24"/>
                <w:szCs w:val="24"/>
              </w:rPr>
              <w:t>AGRICULTURE, FORESTRY AND FISHING</w:t>
            </w:r>
          </w:p>
        </w:tc>
      </w:tr>
      <w:tr w:rsidR="00770A5B" w:rsidRPr="00770A5B" w14:paraId="7A9721E3" w14:textId="77777777" w:rsidTr="00770A5B">
        <w:tc>
          <w:tcPr>
            <w:cnfStyle w:val="001000000000" w:firstRow="0" w:lastRow="0" w:firstColumn="1" w:lastColumn="0" w:oddVBand="0" w:evenVBand="0" w:oddHBand="0" w:evenHBand="0" w:firstRowFirstColumn="0" w:firstRowLastColumn="0" w:lastRowFirstColumn="0" w:lastRowLastColumn="0"/>
            <w:tcW w:w="1002" w:type="dxa"/>
            <w:shd w:val="clear" w:color="auto" w:fill="FFFFFF" w:themeFill="background1"/>
          </w:tcPr>
          <w:p w14:paraId="5A6B128D" w14:textId="77777777" w:rsidR="00770A5B" w:rsidRPr="00770A5B" w:rsidRDefault="00770A5B" w:rsidP="00770A5B">
            <w:pPr>
              <w:keepNext w:val="0"/>
              <w:autoSpaceDE w:val="0"/>
              <w:autoSpaceDN w:val="0"/>
              <w:adjustRightInd w:val="0"/>
              <w:spacing w:before="0" w:after="0" w:line="240" w:lineRule="auto"/>
              <w:jc w:val="left"/>
              <w:rPr>
                <w:rFonts w:cs="Open Sans"/>
                <w:color w:val="333333"/>
                <w:sz w:val="24"/>
                <w:szCs w:val="24"/>
              </w:rPr>
            </w:pPr>
            <w:r w:rsidRPr="00770A5B">
              <w:rPr>
                <w:rFonts w:cs="Open Sans"/>
                <w:color w:val="333333"/>
                <w:sz w:val="24"/>
                <w:szCs w:val="24"/>
              </w:rPr>
              <w:t>1</w:t>
            </w:r>
          </w:p>
        </w:tc>
        <w:tc>
          <w:tcPr>
            <w:tcW w:w="8068" w:type="dxa"/>
            <w:shd w:val="clear" w:color="auto" w:fill="FFFFFF" w:themeFill="background1"/>
          </w:tcPr>
          <w:p w14:paraId="58B388E2" w14:textId="121E5B99" w:rsidR="00770A5B" w:rsidRPr="00770A5B" w:rsidRDefault="00770A5B" w:rsidP="00770A5B">
            <w:pPr>
              <w:keepNext w:val="0"/>
              <w:autoSpaceDE w:val="0"/>
              <w:autoSpaceDN w:val="0"/>
              <w:adjustRightInd w:val="0"/>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cs="Open Sans"/>
                <w:color w:val="333333"/>
                <w:sz w:val="24"/>
                <w:szCs w:val="24"/>
              </w:rPr>
            </w:pPr>
            <w:r w:rsidRPr="00770A5B">
              <w:rPr>
                <w:rFonts w:cs="Open Sans"/>
                <w:color w:val="333333"/>
                <w:sz w:val="24"/>
                <w:szCs w:val="24"/>
              </w:rPr>
              <w:t>Agriculture</w:t>
            </w:r>
          </w:p>
        </w:tc>
      </w:tr>
      <w:tr w:rsidR="00770A5B" w:rsidRPr="00770A5B" w14:paraId="41784894" w14:textId="77777777" w:rsidTr="00770A5B">
        <w:tc>
          <w:tcPr>
            <w:cnfStyle w:val="001000000000" w:firstRow="0" w:lastRow="0" w:firstColumn="1" w:lastColumn="0" w:oddVBand="0" w:evenVBand="0" w:oddHBand="0" w:evenHBand="0" w:firstRowFirstColumn="0" w:firstRowLastColumn="0" w:lastRowFirstColumn="0" w:lastRowLastColumn="0"/>
            <w:tcW w:w="1002" w:type="dxa"/>
            <w:shd w:val="clear" w:color="auto" w:fill="FFFFFF" w:themeFill="background1"/>
          </w:tcPr>
          <w:p w14:paraId="12FBEEDD" w14:textId="77777777" w:rsidR="00770A5B" w:rsidRPr="00770A5B" w:rsidRDefault="00770A5B" w:rsidP="00770A5B">
            <w:pPr>
              <w:keepNext w:val="0"/>
              <w:autoSpaceDE w:val="0"/>
              <w:autoSpaceDN w:val="0"/>
              <w:adjustRightInd w:val="0"/>
              <w:spacing w:before="0" w:after="0" w:line="240" w:lineRule="auto"/>
              <w:jc w:val="left"/>
              <w:rPr>
                <w:rFonts w:cs="Open Sans"/>
                <w:color w:val="333333"/>
                <w:sz w:val="24"/>
                <w:szCs w:val="24"/>
              </w:rPr>
            </w:pPr>
            <w:r w:rsidRPr="00770A5B">
              <w:rPr>
                <w:rFonts w:cs="Open Sans"/>
                <w:color w:val="333333"/>
                <w:sz w:val="24"/>
                <w:szCs w:val="24"/>
              </w:rPr>
              <w:t>2</w:t>
            </w:r>
          </w:p>
        </w:tc>
        <w:tc>
          <w:tcPr>
            <w:tcW w:w="8068" w:type="dxa"/>
            <w:shd w:val="clear" w:color="auto" w:fill="FFFFFF" w:themeFill="background1"/>
          </w:tcPr>
          <w:p w14:paraId="66074F40" w14:textId="77777777" w:rsidR="00770A5B" w:rsidRPr="00770A5B" w:rsidRDefault="00770A5B" w:rsidP="00770A5B">
            <w:pPr>
              <w:keepNext w:val="0"/>
              <w:autoSpaceDE w:val="0"/>
              <w:autoSpaceDN w:val="0"/>
              <w:adjustRightInd w:val="0"/>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cs="Open Sans"/>
                <w:color w:val="333333"/>
                <w:sz w:val="24"/>
                <w:szCs w:val="24"/>
              </w:rPr>
            </w:pPr>
            <w:r w:rsidRPr="00770A5B">
              <w:rPr>
                <w:rFonts w:cs="Open Sans"/>
                <w:color w:val="333333"/>
                <w:sz w:val="24"/>
                <w:szCs w:val="24"/>
              </w:rPr>
              <w:t>Aquaculture</w:t>
            </w:r>
          </w:p>
        </w:tc>
      </w:tr>
      <w:tr w:rsidR="00770A5B" w:rsidRPr="00770A5B" w14:paraId="12D97ACD" w14:textId="77777777" w:rsidTr="00770A5B">
        <w:tc>
          <w:tcPr>
            <w:cnfStyle w:val="001000000000" w:firstRow="0" w:lastRow="0" w:firstColumn="1" w:lastColumn="0" w:oddVBand="0" w:evenVBand="0" w:oddHBand="0" w:evenHBand="0" w:firstRowFirstColumn="0" w:firstRowLastColumn="0" w:lastRowFirstColumn="0" w:lastRowLastColumn="0"/>
            <w:tcW w:w="1002" w:type="dxa"/>
            <w:shd w:val="clear" w:color="auto" w:fill="FFFFFF" w:themeFill="background1"/>
          </w:tcPr>
          <w:p w14:paraId="3E85390C" w14:textId="77777777" w:rsidR="00770A5B" w:rsidRPr="00770A5B" w:rsidRDefault="00770A5B" w:rsidP="00770A5B">
            <w:pPr>
              <w:keepNext w:val="0"/>
              <w:autoSpaceDE w:val="0"/>
              <w:autoSpaceDN w:val="0"/>
              <w:adjustRightInd w:val="0"/>
              <w:spacing w:before="0" w:after="0" w:line="240" w:lineRule="auto"/>
              <w:jc w:val="left"/>
              <w:rPr>
                <w:rFonts w:cs="Open Sans"/>
                <w:color w:val="333333"/>
                <w:sz w:val="24"/>
                <w:szCs w:val="24"/>
              </w:rPr>
            </w:pPr>
            <w:r w:rsidRPr="00770A5B">
              <w:rPr>
                <w:rFonts w:cs="Open Sans"/>
                <w:color w:val="333333"/>
                <w:sz w:val="24"/>
                <w:szCs w:val="24"/>
              </w:rPr>
              <w:t>3</w:t>
            </w:r>
          </w:p>
        </w:tc>
        <w:tc>
          <w:tcPr>
            <w:tcW w:w="8068" w:type="dxa"/>
            <w:shd w:val="clear" w:color="auto" w:fill="FFFFFF" w:themeFill="background1"/>
          </w:tcPr>
          <w:p w14:paraId="17EA4EB0" w14:textId="77777777" w:rsidR="00770A5B" w:rsidRPr="00770A5B" w:rsidRDefault="00770A5B" w:rsidP="00770A5B">
            <w:pPr>
              <w:keepNext w:val="0"/>
              <w:autoSpaceDE w:val="0"/>
              <w:autoSpaceDN w:val="0"/>
              <w:adjustRightInd w:val="0"/>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cs="Open Sans"/>
                <w:color w:val="333333"/>
                <w:sz w:val="24"/>
                <w:szCs w:val="24"/>
              </w:rPr>
            </w:pPr>
            <w:r w:rsidRPr="00770A5B">
              <w:rPr>
                <w:rFonts w:cs="Open Sans"/>
                <w:color w:val="333333"/>
                <w:sz w:val="24"/>
                <w:szCs w:val="24"/>
              </w:rPr>
              <w:t>Forestry and Logging</w:t>
            </w:r>
          </w:p>
        </w:tc>
      </w:tr>
      <w:tr w:rsidR="00770A5B" w:rsidRPr="00770A5B" w14:paraId="664DC9B6" w14:textId="77777777" w:rsidTr="00770A5B">
        <w:tc>
          <w:tcPr>
            <w:cnfStyle w:val="001000000000" w:firstRow="0" w:lastRow="0" w:firstColumn="1" w:lastColumn="0" w:oddVBand="0" w:evenVBand="0" w:oddHBand="0" w:evenHBand="0" w:firstRowFirstColumn="0" w:firstRowLastColumn="0" w:lastRowFirstColumn="0" w:lastRowLastColumn="0"/>
            <w:tcW w:w="1002" w:type="dxa"/>
            <w:shd w:val="clear" w:color="auto" w:fill="FFFFFF" w:themeFill="background1"/>
          </w:tcPr>
          <w:p w14:paraId="3C48BB2D" w14:textId="77777777" w:rsidR="00770A5B" w:rsidRPr="00770A5B" w:rsidRDefault="00770A5B" w:rsidP="00770A5B">
            <w:pPr>
              <w:keepNext w:val="0"/>
              <w:autoSpaceDE w:val="0"/>
              <w:autoSpaceDN w:val="0"/>
              <w:adjustRightInd w:val="0"/>
              <w:spacing w:before="0" w:after="0" w:line="240" w:lineRule="auto"/>
              <w:jc w:val="left"/>
              <w:rPr>
                <w:rFonts w:cs="Open Sans"/>
                <w:color w:val="333333"/>
                <w:sz w:val="24"/>
                <w:szCs w:val="24"/>
              </w:rPr>
            </w:pPr>
            <w:r w:rsidRPr="00770A5B">
              <w:rPr>
                <w:rFonts w:cs="Open Sans"/>
                <w:color w:val="333333"/>
                <w:sz w:val="24"/>
                <w:szCs w:val="24"/>
              </w:rPr>
              <w:t>4</w:t>
            </w:r>
          </w:p>
        </w:tc>
        <w:tc>
          <w:tcPr>
            <w:tcW w:w="8068" w:type="dxa"/>
            <w:shd w:val="clear" w:color="auto" w:fill="FFFFFF" w:themeFill="background1"/>
          </w:tcPr>
          <w:p w14:paraId="4D4189BC" w14:textId="77777777" w:rsidR="00770A5B" w:rsidRPr="00770A5B" w:rsidRDefault="00770A5B" w:rsidP="00770A5B">
            <w:pPr>
              <w:keepNext w:val="0"/>
              <w:autoSpaceDE w:val="0"/>
              <w:autoSpaceDN w:val="0"/>
              <w:adjustRightInd w:val="0"/>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cs="Open Sans"/>
                <w:color w:val="333333"/>
                <w:sz w:val="24"/>
                <w:szCs w:val="24"/>
              </w:rPr>
            </w:pPr>
            <w:r w:rsidRPr="00770A5B">
              <w:rPr>
                <w:rFonts w:cs="Open Sans"/>
                <w:color w:val="333333"/>
                <w:sz w:val="24"/>
                <w:szCs w:val="24"/>
              </w:rPr>
              <w:t>Fishing, Hunting and Trapping</w:t>
            </w:r>
          </w:p>
        </w:tc>
      </w:tr>
      <w:tr w:rsidR="00770A5B" w:rsidRPr="00770A5B" w14:paraId="6F94976E" w14:textId="77777777" w:rsidTr="00770A5B">
        <w:tc>
          <w:tcPr>
            <w:cnfStyle w:val="001000000000" w:firstRow="0" w:lastRow="0" w:firstColumn="1" w:lastColumn="0" w:oddVBand="0" w:evenVBand="0" w:oddHBand="0" w:evenHBand="0" w:firstRowFirstColumn="0" w:firstRowLastColumn="0" w:lastRowFirstColumn="0" w:lastRowLastColumn="0"/>
            <w:tcW w:w="1002" w:type="dxa"/>
            <w:shd w:val="clear" w:color="auto" w:fill="FFFFFF" w:themeFill="background1"/>
          </w:tcPr>
          <w:p w14:paraId="514031D8" w14:textId="77777777" w:rsidR="00770A5B" w:rsidRPr="00770A5B" w:rsidRDefault="00770A5B" w:rsidP="00770A5B">
            <w:pPr>
              <w:keepNext w:val="0"/>
              <w:autoSpaceDE w:val="0"/>
              <w:autoSpaceDN w:val="0"/>
              <w:adjustRightInd w:val="0"/>
              <w:spacing w:before="0" w:after="0" w:line="240" w:lineRule="auto"/>
              <w:jc w:val="left"/>
              <w:rPr>
                <w:rFonts w:cs="Open Sans"/>
                <w:color w:val="333333"/>
                <w:sz w:val="24"/>
                <w:szCs w:val="24"/>
              </w:rPr>
            </w:pPr>
            <w:r w:rsidRPr="00770A5B">
              <w:rPr>
                <w:rFonts w:cs="Open Sans"/>
                <w:color w:val="333333"/>
                <w:sz w:val="24"/>
                <w:szCs w:val="24"/>
              </w:rPr>
              <w:t>5</w:t>
            </w:r>
          </w:p>
        </w:tc>
        <w:tc>
          <w:tcPr>
            <w:tcW w:w="8068" w:type="dxa"/>
            <w:shd w:val="clear" w:color="auto" w:fill="FFFFFF" w:themeFill="background1"/>
          </w:tcPr>
          <w:p w14:paraId="26C5066F" w14:textId="77777777" w:rsidR="00770A5B" w:rsidRPr="00770A5B" w:rsidRDefault="00770A5B" w:rsidP="00770A5B">
            <w:pPr>
              <w:keepNext w:val="0"/>
              <w:autoSpaceDE w:val="0"/>
              <w:autoSpaceDN w:val="0"/>
              <w:adjustRightInd w:val="0"/>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cs="Open Sans"/>
                <w:color w:val="333333"/>
                <w:sz w:val="24"/>
                <w:szCs w:val="24"/>
              </w:rPr>
            </w:pPr>
            <w:r w:rsidRPr="00770A5B">
              <w:rPr>
                <w:rFonts w:cs="Open Sans"/>
                <w:color w:val="333333"/>
                <w:sz w:val="24"/>
                <w:szCs w:val="24"/>
              </w:rPr>
              <w:t>Agriculture, Forestry and Fishing Support Services</w:t>
            </w:r>
          </w:p>
        </w:tc>
      </w:tr>
      <w:tr w:rsidR="00770A5B" w:rsidRPr="00770A5B" w14:paraId="291D0BBB" w14:textId="77777777" w:rsidTr="00770A5B">
        <w:tc>
          <w:tcPr>
            <w:cnfStyle w:val="001000000000" w:firstRow="0" w:lastRow="0" w:firstColumn="1" w:lastColumn="0" w:oddVBand="0" w:evenVBand="0" w:oddHBand="0" w:evenHBand="0" w:firstRowFirstColumn="0" w:firstRowLastColumn="0" w:lastRowFirstColumn="0" w:lastRowLastColumn="0"/>
            <w:tcW w:w="1002" w:type="dxa"/>
            <w:shd w:val="clear" w:color="auto" w:fill="F2F2F2" w:themeFill="background2"/>
          </w:tcPr>
          <w:p w14:paraId="32823F43" w14:textId="77777777" w:rsidR="00770A5B" w:rsidRPr="00770A5B" w:rsidRDefault="00770A5B" w:rsidP="00770A5B">
            <w:pPr>
              <w:keepNext w:val="0"/>
              <w:autoSpaceDE w:val="0"/>
              <w:autoSpaceDN w:val="0"/>
              <w:adjustRightInd w:val="0"/>
              <w:spacing w:before="0" w:after="0" w:line="240" w:lineRule="auto"/>
              <w:jc w:val="left"/>
              <w:rPr>
                <w:rFonts w:cs="Open Sans"/>
                <w:color w:val="333333"/>
                <w:sz w:val="24"/>
                <w:szCs w:val="24"/>
              </w:rPr>
            </w:pPr>
            <w:r w:rsidRPr="00770A5B">
              <w:rPr>
                <w:rFonts w:cs="Open Sans"/>
                <w:color w:val="333333"/>
                <w:sz w:val="24"/>
                <w:szCs w:val="24"/>
              </w:rPr>
              <w:t>B</w:t>
            </w:r>
          </w:p>
        </w:tc>
        <w:tc>
          <w:tcPr>
            <w:tcW w:w="8068" w:type="dxa"/>
            <w:shd w:val="clear" w:color="auto" w:fill="F2F2F2" w:themeFill="background2"/>
          </w:tcPr>
          <w:p w14:paraId="49C1C12F" w14:textId="77777777" w:rsidR="00770A5B" w:rsidRPr="00770A5B" w:rsidRDefault="00770A5B" w:rsidP="00770A5B">
            <w:pPr>
              <w:keepNext w:val="0"/>
              <w:autoSpaceDE w:val="0"/>
              <w:autoSpaceDN w:val="0"/>
              <w:adjustRightInd w:val="0"/>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cs="Open Sans"/>
                <w:color w:val="333333"/>
                <w:sz w:val="24"/>
                <w:szCs w:val="24"/>
              </w:rPr>
            </w:pPr>
            <w:r w:rsidRPr="00770A5B">
              <w:rPr>
                <w:rFonts w:cs="Open Sans"/>
                <w:color w:val="333333"/>
                <w:sz w:val="24"/>
                <w:szCs w:val="24"/>
              </w:rPr>
              <w:t>MINING</w:t>
            </w:r>
          </w:p>
        </w:tc>
      </w:tr>
      <w:tr w:rsidR="00770A5B" w:rsidRPr="00770A5B" w14:paraId="09281FBD" w14:textId="77777777" w:rsidTr="00770A5B">
        <w:tc>
          <w:tcPr>
            <w:cnfStyle w:val="001000000000" w:firstRow="0" w:lastRow="0" w:firstColumn="1" w:lastColumn="0" w:oddVBand="0" w:evenVBand="0" w:oddHBand="0" w:evenHBand="0" w:firstRowFirstColumn="0" w:firstRowLastColumn="0" w:lastRowFirstColumn="0" w:lastRowLastColumn="0"/>
            <w:tcW w:w="1002" w:type="dxa"/>
            <w:shd w:val="clear" w:color="auto" w:fill="FFFFFF" w:themeFill="background1"/>
          </w:tcPr>
          <w:p w14:paraId="5A57CEBD" w14:textId="77777777" w:rsidR="00770A5B" w:rsidRPr="00770A5B" w:rsidRDefault="00770A5B" w:rsidP="00770A5B">
            <w:pPr>
              <w:keepNext w:val="0"/>
              <w:autoSpaceDE w:val="0"/>
              <w:autoSpaceDN w:val="0"/>
              <w:adjustRightInd w:val="0"/>
              <w:spacing w:before="0" w:after="0" w:line="240" w:lineRule="auto"/>
              <w:jc w:val="left"/>
              <w:rPr>
                <w:rFonts w:cs="Open Sans"/>
                <w:color w:val="333333"/>
                <w:sz w:val="24"/>
                <w:szCs w:val="24"/>
              </w:rPr>
            </w:pPr>
            <w:r w:rsidRPr="00770A5B">
              <w:rPr>
                <w:rFonts w:cs="Open Sans"/>
                <w:color w:val="333333"/>
                <w:sz w:val="24"/>
                <w:szCs w:val="24"/>
              </w:rPr>
              <w:t>6</w:t>
            </w:r>
          </w:p>
        </w:tc>
        <w:tc>
          <w:tcPr>
            <w:tcW w:w="8068" w:type="dxa"/>
            <w:shd w:val="clear" w:color="auto" w:fill="FFFFFF" w:themeFill="background1"/>
          </w:tcPr>
          <w:p w14:paraId="75A2FF46" w14:textId="77777777" w:rsidR="00770A5B" w:rsidRPr="00770A5B" w:rsidRDefault="00770A5B" w:rsidP="00770A5B">
            <w:pPr>
              <w:keepNext w:val="0"/>
              <w:autoSpaceDE w:val="0"/>
              <w:autoSpaceDN w:val="0"/>
              <w:adjustRightInd w:val="0"/>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cs="Open Sans"/>
                <w:color w:val="333333"/>
                <w:sz w:val="24"/>
                <w:szCs w:val="24"/>
              </w:rPr>
            </w:pPr>
            <w:r w:rsidRPr="00770A5B">
              <w:rPr>
                <w:rFonts w:cs="Open Sans"/>
                <w:color w:val="333333"/>
                <w:sz w:val="24"/>
                <w:szCs w:val="24"/>
              </w:rPr>
              <w:t>Coal Mining</w:t>
            </w:r>
          </w:p>
        </w:tc>
      </w:tr>
      <w:tr w:rsidR="00770A5B" w:rsidRPr="00770A5B" w14:paraId="21AD1639" w14:textId="77777777" w:rsidTr="00770A5B">
        <w:tc>
          <w:tcPr>
            <w:cnfStyle w:val="001000000000" w:firstRow="0" w:lastRow="0" w:firstColumn="1" w:lastColumn="0" w:oddVBand="0" w:evenVBand="0" w:oddHBand="0" w:evenHBand="0" w:firstRowFirstColumn="0" w:firstRowLastColumn="0" w:lastRowFirstColumn="0" w:lastRowLastColumn="0"/>
            <w:tcW w:w="1002" w:type="dxa"/>
            <w:shd w:val="clear" w:color="auto" w:fill="FFFFFF" w:themeFill="background1"/>
          </w:tcPr>
          <w:p w14:paraId="63563A26" w14:textId="77777777" w:rsidR="00770A5B" w:rsidRPr="00770A5B" w:rsidRDefault="00770A5B" w:rsidP="00770A5B">
            <w:pPr>
              <w:keepNext w:val="0"/>
              <w:autoSpaceDE w:val="0"/>
              <w:autoSpaceDN w:val="0"/>
              <w:adjustRightInd w:val="0"/>
              <w:spacing w:before="0" w:after="0" w:line="240" w:lineRule="auto"/>
              <w:jc w:val="left"/>
              <w:rPr>
                <w:rFonts w:cs="Open Sans"/>
                <w:color w:val="333333"/>
                <w:sz w:val="24"/>
                <w:szCs w:val="24"/>
              </w:rPr>
            </w:pPr>
            <w:r w:rsidRPr="00770A5B">
              <w:rPr>
                <w:rFonts w:cs="Open Sans"/>
                <w:color w:val="333333"/>
                <w:sz w:val="24"/>
                <w:szCs w:val="24"/>
              </w:rPr>
              <w:t>7</w:t>
            </w:r>
          </w:p>
        </w:tc>
        <w:tc>
          <w:tcPr>
            <w:tcW w:w="8068" w:type="dxa"/>
            <w:shd w:val="clear" w:color="auto" w:fill="FFFFFF" w:themeFill="background1"/>
          </w:tcPr>
          <w:p w14:paraId="7E01AF40" w14:textId="77777777" w:rsidR="00770A5B" w:rsidRPr="00770A5B" w:rsidRDefault="00770A5B" w:rsidP="00770A5B">
            <w:pPr>
              <w:keepNext w:val="0"/>
              <w:autoSpaceDE w:val="0"/>
              <w:autoSpaceDN w:val="0"/>
              <w:adjustRightInd w:val="0"/>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cs="Open Sans"/>
                <w:color w:val="333333"/>
                <w:sz w:val="24"/>
                <w:szCs w:val="24"/>
              </w:rPr>
            </w:pPr>
            <w:r w:rsidRPr="00770A5B">
              <w:rPr>
                <w:rFonts w:cs="Open Sans"/>
                <w:color w:val="333333"/>
                <w:sz w:val="24"/>
                <w:szCs w:val="24"/>
              </w:rPr>
              <w:t>Oil and Gas Extraction</w:t>
            </w:r>
          </w:p>
        </w:tc>
      </w:tr>
      <w:tr w:rsidR="00770A5B" w:rsidRPr="00770A5B" w14:paraId="291F8303" w14:textId="77777777" w:rsidTr="00770A5B">
        <w:tc>
          <w:tcPr>
            <w:cnfStyle w:val="001000000000" w:firstRow="0" w:lastRow="0" w:firstColumn="1" w:lastColumn="0" w:oddVBand="0" w:evenVBand="0" w:oddHBand="0" w:evenHBand="0" w:firstRowFirstColumn="0" w:firstRowLastColumn="0" w:lastRowFirstColumn="0" w:lastRowLastColumn="0"/>
            <w:tcW w:w="1002" w:type="dxa"/>
            <w:shd w:val="clear" w:color="auto" w:fill="FFFFFF" w:themeFill="background1"/>
          </w:tcPr>
          <w:p w14:paraId="083A58CF" w14:textId="77777777" w:rsidR="00770A5B" w:rsidRPr="00770A5B" w:rsidRDefault="00770A5B" w:rsidP="00770A5B">
            <w:pPr>
              <w:keepNext w:val="0"/>
              <w:autoSpaceDE w:val="0"/>
              <w:autoSpaceDN w:val="0"/>
              <w:adjustRightInd w:val="0"/>
              <w:spacing w:before="0" w:after="0" w:line="240" w:lineRule="auto"/>
              <w:jc w:val="left"/>
              <w:rPr>
                <w:rFonts w:cs="Open Sans"/>
                <w:color w:val="333333"/>
                <w:sz w:val="24"/>
                <w:szCs w:val="24"/>
              </w:rPr>
            </w:pPr>
            <w:r w:rsidRPr="00770A5B">
              <w:rPr>
                <w:rFonts w:cs="Open Sans"/>
                <w:color w:val="333333"/>
                <w:sz w:val="24"/>
                <w:szCs w:val="24"/>
              </w:rPr>
              <w:t>8</w:t>
            </w:r>
          </w:p>
        </w:tc>
        <w:tc>
          <w:tcPr>
            <w:tcW w:w="8068" w:type="dxa"/>
            <w:shd w:val="clear" w:color="auto" w:fill="FFFFFF" w:themeFill="background1"/>
          </w:tcPr>
          <w:p w14:paraId="416DB758" w14:textId="77777777" w:rsidR="00770A5B" w:rsidRPr="00770A5B" w:rsidRDefault="00770A5B" w:rsidP="00770A5B">
            <w:pPr>
              <w:keepNext w:val="0"/>
              <w:autoSpaceDE w:val="0"/>
              <w:autoSpaceDN w:val="0"/>
              <w:adjustRightInd w:val="0"/>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cs="Open Sans"/>
                <w:color w:val="333333"/>
                <w:sz w:val="24"/>
                <w:szCs w:val="24"/>
              </w:rPr>
            </w:pPr>
            <w:r w:rsidRPr="00770A5B">
              <w:rPr>
                <w:rFonts w:cs="Open Sans"/>
                <w:color w:val="333333"/>
                <w:sz w:val="24"/>
                <w:szCs w:val="24"/>
              </w:rPr>
              <w:t>Metal Ore Mining</w:t>
            </w:r>
          </w:p>
        </w:tc>
      </w:tr>
      <w:tr w:rsidR="00770A5B" w:rsidRPr="00770A5B" w14:paraId="1F0206C7" w14:textId="77777777" w:rsidTr="00770A5B">
        <w:tc>
          <w:tcPr>
            <w:cnfStyle w:val="001000000000" w:firstRow="0" w:lastRow="0" w:firstColumn="1" w:lastColumn="0" w:oddVBand="0" w:evenVBand="0" w:oddHBand="0" w:evenHBand="0" w:firstRowFirstColumn="0" w:firstRowLastColumn="0" w:lastRowFirstColumn="0" w:lastRowLastColumn="0"/>
            <w:tcW w:w="1002" w:type="dxa"/>
            <w:shd w:val="clear" w:color="auto" w:fill="FFFFFF" w:themeFill="background1"/>
          </w:tcPr>
          <w:p w14:paraId="38F1CDFA" w14:textId="77777777" w:rsidR="00770A5B" w:rsidRPr="00770A5B" w:rsidRDefault="00770A5B" w:rsidP="00770A5B">
            <w:pPr>
              <w:keepNext w:val="0"/>
              <w:autoSpaceDE w:val="0"/>
              <w:autoSpaceDN w:val="0"/>
              <w:adjustRightInd w:val="0"/>
              <w:spacing w:before="0" w:after="0" w:line="240" w:lineRule="auto"/>
              <w:jc w:val="left"/>
              <w:rPr>
                <w:rFonts w:cs="Open Sans"/>
                <w:color w:val="333333"/>
                <w:sz w:val="24"/>
                <w:szCs w:val="24"/>
              </w:rPr>
            </w:pPr>
            <w:r w:rsidRPr="00770A5B">
              <w:rPr>
                <w:rFonts w:cs="Open Sans"/>
                <w:color w:val="333333"/>
                <w:sz w:val="24"/>
                <w:szCs w:val="24"/>
              </w:rPr>
              <w:t>9</w:t>
            </w:r>
          </w:p>
        </w:tc>
        <w:tc>
          <w:tcPr>
            <w:tcW w:w="8068" w:type="dxa"/>
            <w:shd w:val="clear" w:color="auto" w:fill="FFFFFF" w:themeFill="background1"/>
          </w:tcPr>
          <w:p w14:paraId="2F77B907" w14:textId="77777777" w:rsidR="00770A5B" w:rsidRPr="00770A5B" w:rsidRDefault="00770A5B" w:rsidP="00770A5B">
            <w:pPr>
              <w:keepNext w:val="0"/>
              <w:autoSpaceDE w:val="0"/>
              <w:autoSpaceDN w:val="0"/>
              <w:adjustRightInd w:val="0"/>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cs="Open Sans"/>
                <w:color w:val="333333"/>
                <w:sz w:val="24"/>
                <w:szCs w:val="24"/>
              </w:rPr>
            </w:pPr>
            <w:r w:rsidRPr="00770A5B">
              <w:rPr>
                <w:rFonts w:cs="Open Sans"/>
                <w:color w:val="333333"/>
                <w:sz w:val="24"/>
                <w:szCs w:val="24"/>
              </w:rPr>
              <w:t>Non-Metallic Mineral Mining and Quarrying</w:t>
            </w:r>
          </w:p>
        </w:tc>
      </w:tr>
      <w:tr w:rsidR="00770A5B" w:rsidRPr="00770A5B" w14:paraId="35682CC1" w14:textId="77777777" w:rsidTr="00770A5B">
        <w:tc>
          <w:tcPr>
            <w:cnfStyle w:val="001000000000" w:firstRow="0" w:lastRow="0" w:firstColumn="1" w:lastColumn="0" w:oddVBand="0" w:evenVBand="0" w:oddHBand="0" w:evenHBand="0" w:firstRowFirstColumn="0" w:firstRowLastColumn="0" w:lastRowFirstColumn="0" w:lastRowLastColumn="0"/>
            <w:tcW w:w="1002" w:type="dxa"/>
            <w:shd w:val="clear" w:color="auto" w:fill="FFFFFF" w:themeFill="background1"/>
          </w:tcPr>
          <w:p w14:paraId="2BCAD3D7" w14:textId="77777777" w:rsidR="00770A5B" w:rsidRPr="00770A5B" w:rsidRDefault="00770A5B" w:rsidP="00770A5B">
            <w:pPr>
              <w:keepNext w:val="0"/>
              <w:autoSpaceDE w:val="0"/>
              <w:autoSpaceDN w:val="0"/>
              <w:adjustRightInd w:val="0"/>
              <w:spacing w:before="0" w:after="0" w:line="240" w:lineRule="auto"/>
              <w:jc w:val="left"/>
              <w:rPr>
                <w:rFonts w:cs="Open Sans"/>
                <w:color w:val="333333"/>
                <w:sz w:val="24"/>
                <w:szCs w:val="24"/>
              </w:rPr>
            </w:pPr>
            <w:r w:rsidRPr="00770A5B">
              <w:rPr>
                <w:rFonts w:cs="Open Sans"/>
                <w:color w:val="333333"/>
                <w:sz w:val="24"/>
                <w:szCs w:val="24"/>
              </w:rPr>
              <w:t>10</w:t>
            </w:r>
          </w:p>
        </w:tc>
        <w:tc>
          <w:tcPr>
            <w:tcW w:w="8068" w:type="dxa"/>
            <w:shd w:val="clear" w:color="auto" w:fill="FFFFFF" w:themeFill="background1"/>
          </w:tcPr>
          <w:p w14:paraId="1F2DA6E4" w14:textId="77777777" w:rsidR="00770A5B" w:rsidRPr="00770A5B" w:rsidRDefault="00770A5B" w:rsidP="00770A5B">
            <w:pPr>
              <w:keepNext w:val="0"/>
              <w:autoSpaceDE w:val="0"/>
              <w:autoSpaceDN w:val="0"/>
              <w:adjustRightInd w:val="0"/>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cs="Open Sans"/>
                <w:color w:val="333333"/>
                <w:sz w:val="24"/>
                <w:szCs w:val="24"/>
              </w:rPr>
            </w:pPr>
            <w:r w:rsidRPr="00770A5B">
              <w:rPr>
                <w:rFonts w:cs="Open Sans"/>
                <w:color w:val="333333"/>
                <w:sz w:val="24"/>
                <w:szCs w:val="24"/>
              </w:rPr>
              <w:t>Exploration and Other Mining Support Services</w:t>
            </w:r>
          </w:p>
        </w:tc>
      </w:tr>
      <w:tr w:rsidR="00770A5B" w:rsidRPr="00770A5B" w14:paraId="03E6EA6B" w14:textId="77777777" w:rsidTr="00770A5B">
        <w:tc>
          <w:tcPr>
            <w:cnfStyle w:val="001000000000" w:firstRow="0" w:lastRow="0" w:firstColumn="1" w:lastColumn="0" w:oddVBand="0" w:evenVBand="0" w:oddHBand="0" w:evenHBand="0" w:firstRowFirstColumn="0" w:firstRowLastColumn="0" w:lastRowFirstColumn="0" w:lastRowLastColumn="0"/>
            <w:tcW w:w="1002" w:type="dxa"/>
            <w:shd w:val="clear" w:color="auto" w:fill="F2F2F2" w:themeFill="background2"/>
          </w:tcPr>
          <w:p w14:paraId="7889BD3B" w14:textId="77777777" w:rsidR="00770A5B" w:rsidRPr="00770A5B" w:rsidRDefault="00770A5B" w:rsidP="00770A5B">
            <w:pPr>
              <w:keepNext w:val="0"/>
              <w:autoSpaceDE w:val="0"/>
              <w:autoSpaceDN w:val="0"/>
              <w:adjustRightInd w:val="0"/>
              <w:spacing w:before="0" w:after="0" w:line="240" w:lineRule="auto"/>
              <w:jc w:val="left"/>
              <w:rPr>
                <w:rFonts w:cs="Open Sans"/>
                <w:color w:val="333333"/>
                <w:sz w:val="24"/>
                <w:szCs w:val="24"/>
              </w:rPr>
            </w:pPr>
            <w:r w:rsidRPr="00770A5B">
              <w:rPr>
                <w:rFonts w:cs="Open Sans"/>
                <w:color w:val="333333"/>
                <w:sz w:val="24"/>
                <w:szCs w:val="24"/>
              </w:rPr>
              <w:t>C</w:t>
            </w:r>
          </w:p>
        </w:tc>
        <w:tc>
          <w:tcPr>
            <w:tcW w:w="8068" w:type="dxa"/>
            <w:shd w:val="clear" w:color="auto" w:fill="F2F2F2" w:themeFill="background2"/>
          </w:tcPr>
          <w:p w14:paraId="572D6775" w14:textId="77777777" w:rsidR="00770A5B" w:rsidRPr="00770A5B" w:rsidRDefault="00770A5B" w:rsidP="00770A5B">
            <w:pPr>
              <w:keepNext w:val="0"/>
              <w:autoSpaceDE w:val="0"/>
              <w:autoSpaceDN w:val="0"/>
              <w:adjustRightInd w:val="0"/>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cs="Open Sans"/>
                <w:color w:val="333333"/>
                <w:sz w:val="24"/>
                <w:szCs w:val="24"/>
              </w:rPr>
            </w:pPr>
            <w:r w:rsidRPr="00770A5B">
              <w:rPr>
                <w:rFonts w:cs="Open Sans"/>
                <w:color w:val="333333"/>
                <w:sz w:val="24"/>
                <w:szCs w:val="24"/>
              </w:rPr>
              <w:t>MANUFACTURING</w:t>
            </w:r>
          </w:p>
        </w:tc>
      </w:tr>
      <w:tr w:rsidR="00770A5B" w:rsidRPr="00770A5B" w14:paraId="194D8CFF" w14:textId="77777777" w:rsidTr="00770A5B">
        <w:tc>
          <w:tcPr>
            <w:cnfStyle w:val="001000000000" w:firstRow="0" w:lastRow="0" w:firstColumn="1" w:lastColumn="0" w:oddVBand="0" w:evenVBand="0" w:oddHBand="0" w:evenHBand="0" w:firstRowFirstColumn="0" w:firstRowLastColumn="0" w:lastRowFirstColumn="0" w:lastRowLastColumn="0"/>
            <w:tcW w:w="1002" w:type="dxa"/>
            <w:shd w:val="clear" w:color="auto" w:fill="FFFFFF" w:themeFill="background1"/>
          </w:tcPr>
          <w:p w14:paraId="4CBBC876" w14:textId="77777777" w:rsidR="00770A5B" w:rsidRPr="00770A5B" w:rsidRDefault="00770A5B" w:rsidP="00770A5B">
            <w:pPr>
              <w:keepNext w:val="0"/>
              <w:autoSpaceDE w:val="0"/>
              <w:autoSpaceDN w:val="0"/>
              <w:adjustRightInd w:val="0"/>
              <w:spacing w:before="0" w:after="0" w:line="240" w:lineRule="auto"/>
              <w:jc w:val="left"/>
              <w:rPr>
                <w:rFonts w:cs="Open Sans"/>
                <w:color w:val="333333"/>
                <w:sz w:val="24"/>
                <w:szCs w:val="24"/>
              </w:rPr>
            </w:pPr>
            <w:r w:rsidRPr="00770A5B">
              <w:rPr>
                <w:rFonts w:cs="Open Sans"/>
                <w:color w:val="333333"/>
                <w:sz w:val="24"/>
                <w:szCs w:val="24"/>
              </w:rPr>
              <w:t>11</w:t>
            </w:r>
          </w:p>
        </w:tc>
        <w:tc>
          <w:tcPr>
            <w:tcW w:w="8068" w:type="dxa"/>
            <w:shd w:val="clear" w:color="auto" w:fill="FFFFFF" w:themeFill="background1"/>
          </w:tcPr>
          <w:p w14:paraId="5B063C8B" w14:textId="77777777" w:rsidR="00770A5B" w:rsidRPr="00770A5B" w:rsidRDefault="00770A5B" w:rsidP="00770A5B">
            <w:pPr>
              <w:keepNext w:val="0"/>
              <w:autoSpaceDE w:val="0"/>
              <w:autoSpaceDN w:val="0"/>
              <w:adjustRightInd w:val="0"/>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cs="Open Sans"/>
                <w:color w:val="333333"/>
                <w:sz w:val="24"/>
                <w:szCs w:val="24"/>
              </w:rPr>
            </w:pPr>
            <w:r w:rsidRPr="00770A5B">
              <w:rPr>
                <w:rFonts w:cs="Open Sans"/>
                <w:color w:val="333333"/>
                <w:sz w:val="24"/>
                <w:szCs w:val="24"/>
              </w:rPr>
              <w:t>Food Product Manufacturing</w:t>
            </w:r>
          </w:p>
        </w:tc>
      </w:tr>
      <w:tr w:rsidR="00770A5B" w:rsidRPr="00770A5B" w14:paraId="6E5FD1C4" w14:textId="77777777" w:rsidTr="00770A5B">
        <w:tc>
          <w:tcPr>
            <w:cnfStyle w:val="001000000000" w:firstRow="0" w:lastRow="0" w:firstColumn="1" w:lastColumn="0" w:oddVBand="0" w:evenVBand="0" w:oddHBand="0" w:evenHBand="0" w:firstRowFirstColumn="0" w:firstRowLastColumn="0" w:lastRowFirstColumn="0" w:lastRowLastColumn="0"/>
            <w:tcW w:w="1002" w:type="dxa"/>
            <w:shd w:val="clear" w:color="auto" w:fill="FFFFFF" w:themeFill="background1"/>
          </w:tcPr>
          <w:p w14:paraId="4F26C6B6" w14:textId="77777777" w:rsidR="00770A5B" w:rsidRPr="00770A5B" w:rsidRDefault="00770A5B" w:rsidP="00770A5B">
            <w:pPr>
              <w:keepNext w:val="0"/>
              <w:autoSpaceDE w:val="0"/>
              <w:autoSpaceDN w:val="0"/>
              <w:adjustRightInd w:val="0"/>
              <w:spacing w:before="0" w:after="0" w:line="240" w:lineRule="auto"/>
              <w:jc w:val="left"/>
              <w:rPr>
                <w:rFonts w:cs="Open Sans"/>
                <w:color w:val="333333"/>
                <w:sz w:val="24"/>
                <w:szCs w:val="24"/>
              </w:rPr>
            </w:pPr>
            <w:r w:rsidRPr="00770A5B">
              <w:rPr>
                <w:rFonts w:cs="Open Sans"/>
                <w:color w:val="333333"/>
                <w:sz w:val="24"/>
                <w:szCs w:val="24"/>
              </w:rPr>
              <w:t>12</w:t>
            </w:r>
          </w:p>
        </w:tc>
        <w:tc>
          <w:tcPr>
            <w:tcW w:w="8068" w:type="dxa"/>
            <w:shd w:val="clear" w:color="auto" w:fill="FFFFFF" w:themeFill="background1"/>
          </w:tcPr>
          <w:p w14:paraId="1DA2172D" w14:textId="1E024D43" w:rsidR="00770A5B" w:rsidRPr="00770A5B" w:rsidRDefault="00770A5B" w:rsidP="00770A5B">
            <w:pPr>
              <w:keepNext w:val="0"/>
              <w:autoSpaceDE w:val="0"/>
              <w:autoSpaceDN w:val="0"/>
              <w:adjustRightInd w:val="0"/>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cs="Open Sans"/>
                <w:color w:val="333333"/>
                <w:sz w:val="24"/>
                <w:szCs w:val="24"/>
              </w:rPr>
            </w:pPr>
            <w:r w:rsidRPr="00770A5B">
              <w:rPr>
                <w:rFonts w:cs="Open Sans"/>
                <w:color w:val="333333"/>
                <w:sz w:val="24"/>
                <w:szCs w:val="24"/>
              </w:rPr>
              <w:t>Beverage and Tobacco Product Manufacturing</w:t>
            </w:r>
          </w:p>
        </w:tc>
      </w:tr>
      <w:tr w:rsidR="00770A5B" w:rsidRPr="00770A5B" w14:paraId="65A6C12D" w14:textId="77777777" w:rsidTr="00770A5B">
        <w:tc>
          <w:tcPr>
            <w:cnfStyle w:val="001000000000" w:firstRow="0" w:lastRow="0" w:firstColumn="1" w:lastColumn="0" w:oddVBand="0" w:evenVBand="0" w:oddHBand="0" w:evenHBand="0" w:firstRowFirstColumn="0" w:firstRowLastColumn="0" w:lastRowFirstColumn="0" w:lastRowLastColumn="0"/>
            <w:tcW w:w="1002" w:type="dxa"/>
            <w:shd w:val="clear" w:color="auto" w:fill="FFFFFF" w:themeFill="background1"/>
          </w:tcPr>
          <w:p w14:paraId="6CFF43C9" w14:textId="77777777" w:rsidR="00770A5B" w:rsidRPr="00770A5B" w:rsidRDefault="00770A5B" w:rsidP="00770A5B">
            <w:pPr>
              <w:keepNext w:val="0"/>
              <w:autoSpaceDE w:val="0"/>
              <w:autoSpaceDN w:val="0"/>
              <w:adjustRightInd w:val="0"/>
              <w:spacing w:before="0" w:after="0" w:line="240" w:lineRule="auto"/>
              <w:jc w:val="left"/>
              <w:rPr>
                <w:rFonts w:cs="Open Sans"/>
                <w:color w:val="333333"/>
                <w:sz w:val="24"/>
                <w:szCs w:val="24"/>
              </w:rPr>
            </w:pPr>
            <w:r w:rsidRPr="00770A5B">
              <w:rPr>
                <w:rFonts w:cs="Open Sans"/>
                <w:color w:val="333333"/>
                <w:sz w:val="24"/>
                <w:szCs w:val="24"/>
              </w:rPr>
              <w:t>13</w:t>
            </w:r>
          </w:p>
        </w:tc>
        <w:tc>
          <w:tcPr>
            <w:tcW w:w="8068" w:type="dxa"/>
            <w:shd w:val="clear" w:color="auto" w:fill="FFFFFF" w:themeFill="background1"/>
          </w:tcPr>
          <w:p w14:paraId="17D87254" w14:textId="63CB5BC6" w:rsidR="00770A5B" w:rsidRPr="00770A5B" w:rsidRDefault="00770A5B" w:rsidP="00770A5B">
            <w:pPr>
              <w:keepNext w:val="0"/>
              <w:autoSpaceDE w:val="0"/>
              <w:autoSpaceDN w:val="0"/>
              <w:adjustRightInd w:val="0"/>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cs="Open Sans"/>
                <w:color w:val="333333"/>
                <w:sz w:val="24"/>
                <w:szCs w:val="24"/>
              </w:rPr>
            </w:pPr>
            <w:r w:rsidRPr="00770A5B">
              <w:rPr>
                <w:rFonts w:cs="Open Sans"/>
                <w:color w:val="333333"/>
                <w:sz w:val="24"/>
                <w:szCs w:val="24"/>
              </w:rPr>
              <w:t>Textile, Leather, Clothing and Footwear Manufacturing</w:t>
            </w:r>
          </w:p>
        </w:tc>
      </w:tr>
      <w:tr w:rsidR="00770A5B" w:rsidRPr="00770A5B" w14:paraId="15DE5340" w14:textId="77777777" w:rsidTr="00770A5B">
        <w:tc>
          <w:tcPr>
            <w:cnfStyle w:val="001000000000" w:firstRow="0" w:lastRow="0" w:firstColumn="1" w:lastColumn="0" w:oddVBand="0" w:evenVBand="0" w:oddHBand="0" w:evenHBand="0" w:firstRowFirstColumn="0" w:firstRowLastColumn="0" w:lastRowFirstColumn="0" w:lastRowLastColumn="0"/>
            <w:tcW w:w="1002" w:type="dxa"/>
            <w:shd w:val="clear" w:color="auto" w:fill="FFFFFF" w:themeFill="background1"/>
          </w:tcPr>
          <w:p w14:paraId="494DD22F" w14:textId="77777777" w:rsidR="00770A5B" w:rsidRPr="00770A5B" w:rsidRDefault="00770A5B" w:rsidP="00770A5B">
            <w:pPr>
              <w:keepNext w:val="0"/>
              <w:autoSpaceDE w:val="0"/>
              <w:autoSpaceDN w:val="0"/>
              <w:adjustRightInd w:val="0"/>
              <w:spacing w:before="0" w:after="0" w:line="240" w:lineRule="auto"/>
              <w:jc w:val="left"/>
              <w:rPr>
                <w:rFonts w:cs="Open Sans"/>
                <w:color w:val="333333"/>
                <w:sz w:val="24"/>
                <w:szCs w:val="24"/>
              </w:rPr>
            </w:pPr>
            <w:r w:rsidRPr="00770A5B">
              <w:rPr>
                <w:rFonts w:cs="Open Sans"/>
                <w:color w:val="333333"/>
                <w:sz w:val="24"/>
                <w:szCs w:val="24"/>
              </w:rPr>
              <w:t>14</w:t>
            </w:r>
          </w:p>
        </w:tc>
        <w:tc>
          <w:tcPr>
            <w:tcW w:w="8068" w:type="dxa"/>
            <w:shd w:val="clear" w:color="auto" w:fill="FFFFFF" w:themeFill="background1"/>
          </w:tcPr>
          <w:p w14:paraId="4985320F" w14:textId="70BDBE7F" w:rsidR="00770A5B" w:rsidRPr="00770A5B" w:rsidRDefault="00770A5B" w:rsidP="00770A5B">
            <w:pPr>
              <w:keepNext w:val="0"/>
              <w:autoSpaceDE w:val="0"/>
              <w:autoSpaceDN w:val="0"/>
              <w:adjustRightInd w:val="0"/>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cs="Open Sans"/>
                <w:color w:val="333333"/>
                <w:sz w:val="24"/>
                <w:szCs w:val="24"/>
              </w:rPr>
            </w:pPr>
            <w:r w:rsidRPr="00770A5B">
              <w:rPr>
                <w:rFonts w:cs="Open Sans"/>
                <w:color w:val="333333"/>
                <w:sz w:val="24"/>
                <w:szCs w:val="24"/>
              </w:rPr>
              <w:t>Wood Product Manufacturing</w:t>
            </w:r>
          </w:p>
        </w:tc>
      </w:tr>
      <w:tr w:rsidR="00770A5B" w:rsidRPr="00770A5B" w14:paraId="1493173D" w14:textId="77777777" w:rsidTr="00770A5B">
        <w:tc>
          <w:tcPr>
            <w:cnfStyle w:val="001000000000" w:firstRow="0" w:lastRow="0" w:firstColumn="1" w:lastColumn="0" w:oddVBand="0" w:evenVBand="0" w:oddHBand="0" w:evenHBand="0" w:firstRowFirstColumn="0" w:firstRowLastColumn="0" w:lastRowFirstColumn="0" w:lastRowLastColumn="0"/>
            <w:tcW w:w="1002" w:type="dxa"/>
            <w:shd w:val="clear" w:color="auto" w:fill="FFFFFF" w:themeFill="background1"/>
          </w:tcPr>
          <w:p w14:paraId="0D2C8403" w14:textId="77777777" w:rsidR="00770A5B" w:rsidRPr="00770A5B" w:rsidRDefault="00770A5B" w:rsidP="00770A5B">
            <w:pPr>
              <w:keepNext w:val="0"/>
              <w:autoSpaceDE w:val="0"/>
              <w:autoSpaceDN w:val="0"/>
              <w:adjustRightInd w:val="0"/>
              <w:spacing w:before="0" w:after="0" w:line="240" w:lineRule="auto"/>
              <w:jc w:val="left"/>
              <w:rPr>
                <w:rFonts w:cs="Open Sans"/>
                <w:color w:val="333333"/>
                <w:sz w:val="24"/>
                <w:szCs w:val="24"/>
              </w:rPr>
            </w:pPr>
            <w:r w:rsidRPr="00770A5B">
              <w:rPr>
                <w:rFonts w:cs="Open Sans"/>
                <w:color w:val="333333"/>
                <w:sz w:val="24"/>
                <w:szCs w:val="24"/>
              </w:rPr>
              <w:t>15</w:t>
            </w:r>
          </w:p>
        </w:tc>
        <w:tc>
          <w:tcPr>
            <w:tcW w:w="8068" w:type="dxa"/>
            <w:shd w:val="clear" w:color="auto" w:fill="FFFFFF" w:themeFill="background1"/>
          </w:tcPr>
          <w:p w14:paraId="7FD11EAF" w14:textId="59AB4ED3" w:rsidR="00770A5B" w:rsidRPr="00770A5B" w:rsidRDefault="00770A5B" w:rsidP="00770A5B">
            <w:pPr>
              <w:keepNext w:val="0"/>
              <w:autoSpaceDE w:val="0"/>
              <w:autoSpaceDN w:val="0"/>
              <w:adjustRightInd w:val="0"/>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cs="Open Sans"/>
                <w:color w:val="333333"/>
                <w:sz w:val="24"/>
                <w:szCs w:val="24"/>
              </w:rPr>
            </w:pPr>
            <w:r w:rsidRPr="00770A5B">
              <w:rPr>
                <w:rFonts w:cs="Open Sans"/>
                <w:color w:val="333333"/>
                <w:sz w:val="24"/>
                <w:szCs w:val="24"/>
              </w:rPr>
              <w:t>Pulp, Paper and Converted Paper Product Manufacturing</w:t>
            </w:r>
          </w:p>
        </w:tc>
      </w:tr>
      <w:tr w:rsidR="00770A5B" w:rsidRPr="00770A5B" w14:paraId="29300544" w14:textId="77777777" w:rsidTr="00770A5B">
        <w:tc>
          <w:tcPr>
            <w:cnfStyle w:val="001000000000" w:firstRow="0" w:lastRow="0" w:firstColumn="1" w:lastColumn="0" w:oddVBand="0" w:evenVBand="0" w:oddHBand="0" w:evenHBand="0" w:firstRowFirstColumn="0" w:firstRowLastColumn="0" w:lastRowFirstColumn="0" w:lastRowLastColumn="0"/>
            <w:tcW w:w="1002" w:type="dxa"/>
            <w:shd w:val="clear" w:color="auto" w:fill="FFFFFF" w:themeFill="background1"/>
          </w:tcPr>
          <w:p w14:paraId="69EF35C8" w14:textId="77777777" w:rsidR="00770A5B" w:rsidRPr="00770A5B" w:rsidRDefault="00770A5B" w:rsidP="00770A5B">
            <w:pPr>
              <w:keepNext w:val="0"/>
              <w:autoSpaceDE w:val="0"/>
              <w:autoSpaceDN w:val="0"/>
              <w:adjustRightInd w:val="0"/>
              <w:spacing w:before="0" w:after="0" w:line="240" w:lineRule="auto"/>
              <w:jc w:val="left"/>
              <w:rPr>
                <w:rFonts w:cs="Open Sans"/>
                <w:color w:val="333333"/>
                <w:sz w:val="24"/>
                <w:szCs w:val="24"/>
              </w:rPr>
            </w:pPr>
            <w:r w:rsidRPr="00770A5B">
              <w:rPr>
                <w:rFonts w:cs="Open Sans"/>
                <w:color w:val="333333"/>
                <w:sz w:val="24"/>
                <w:szCs w:val="24"/>
              </w:rPr>
              <w:t>16</w:t>
            </w:r>
          </w:p>
        </w:tc>
        <w:tc>
          <w:tcPr>
            <w:tcW w:w="8068" w:type="dxa"/>
            <w:shd w:val="clear" w:color="auto" w:fill="FFFFFF" w:themeFill="background1"/>
          </w:tcPr>
          <w:p w14:paraId="18EF2375" w14:textId="00BFEDF8" w:rsidR="00770A5B" w:rsidRPr="00770A5B" w:rsidRDefault="00770A5B" w:rsidP="00770A5B">
            <w:pPr>
              <w:keepNext w:val="0"/>
              <w:autoSpaceDE w:val="0"/>
              <w:autoSpaceDN w:val="0"/>
              <w:adjustRightInd w:val="0"/>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cs="Open Sans"/>
                <w:color w:val="333333"/>
                <w:sz w:val="24"/>
                <w:szCs w:val="24"/>
              </w:rPr>
            </w:pPr>
            <w:r w:rsidRPr="00770A5B">
              <w:rPr>
                <w:rFonts w:cs="Open Sans"/>
                <w:color w:val="333333"/>
                <w:sz w:val="24"/>
                <w:szCs w:val="24"/>
              </w:rPr>
              <w:t>Printing (including the Reproduction of Recorded Media)</w:t>
            </w:r>
          </w:p>
        </w:tc>
      </w:tr>
      <w:tr w:rsidR="00770A5B" w:rsidRPr="00770A5B" w14:paraId="478E83FA" w14:textId="77777777" w:rsidTr="00770A5B">
        <w:tc>
          <w:tcPr>
            <w:cnfStyle w:val="001000000000" w:firstRow="0" w:lastRow="0" w:firstColumn="1" w:lastColumn="0" w:oddVBand="0" w:evenVBand="0" w:oddHBand="0" w:evenHBand="0" w:firstRowFirstColumn="0" w:firstRowLastColumn="0" w:lastRowFirstColumn="0" w:lastRowLastColumn="0"/>
            <w:tcW w:w="1002" w:type="dxa"/>
            <w:shd w:val="clear" w:color="auto" w:fill="FFFFFF" w:themeFill="background1"/>
          </w:tcPr>
          <w:p w14:paraId="3246B94D" w14:textId="77777777" w:rsidR="00770A5B" w:rsidRPr="00770A5B" w:rsidRDefault="00770A5B" w:rsidP="00770A5B">
            <w:pPr>
              <w:keepNext w:val="0"/>
              <w:autoSpaceDE w:val="0"/>
              <w:autoSpaceDN w:val="0"/>
              <w:adjustRightInd w:val="0"/>
              <w:spacing w:before="0" w:after="0" w:line="240" w:lineRule="auto"/>
              <w:jc w:val="left"/>
              <w:rPr>
                <w:rFonts w:cs="Open Sans"/>
                <w:color w:val="333333"/>
                <w:sz w:val="24"/>
                <w:szCs w:val="24"/>
              </w:rPr>
            </w:pPr>
            <w:r w:rsidRPr="00770A5B">
              <w:rPr>
                <w:rFonts w:cs="Open Sans"/>
                <w:color w:val="333333"/>
                <w:sz w:val="24"/>
                <w:szCs w:val="24"/>
              </w:rPr>
              <w:t>17</w:t>
            </w:r>
          </w:p>
        </w:tc>
        <w:tc>
          <w:tcPr>
            <w:tcW w:w="8068" w:type="dxa"/>
            <w:shd w:val="clear" w:color="auto" w:fill="FFFFFF" w:themeFill="background1"/>
          </w:tcPr>
          <w:p w14:paraId="5E3F9045" w14:textId="7CB638B2" w:rsidR="00770A5B" w:rsidRPr="00770A5B" w:rsidRDefault="00770A5B" w:rsidP="00770A5B">
            <w:pPr>
              <w:keepNext w:val="0"/>
              <w:autoSpaceDE w:val="0"/>
              <w:autoSpaceDN w:val="0"/>
              <w:adjustRightInd w:val="0"/>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cs="Open Sans"/>
                <w:color w:val="333333"/>
                <w:sz w:val="24"/>
                <w:szCs w:val="24"/>
              </w:rPr>
            </w:pPr>
            <w:r w:rsidRPr="00770A5B">
              <w:rPr>
                <w:rFonts w:cs="Open Sans"/>
                <w:color w:val="333333"/>
                <w:sz w:val="24"/>
                <w:szCs w:val="24"/>
              </w:rPr>
              <w:t>Petroleum and Coal Product Manufacturing</w:t>
            </w:r>
          </w:p>
        </w:tc>
      </w:tr>
      <w:tr w:rsidR="00770A5B" w:rsidRPr="00770A5B" w14:paraId="371BD872" w14:textId="77777777" w:rsidTr="00770A5B">
        <w:tc>
          <w:tcPr>
            <w:cnfStyle w:val="001000000000" w:firstRow="0" w:lastRow="0" w:firstColumn="1" w:lastColumn="0" w:oddVBand="0" w:evenVBand="0" w:oddHBand="0" w:evenHBand="0" w:firstRowFirstColumn="0" w:firstRowLastColumn="0" w:lastRowFirstColumn="0" w:lastRowLastColumn="0"/>
            <w:tcW w:w="1002" w:type="dxa"/>
            <w:shd w:val="clear" w:color="auto" w:fill="FFFFFF" w:themeFill="background1"/>
          </w:tcPr>
          <w:p w14:paraId="4169F0A7" w14:textId="77777777" w:rsidR="00770A5B" w:rsidRPr="00770A5B" w:rsidRDefault="00770A5B" w:rsidP="00770A5B">
            <w:pPr>
              <w:keepNext w:val="0"/>
              <w:autoSpaceDE w:val="0"/>
              <w:autoSpaceDN w:val="0"/>
              <w:adjustRightInd w:val="0"/>
              <w:spacing w:before="0" w:after="0" w:line="240" w:lineRule="auto"/>
              <w:jc w:val="left"/>
              <w:rPr>
                <w:rFonts w:cs="Open Sans"/>
                <w:color w:val="333333"/>
                <w:sz w:val="24"/>
                <w:szCs w:val="24"/>
              </w:rPr>
            </w:pPr>
            <w:r w:rsidRPr="00770A5B">
              <w:rPr>
                <w:rFonts w:cs="Open Sans"/>
                <w:color w:val="333333"/>
                <w:sz w:val="24"/>
                <w:szCs w:val="24"/>
              </w:rPr>
              <w:t>18</w:t>
            </w:r>
          </w:p>
        </w:tc>
        <w:tc>
          <w:tcPr>
            <w:tcW w:w="8068" w:type="dxa"/>
            <w:shd w:val="clear" w:color="auto" w:fill="FFFFFF" w:themeFill="background1"/>
          </w:tcPr>
          <w:p w14:paraId="1842008D" w14:textId="77777777" w:rsidR="00770A5B" w:rsidRPr="00770A5B" w:rsidRDefault="00770A5B" w:rsidP="00770A5B">
            <w:pPr>
              <w:keepNext w:val="0"/>
              <w:autoSpaceDE w:val="0"/>
              <w:autoSpaceDN w:val="0"/>
              <w:adjustRightInd w:val="0"/>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cs="Open Sans"/>
                <w:color w:val="333333"/>
                <w:sz w:val="24"/>
                <w:szCs w:val="24"/>
              </w:rPr>
            </w:pPr>
            <w:r w:rsidRPr="00770A5B">
              <w:rPr>
                <w:rFonts w:cs="Open Sans"/>
                <w:color w:val="333333"/>
                <w:sz w:val="24"/>
                <w:szCs w:val="24"/>
              </w:rPr>
              <w:t>Basic Chemical and Chemical Product Manufacturing</w:t>
            </w:r>
          </w:p>
        </w:tc>
      </w:tr>
      <w:tr w:rsidR="00770A5B" w:rsidRPr="00770A5B" w14:paraId="0054E53D" w14:textId="77777777" w:rsidTr="00770A5B">
        <w:tc>
          <w:tcPr>
            <w:cnfStyle w:val="001000000000" w:firstRow="0" w:lastRow="0" w:firstColumn="1" w:lastColumn="0" w:oddVBand="0" w:evenVBand="0" w:oddHBand="0" w:evenHBand="0" w:firstRowFirstColumn="0" w:firstRowLastColumn="0" w:lastRowFirstColumn="0" w:lastRowLastColumn="0"/>
            <w:tcW w:w="1002" w:type="dxa"/>
            <w:shd w:val="clear" w:color="auto" w:fill="FFFFFF" w:themeFill="background1"/>
          </w:tcPr>
          <w:p w14:paraId="424B623C" w14:textId="77777777" w:rsidR="00770A5B" w:rsidRPr="00770A5B" w:rsidRDefault="00770A5B" w:rsidP="00770A5B">
            <w:pPr>
              <w:keepNext w:val="0"/>
              <w:autoSpaceDE w:val="0"/>
              <w:autoSpaceDN w:val="0"/>
              <w:adjustRightInd w:val="0"/>
              <w:spacing w:before="0" w:after="0" w:line="240" w:lineRule="auto"/>
              <w:jc w:val="left"/>
              <w:rPr>
                <w:rFonts w:cs="Open Sans"/>
                <w:color w:val="333333"/>
                <w:sz w:val="24"/>
                <w:szCs w:val="24"/>
              </w:rPr>
            </w:pPr>
            <w:r w:rsidRPr="00770A5B">
              <w:rPr>
                <w:rFonts w:cs="Open Sans"/>
                <w:color w:val="333333"/>
                <w:sz w:val="24"/>
                <w:szCs w:val="24"/>
              </w:rPr>
              <w:t>19</w:t>
            </w:r>
          </w:p>
        </w:tc>
        <w:tc>
          <w:tcPr>
            <w:tcW w:w="8068" w:type="dxa"/>
            <w:shd w:val="clear" w:color="auto" w:fill="FFFFFF" w:themeFill="background1"/>
          </w:tcPr>
          <w:p w14:paraId="610462F3" w14:textId="77777777" w:rsidR="00770A5B" w:rsidRPr="00770A5B" w:rsidRDefault="00770A5B" w:rsidP="00770A5B">
            <w:pPr>
              <w:keepNext w:val="0"/>
              <w:autoSpaceDE w:val="0"/>
              <w:autoSpaceDN w:val="0"/>
              <w:adjustRightInd w:val="0"/>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cs="Open Sans"/>
                <w:color w:val="333333"/>
                <w:sz w:val="24"/>
                <w:szCs w:val="24"/>
              </w:rPr>
            </w:pPr>
            <w:r w:rsidRPr="00770A5B">
              <w:rPr>
                <w:rFonts w:cs="Open Sans"/>
                <w:color w:val="333333"/>
                <w:sz w:val="24"/>
                <w:szCs w:val="24"/>
              </w:rPr>
              <w:t>Polymer Product and Rubber Product Manufacturing</w:t>
            </w:r>
          </w:p>
        </w:tc>
      </w:tr>
      <w:tr w:rsidR="00770A5B" w:rsidRPr="00770A5B" w14:paraId="5968D3D5" w14:textId="77777777" w:rsidTr="00770A5B">
        <w:tc>
          <w:tcPr>
            <w:cnfStyle w:val="001000000000" w:firstRow="0" w:lastRow="0" w:firstColumn="1" w:lastColumn="0" w:oddVBand="0" w:evenVBand="0" w:oddHBand="0" w:evenHBand="0" w:firstRowFirstColumn="0" w:firstRowLastColumn="0" w:lastRowFirstColumn="0" w:lastRowLastColumn="0"/>
            <w:tcW w:w="1002" w:type="dxa"/>
            <w:shd w:val="clear" w:color="auto" w:fill="FFFFFF" w:themeFill="background1"/>
          </w:tcPr>
          <w:p w14:paraId="53EB0A49" w14:textId="77777777" w:rsidR="00770A5B" w:rsidRPr="00770A5B" w:rsidRDefault="00770A5B" w:rsidP="00770A5B">
            <w:pPr>
              <w:keepNext w:val="0"/>
              <w:autoSpaceDE w:val="0"/>
              <w:autoSpaceDN w:val="0"/>
              <w:adjustRightInd w:val="0"/>
              <w:spacing w:before="0" w:after="0" w:line="240" w:lineRule="auto"/>
              <w:jc w:val="left"/>
              <w:rPr>
                <w:rFonts w:cs="Open Sans"/>
                <w:color w:val="333333"/>
                <w:sz w:val="24"/>
                <w:szCs w:val="24"/>
              </w:rPr>
            </w:pPr>
            <w:r w:rsidRPr="00770A5B">
              <w:rPr>
                <w:rFonts w:cs="Open Sans"/>
                <w:color w:val="333333"/>
                <w:sz w:val="24"/>
                <w:szCs w:val="24"/>
              </w:rPr>
              <w:t>20</w:t>
            </w:r>
          </w:p>
        </w:tc>
        <w:tc>
          <w:tcPr>
            <w:tcW w:w="8068" w:type="dxa"/>
            <w:shd w:val="clear" w:color="auto" w:fill="FFFFFF" w:themeFill="background1"/>
          </w:tcPr>
          <w:p w14:paraId="7AF6640A" w14:textId="77777777" w:rsidR="00770A5B" w:rsidRPr="00770A5B" w:rsidRDefault="00770A5B" w:rsidP="00770A5B">
            <w:pPr>
              <w:keepNext w:val="0"/>
              <w:autoSpaceDE w:val="0"/>
              <w:autoSpaceDN w:val="0"/>
              <w:adjustRightInd w:val="0"/>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cs="Open Sans"/>
                <w:color w:val="333333"/>
                <w:sz w:val="24"/>
                <w:szCs w:val="24"/>
              </w:rPr>
            </w:pPr>
            <w:r w:rsidRPr="00770A5B">
              <w:rPr>
                <w:rFonts w:cs="Open Sans"/>
                <w:color w:val="333333"/>
                <w:sz w:val="24"/>
                <w:szCs w:val="24"/>
              </w:rPr>
              <w:t>Non-Metallic Mineral Product Manufacturing</w:t>
            </w:r>
          </w:p>
        </w:tc>
      </w:tr>
      <w:tr w:rsidR="00770A5B" w:rsidRPr="00770A5B" w14:paraId="0A60F8AD" w14:textId="77777777" w:rsidTr="00770A5B">
        <w:tc>
          <w:tcPr>
            <w:cnfStyle w:val="001000000000" w:firstRow="0" w:lastRow="0" w:firstColumn="1" w:lastColumn="0" w:oddVBand="0" w:evenVBand="0" w:oddHBand="0" w:evenHBand="0" w:firstRowFirstColumn="0" w:firstRowLastColumn="0" w:lastRowFirstColumn="0" w:lastRowLastColumn="0"/>
            <w:tcW w:w="1002" w:type="dxa"/>
            <w:shd w:val="clear" w:color="auto" w:fill="FFFFFF" w:themeFill="background1"/>
          </w:tcPr>
          <w:p w14:paraId="25938A7E" w14:textId="77777777" w:rsidR="00770A5B" w:rsidRPr="00770A5B" w:rsidRDefault="00770A5B" w:rsidP="00770A5B">
            <w:pPr>
              <w:keepNext w:val="0"/>
              <w:autoSpaceDE w:val="0"/>
              <w:autoSpaceDN w:val="0"/>
              <w:adjustRightInd w:val="0"/>
              <w:spacing w:before="0" w:after="0" w:line="240" w:lineRule="auto"/>
              <w:jc w:val="left"/>
              <w:rPr>
                <w:rFonts w:cs="Open Sans"/>
                <w:color w:val="333333"/>
                <w:sz w:val="24"/>
                <w:szCs w:val="24"/>
              </w:rPr>
            </w:pPr>
            <w:r w:rsidRPr="00770A5B">
              <w:rPr>
                <w:rFonts w:cs="Open Sans"/>
                <w:color w:val="333333"/>
                <w:sz w:val="24"/>
                <w:szCs w:val="24"/>
              </w:rPr>
              <w:t>21</w:t>
            </w:r>
          </w:p>
        </w:tc>
        <w:tc>
          <w:tcPr>
            <w:tcW w:w="8068" w:type="dxa"/>
            <w:shd w:val="clear" w:color="auto" w:fill="FFFFFF" w:themeFill="background1"/>
          </w:tcPr>
          <w:p w14:paraId="2834BDC5" w14:textId="77777777" w:rsidR="00770A5B" w:rsidRPr="00770A5B" w:rsidRDefault="00770A5B" w:rsidP="00770A5B">
            <w:pPr>
              <w:keepNext w:val="0"/>
              <w:autoSpaceDE w:val="0"/>
              <w:autoSpaceDN w:val="0"/>
              <w:adjustRightInd w:val="0"/>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cs="Open Sans"/>
                <w:color w:val="333333"/>
                <w:sz w:val="24"/>
                <w:szCs w:val="24"/>
              </w:rPr>
            </w:pPr>
            <w:r w:rsidRPr="00770A5B">
              <w:rPr>
                <w:rFonts w:cs="Open Sans"/>
                <w:color w:val="333333"/>
                <w:sz w:val="24"/>
                <w:szCs w:val="24"/>
              </w:rPr>
              <w:t>Primary Metal and Metal Product Manufacturing</w:t>
            </w:r>
          </w:p>
        </w:tc>
      </w:tr>
      <w:tr w:rsidR="00770A5B" w:rsidRPr="00770A5B" w14:paraId="71C1DB0C" w14:textId="77777777" w:rsidTr="00770A5B">
        <w:tc>
          <w:tcPr>
            <w:cnfStyle w:val="001000000000" w:firstRow="0" w:lastRow="0" w:firstColumn="1" w:lastColumn="0" w:oddVBand="0" w:evenVBand="0" w:oddHBand="0" w:evenHBand="0" w:firstRowFirstColumn="0" w:firstRowLastColumn="0" w:lastRowFirstColumn="0" w:lastRowLastColumn="0"/>
            <w:tcW w:w="1002" w:type="dxa"/>
            <w:shd w:val="clear" w:color="auto" w:fill="FFFFFF" w:themeFill="background1"/>
          </w:tcPr>
          <w:p w14:paraId="4530AA9D" w14:textId="77777777" w:rsidR="00770A5B" w:rsidRPr="00770A5B" w:rsidRDefault="00770A5B" w:rsidP="00770A5B">
            <w:pPr>
              <w:keepNext w:val="0"/>
              <w:autoSpaceDE w:val="0"/>
              <w:autoSpaceDN w:val="0"/>
              <w:adjustRightInd w:val="0"/>
              <w:spacing w:before="0" w:after="0" w:line="240" w:lineRule="auto"/>
              <w:jc w:val="left"/>
              <w:rPr>
                <w:rFonts w:cs="Open Sans"/>
                <w:color w:val="333333"/>
                <w:sz w:val="24"/>
                <w:szCs w:val="24"/>
              </w:rPr>
            </w:pPr>
            <w:r w:rsidRPr="00770A5B">
              <w:rPr>
                <w:rFonts w:cs="Open Sans"/>
                <w:color w:val="333333"/>
                <w:sz w:val="24"/>
                <w:szCs w:val="24"/>
              </w:rPr>
              <w:t>22</w:t>
            </w:r>
          </w:p>
        </w:tc>
        <w:tc>
          <w:tcPr>
            <w:tcW w:w="8068" w:type="dxa"/>
            <w:shd w:val="clear" w:color="auto" w:fill="FFFFFF" w:themeFill="background1"/>
          </w:tcPr>
          <w:p w14:paraId="770E117D" w14:textId="77777777" w:rsidR="00770A5B" w:rsidRPr="00770A5B" w:rsidRDefault="00770A5B" w:rsidP="00770A5B">
            <w:pPr>
              <w:keepNext w:val="0"/>
              <w:autoSpaceDE w:val="0"/>
              <w:autoSpaceDN w:val="0"/>
              <w:adjustRightInd w:val="0"/>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cs="Open Sans"/>
                <w:color w:val="333333"/>
                <w:sz w:val="24"/>
                <w:szCs w:val="24"/>
              </w:rPr>
            </w:pPr>
            <w:r w:rsidRPr="00770A5B">
              <w:rPr>
                <w:rFonts w:cs="Open Sans"/>
                <w:color w:val="333333"/>
                <w:sz w:val="24"/>
                <w:szCs w:val="24"/>
              </w:rPr>
              <w:t>Fabricated Metal Product Manufacturing</w:t>
            </w:r>
          </w:p>
        </w:tc>
      </w:tr>
      <w:tr w:rsidR="00770A5B" w:rsidRPr="00770A5B" w14:paraId="29B36D9F" w14:textId="77777777" w:rsidTr="00770A5B">
        <w:tc>
          <w:tcPr>
            <w:cnfStyle w:val="001000000000" w:firstRow="0" w:lastRow="0" w:firstColumn="1" w:lastColumn="0" w:oddVBand="0" w:evenVBand="0" w:oddHBand="0" w:evenHBand="0" w:firstRowFirstColumn="0" w:firstRowLastColumn="0" w:lastRowFirstColumn="0" w:lastRowLastColumn="0"/>
            <w:tcW w:w="1002" w:type="dxa"/>
            <w:shd w:val="clear" w:color="auto" w:fill="FFFFFF" w:themeFill="background1"/>
          </w:tcPr>
          <w:p w14:paraId="34FD5844" w14:textId="77777777" w:rsidR="00770A5B" w:rsidRPr="00770A5B" w:rsidRDefault="00770A5B" w:rsidP="00770A5B">
            <w:pPr>
              <w:keepNext w:val="0"/>
              <w:autoSpaceDE w:val="0"/>
              <w:autoSpaceDN w:val="0"/>
              <w:adjustRightInd w:val="0"/>
              <w:spacing w:before="0" w:after="0" w:line="240" w:lineRule="auto"/>
              <w:jc w:val="left"/>
              <w:rPr>
                <w:rFonts w:cs="Open Sans"/>
                <w:color w:val="333333"/>
                <w:sz w:val="24"/>
                <w:szCs w:val="24"/>
              </w:rPr>
            </w:pPr>
            <w:r w:rsidRPr="00770A5B">
              <w:rPr>
                <w:rFonts w:cs="Open Sans"/>
                <w:color w:val="333333"/>
                <w:sz w:val="24"/>
                <w:szCs w:val="24"/>
              </w:rPr>
              <w:t>23</w:t>
            </w:r>
          </w:p>
        </w:tc>
        <w:tc>
          <w:tcPr>
            <w:tcW w:w="8068" w:type="dxa"/>
            <w:shd w:val="clear" w:color="auto" w:fill="FFFFFF" w:themeFill="background1"/>
          </w:tcPr>
          <w:p w14:paraId="762FFABF" w14:textId="77777777" w:rsidR="00770A5B" w:rsidRPr="00770A5B" w:rsidRDefault="00770A5B" w:rsidP="00770A5B">
            <w:pPr>
              <w:keepNext w:val="0"/>
              <w:autoSpaceDE w:val="0"/>
              <w:autoSpaceDN w:val="0"/>
              <w:adjustRightInd w:val="0"/>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cs="Open Sans"/>
                <w:color w:val="333333"/>
                <w:sz w:val="24"/>
                <w:szCs w:val="24"/>
              </w:rPr>
            </w:pPr>
            <w:r w:rsidRPr="00770A5B">
              <w:rPr>
                <w:rFonts w:cs="Open Sans"/>
                <w:color w:val="333333"/>
                <w:sz w:val="24"/>
                <w:szCs w:val="24"/>
              </w:rPr>
              <w:t>Transport Equipment Manufacturing</w:t>
            </w:r>
          </w:p>
        </w:tc>
      </w:tr>
      <w:tr w:rsidR="00770A5B" w:rsidRPr="00770A5B" w14:paraId="38A1A496" w14:textId="77777777" w:rsidTr="00770A5B">
        <w:tc>
          <w:tcPr>
            <w:cnfStyle w:val="001000000000" w:firstRow="0" w:lastRow="0" w:firstColumn="1" w:lastColumn="0" w:oddVBand="0" w:evenVBand="0" w:oddHBand="0" w:evenHBand="0" w:firstRowFirstColumn="0" w:firstRowLastColumn="0" w:lastRowFirstColumn="0" w:lastRowLastColumn="0"/>
            <w:tcW w:w="1002" w:type="dxa"/>
            <w:shd w:val="clear" w:color="auto" w:fill="FFFFFF" w:themeFill="background1"/>
          </w:tcPr>
          <w:p w14:paraId="63812688" w14:textId="77777777" w:rsidR="00770A5B" w:rsidRPr="00770A5B" w:rsidRDefault="00770A5B" w:rsidP="00770A5B">
            <w:pPr>
              <w:keepNext w:val="0"/>
              <w:autoSpaceDE w:val="0"/>
              <w:autoSpaceDN w:val="0"/>
              <w:adjustRightInd w:val="0"/>
              <w:spacing w:before="0" w:after="0" w:line="240" w:lineRule="auto"/>
              <w:jc w:val="left"/>
              <w:rPr>
                <w:rFonts w:cs="Open Sans"/>
                <w:color w:val="333333"/>
                <w:sz w:val="24"/>
                <w:szCs w:val="24"/>
              </w:rPr>
            </w:pPr>
            <w:r w:rsidRPr="00770A5B">
              <w:rPr>
                <w:rFonts w:cs="Open Sans"/>
                <w:color w:val="333333"/>
                <w:sz w:val="24"/>
                <w:szCs w:val="24"/>
              </w:rPr>
              <w:t>24</w:t>
            </w:r>
          </w:p>
        </w:tc>
        <w:tc>
          <w:tcPr>
            <w:tcW w:w="8068" w:type="dxa"/>
            <w:shd w:val="clear" w:color="auto" w:fill="FFFFFF" w:themeFill="background1"/>
          </w:tcPr>
          <w:p w14:paraId="6CB00AF7" w14:textId="77777777" w:rsidR="00770A5B" w:rsidRPr="00770A5B" w:rsidRDefault="00770A5B" w:rsidP="00770A5B">
            <w:pPr>
              <w:keepNext w:val="0"/>
              <w:autoSpaceDE w:val="0"/>
              <w:autoSpaceDN w:val="0"/>
              <w:adjustRightInd w:val="0"/>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cs="Open Sans"/>
                <w:color w:val="333333"/>
                <w:sz w:val="24"/>
                <w:szCs w:val="24"/>
              </w:rPr>
            </w:pPr>
            <w:r w:rsidRPr="00770A5B">
              <w:rPr>
                <w:rFonts w:cs="Open Sans"/>
                <w:color w:val="333333"/>
                <w:sz w:val="24"/>
                <w:szCs w:val="24"/>
              </w:rPr>
              <w:t>Machinery and Equipment Manufacturing</w:t>
            </w:r>
          </w:p>
        </w:tc>
      </w:tr>
      <w:tr w:rsidR="00770A5B" w:rsidRPr="00770A5B" w14:paraId="65DDF782" w14:textId="77777777" w:rsidTr="00770A5B">
        <w:tc>
          <w:tcPr>
            <w:cnfStyle w:val="001000000000" w:firstRow="0" w:lastRow="0" w:firstColumn="1" w:lastColumn="0" w:oddVBand="0" w:evenVBand="0" w:oddHBand="0" w:evenHBand="0" w:firstRowFirstColumn="0" w:firstRowLastColumn="0" w:lastRowFirstColumn="0" w:lastRowLastColumn="0"/>
            <w:tcW w:w="1002" w:type="dxa"/>
            <w:shd w:val="clear" w:color="auto" w:fill="FFFFFF" w:themeFill="background1"/>
          </w:tcPr>
          <w:p w14:paraId="2C33D5E6" w14:textId="77777777" w:rsidR="00770A5B" w:rsidRPr="00770A5B" w:rsidRDefault="00770A5B" w:rsidP="00770A5B">
            <w:pPr>
              <w:keepNext w:val="0"/>
              <w:autoSpaceDE w:val="0"/>
              <w:autoSpaceDN w:val="0"/>
              <w:adjustRightInd w:val="0"/>
              <w:spacing w:before="0" w:after="0" w:line="240" w:lineRule="auto"/>
              <w:jc w:val="left"/>
              <w:rPr>
                <w:rFonts w:cs="Open Sans"/>
                <w:color w:val="333333"/>
                <w:sz w:val="24"/>
                <w:szCs w:val="24"/>
              </w:rPr>
            </w:pPr>
            <w:r w:rsidRPr="00770A5B">
              <w:rPr>
                <w:rFonts w:cs="Open Sans"/>
                <w:color w:val="333333"/>
                <w:sz w:val="24"/>
                <w:szCs w:val="24"/>
              </w:rPr>
              <w:t>25</w:t>
            </w:r>
          </w:p>
        </w:tc>
        <w:tc>
          <w:tcPr>
            <w:tcW w:w="8068" w:type="dxa"/>
            <w:shd w:val="clear" w:color="auto" w:fill="FFFFFF" w:themeFill="background1"/>
          </w:tcPr>
          <w:p w14:paraId="5BA1B65D" w14:textId="77777777" w:rsidR="00770A5B" w:rsidRPr="00770A5B" w:rsidRDefault="00770A5B" w:rsidP="00770A5B">
            <w:pPr>
              <w:keepNext w:val="0"/>
              <w:autoSpaceDE w:val="0"/>
              <w:autoSpaceDN w:val="0"/>
              <w:adjustRightInd w:val="0"/>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cs="Open Sans"/>
                <w:color w:val="333333"/>
                <w:sz w:val="24"/>
                <w:szCs w:val="24"/>
              </w:rPr>
            </w:pPr>
            <w:r w:rsidRPr="00770A5B">
              <w:rPr>
                <w:rFonts w:cs="Open Sans"/>
                <w:color w:val="333333"/>
                <w:sz w:val="24"/>
                <w:szCs w:val="24"/>
              </w:rPr>
              <w:t>Furniture and Other Manufacturing</w:t>
            </w:r>
          </w:p>
        </w:tc>
      </w:tr>
      <w:tr w:rsidR="00770A5B" w:rsidRPr="00770A5B" w14:paraId="548A2CB6" w14:textId="77777777" w:rsidTr="00770A5B">
        <w:tc>
          <w:tcPr>
            <w:cnfStyle w:val="001000000000" w:firstRow="0" w:lastRow="0" w:firstColumn="1" w:lastColumn="0" w:oddVBand="0" w:evenVBand="0" w:oddHBand="0" w:evenHBand="0" w:firstRowFirstColumn="0" w:firstRowLastColumn="0" w:lastRowFirstColumn="0" w:lastRowLastColumn="0"/>
            <w:tcW w:w="1002" w:type="dxa"/>
            <w:shd w:val="clear" w:color="auto" w:fill="F2F2F2" w:themeFill="background2"/>
          </w:tcPr>
          <w:p w14:paraId="0F6D1B62" w14:textId="77777777" w:rsidR="00770A5B" w:rsidRPr="00770A5B" w:rsidRDefault="00770A5B" w:rsidP="00770A5B">
            <w:pPr>
              <w:keepNext w:val="0"/>
              <w:autoSpaceDE w:val="0"/>
              <w:autoSpaceDN w:val="0"/>
              <w:adjustRightInd w:val="0"/>
              <w:spacing w:before="0" w:after="0" w:line="240" w:lineRule="auto"/>
              <w:jc w:val="left"/>
              <w:rPr>
                <w:rFonts w:cs="Open Sans"/>
                <w:color w:val="333333"/>
                <w:sz w:val="24"/>
                <w:szCs w:val="24"/>
              </w:rPr>
            </w:pPr>
            <w:r w:rsidRPr="00770A5B">
              <w:rPr>
                <w:rFonts w:cs="Open Sans"/>
                <w:color w:val="333333"/>
                <w:sz w:val="24"/>
                <w:szCs w:val="24"/>
              </w:rPr>
              <w:t>D</w:t>
            </w:r>
          </w:p>
        </w:tc>
        <w:tc>
          <w:tcPr>
            <w:tcW w:w="8068" w:type="dxa"/>
            <w:shd w:val="clear" w:color="auto" w:fill="F2F2F2" w:themeFill="background2"/>
          </w:tcPr>
          <w:p w14:paraId="67C03A51" w14:textId="77777777" w:rsidR="00770A5B" w:rsidRPr="00770A5B" w:rsidRDefault="00770A5B" w:rsidP="00770A5B">
            <w:pPr>
              <w:keepNext w:val="0"/>
              <w:autoSpaceDE w:val="0"/>
              <w:autoSpaceDN w:val="0"/>
              <w:adjustRightInd w:val="0"/>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cs="Open Sans"/>
                <w:color w:val="333333"/>
                <w:sz w:val="24"/>
                <w:szCs w:val="24"/>
              </w:rPr>
            </w:pPr>
            <w:r w:rsidRPr="00770A5B">
              <w:rPr>
                <w:rFonts w:cs="Open Sans"/>
                <w:color w:val="333333"/>
                <w:sz w:val="24"/>
                <w:szCs w:val="24"/>
              </w:rPr>
              <w:t>ELECTRICITY, GAS, WATER AND WASTE SERVICES</w:t>
            </w:r>
          </w:p>
        </w:tc>
      </w:tr>
      <w:tr w:rsidR="00770A5B" w:rsidRPr="00770A5B" w14:paraId="2DFFC79E" w14:textId="77777777" w:rsidTr="00770A5B">
        <w:tc>
          <w:tcPr>
            <w:cnfStyle w:val="001000000000" w:firstRow="0" w:lastRow="0" w:firstColumn="1" w:lastColumn="0" w:oddVBand="0" w:evenVBand="0" w:oddHBand="0" w:evenHBand="0" w:firstRowFirstColumn="0" w:firstRowLastColumn="0" w:lastRowFirstColumn="0" w:lastRowLastColumn="0"/>
            <w:tcW w:w="1002" w:type="dxa"/>
            <w:shd w:val="clear" w:color="auto" w:fill="FFFFFF" w:themeFill="background1"/>
          </w:tcPr>
          <w:p w14:paraId="53E2228D" w14:textId="77777777" w:rsidR="00770A5B" w:rsidRPr="00770A5B" w:rsidRDefault="00770A5B" w:rsidP="00770A5B">
            <w:pPr>
              <w:keepNext w:val="0"/>
              <w:autoSpaceDE w:val="0"/>
              <w:autoSpaceDN w:val="0"/>
              <w:adjustRightInd w:val="0"/>
              <w:spacing w:before="0" w:after="0" w:line="240" w:lineRule="auto"/>
              <w:jc w:val="left"/>
              <w:rPr>
                <w:rFonts w:cs="Open Sans"/>
                <w:color w:val="333333"/>
                <w:sz w:val="24"/>
                <w:szCs w:val="24"/>
              </w:rPr>
            </w:pPr>
            <w:r w:rsidRPr="00770A5B">
              <w:rPr>
                <w:rFonts w:cs="Open Sans"/>
                <w:color w:val="333333"/>
                <w:sz w:val="24"/>
                <w:szCs w:val="24"/>
              </w:rPr>
              <w:t>26</w:t>
            </w:r>
          </w:p>
        </w:tc>
        <w:tc>
          <w:tcPr>
            <w:tcW w:w="8068" w:type="dxa"/>
            <w:shd w:val="clear" w:color="auto" w:fill="FFFFFF" w:themeFill="background1"/>
          </w:tcPr>
          <w:p w14:paraId="25544C4C" w14:textId="77777777" w:rsidR="00770A5B" w:rsidRPr="00770A5B" w:rsidRDefault="00770A5B" w:rsidP="00770A5B">
            <w:pPr>
              <w:keepNext w:val="0"/>
              <w:autoSpaceDE w:val="0"/>
              <w:autoSpaceDN w:val="0"/>
              <w:adjustRightInd w:val="0"/>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cs="Open Sans"/>
                <w:color w:val="333333"/>
                <w:sz w:val="24"/>
                <w:szCs w:val="24"/>
              </w:rPr>
            </w:pPr>
            <w:r w:rsidRPr="00770A5B">
              <w:rPr>
                <w:rFonts w:cs="Open Sans"/>
                <w:color w:val="333333"/>
                <w:sz w:val="24"/>
                <w:szCs w:val="24"/>
              </w:rPr>
              <w:t>Electricity Supply</w:t>
            </w:r>
          </w:p>
        </w:tc>
      </w:tr>
      <w:tr w:rsidR="00770A5B" w:rsidRPr="00770A5B" w14:paraId="2AE4C297" w14:textId="77777777" w:rsidTr="00770A5B">
        <w:tc>
          <w:tcPr>
            <w:cnfStyle w:val="001000000000" w:firstRow="0" w:lastRow="0" w:firstColumn="1" w:lastColumn="0" w:oddVBand="0" w:evenVBand="0" w:oddHBand="0" w:evenHBand="0" w:firstRowFirstColumn="0" w:firstRowLastColumn="0" w:lastRowFirstColumn="0" w:lastRowLastColumn="0"/>
            <w:tcW w:w="1002" w:type="dxa"/>
            <w:shd w:val="clear" w:color="auto" w:fill="FFFFFF" w:themeFill="background1"/>
          </w:tcPr>
          <w:p w14:paraId="4899C13B" w14:textId="77777777" w:rsidR="00770A5B" w:rsidRPr="00770A5B" w:rsidRDefault="00770A5B" w:rsidP="00770A5B">
            <w:pPr>
              <w:keepNext w:val="0"/>
              <w:autoSpaceDE w:val="0"/>
              <w:autoSpaceDN w:val="0"/>
              <w:adjustRightInd w:val="0"/>
              <w:spacing w:before="0" w:after="0" w:line="240" w:lineRule="auto"/>
              <w:jc w:val="left"/>
              <w:rPr>
                <w:rFonts w:cs="Open Sans"/>
                <w:color w:val="333333"/>
                <w:sz w:val="24"/>
                <w:szCs w:val="24"/>
              </w:rPr>
            </w:pPr>
            <w:r w:rsidRPr="00770A5B">
              <w:rPr>
                <w:rFonts w:cs="Open Sans"/>
                <w:color w:val="333333"/>
                <w:sz w:val="24"/>
                <w:szCs w:val="24"/>
              </w:rPr>
              <w:t>27</w:t>
            </w:r>
          </w:p>
        </w:tc>
        <w:tc>
          <w:tcPr>
            <w:tcW w:w="8068" w:type="dxa"/>
            <w:shd w:val="clear" w:color="auto" w:fill="FFFFFF" w:themeFill="background1"/>
          </w:tcPr>
          <w:p w14:paraId="4D96BD30" w14:textId="77777777" w:rsidR="00770A5B" w:rsidRPr="00770A5B" w:rsidRDefault="00770A5B" w:rsidP="00770A5B">
            <w:pPr>
              <w:keepNext w:val="0"/>
              <w:autoSpaceDE w:val="0"/>
              <w:autoSpaceDN w:val="0"/>
              <w:adjustRightInd w:val="0"/>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cs="Open Sans"/>
                <w:color w:val="333333"/>
                <w:sz w:val="24"/>
                <w:szCs w:val="24"/>
              </w:rPr>
            </w:pPr>
            <w:r w:rsidRPr="00770A5B">
              <w:rPr>
                <w:rFonts w:cs="Open Sans"/>
                <w:color w:val="333333"/>
                <w:sz w:val="24"/>
                <w:szCs w:val="24"/>
              </w:rPr>
              <w:t>Gas Supply</w:t>
            </w:r>
          </w:p>
        </w:tc>
      </w:tr>
      <w:tr w:rsidR="00770A5B" w:rsidRPr="00770A5B" w14:paraId="39F10FB7" w14:textId="77777777" w:rsidTr="00770A5B">
        <w:tc>
          <w:tcPr>
            <w:cnfStyle w:val="001000000000" w:firstRow="0" w:lastRow="0" w:firstColumn="1" w:lastColumn="0" w:oddVBand="0" w:evenVBand="0" w:oddHBand="0" w:evenHBand="0" w:firstRowFirstColumn="0" w:firstRowLastColumn="0" w:lastRowFirstColumn="0" w:lastRowLastColumn="0"/>
            <w:tcW w:w="1002" w:type="dxa"/>
            <w:shd w:val="clear" w:color="auto" w:fill="FFFFFF" w:themeFill="background1"/>
          </w:tcPr>
          <w:p w14:paraId="2509E0C4" w14:textId="77777777" w:rsidR="00770A5B" w:rsidRPr="00770A5B" w:rsidRDefault="00770A5B" w:rsidP="00770A5B">
            <w:pPr>
              <w:keepNext w:val="0"/>
              <w:autoSpaceDE w:val="0"/>
              <w:autoSpaceDN w:val="0"/>
              <w:adjustRightInd w:val="0"/>
              <w:spacing w:before="0" w:after="0" w:line="240" w:lineRule="auto"/>
              <w:jc w:val="left"/>
              <w:rPr>
                <w:rFonts w:cs="Open Sans"/>
                <w:color w:val="333333"/>
                <w:sz w:val="24"/>
                <w:szCs w:val="24"/>
              </w:rPr>
            </w:pPr>
            <w:r w:rsidRPr="00770A5B">
              <w:rPr>
                <w:rFonts w:cs="Open Sans"/>
                <w:color w:val="333333"/>
                <w:sz w:val="24"/>
                <w:szCs w:val="24"/>
              </w:rPr>
              <w:t>28</w:t>
            </w:r>
          </w:p>
        </w:tc>
        <w:tc>
          <w:tcPr>
            <w:tcW w:w="8068" w:type="dxa"/>
            <w:shd w:val="clear" w:color="auto" w:fill="FFFFFF" w:themeFill="background1"/>
          </w:tcPr>
          <w:p w14:paraId="070084BE" w14:textId="77777777" w:rsidR="00770A5B" w:rsidRPr="00770A5B" w:rsidRDefault="00770A5B" w:rsidP="00770A5B">
            <w:pPr>
              <w:keepNext w:val="0"/>
              <w:autoSpaceDE w:val="0"/>
              <w:autoSpaceDN w:val="0"/>
              <w:adjustRightInd w:val="0"/>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cs="Open Sans"/>
                <w:color w:val="333333"/>
                <w:sz w:val="24"/>
                <w:szCs w:val="24"/>
              </w:rPr>
            </w:pPr>
            <w:r w:rsidRPr="00770A5B">
              <w:rPr>
                <w:rFonts w:cs="Open Sans"/>
                <w:color w:val="333333"/>
                <w:sz w:val="24"/>
                <w:szCs w:val="24"/>
              </w:rPr>
              <w:t>Water Supply, Sewerage and Drainage Services</w:t>
            </w:r>
          </w:p>
        </w:tc>
      </w:tr>
      <w:tr w:rsidR="00770A5B" w:rsidRPr="00770A5B" w14:paraId="4000B0C1" w14:textId="77777777" w:rsidTr="00770A5B">
        <w:tc>
          <w:tcPr>
            <w:cnfStyle w:val="001000000000" w:firstRow="0" w:lastRow="0" w:firstColumn="1" w:lastColumn="0" w:oddVBand="0" w:evenVBand="0" w:oddHBand="0" w:evenHBand="0" w:firstRowFirstColumn="0" w:firstRowLastColumn="0" w:lastRowFirstColumn="0" w:lastRowLastColumn="0"/>
            <w:tcW w:w="1002" w:type="dxa"/>
            <w:shd w:val="clear" w:color="auto" w:fill="FFFFFF" w:themeFill="background1"/>
          </w:tcPr>
          <w:p w14:paraId="6FF4BD23" w14:textId="77777777" w:rsidR="00770A5B" w:rsidRPr="00770A5B" w:rsidRDefault="00770A5B" w:rsidP="00770A5B">
            <w:pPr>
              <w:keepNext w:val="0"/>
              <w:autoSpaceDE w:val="0"/>
              <w:autoSpaceDN w:val="0"/>
              <w:adjustRightInd w:val="0"/>
              <w:spacing w:before="0" w:after="0" w:line="240" w:lineRule="auto"/>
              <w:jc w:val="left"/>
              <w:rPr>
                <w:rFonts w:cs="Open Sans"/>
                <w:color w:val="333333"/>
                <w:sz w:val="24"/>
                <w:szCs w:val="24"/>
              </w:rPr>
            </w:pPr>
            <w:r w:rsidRPr="00770A5B">
              <w:rPr>
                <w:rFonts w:cs="Open Sans"/>
                <w:color w:val="333333"/>
                <w:sz w:val="24"/>
                <w:szCs w:val="24"/>
              </w:rPr>
              <w:t>29</w:t>
            </w:r>
          </w:p>
        </w:tc>
        <w:tc>
          <w:tcPr>
            <w:tcW w:w="8068" w:type="dxa"/>
            <w:shd w:val="clear" w:color="auto" w:fill="FFFFFF" w:themeFill="background1"/>
          </w:tcPr>
          <w:p w14:paraId="1B08E9DE" w14:textId="77777777" w:rsidR="00770A5B" w:rsidRPr="00770A5B" w:rsidRDefault="00770A5B" w:rsidP="00770A5B">
            <w:pPr>
              <w:keepNext w:val="0"/>
              <w:autoSpaceDE w:val="0"/>
              <w:autoSpaceDN w:val="0"/>
              <w:adjustRightInd w:val="0"/>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cs="Open Sans"/>
                <w:color w:val="333333"/>
                <w:sz w:val="24"/>
                <w:szCs w:val="24"/>
              </w:rPr>
            </w:pPr>
            <w:r w:rsidRPr="00770A5B">
              <w:rPr>
                <w:rFonts w:cs="Open Sans"/>
                <w:color w:val="333333"/>
                <w:sz w:val="24"/>
                <w:szCs w:val="24"/>
              </w:rPr>
              <w:t>Waste Collection, Treatment and Disposal Services</w:t>
            </w:r>
          </w:p>
        </w:tc>
      </w:tr>
      <w:tr w:rsidR="00770A5B" w:rsidRPr="00770A5B" w14:paraId="726B626C" w14:textId="77777777" w:rsidTr="00770A5B">
        <w:tc>
          <w:tcPr>
            <w:cnfStyle w:val="001000000000" w:firstRow="0" w:lastRow="0" w:firstColumn="1" w:lastColumn="0" w:oddVBand="0" w:evenVBand="0" w:oddHBand="0" w:evenHBand="0" w:firstRowFirstColumn="0" w:firstRowLastColumn="0" w:lastRowFirstColumn="0" w:lastRowLastColumn="0"/>
            <w:tcW w:w="1002" w:type="dxa"/>
            <w:shd w:val="clear" w:color="auto" w:fill="F2F2F2" w:themeFill="background2"/>
          </w:tcPr>
          <w:p w14:paraId="7589C469" w14:textId="77777777" w:rsidR="00770A5B" w:rsidRPr="00770A5B" w:rsidRDefault="00770A5B" w:rsidP="00770A5B">
            <w:pPr>
              <w:keepNext w:val="0"/>
              <w:autoSpaceDE w:val="0"/>
              <w:autoSpaceDN w:val="0"/>
              <w:adjustRightInd w:val="0"/>
              <w:spacing w:before="0" w:after="0" w:line="240" w:lineRule="auto"/>
              <w:jc w:val="left"/>
              <w:rPr>
                <w:rFonts w:cs="Open Sans"/>
                <w:color w:val="333333"/>
                <w:sz w:val="24"/>
                <w:szCs w:val="24"/>
              </w:rPr>
            </w:pPr>
            <w:r w:rsidRPr="00770A5B">
              <w:rPr>
                <w:rFonts w:cs="Open Sans"/>
                <w:color w:val="333333"/>
                <w:sz w:val="24"/>
                <w:szCs w:val="24"/>
              </w:rPr>
              <w:t>E</w:t>
            </w:r>
          </w:p>
        </w:tc>
        <w:tc>
          <w:tcPr>
            <w:tcW w:w="8068" w:type="dxa"/>
            <w:shd w:val="clear" w:color="auto" w:fill="F2F2F2" w:themeFill="background2"/>
          </w:tcPr>
          <w:p w14:paraId="4140EA5A" w14:textId="77777777" w:rsidR="00770A5B" w:rsidRPr="00770A5B" w:rsidRDefault="00770A5B" w:rsidP="00770A5B">
            <w:pPr>
              <w:keepNext w:val="0"/>
              <w:autoSpaceDE w:val="0"/>
              <w:autoSpaceDN w:val="0"/>
              <w:adjustRightInd w:val="0"/>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cs="Open Sans"/>
                <w:color w:val="333333"/>
                <w:sz w:val="24"/>
                <w:szCs w:val="24"/>
              </w:rPr>
            </w:pPr>
            <w:r w:rsidRPr="00770A5B">
              <w:rPr>
                <w:rFonts w:cs="Open Sans"/>
                <w:color w:val="333333"/>
                <w:sz w:val="24"/>
                <w:szCs w:val="24"/>
              </w:rPr>
              <w:t>CONSTRUCTION</w:t>
            </w:r>
          </w:p>
        </w:tc>
      </w:tr>
      <w:tr w:rsidR="00770A5B" w:rsidRPr="00770A5B" w14:paraId="07BB18C9" w14:textId="77777777" w:rsidTr="00770A5B">
        <w:tc>
          <w:tcPr>
            <w:cnfStyle w:val="001000000000" w:firstRow="0" w:lastRow="0" w:firstColumn="1" w:lastColumn="0" w:oddVBand="0" w:evenVBand="0" w:oddHBand="0" w:evenHBand="0" w:firstRowFirstColumn="0" w:firstRowLastColumn="0" w:lastRowFirstColumn="0" w:lastRowLastColumn="0"/>
            <w:tcW w:w="1002" w:type="dxa"/>
            <w:shd w:val="clear" w:color="auto" w:fill="FFFFFF" w:themeFill="background1"/>
          </w:tcPr>
          <w:p w14:paraId="1CABC05F" w14:textId="77777777" w:rsidR="00770A5B" w:rsidRPr="00770A5B" w:rsidRDefault="00770A5B" w:rsidP="00770A5B">
            <w:pPr>
              <w:keepNext w:val="0"/>
              <w:autoSpaceDE w:val="0"/>
              <w:autoSpaceDN w:val="0"/>
              <w:adjustRightInd w:val="0"/>
              <w:spacing w:before="0" w:after="0" w:line="240" w:lineRule="auto"/>
              <w:jc w:val="left"/>
              <w:rPr>
                <w:rFonts w:cs="Open Sans"/>
                <w:color w:val="333333"/>
                <w:sz w:val="24"/>
                <w:szCs w:val="24"/>
              </w:rPr>
            </w:pPr>
            <w:r w:rsidRPr="00770A5B">
              <w:rPr>
                <w:rFonts w:cs="Open Sans"/>
                <w:color w:val="333333"/>
                <w:sz w:val="24"/>
                <w:szCs w:val="24"/>
              </w:rPr>
              <w:lastRenderedPageBreak/>
              <w:t>30</w:t>
            </w:r>
          </w:p>
        </w:tc>
        <w:tc>
          <w:tcPr>
            <w:tcW w:w="8068" w:type="dxa"/>
            <w:shd w:val="clear" w:color="auto" w:fill="FFFFFF" w:themeFill="background1"/>
          </w:tcPr>
          <w:p w14:paraId="03FFCF29" w14:textId="77777777" w:rsidR="00770A5B" w:rsidRPr="00770A5B" w:rsidRDefault="00770A5B" w:rsidP="00770A5B">
            <w:pPr>
              <w:keepNext w:val="0"/>
              <w:autoSpaceDE w:val="0"/>
              <w:autoSpaceDN w:val="0"/>
              <w:adjustRightInd w:val="0"/>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cs="Open Sans"/>
                <w:color w:val="333333"/>
                <w:sz w:val="24"/>
                <w:szCs w:val="24"/>
              </w:rPr>
            </w:pPr>
            <w:r w:rsidRPr="00770A5B">
              <w:rPr>
                <w:rFonts w:cs="Open Sans"/>
                <w:color w:val="333333"/>
                <w:sz w:val="24"/>
                <w:szCs w:val="24"/>
              </w:rPr>
              <w:t>Building Construction</w:t>
            </w:r>
          </w:p>
        </w:tc>
      </w:tr>
      <w:tr w:rsidR="00770A5B" w:rsidRPr="00770A5B" w14:paraId="3F5FC0C0" w14:textId="77777777" w:rsidTr="00770A5B">
        <w:tc>
          <w:tcPr>
            <w:cnfStyle w:val="001000000000" w:firstRow="0" w:lastRow="0" w:firstColumn="1" w:lastColumn="0" w:oddVBand="0" w:evenVBand="0" w:oddHBand="0" w:evenHBand="0" w:firstRowFirstColumn="0" w:firstRowLastColumn="0" w:lastRowFirstColumn="0" w:lastRowLastColumn="0"/>
            <w:tcW w:w="1002" w:type="dxa"/>
            <w:shd w:val="clear" w:color="auto" w:fill="FFFFFF" w:themeFill="background1"/>
          </w:tcPr>
          <w:p w14:paraId="2FB29609" w14:textId="77777777" w:rsidR="00770A5B" w:rsidRPr="00770A5B" w:rsidRDefault="00770A5B" w:rsidP="00770A5B">
            <w:pPr>
              <w:keepNext w:val="0"/>
              <w:autoSpaceDE w:val="0"/>
              <w:autoSpaceDN w:val="0"/>
              <w:adjustRightInd w:val="0"/>
              <w:spacing w:before="0" w:after="0" w:line="240" w:lineRule="auto"/>
              <w:jc w:val="left"/>
              <w:rPr>
                <w:rFonts w:cs="Open Sans"/>
                <w:color w:val="333333"/>
                <w:sz w:val="24"/>
                <w:szCs w:val="24"/>
              </w:rPr>
            </w:pPr>
            <w:r w:rsidRPr="00770A5B">
              <w:rPr>
                <w:rFonts w:cs="Open Sans"/>
                <w:color w:val="333333"/>
                <w:sz w:val="24"/>
                <w:szCs w:val="24"/>
              </w:rPr>
              <w:t>31</w:t>
            </w:r>
          </w:p>
        </w:tc>
        <w:tc>
          <w:tcPr>
            <w:tcW w:w="8068" w:type="dxa"/>
            <w:shd w:val="clear" w:color="auto" w:fill="FFFFFF" w:themeFill="background1"/>
          </w:tcPr>
          <w:p w14:paraId="7132A7E4" w14:textId="77777777" w:rsidR="00770A5B" w:rsidRPr="00770A5B" w:rsidRDefault="00770A5B" w:rsidP="00770A5B">
            <w:pPr>
              <w:keepNext w:val="0"/>
              <w:autoSpaceDE w:val="0"/>
              <w:autoSpaceDN w:val="0"/>
              <w:adjustRightInd w:val="0"/>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cs="Open Sans"/>
                <w:color w:val="333333"/>
                <w:sz w:val="24"/>
                <w:szCs w:val="24"/>
              </w:rPr>
            </w:pPr>
            <w:r w:rsidRPr="00770A5B">
              <w:rPr>
                <w:rFonts w:cs="Open Sans"/>
                <w:color w:val="333333"/>
                <w:sz w:val="24"/>
                <w:szCs w:val="24"/>
              </w:rPr>
              <w:t>Heavy and Civil Engineering Construction</w:t>
            </w:r>
          </w:p>
        </w:tc>
      </w:tr>
      <w:tr w:rsidR="00770A5B" w:rsidRPr="00770A5B" w14:paraId="00781A11" w14:textId="77777777" w:rsidTr="00770A5B">
        <w:tc>
          <w:tcPr>
            <w:cnfStyle w:val="001000000000" w:firstRow="0" w:lastRow="0" w:firstColumn="1" w:lastColumn="0" w:oddVBand="0" w:evenVBand="0" w:oddHBand="0" w:evenHBand="0" w:firstRowFirstColumn="0" w:firstRowLastColumn="0" w:lastRowFirstColumn="0" w:lastRowLastColumn="0"/>
            <w:tcW w:w="1002" w:type="dxa"/>
            <w:shd w:val="clear" w:color="auto" w:fill="FFFFFF" w:themeFill="background1"/>
          </w:tcPr>
          <w:p w14:paraId="57726761" w14:textId="77777777" w:rsidR="00770A5B" w:rsidRPr="00770A5B" w:rsidRDefault="00770A5B" w:rsidP="00770A5B">
            <w:pPr>
              <w:keepNext w:val="0"/>
              <w:autoSpaceDE w:val="0"/>
              <w:autoSpaceDN w:val="0"/>
              <w:adjustRightInd w:val="0"/>
              <w:spacing w:before="0" w:after="0" w:line="240" w:lineRule="auto"/>
              <w:jc w:val="left"/>
              <w:rPr>
                <w:rFonts w:cs="Open Sans"/>
                <w:color w:val="333333"/>
                <w:sz w:val="24"/>
                <w:szCs w:val="24"/>
              </w:rPr>
            </w:pPr>
            <w:r w:rsidRPr="00770A5B">
              <w:rPr>
                <w:rFonts w:cs="Open Sans"/>
                <w:color w:val="333333"/>
                <w:sz w:val="24"/>
                <w:szCs w:val="24"/>
              </w:rPr>
              <w:t>32</w:t>
            </w:r>
          </w:p>
        </w:tc>
        <w:tc>
          <w:tcPr>
            <w:tcW w:w="8068" w:type="dxa"/>
            <w:shd w:val="clear" w:color="auto" w:fill="FFFFFF" w:themeFill="background1"/>
          </w:tcPr>
          <w:p w14:paraId="5AF4E813" w14:textId="77777777" w:rsidR="00770A5B" w:rsidRPr="00770A5B" w:rsidRDefault="00770A5B" w:rsidP="00770A5B">
            <w:pPr>
              <w:keepNext w:val="0"/>
              <w:autoSpaceDE w:val="0"/>
              <w:autoSpaceDN w:val="0"/>
              <w:adjustRightInd w:val="0"/>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cs="Open Sans"/>
                <w:color w:val="333333"/>
                <w:sz w:val="24"/>
                <w:szCs w:val="24"/>
              </w:rPr>
            </w:pPr>
            <w:r w:rsidRPr="00770A5B">
              <w:rPr>
                <w:rFonts w:cs="Open Sans"/>
                <w:color w:val="333333"/>
                <w:sz w:val="24"/>
                <w:szCs w:val="24"/>
              </w:rPr>
              <w:t>Construction Services</w:t>
            </w:r>
          </w:p>
        </w:tc>
      </w:tr>
      <w:tr w:rsidR="00770A5B" w:rsidRPr="00770A5B" w14:paraId="099E9193" w14:textId="77777777" w:rsidTr="00770A5B">
        <w:tc>
          <w:tcPr>
            <w:cnfStyle w:val="001000000000" w:firstRow="0" w:lastRow="0" w:firstColumn="1" w:lastColumn="0" w:oddVBand="0" w:evenVBand="0" w:oddHBand="0" w:evenHBand="0" w:firstRowFirstColumn="0" w:firstRowLastColumn="0" w:lastRowFirstColumn="0" w:lastRowLastColumn="0"/>
            <w:tcW w:w="1002" w:type="dxa"/>
            <w:shd w:val="clear" w:color="auto" w:fill="F2F2F2" w:themeFill="background2"/>
          </w:tcPr>
          <w:p w14:paraId="1A8CA6A4" w14:textId="77777777" w:rsidR="00770A5B" w:rsidRPr="00770A5B" w:rsidRDefault="00770A5B" w:rsidP="00770A5B">
            <w:pPr>
              <w:keepNext w:val="0"/>
              <w:autoSpaceDE w:val="0"/>
              <w:autoSpaceDN w:val="0"/>
              <w:adjustRightInd w:val="0"/>
              <w:spacing w:before="0" w:after="0" w:line="240" w:lineRule="auto"/>
              <w:jc w:val="left"/>
              <w:rPr>
                <w:rFonts w:cs="Open Sans"/>
                <w:color w:val="333333"/>
                <w:sz w:val="24"/>
                <w:szCs w:val="24"/>
              </w:rPr>
            </w:pPr>
            <w:r w:rsidRPr="00770A5B">
              <w:rPr>
                <w:rFonts w:cs="Open Sans"/>
                <w:color w:val="333333"/>
                <w:sz w:val="24"/>
                <w:szCs w:val="24"/>
              </w:rPr>
              <w:t>F</w:t>
            </w:r>
          </w:p>
        </w:tc>
        <w:tc>
          <w:tcPr>
            <w:tcW w:w="8068" w:type="dxa"/>
            <w:shd w:val="clear" w:color="auto" w:fill="F2F2F2" w:themeFill="background2"/>
          </w:tcPr>
          <w:p w14:paraId="20E1985B" w14:textId="77777777" w:rsidR="00770A5B" w:rsidRPr="00770A5B" w:rsidRDefault="00770A5B" w:rsidP="00770A5B">
            <w:pPr>
              <w:keepNext w:val="0"/>
              <w:autoSpaceDE w:val="0"/>
              <w:autoSpaceDN w:val="0"/>
              <w:adjustRightInd w:val="0"/>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cs="Open Sans"/>
                <w:color w:val="333333"/>
                <w:sz w:val="24"/>
                <w:szCs w:val="24"/>
              </w:rPr>
            </w:pPr>
            <w:r w:rsidRPr="00770A5B">
              <w:rPr>
                <w:rFonts w:cs="Open Sans"/>
                <w:color w:val="333333"/>
                <w:sz w:val="24"/>
                <w:szCs w:val="24"/>
              </w:rPr>
              <w:t>WHOLESALE TRADE</w:t>
            </w:r>
          </w:p>
        </w:tc>
      </w:tr>
      <w:tr w:rsidR="00770A5B" w:rsidRPr="00770A5B" w14:paraId="121EBC7E" w14:textId="77777777" w:rsidTr="00770A5B">
        <w:tc>
          <w:tcPr>
            <w:cnfStyle w:val="001000000000" w:firstRow="0" w:lastRow="0" w:firstColumn="1" w:lastColumn="0" w:oddVBand="0" w:evenVBand="0" w:oddHBand="0" w:evenHBand="0" w:firstRowFirstColumn="0" w:firstRowLastColumn="0" w:lastRowFirstColumn="0" w:lastRowLastColumn="0"/>
            <w:tcW w:w="1002" w:type="dxa"/>
            <w:shd w:val="clear" w:color="auto" w:fill="FFFFFF" w:themeFill="background1"/>
          </w:tcPr>
          <w:p w14:paraId="23435A35" w14:textId="77777777" w:rsidR="00770A5B" w:rsidRPr="00770A5B" w:rsidRDefault="00770A5B" w:rsidP="00770A5B">
            <w:pPr>
              <w:keepNext w:val="0"/>
              <w:autoSpaceDE w:val="0"/>
              <w:autoSpaceDN w:val="0"/>
              <w:adjustRightInd w:val="0"/>
              <w:spacing w:before="0" w:after="0" w:line="240" w:lineRule="auto"/>
              <w:jc w:val="left"/>
              <w:rPr>
                <w:rFonts w:cs="Open Sans"/>
                <w:color w:val="333333"/>
                <w:sz w:val="24"/>
                <w:szCs w:val="24"/>
              </w:rPr>
            </w:pPr>
            <w:r w:rsidRPr="00770A5B">
              <w:rPr>
                <w:rFonts w:cs="Open Sans"/>
                <w:color w:val="333333"/>
                <w:sz w:val="24"/>
                <w:szCs w:val="24"/>
              </w:rPr>
              <w:t>33</w:t>
            </w:r>
          </w:p>
        </w:tc>
        <w:tc>
          <w:tcPr>
            <w:tcW w:w="8068" w:type="dxa"/>
            <w:shd w:val="clear" w:color="auto" w:fill="FFFFFF" w:themeFill="background1"/>
          </w:tcPr>
          <w:p w14:paraId="69E85C03" w14:textId="77777777" w:rsidR="00770A5B" w:rsidRPr="00770A5B" w:rsidRDefault="00770A5B" w:rsidP="00770A5B">
            <w:pPr>
              <w:keepNext w:val="0"/>
              <w:autoSpaceDE w:val="0"/>
              <w:autoSpaceDN w:val="0"/>
              <w:adjustRightInd w:val="0"/>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cs="Open Sans"/>
                <w:color w:val="333333"/>
                <w:sz w:val="24"/>
                <w:szCs w:val="24"/>
              </w:rPr>
            </w:pPr>
            <w:r w:rsidRPr="00770A5B">
              <w:rPr>
                <w:rFonts w:cs="Open Sans"/>
                <w:color w:val="333333"/>
                <w:sz w:val="24"/>
                <w:szCs w:val="24"/>
              </w:rPr>
              <w:t>Basic Material Wholesaling</w:t>
            </w:r>
          </w:p>
        </w:tc>
      </w:tr>
      <w:tr w:rsidR="00770A5B" w:rsidRPr="00770A5B" w14:paraId="5936DED3" w14:textId="77777777" w:rsidTr="00770A5B">
        <w:tc>
          <w:tcPr>
            <w:cnfStyle w:val="001000000000" w:firstRow="0" w:lastRow="0" w:firstColumn="1" w:lastColumn="0" w:oddVBand="0" w:evenVBand="0" w:oddHBand="0" w:evenHBand="0" w:firstRowFirstColumn="0" w:firstRowLastColumn="0" w:lastRowFirstColumn="0" w:lastRowLastColumn="0"/>
            <w:tcW w:w="1002" w:type="dxa"/>
            <w:shd w:val="clear" w:color="auto" w:fill="FFFFFF" w:themeFill="background1"/>
          </w:tcPr>
          <w:p w14:paraId="4031DE07" w14:textId="77777777" w:rsidR="00770A5B" w:rsidRPr="00770A5B" w:rsidRDefault="00770A5B" w:rsidP="00770A5B">
            <w:pPr>
              <w:keepNext w:val="0"/>
              <w:autoSpaceDE w:val="0"/>
              <w:autoSpaceDN w:val="0"/>
              <w:adjustRightInd w:val="0"/>
              <w:spacing w:before="0" w:after="0" w:line="240" w:lineRule="auto"/>
              <w:jc w:val="left"/>
              <w:rPr>
                <w:rFonts w:cs="Open Sans"/>
                <w:color w:val="333333"/>
                <w:sz w:val="24"/>
                <w:szCs w:val="24"/>
              </w:rPr>
            </w:pPr>
            <w:r w:rsidRPr="00770A5B">
              <w:rPr>
                <w:rFonts w:cs="Open Sans"/>
                <w:color w:val="333333"/>
                <w:sz w:val="24"/>
                <w:szCs w:val="24"/>
              </w:rPr>
              <w:t>34</w:t>
            </w:r>
          </w:p>
        </w:tc>
        <w:tc>
          <w:tcPr>
            <w:tcW w:w="8068" w:type="dxa"/>
            <w:shd w:val="clear" w:color="auto" w:fill="FFFFFF" w:themeFill="background1"/>
          </w:tcPr>
          <w:p w14:paraId="541F8B7B" w14:textId="77777777" w:rsidR="00770A5B" w:rsidRPr="00770A5B" w:rsidRDefault="00770A5B" w:rsidP="00770A5B">
            <w:pPr>
              <w:keepNext w:val="0"/>
              <w:autoSpaceDE w:val="0"/>
              <w:autoSpaceDN w:val="0"/>
              <w:adjustRightInd w:val="0"/>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cs="Open Sans"/>
                <w:color w:val="333333"/>
                <w:sz w:val="24"/>
                <w:szCs w:val="24"/>
              </w:rPr>
            </w:pPr>
            <w:r w:rsidRPr="00770A5B">
              <w:rPr>
                <w:rFonts w:cs="Open Sans"/>
                <w:color w:val="333333"/>
                <w:sz w:val="24"/>
                <w:szCs w:val="24"/>
              </w:rPr>
              <w:t>Machinery and Equipment Wholesaling</w:t>
            </w:r>
          </w:p>
        </w:tc>
      </w:tr>
      <w:tr w:rsidR="00770A5B" w:rsidRPr="00770A5B" w14:paraId="1D474048" w14:textId="77777777" w:rsidTr="00770A5B">
        <w:tc>
          <w:tcPr>
            <w:cnfStyle w:val="001000000000" w:firstRow="0" w:lastRow="0" w:firstColumn="1" w:lastColumn="0" w:oddVBand="0" w:evenVBand="0" w:oddHBand="0" w:evenHBand="0" w:firstRowFirstColumn="0" w:firstRowLastColumn="0" w:lastRowFirstColumn="0" w:lastRowLastColumn="0"/>
            <w:tcW w:w="1002" w:type="dxa"/>
            <w:shd w:val="clear" w:color="auto" w:fill="FFFFFF" w:themeFill="background1"/>
          </w:tcPr>
          <w:p w14:paraId="290F2922" w14:textId="77777777" w:rsidR="00770A5B" w:rsidRPr="00770A5B" w:rsidRDefault="00770A5B" w:rsidP="00770A5B">
            <w:pPr>
              <w:keepNext w:val="0"/>
              <w:autoSpaceDE w:val="0"/>
              <w:autoSpaceDN w:val="0"/>
              <w:adjustRightInd w:val="0"/>
              <w:spacing w:before="0" w:after="0" w:line="240" w:lineRule="auto"/>
              <w:jc w:val="left"/>
              <w:rPr>
                <w:rFonts w:cs="Open Sans"/>
                <w:color w:val="333333"/>
                <w:sz w:val="24"/>
                <w:szCs w:val="24"/>
              </w:rPr>
            </w:pPr>
            <w:r w:rsidRPr="00770A5B">
              <w:rPr>
                <w:rFonts w:cs="Open Sans"/>
                <w:color w:val="333333"/>
                <w:sz w:val="24"/>
                <w:szCs w:val="24"/>
              </w:rPr>
              <w:t>35</w:t>
            </w:r>
          </w:p>
        </w:tc>
        <w:tc>
          <w:tcPr>
            <w:tcW w:w="8068" w:type="dxa"/>
            <w:shd w:val="clear" w:color="auto" w:fill="FFFFFF" w:themeFill="background1"/>
          </w:tcPr>
          <w:p w14:paraId="45A9C715" w14:textId="77777777" w:rsidR="00770A5B" w:rsidRPr="00770A5B" w:rsidRDefault="00770A5B" w:rsidP="00770A5B">
            <w:pPr>
              <w:keepNext w:val="0"/>
              <w:autoSpaceDE w:val="0"/>
              <w:autoSpaceDN w:val="0"/>
              <w:adjustRightInd w:val="0"/>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cs="Open Sans"/>
                <w:color w:val="333333"/>
                <w:sz w:val="24"/>
                <w:szCs w:val="24"/>
              </w:rPr>
            </w:pPr>
            <w:r w:rsidRPr="00770A5B">
              <w:rPr>
                <w:rFonts w:cs="Open Sans"/>
                <w:color w:val="333333"/>
                <w:sz w:val="24"/>
                <w:szCs w:val="24"/>
              </w:rPr>
              <w:t>Motor Vehicle and Motor Vehicle Parts Wholesaling</w:t>
            </w:r>
          </w:p>
        </w:tc>
      </w:tr>
      <w:tr w:rsidR="00770A5B" w:rsidRPr="00770A5B" w14:paraId="5B1CD45E" w14:textId="77777777" w:rsidTr="00770A5B">
        <w:tc>
          <w:tcPr>
            <w:cnfStyle w:val="001000000000" w:firstRow="0" w:lastRow="0" w:firstColumn="1" w:lastColumn="0" w:oddVBand="0" w:evenVBand="0" w:oddHBand="0" w:evenHBand="0" w:firstRowFirstColumn="0" w:firstRowLastColumn="0" w:lastRowFirstColumn="0" w:lastRowLastColumn="0"/>
            <w:tcW w:w="1002" w:type="dxa"/>
            <w:shd w:val="clear" w:color="auto" w:fill="FFFFFF" w:themeFill="background1"/>
          </w:tcPr>
          <w:p w14:paraId="5179C0DA" w14:textId="77777777" w:rsidR="00770A5B" w:rsidRPr="00770A5B" w:rsidRDefault="00770A5B" w:rsidP="00770A5B">
            <w:pPr>
              <w:keepNext w:val="0"/>
              <w:autoSpaceDE w:val="0"/>
              <w:autoSpaceDN w:val="0"/>
              <w:adjustRightInd w:val="0"/>
              <w:spacing w:before="0" w:after="0" w:line="240" w:lineRule="auto"/>
              <w:jc w:val="left"/>
              <w:rPr>
                <w:rFonts w:cs="Open Sans"/>
                <w:color w:val="333333"/>
                <w:sz w:val="24"/>
                <w:szCs w:val="24"/>
              </w:rPr>
            </w:pPr>
            <w:r w:rsidRPr="00770A5B">
              <w:rPr>
                <w:rFonts w:cs="Open Sans"/>
                <w:color w:val="333333"/>
                <w:sz w:val="24"/>
                <w:szCs w:val="24"/>
              </w:rPr>
              <w:t>36</w:t>
            </w:r>
          </w:p>
        </w:tc>
        <w:tc>
          <w:tcPr>
            <w:tcW w:w="8068" w:type="dxa"/>
            <w:shd w:val="clear" w:color="auto" w:fill="FFFFFF" w:themeFill="background1"/>
          </w:tcPr>
          <w:p w14:paraId="46E85BF6" w14:textId="77777777" w:rsidR="00770A5B" w:rsidRPr="00770A5B" w:rsidRDefault="00770A5B" w:rsidP="00770A5B">
            <w:pPr>
              <w:keepNext w:val="0"/>
              <w:autoSpaceDE w:val="0"/>
              <w:autoSpaceDN w:val="0"/>
              <w:adjustRightInd w:val="0"/>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cs="Open Sans"/>
                <w:color w:val="333333"/>
                <w:sz w:val="24"/>
                <w:szCs w:val="24"/>
              </w:rPr>
            </w:pPr>
            <w:r w:rsidRPr="00770A5B">
              <w:rPr>
                <w:rFonts w:cs="Open Sans"/>
                <w:color w:val="333333"/>
                <w:sz w:val="24"/>
                <w:szCs w:val="24"/>
              </w:rPr>
              <w:t>Grocery, Liquor and Tobacco Product Wholesaling</w:t>
            </w:r>
          </w:p>
        </w:tc>
      </w:tr>
      <w:tr w:rsidR="00770A5B" w:rsidRPr="00770A5B" w14:paraId="619CB91B" w14:textId="77777777" w:rsidTr="00770A5B">
        <w:tc>
          <w:tcPr>
            <w:cnfStyle w:val="001000000000" w:firstRow="0" w:lastRow="0" w:firstColumn="1" w:lastColumn="0" w:oddVBand="0" w:evenVBand="0" w:oddHBand="0" w:evenHBand="0" w:firstRowFirstColumn="0" w:firstRowLastColumn="0" w:lastRowFirstColumn="0" w:lastRowLastColumn="0"/>
            <w:tcW w:w="1002" w:type="dxa"/>
            <w:shd w:val="clear" w:color="auto" w:fill="FFFFFF" w:themeFill="background1"/>
          </w:tcPr>
          <w:p w14:paraId="7C0BF87B" w14:textId="77777777" w:rsidR="00770A5B" w:rsidRPr="00770A5B" w:rsidRDefault="00770A5B" w:rsidP="00770A5B">
            <w:pPr>
              <w:keepNext w:val="0"/>
              <w:autoSpaceDE w:val="0"/>
              <w:autoSpaceDN w:val="0"/>
              <w:adjustRightInd w:val="0"/>
              <w:spacing w:before="0" w:after="0" w:line="240" w:lineRule="auto"/>
              <w:jc w:val="left"/>
              <w:rPr>
                <w:rFonts w:cs="Open Sans"/>
                <w:color w:val="333333"/>
                <w:sz w:val="24"/>
                <w:szCs w:val="24"/>
              </w:rPr>
            </w:pPr>
            <w:r w:rsidRPr="00770A5B">
              <w:rPr>
                <w:rFonts w:cs="Open Sans"/>
                <w:color w:val="333333"/>
                <w:sz w:val="24"/>
                <w:szCs w:val="24"/>
              </w:rPr>
              <w:t>37</w:t>
            </w:r>
          </w:p>
        </w:tc>
        <w:tc>
          <w:tcPr>
            <w:tcW w:w="8068" w:type="dxa"/>
            <w:shd w:val="clear" w:color="auto" w:fill="FFFFFF" w:themeFill="background1"/>
          </w:tcPr>
          <w:p w14:paraId="72487AD2" w14:textId="77777777" w:rsidR="00770A5B" w:rsidRPr="00770A5B" w:rsidRDefault="00770A5B" w:rsidP="00770A5B">
            <w:pPr>
              <w:keepNext w:val="0"/>
              <w:autoSpaceDE w:val="0"/>
              <w:autoSpaceDN w:val="0"/>
              <w:adjustRightInd w:val="0"/>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cs="Open Sans"/>
                <w:color w:val="333333"/>
                <w:sz w:val="24"/>
                <w:szCs w:val="24"/>
              </w:rPr>
            </w:pPr>
            <w:r w:rsidRPr="00770A5B">
              <w:rPr>
                <w:rFonts w:cs="Open Sans"/>
                <w:color w:val="333333"/>
                <w:sz w:val="24"/>
                <w:szCs w:val="24"/>
              </w:rPr>
              <w:t>Other Goods Wholesaling</w:t>
            </w:r>
          </w:p>
        </w:tc>
      </w:tr>
      <w:tr w:rsidR="00770A5B" w:rsidRPr="00770A5B" w14:paraId="7B675AE8" w14:textId="77777777" w:rsidTr="00770A5B">
        <w:tc>
          <w:tcPr>
            <w:cnfStyle w:val="001000000000" w:firstRow="0" w:lastRow="0" w:firstColumn="1" w:lastColumn="0" w:oddVBand="0" w:evenVBand="0" w:oddHBand="0" w:evenHBand="0" w:firstRowFirstColumn="0" w:firstRowLastColumn="0" w:lastRowFirstColumn="0" w:lastRowLastColumn="0"/>
            <w:tcW w:w="1002" w:type="dxa"/>
            <w:shd w:val="clear" w:color="auto" w:fill="FFFFFF" w:themeFill="background1"/>
          </w:tcPr>
          <w:p w14:paraId="54763386" w14:textId="77777777" w:rsidR="00770A5B" w:rsidRPr="00770A5B" w:rsidRDefault="00770A5B" w:rsidP="00770A5B">
            <w:pPr>
              <w:keepNext w:val="0"/>
              <w:autoSpaceDE w:val="0"/>
              <w:autoSpaceDN w:val="0"/>
              <w:adjustRightInd w:val="0"/>
              <w:spacing w:before="0" w:after="0" w:line="240" w:lineRule="auto"/>
              <w:jc w:val="left"/>
              <w:rPr>
                <w:rFonts w:cs="Open Sans"/>
                <w:color w:val="333333"/>
                <w:sz w:val="24"/>
                <w:szCs w:val="24"/>
              </w:rPr>
            </w:pPr>
            <w:r w:rsidRPr="00770A5B">
              <w:rPr>
                <w:rFonts w:cs="Open Sans"/>
                <w:color w:val="333333"/>
                <w:sz w:val="24"/>
                <w:szCs w:val="24"/>
              </w:rPr>
              <w:t>38</w:t>
            </w:r>
          </w:p>
        </w:tc>
        <w:tc>
          <w:tcPr>
            <w:tcW w:w="8068" w:type="dxa"/>
            <w:shd w:val="clear" w:color="auto" w:fill="FFFFFF" w:themeFill="background1"/>
          </w:tcPr>
          <w:p w14:paraId="55A3790A" w14:textId="77777777" w:rsidR="00770A5B" w:rsidRPr="00770A5B" w:rsidRDefault="00770A5B" w:rsidP="00770A5B">
            <w:pPr>
              <w:keepNext w:val="0"/>
              <w:autoSpaceDE w:val="0"/>
              <w:autoSpaceDN w:val="0"/>
              <w:adjustRightInd w:val="0"/>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cs="Open Sans"/>
                <w:color w:val="333333"/>
                <w:sz w:val="24"/>
                <w:szCs w:val="24"/>
              </w:rPr>
            </w:pPr>
            <w:r w:rsidRPr="00770A5B">
              <w:rPr>
                <w:rFonts w:cs="Open Sans"/>
                <w:color w:val="333333"/>
                <w:sz w:val="24"/>
                <w:szCs w:val="24"/>
              </w:rPr>
              <w:t>Commission-Based Wholesaling</w:t>
            </w:r>
          </w:p>
        </w:tc>
      </w:tr>
      <w:tr w:rsidR="00770A5B" w:rsidRPr="00770A5B" w14:paraId="71B74D9F" w14:textId="77777777" w:rsidTr="00770A5B">
        <w:tc>
          <w:tcPr>
            <w:cnfStyle w:val="001000000000" w:firstRow="0" w:lastRow="0" w:firstColumn="1" w:lastColumn="0" w:oddVBand="0" w:evenVBand="0" w:oddHBand="0" w:evenHBand="0" w:firstRowFirstColumn="0" w:firstRowLastColumn="0" w:lastRowFirstColumn="0" w:lastRowLastColumn="0"/>
            <w:tcW w:w="1002" w:type="dxa"/>
            <w:shd w:val="clear" w:color="auto" w:fill="F2F2F2" w:themeFill="background2"/>
          </w:tcPr>
          <w:p w14:paraId="47177429" w14:textId="77777777" w:rsidR="00770A5B" w:rsidRPr="00770A5B" w:rsidRDefault="00770A5B" w:rsidP="00770A5B">
            <w:pPr>
              <w:keepNext w:val="0"/>
              <w:autoSpaceDE w:val="0"/>
              <w:autoSpaceDN w:val="0"/>
              <w:adjustRightInd w:val="0"/>
              <w:spacing w:before="0" w:after="0" w:line="240" w:lineRule="auto"/>
              <w:jc w:val="left"/>
              <w:rPr>
                <w:rFonts w:cs="Open Sans"/>
                <w:color w:val="333333"/>
                <w:sz w:val="24"/>
                <w:szCs w:val="24"/>
              </w:rPr>
            </w:pPr>
            <w:r w:rsidRPr="00770A5B">
              <w:rPr>
                <w:rFonts w:cs="Open Sans"/>
                <w:color w:val="333333"/>
                <w:sz w:val="24"/>
                <w:szCs w:val="24"/>
              </w:rPr>
              <w:t>G</w:t>
            </w:r>
          </w:p>
        </w:tc>
        <w:tc>
          <w:tcPr>
            <w:tcW w:w="8068" w:type="dxa"/>
            <w:shd w:val="clear" w:color="auto" w:fill="F2F2F2" w:themeFill="background2"/>
          </w:tcPr>
          <w:p w14:paraId="69D028BA" w14:textId="77777777" w:rsidR="00770A5B" w:rsidRPr="00770A5B" w:rsidRDefault="00770A5B" w:rsidP="00770A5B">
            <w:pPr>
              <w:keepNext w:val="0"/>
              <w:autoSpaceDE w:val="0"/>
              <w:autoSpaceDN w:val="0"/>
              <w:adjustRightInd w:val="0"/>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cs="Open Sans"/>
                <w:color w:val="333333"/>
                <w:sz w:val="24"/>
                <w:szCs w:val="24"/>
              </w:rPr>
            </w:pPr>
            <w:r w:rsidRPr="00770A5B">
              <w:rPr>
                <w:rFonts w:cs="Open Sans"/>
                <w:color w:val="333333"/>
                <w:sz w:val="24"/>
                <w:szCs w:val="24"/>
              </w:rPr>
              <w:t>RETAIL TRADE</w:t>
            </w:r>
          </w:p>
        </w:tc>
      </w:tr>
      <w:tr w:rsidR="00770A5B" w:rsidRPr="00770A5B" w14:paraId="29007B93" w14:textId="77777777" w:rsidTr="00770A5B">
        <w:tc>
          <w:tcPr>
            <w:cnfStyle w:val="001000000000" w:firstRow="0" w:lastRow="0" w:firstColumn="1" w:lastColumn="0" w:oddVBand="0" w:evenVBand="0" w:oddHBand="0" w:evenHBand="0" w:firstRowFirstColumn="0" w:firstRowLastColumn="0" w:lastRowFirstColumn="0" w:lastRowLastColumn="0"/>
            <w:tcW w:w="1002" w:type="dxa"/>
            <w:shd w:val="clear" w:color="auto" w:fill="FFFFFF" w:themeFill="background1"/>
          </w:tcPr>
          <w:p w14:paraId="2029B5BD" w14:textId="77777777" w:rsidR="00770A5B" w:rsidRPr="00770A5B" w:rsidRDefault="00770A5B" w:rsidP="00770A5B">
            <w:pPr>
              <w:keepNext w:val="0"/>
              <w:autoSpaceDE w:val="0"/>
              <w:autoSpaceDN w:val="0"/>
              <w:adjustRightInd w:val="0"/>
              <w:spacing w:before="0" w:after="0" w:line="240" w:lineRule="auto"/>
              <w:jc w:val="left"/>
              <w:rPr>
                <w:rFonts w:cs="Open Sans"/>
                <w:color w:val="333333"/>
                <w:sz w:val="24"/>
                <w:szCs w:val="24"/>
              </w:rPr>
            </w:pPr>
            <w:r w:rsidRPr="00770A5B">
              <w:rPr>
                <w:rFonts w:cs="Open Sans"/>
                <w:color w:val="333333"/>
                <w:sz w:val="24"/>
                <w:szCs w:val="24"/>
              </w:rPr>
              <w:t>39</w:t>
            </w:r>
          </w:p>
        </w:tc>
        <w:tc>
          <w:tcPr>
            <w:tcW w:w="8068" w:type="dxa"/>
            <w:shd w:val="clear" w:color="auto" w:fill="FFFFFF" w:themeFill="background1"/>
          </w:tcPr>
          <w:p w14:paraId="7B2DD991" w14:textId="77777777" w:rsidR="00770A5B" w:rsidRPr="00770A5B" w:rsidRDefault="00770A5B" w:rsidP="00770A5B">
            <w:pPr>
              <w:keepNext w:val="0"/>
              <w:autoSpaceDE w:val="0"/>
              <w:autoSpaceDN w:val="0"/>
              <w:adjustRightInd w:val="0"/>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cs="Open Sans"/>
                <w:color w:val="333333"/>
                <w:sz w:val="24"/>
                <w:szCs w:val="24"/>
              </w:rPr>
            </w:pPr>
            <w:r w:rsidRPr="00770A5B">
              <w:rPr>
                <w:rFonts w:cs="Open Sans"/>
                <w:color w:val="333333"/>
                <w:sz w:val="24"/>
                <w:szCs w:val="24"/>
              </w:rPr>
              <w:t>Motor Vehicle and Motor Vehicle Parts Retailing</w:t>
            </w:r>
          </w:p>
        </w:tc>
      </w:tr>
      <w:tr w:rsidR="00770A5B" w:rsidRPr="00770A5B" w14:paraId="3841EC0C" w14:textId="77777777" w:rsidTr="00770A5B">
        <w:tc>
          <w:tcPr>
            <w:cnfStyle w:val="001000000000" w:firstRow="0" w:lastRow="0" w:firstColumn="1" w:lastColumn="0" w:oddVBand="0" w:evenVBand="0" w:oddHBand="0" w:evenHBand="0" w:firstRowFirstColumn="0" w:firstRowLastColumn="0" w:lastRowFirstColumn="0" w:lastRowLastColumn="0"/>
            <w:tcW w:w="1002" w:type="dxa"/>
            <w:shd w:val="clear" w:color="auto" w:fill="FFFFFF" w:themeFill="background1"/>
          </w:tcPr>
          <w:p w14:paraId="12917F76" w14:textId="77777777" w:rsidR="00770A5B" w:rsidRPr="00770A5B" w:rsidRDefault="00770A5B" w:rsidP="00770A5B">
            <w:pPr>
              <w:keepNext w:val="0"/>
              <w:autoSpaceDE w:val="0"/>
              <w:autoSpaceDN w:val="0"/>
              <w:adjustRightInd w:val="0"/>
              <w:spacing w:before="0" w:after="0" w:line="240" w:lineRule="auto"/>
              <w:jc w:val="left"/>
              <w:rPr>
                <w:rFonts w:cs="Open Sans"/>
                <w:color w:val="333333"/>
                <w:sz w:val="24"/>
                <w:szCs w:val="24"/>
              </w:rPr>
            </w:pPr>
            <w:r w:rsidRPr="00770A5B">
              <w:rPr>
                <w:rFonts w:cs="Open Sans"/>
                <w:color w:val="333333"/>
                <w:sz w:val="24"/>
                <w:szCs w:val="24"/>
              </w:rPr>
              <w:t>40</w:t>
            </w:r>
          </w:p>
        </w:tc>
        <w:tc>
          <w:tcPr>
            <w:tcW w:w="8068" w:type="dxa"/>
            <w:shd w:val="clear" w:color="auto" w:fill="FFFFFF" w:themeFill="background1"/>
          </w:tcPr>
          <w:p w14:paraId="72D38929" w14:textId="77777777" w:rsidR="00770A5B" w:rsidRPr="00770A5B" w:rsidRDefault="00770A5B" w:rsidP="00770A5B">
            <w:pPr>
              <w:keepNext w:val="0"/>
              <w:autoSpaceDE w:val="0"/>
              <w:autoSpaceDN w:val="0"/>
              <w:adjustRightInd w:val="0"/>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cs="Open Sans"/>
                <w:color w:val="333333"/>
                <w:sz w:val="24"/>
                <w:szCs w:val="24"/>
              </w:rPr>
            </w:pPr>
            <w:r w:rsidRPr="00770A5B">
              <w:rPr>
                <w:rFonts w:cs="Open Sans"/>
                <w:color w:val="333333"/>
                <w:sz w:val="24"/>
                <w:szCs w:val="24"/>
              </w:rPr>
              <w:t>Fuel Retailing</w:t>
            </w:r>
          </w:p>
        </w:tc>
      </w:tr>
      <w:tr w:rsidR="00770A5B" w:rsidRPr="00770A5B" w14:paraId="50FBE540" w14:textId="77777777" w:rsidTr="00770A5B">
        <w:tc>
          <w:tcPr>
            <w:cnfStyle w:val="001000000000" w:firstRow="0" w:lastRow="0" w:firstColumn="1" w:lastColumn="0" w:oddVBand="0" w:evenVBand="0" w:oddHBand="0" w:evenHBand="0" w:firstRowFirstColumn="0" w:firstRowLastColumn="0" w:lastRowFirstColumn="0" w:lastRowLastColumn="0"/>
            <w:tcW w:w="1002" w:type="dxa"/>
            <w:shd w:val="clear" w:color="auto" w:fill="FFFFFF" w:themeFill="background1"/>
          </w:tcPr>
          <w:p w14:paraId="54094F77" w14:textId="77777777" w:rsidR="00770A5B" w:rsidRPr="00770A5B" w:rsidRDefault="00770A5B" w:rsidP="00770A5B">
            <w:pPr>
              <w:keepNext w:val="0"/>
              <w:autoSpaceDE w:val="0"/>
              <w:autoSpaceDN w:val="0"/>
              <w:adjustRightInd w:val="0"/>
              <w:spacing w:before="0" w:after="0" w:line="240" w:lineRule="auto"/>
              <w:jc w:val="left"/>
              <w:rPr>
                <w:rFonts w:cs="Open Sans"/>
                <w:color w:val="333333"/>
                <w:sz w:val="24"/>
                <w:szCs w:val="24"/>
              </w:rPr>
            </w:pPr>
            <w:r w:rsidRPr="00770A5B">
              <w:rPr>
                <w:rFonts w:cs="Open Sans"/>
                <w:color w:val="333333"/>
                <w:sz w:val="24"/>
                <w:szCs w:val="24"/>
              </w:rPr>
              <w:t>41</w:t>
            </w:r>
          </w:p>
        </w:tc>
        <w:tc>
          <w:tcPr>
            <w:tcW w:w="8068" w:type="dxa"/>
            <w:shd w:val="clear" w:color="auto" w:fill="FFFFFF" w:themeFill="background1"/>
          </w:tcPr>
          <w:p w14:paraId="043A7089" w14:textId="77777777" w:rsidR="00770A5B" w:rsidRPr="00770A5B" w:rsidRDefault="00770A5B" w:rsidP="00770A5B">
            <w:pPr>
              <w:keepNext w:val="0"/>
              <w:autoSpaceDE w:val="0"/>
              <w:autoSpaceDN w:val="0"/>
              <w:adjustRightInd w:val="0"/>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cs="Open Sans"/>
                <w:color w:val="333333"/>
                <w:sz w:val="24"/>
                <w:szCs w:val="24"/>
              </w:rPr>
            </w:pPr>
            <w:r w:rsidRPr="00770A5B">
              <w:rPr>
                <w:rFonts w:cs="Open Sans"/>
                <w:color w:val="333333"/>
                <w:sz w:val="24"/>
                <w:szCs w:val="24"/>
              </w:rPr>
              <w:t>Food Retailing</w:t>
            </w:r>
          </w:p>
        </w:tc>
      </w:tr>
      <w:tr w:rsidR="00770A5B" w:rsidRPr="00770A5B" w14:paraId="0BF5FB9D" w14:textId="77777777" w:rsidTr="00770A5B">
        <w:tc>
          <w:tcPr>
            <w:cnfStyle w:val="001000000000" w:firstRow="0" w:lastRow="0" w:firstColumn="1" w:lastColumn="0" w:oddVBand="0" w:evenVBand="0" w:oddHBand="0" w:evenHBand="0" w:firstRowFirstColumn="0" w:firstRowLastColumn="0" w:lastRowFirstColumn="0" w:lastRowLastColumn="0"/>
            <w:tcW w:w="1002" w:type="dxa"/>
            <w:shd w:val="clear" w:color="auto" w:fill="FFFFFF" w:themeFill="background1"/>
          </w:tcPr>
          <w:p w14:paraId="6A96ABE7" w14:textId="77777777" w:rsidR="00770A5B" w:rsidRPr="00770A5B" w:rsidRDefault="00770A5B" w:rsidP="00770A5B">
            <w:pPr>
              <w:keepNext w:val="0"/>
              <w:autoSpaceDE w:val="0"/>
              <w:autoSpaceDN w:val="0"/>
              <w:adjustRightInd w:val="0"/>
              <w:spacing w:before="0" w:after="0" w:line="240" w:lineRule="auto"/>
              <w:jc w:val="left"/>
              <w:rPr>
                <w:rFonts w:cs="Open Sans"/>
                <w:color w:val="333333"/>
                <w:sz w:val="24"/>
                <w:szCs w:val="24"/>
              </w:rPr>
            </w:pPr>
            <w:r w:rsidRPr="00770A5B">
              <w:rPr>
                <w:rFonts w:cs="Open Sans"/>
                <w:color w:val="333333"/>
                <w:sz w:val="24"/>
                <w:szCs w:val="24"/>
              </w:rPr>
              <w:t>42</w:t>
            </w:r>
          </w:p>
        </w:tc>
        <w:tc>
          <w:tcPr>
            <w:tcW w:w="8068" w:type="dxa"/>
            <w:shd w:val="clear" w:color="auto" w:fill="FFFFFF" w:themeFill="background1"/>
          </w:tcPr>
          <w:p w14:paraId="314DAD16" w14:textId="77777777" w:rsidR="00770A5B" w:rsidRPr="00770A5B" w:rsidRDefault="00770A5B" w:rsidP="00770A5B">
            <w:pPr>
              <w:keepNext w:val="0"/>
              <w:autoSpaceDE w:val="0"/>
              <w:autoSpaceDN w:val="0"/>
              <w:adjustRightInd w:val="0"/>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cs="Open Sans"/>
                <w:color w:val="333333"/>
                <w:sz w:val="24"/>
                <w:szCs w:val="24"/>
              </w:rPr>
            </w:pPr>
            <w:r w:rsidRPr="00770A5B">
              <w:rPr>
                <w:rFonts w:cs="Open Sans"/>
                <w:color w:val="333333"/>
                <w:sz w:val="24"/>
                <w:szCs w:val="24"/>
              </w:rPr>
              <w:t>Other Store-Based Retailing</w:t>
            </w:r>
          </w:p>
        </w:tc>
      </w:tr>
      <w:tr w:rsidR="00770A5B" w:rsidRPr="00770A5B" w14:paraId="38CF2531" w14:textId="77777777" w:rsidTr="00770A5B">
        <w:tc>
          <w:tcPr>
            <w:cnfStyle w:val="001000000000" w:firstRow="0" w:lastRow="0" w:firstColumn="1" w:lastColumn="0" w:oddVBand="0" w:evenVBand="0" w:oddHBand="0" w:evenHBand="0" w:firstRowFirstColumn="0" w:firstRowLastColumn="0" w:lastRowFirstColumn="0" w:lastRowLastColumn="0"/>
            <w:tcW w:w="1002" w:type="dxa"/>
            <w:shd w:val="clear" w:color="auto" w:fill="FFFFFF" w:themeFill="background1"/>
          </w:tcPr>
          <w:p w14:paraId="76C2689C" w14:textId="77777777" w:rsidR="00770A5B" w:rsidRPr="00770A5B" w:rsidRDefault="00770A5B" w:rsidP="00770A5B">
            <w:pPr>
              <w:keepNext w:val="0"/>
              <w:autoSpaceDE w:val="0"/>
              <w:autoSpaceDN w:val="0"/>
              <w:adjustRightInd w:val="0"/>
              <w:spacing w:before="0" w:after="0" w:line="240" w:lineRule="auto"/>
              <w:jc w:val="left"/>
              <w:rPr>
                <w:rFonts w:cs="Open Sans"/>
                <w:color w:val="333333"/>
                <w:sz w:val="24"/>
                <w:szCs w:val="24"/>
              </w:rPr>
            </w:pPr>
            <w:r w:rsidRPr="00770A5B">
              <w:rPr>
                <w:rFonts w:cs="Open Sans"/>
                <w:color w:val="333333"/>
                <w:sz w:val="24"/>
                <w:szCs w:val="24"/>
              </w:rPr>
              <w:t>43</w:t>
            </w:r>
          </w:p>
        </w:tc>
        <w:tc>
          <w:tcPr>
            <w:tcW w:w="8068" w:type="dxa"/>
            <w:shd w:val="clear" w:color="auto" w:fill="FFFFFF" w:themeFill="background1"/>
          </w:tcPr>
          <w:p w14:paraId="1B3419D1" w14:textId="77777777" w:rsidR="00770A5B" w:rsidRPr="00770A5B" w:rsidRDefault="00770A5B" w:rsidP="00770A5B">
            <w:pPr>
              <w:keepNext w:val="0"/>
              <w:autoSpaceDE w:val="0"/>
              <w:autoSpaceDN w:val="0"/>
              <w:adjustRightInd w:val="0"/>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cs="Open Sans"/>
                <w:color w:val="333333"/>
                <w:sz w:val="24"/>
                <w:szCs w:val="24"/>
              </w:rPr>
            </w:pPr>
            <w:r w:rsidRPr="00770A5B">
              <w:rPr>
                <w:rFonts w:cs="Open Sans"/>
                <w:color w:val="333333"/>
                <w:sz w:val="24"/>
                <w:szCs w:val="24"/>
              </w:rPr>
              <w:t>Not applicable</w:t>
            </w:r>
          </w:p>
        </w:tc>
      </w:tr>
      <w:tr w:rsidR="00770A5B" w:rsidRPr="00770A5B" w14:paraId="30AB54E3" w14:textId="77777777" w:rsidTr="00770A5B">
        <w:tc>
          <w:tcPr>
            <w:cnfStyle w:val="001000000000" w:firstRow="0" w:lastRow="0" w:firstColumn="1" w:lastColumn="0" w:oddVBand="0" w:evenVBand="0" w:oddHBand="0" w:evenHBand="0" w:firstRowFirstColumn="0" w:firstRowLastColumn="0" w:lastRowFirstColumn="0" w:lastRowLastColumn="0"/>
            <w:tcW w:w="1002" w:type="dxa"/>
            <w:shd w:val="clear" w:color="auto" w:fill="F2F2F2" w:themeFill="background2"/>
          </w:tcPr>
          <w:p w14:paraId="7DD2A077" w14:textId="77777777" w:rsidR="00770A5B" w:rsidRPr="00770A5B" w:rsidRDefault="00770A5B" w:rsidP="00770A5B">
            <w:pPr>
              <w:keepNext w:val="0"/>
              <w:autoSpaceDE w:val="0"/>
              <w:autoSpaceDN w:val="0"/>
              <w:adjustRightInd w:val="0"/>
              <w:spacing w:before="0" w:after="0" w:line="240" w:lineRule="auto"/>
              <w:jc w:val="left"/>
              <w:rPr>
                <w:rFonts w:cs="Open Sans"/>
                <w:color w:val="333333"/>
                <w:sz w:val="24"/>
                <w:szCs w:val="24"/>
              </w:rPr>
            </w:pPr>
            <w:r w:rsidRPr="00770A5B">
              <w:rPr>
                <w:rFonts w:cs="Open Sans"/>
                <w:color w:val="333333"/>
                <w:sz w:val="24"/>
                <w:szCs w:val="24"/>
              </w:rPr>
              <w:t>H</w:t>
            </w:r>
          </w:p>
        </w:tc>
        <w:tc>
          <w:tcPr>
            <w:tcW w:w="8068" w:type="dxa"/>
            <w:shd w:val="clear" w:color="auto" w:fill="F2F2F2" w:themeFill="background2"/>
          </w:tcPr>
          <w:p w14:paraId="1462E301" w14:textId="77777777" w:rsidR="00770A5B" w:rsidRPr="00770A5B" w:rsidRDefault="00770A5B" w:rsidP="00770A5B">
            <w:pPr>
              <w:keepNext w:val="0"/>
              <w:autoSpaceDE w:val="0"/>
              <w:autoSpaceDN w:val="0"/>
              <w:adjustRightInd w:val="0"/>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cs="Open Sans"/>
                <w:color w:val="333333"/>
                <w:sz w:val="24"/>
                <w:szCs w:val="24"/>
              </w:rPr>
            </w:pPr>
            <w:r w:rsidRPr="00770A5B">
              <w:rPr>
                <w:rFonts w:cs="Open Sans"/>
                <w:color w:val="333333"/>
                <w:sz w:val="24"/>
                <w:szCs w:val="24"/>
              </w:rPr>
              <w:t>ACCOMMODATION AND FOOD SERVICES</w:t>
            </w:r>
          </w:p>
        </w:tc>
      </w:tr>
      <w:tr w:rsidR="00770A5B" w:rsidRPr="00770A5B" w14:paraId="07FBB2C1" w14:textId="77777777" w:rsidTr="00770A5B">
        <w:tc>
          <w:tcPr>
            <w:cnfStyle w:val="001000000000" w:firstRow="0" w:lastRow="0" w:firstColumn="1" w:lastColumn="0" w:oddVBand="0" w:evenVBand="0" w:oddHBand="0" w:evenHBand="0" w:firstRowFirstColumn="0" w:firstRowLastColumn="0" w:lastRowFirstColumn="0" w:lastRowLastColumn="0"/>
            <w:tcW w:w="1002" w:type="dxa"/>
            <w:shd w:val="clear" w:color="auto" w:fill="FFFFFF" w:themeFill="background1"/>
          </w:tcPr>
          <w:p w14:paraId="37E452CB" w14:textId="77777777" w:rsidR="00770A5B" w:rsidRPr="00770A5B" w:rsidRDefault="00770A5B" w:rsidP="00770A5B">
            <w:pPr>
              <w:keepNext w:val="0"/>
              <w:autoSpaceDE w:val="0"/>
              <w:autoSpaceDN w:val="0"/>
              <w:adjustRightInd w:val="0"/>
              <w:spacing w:before="0" w:after="0" w:line="240" w:lineRule="auto"/>
              <w:jc w:val="left"/>
              <w:rPr>
                <w:rFonts w:cs="Open Sans"/>
                <w:color w:val="333333"/>
                <w:sz w:val="24"/>
                <w:szCs w:val="24"/>
              </w:rPr>
            </w:pPr>
            <w:r w:rsidRPr="00770A5B">
              <w:rPr>
                <w:rFonts w:cs="Open Sans"/>
                <w:color w:val="333333"/>
                <w:sz w:val="24"/>
                <w:szCs w:val="24"/>
              </w:rPr>
              <w:t>44</w:t>
            </w:r>
          </w:p>
        </w:tc>
        <w:tc>
          <w:tcPr>
            <w:tcW w:w="8068" w:type="dxa"/>
            <w:shd w:val="clear" w:color="auto" w:fill="FFFFFF" w:themeFill="background1"/>
          </w:tcPr>
          <w:p w14:paraId="4D4916C7" w14:textId="77777777" w:rsidR="00770A5B" w:rsidRPr="00770A5B" w:rsidRDefault="00770A5B" w:rsidP="00770A5B">
            <w:pPr>
              <w:keepNext w:val="0"/>
              <w:autoSpaceDE w:val="0"/>
              <w:autoSpaceDN w:val="0"/>
              <w:adjustRightInd w:val="0"/>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cs="Open Sans"/>
                <w:color w:val="333333"/>
                <w:sz w:val="24"/>
                <w:szCs w:val="24"/>
              </w:rPr>
            </w:pPr>
            <w:r w:rsidRPr="00770A5B">
              <w:rPr>
                <w:rFonts w:cs="Open Sans"/>
                <w:color w:val="333333"/>
                <w:sz w:val="24"/>
                <w:szCs w:val="24"/>
              </w:rPr>
              <w:t>Accommodation</w:t>
            </w:r>
          </w:p>
        </w:tc>
      </w:tr>
      <w:tr w:rsidR="00770A5B" w:rsidRPr="00770A5B" w14:paraId="68502595" w14:textId="77777777" w:rsidTr="00770A5B">
        <w:tc>
          <w:tcPr>
            <w:cnfStyle w:val="001000000000" w:firstRow="0" w:lastRow="0" w:firstColumn="1" w:lastColumn="0" w:oddVBand="0" w:evenVBand="0" w:oddHBand="0" w:evenHBand="0" w:firstRowFirstColumn="0" w:firstRowLastColumn="0" w:lastRowFirstColumn="0" w:lastRowLastColumn="0"/>
            <w:tcW w:w="1002" w:type="dxa"/>
            <w:shd w:val="clear" w:color="auto" w:fill="FFFFFF" w:themeFill="background1"/>
          </w:tcPr>
          <w:p w14:paraId="5E053D26" w14:textId="77777777" w:rsidR="00770A5B" w:rsidRPr="00770A5B" w:rsidRDefault="00770A5B" w:rsidP="00770A5B">
            <w:pPr>
              <w:keepNext w:val="0"/>
              <w:autoSpaceDE w:val="0"/>
              <w:autoSpaceDN w:val="0"/>
              <w:adjustRightInd w:val="0"/>
              <w:spacing w:before="0" w:after="0" w:line="240" w:lineRule="auto"/>
              <w:jc w:val="left"/>
              <w:rPr>
                <w:rFonts w:cs="Open Sans"/>
                <w:color w:val="333333"/>
                <w:sz w:val="24"/>
                <w:szCs w:val="24"/>
              </w:rPr>
            </w:pPr>
            <w:r w:rsidRPr="00770A5B">
              <w:rPr>
                <w:rFonts w:cs="Open Sans"/>
                <w:color w:val="333333"/>
                <w:sz w:val="24"/>
                <w:szCs w:val="24"/>
              </w:rPr>
              <w:t>45</w:t>
            </w:r>
          </w:p>
        </w:tc>
        <w:tc>
          <w:tcPr>
            <w:tcW w:w="8068" w:type="dxa"/>
            <w:shd w:val="clear" w:color="auto" w:fill="FFFFFF" w:themeFill="background1"/>
          </w:tcPr>
          <w:p w14:paraId="0A07CD00" w14:textId="77777777" w:rsidR="00770A5B" w:rsidRPr="00770A5B" w:rsidRDefault="00770A5B" w:rsidP="00770A5B">
            <w:pPr>
              <w:keepNext w:val="0"/>
              <w:autoSpaceDE w:val="0"/>
              <w:autoSpaceDN w:val="0"/>
              <w:adjustRightInd w:val="0"/>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cs="Open Sans"/>
                <w:color w:val="333333"/>
                <w:sz w:val="24"/>
                <w:szCs w:val="24"/>
              </w:rPr>
            </w:pPr>
            <w:r w:rsidRPr="00770A5B">
              <w:rPr>
                <w:rFonts w:cs="Open Sans"/>
                <w:color w:val="333333"/>
                <w:sz w:val="24"/>
                <w:szCs w:val="24"/>
              </w:rPr>
              <w:t>Food and Beverage Services</w:t>
            </w:r>
          </w:p>
        </w:tc>
      </w:tr>
      <w:tr w:rsidR="00770A5B" w:rsidRPr="00770A5B" w14:paraId="339E9754" w14:textId="77777777" w:rsidTr="00770A5B">
        <w:tc>
          <w:tcPr>
            <w:cnfStyle w:val="001000000000" w:firstRow="0" w:lastRow="0" w:firstColumn="1" w:lastColumn="0" w:oddVBand="0" w:evenVBand="0" w:oddHBand="0" w:evenHBand="0" w:firstRowFirstColumn="0" w:firstRowLastColumn="0" w:lastRowFirstColumn="0" w:lastRowLastColumn="0"/>
            <w:tcW w:w="1002" w:type="dxa"/>
            <w:shd w:val="clear" w:color="auto" w:fill="F2F2F2" w:themeFill="background2"/>
          </w:tcPr>
          <w:p w14:paraId="65BEA1E3" w14:textId="77777777" w:rsidR="00770A5B" w:rsidRPr="00770A5B" w:rsidRDefault="00770A5B" w:rsidP="00770A5B">
            <w:pPr>
              <w:keepNext w:val="0"/>
              <w:autoSpaceDE w:val="0"/>
              <w:autoSpaceDN w:val="0"/>
              <w:adjustRightInd w:val="0"/>
              <w:spacing w:before="0" w:after="0" w:line="240" w:lineRule="auto"/>
              <w:jc w:val="left"/>
              <w:rPr>
                <w:rFonts w:cs="Open Sans"/>
                <w:color w:val="333333"/>
                <w:sz w:val="24"/>
                <w:szCs w:val="24"/>
              </w:rPr>
            </w:pPr>
            <w:r w:rsidRPr="00770A5B">
              <w:rPr>
                <w:rFonts w:cs="Open Sans"/>
                <w:color w:val="333333"/>
                <w:sz w:val="24"/>
                <w:szCs w:val="24"/>
              </w:rPr>
              <w:t>I</w:t>
            </w:r>
          </w:p>
        </w:tc>
        <w:tc>
          <w:tcPr>
            <w:tcW w:w="8068" w:type="dxa"/>
            <w:shd w:val="clear" w:color="auto" w:fill="F2F2F2" w:themeFill="background2"/>
          </w:tcPr>
          <w:p w14:paraId="5D557CB8" w14:textId="77777777" w:rsidR="00770A5B" w:rsidRPr="00770A5B" w:rsidRDefault="00770A5B" w:rsidP="00770A5B">
            <w:pPr>
              <w:keepNext w:val="0"/>
              <w:autoSpaceDE w:val="0"/>
              <w:autoSpaceDN w:val="0"/>
              <w:adjustRightInd w:val="0"/>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cs="Open Sans"/>
                <w:color w:val="333333"/>
                <w:sz w:val="24"/>
                <w:szCs w:val="24"/>
              </w:rPr>
            </w:pPr>
            <w:r w:rsidRPr="00770A5B">
              <w:rPr>
                <w:rFonts w:cs="Open Sans"/>
                <w:color w:val="333333"/>
                <w:sz w:val="24"/>
                <w:szCs w:val="24"/>
              </w:rPr>
              <w:t>TRANSPORT POSTAL AND WAREHOUSING</w:t>
            </w:r>
          </w:p>
        </w:tc>
      </w:tr>
      <w:tr w:rsidR="00770A5B" w:rsidRPr="00770A5B" w14:paraId="17B771F4" w14:textId="77777777" w:rsidTr="00770A5B">
        <w:tc>
          <w:tcPr>
            <w:cnfStyle w:val="001000000000" w:firstRow="0" w:lastRow="0" w:firstColumn="1" w:lastColumn="0" w:oddVBand="0" w:evenVBand="0" w:oddHBand="0" w:evenHBand="0" w:firstRowFirstColumn="0" w:firstRowLastColumn="0" w:lastRowFirstColumn="0" w:lastRowLastColumn="0"/>
            <w:tcW w:w="1002" w:type="dxa"/>
            <w:shd w:val="clear" w:color="auto" w:fill="FFFFFF" w:themeFill="background1"/>
          </w:tcPr>
          <w:p w14:paraId="66204E5A" w14:textId="77777777" w:rsidR="00770A5B" w:rsidRPr="00770A5B" w:rsidRDefault="00770A5B" w:rsidP="00770A5B">
            <w:pPr>
              <w:keepNext w:val="0"/>
              <w:autoSpaceDE w:val="0"/>
              <w:autoSpaceDN w:val="0"/>
              <w:adjustRightInd w:val="0"/>
              <w:spacing w:before="0" w:after="0" w:line="240" w:lineRule="auto"/>
              <w:jc w:val="left"/>
              <w:rPr>
                <w:rFonts w:cs="Open Sans"/>
                <w:color w:val="333333"/>
                <w:sz w:val="24"/>
                <w:szCs w:val="24"/>
              </w:rPr>
            </w:pPr>
            <w:r w:rsidRPr="00770A5B">
              <w:rPr>
                <w:rFonts w:cs="Open Sans"/>
                <w:color w:val="333333"/>
                <w:sz w:val="24"/>
                <w:szCs w:val="24"/>
              </w:rPr>
              <w:t>46</w:t>
            </w:r>
          </w:p>
        </w:tc>
        <w:tc>
          <w:tcPr>
            <w:tcW w:w="8068" w:type="dxa"/>
            <w:shd w:val="clear" w:color="auto" w:fill="FFFFFF" w:themeFill="background1"/>
          </w:tcPr>
          <w:p w14:paraId="006AAE90" w14:textId="77777777" w:rsidR="00770A5B" w:rsidRPr="00770A5B" w:rsidRDefault="00770A5B" w:rsidP="00770A5B">
            <w:pPr>
              <w:keepNext w:val="0"/>
              <w:autoSpaceDE w:val="0"/>
              <w:autoSpaceDN w:val="0"/>
              <w:adjustRightInd w:val="0"/>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cs="Open Sans"/>
                <w:color w:val="333333"/>
                <w:sz w:val="24"/>
                <w:szCs w:val="24"/>
              </w:rPr>
            </w:pPr>
            <w:r w:rsidRPr="00770A5B">
              <w:rPr>
                <w:rFonts w:cs="Open Sans"/>
                <w:color w:val="333333"/>
                <w:sz w:val="24"/>
                <w:szCs w:val="24"/>
              </w:rPr>
              <w:t>Road Transport</w:t>
            </w:r>
          </w:p>
        </w:tc>
      </w:tr>
      <w:tr w:rsidR="00770A5B" w:rsidRPr="00770A5B" w14:paraId="45263CC5" w14:textId="77777777" w:rsidTr="00770A5B">
        <w:tc>
          <w:tcPr>
            <w:cnfStyle w:val="001000000000" w:firstRow="0" w:lastRow="0" w:firstColumn="1" w:lastColumn="0" w:oddVBand="0" w:evenVBand="0" w:oddHBand="0" w:evenHBand="0" w:firstRowFirstColumn="0" w:firstRowLastColumn="0" w:lastRowFirstColumn="0" w:lastRowLastColumn="0"/>
            <w:tcW w:w="1002" w:type="dxa"/>
            <w:shd w:val="clear" w:color="auto" w:fill="FFFFFF" w:themeFill="background1"/>
          </w:tcPr>
          <w:p w14:paraId="739B547D" w14:textId="77777777" w:rsidR="00770A5B" w:rsidRPr="00770A5B" w:rsidRDefault="00770A5B" w:rsidP="00770A5B">
            <w:pPr>
              <w:keepNext w:val="0"/>
              <w:autoSpaceDE w:val="0"/>
              <w:autoSpaceDN w:val="0"/>
              <w:adjustRightInd w:val="0"/>
              <w:spacing w:before="0" w:after="0" w:line="240" w:lineRule="auto"/>
              <w:jc w:val="left"/>
              <w:rPr>
                <w:rFonts w:cs="Open Sans"/>
                <w:color w:val="333333"/>
                <w:sz w:val="24"/>
                <w:szCs w:val="24"/>
              </w:rPr>
            </w:pPr>
            <w:r w:rsidRPr="00770A5B">
              <w:rPr>
                <w:rFonts w:cs="Open Sans"/>
                <w:color w:val="333333"/>
                <w:sz w:val="24"/>
                <w:szCs w:val="24"/>
              </w:rPr>
              <w:t>47</w:t>
            </w:r>
          </w:p>
        </w:tc>
        <w:tc>
          <w:tcPr>
            <w:tcW w:w="8068" w:type="dxa"/>
            <w:shd w:val="clear" w:color="auto" w:fill="FFFFFF" w:themeFill="background1"/>
          </w:tcPr>
          <w:p w14:paraId="29052341" w14:textId="77777777" w:rsidR="00770A5B" w:rsidRPr="00770A5B" w:rsidRDefault="00770A5B" w:rsidP="00770A5B">
            <w:pPr>
              <w:keepNext w:val="0"/>
              <w:autoSpaceDE w:val="0"/>
              <w:autoSpaceDN w:val="0"/>
              <w:adjustRightInd w:val="0"/>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cs="Open Sans"/>
                <w:color w:val="333333"/>
                <w:sz w:val="24"/>
                <w:szCs w:val="24"/>
              </w:rPr>
            </w:pPr>
            <w:r w:rsidRPr="00770A5B">
              <w:rPr>
                <w:rFonts w:cs="Open Sans"/>
                <w:color w:val="333333"/>
                <w:sz w:val="24"/>
                <w:szCs w:val="24"/>
              </w:rPr>
              <w:t>Rail Transport</w:t>
            </w:r>
          </w:p>
        </w:tc>
      </w:tr>
      <w:tr w:rsidR="00770A5B" w:rsidRPr="00770A5B" w14:paraId="2C797404" w14:textId="77777777" w:rsidTr="00770A5B">
        <w:tc>
          <w:tcPr>
            <w:cnfStyle w:val="001000000000" w:firstRow="0" w:lastRow="0" w:firstColumn="1" w:lastColumn="0" w:oddVBand="0" w:evenVBand="0" w:oddHBand="0" w:evenHBand="0" w:firstRowFirstColumn="0" w:firstRowLastColumn="0" w:lastRowFirstColumn="0" w:lastRowLastColumn="0"/>
            <w:tcW w:w="1002" w:type="dxa"/>
            <w:shd w:val="clear" w:color="auto" w:fill="FFFFFF" w:themeFill="background1"/>
          </w:tcPr>
          <w:p w14:paraId="66F62855" w14:textId="77777777" w:rsidR="00770A5B" w:rsidRPr="00770A5B" w:rsidRDefault="00770A5B" w:rsidP="00770A5B">
            <w:pPr>
              <w:keepNext w:val="0"/>
              <w:autoSpaceDE w:val="0"/>
              <w:autoSpaceDN w:val="0"/>
              <w:adjustRightInd w:val="0"/>
              <w:spacing w:before="0" w:after="0" w:line="240" w:lineRule="auto"/>
              <w:jc w:val="left"/>
              <w:rPr>
                <w:rFonts w:cs="Open Sans"/>
                <w:color w:val="333333"/>
                <w:sz w:val="24"/>
                <w:szCs w:val="24"/>
              </w:rPr>
            </w:pPr>
            <w:r w:rsidRPr="00770A5B">
              <w:rPr>
                <w:rFonts w:cs="Open Sans"/>
                <w:color w:val="333333"/>
                <w:sz w:val="24"/>
                <w:szCs w:val="24"/>
              </w:rPr>
              <w:t>48</w:t>
            </w:r>
          </w:p>
        </w:tc>
        <w:tc>
          <w:tcPr>
            <w:tcW w:w="8068" w:type="dxa"/>
            <w:shd w:val="clear" w:color="auto" w:fill="FFFFFF" w:themeFill="background1"/>
          </w:tcPr>
          <w:p w14:paraId="0C762BC2" w14:textId="77777777" w:rsidR="00770A5B" w:rsidRPr="00770A5B" w:rsidRDefault="00770A5B" w:rsidP="00770A5B">
            <w:pPr>
              <w:keepNext w:val="0"/>
              <w:autoSpaceDE w:val="0"/>
              <w:autoSpaceDN w:val="0"/>
              <w:adjustRightInd w:val="0"/>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cs="Open Sans"/>
                <w:color w:val="333333"/>
                <w:sz w:val="24"/>
                <w:szCs w:val="24"/>
              </w:rPr>
            </w:pPr>
            <w:r w:rsidRPr="00770A5B">
              <w:rPr>
                <w:rFonts w:cs="Open Sans"/>
                <w:color w:val="333333"/>
                <w:sz w:val="24"/>
                <w:szCs w:val="24"/>
              </w:rPr>
              <w:t>Water Transport</w:t>
            </w:r>
          </w:p>
        </w:tc>
      </w:tr>
      <w:tr w:rsidR="00770A5B" w:rsidRPr="00770A5B" w14:paraId="4771CD1F" w14:textId="77777777" w:rsidTr="00770A5B">
        <w:tc>
          <w:tcPr>
            <w:cnfStyle w:val="001000000000" w:firstRow="0" w:lastRow="0" w:firstColumn="1" w:lastColumn="0" w:oddVBand="0" w:evenVBand="0" w:oddHBand="0" w:evenHBand="0" w:firstRowFirstColumn="0" w:firstRowLastColumn="0" w:lastRowFirstColumn="0" w:lastRowLastColumn="0"/>
            <w:tcW w:w="1002" w:type="dxa"/>
            <w:shd w:val="clear" w:color="auto" w:fill="FFFFFF" w:themeFill="background1"/>
          </w:tcPr>
          <w:p w14:paraId="4A647C51" w14:textId="77777777" w:rsidR="00770A5B" w:rsidRPr="00770A5B" w:rsidRDefault="00770A5B" w:rsidP="00770A5B">
            <w:pPr>
              <w:keepNext w:val="0"/>
              <w:autoSpaceDE w:val="0"/>
              <w:autoSpaceDN w:val="0"/>
              <w:adjustRightInd w:val="0"/>
              <w:spacing w:before="0" w:after="0" w:line="240" w:lineRule="auto"/>
              <w:jc w:val="left"/>
              <w:rPr>
                <w:rFonts w:cs="Open Sans"/>
                <w:color w:val="333333"/>
                <w:sz w:val="24"/>
                <w:szCs w:val="24"/>
              </w:rPr>
            </w:pPr>
            <w:r w:rsidRPr="00770A5B">
              <w:rPr>
                <w:rFonts w:cs="Open Sans"/>
                <w:color w:val="333333"/>
                <w:sz w:val="24"/>
                <w:szCs w:val="24"/>
              </w:rPr>
              <w:t>49</w:t>
            </w:r>
          </w:p>
        </w:tc>
        <w:tc>
          <w:tcPr>
            <w:tcW w:w="8068" w:type="dxa"/>
            <w:shd w:val="clear" w:color="auto" w:fill="FFFFFF" w:themeFill="background1"/>
          </w:tcPr>
          <w:p w14:paraId="0C02187B" w14:textId="77777777" w:rsidR="00770A5B" w:rsidRPr="00770A5B" w:rsidRDefault="00770A5B" w:rsidP="00770A5B">
            <w:pPr>
              <w:keepNext w:val="0"/>
              <w:autoSpaceDE w:val="0"/>
              <w:autoSpaceDN w:val="0"/>
              <w:adjustRightInd w:val="0"/>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cs="Open Sans"/>
                <w:color w:val="333333"/>
                <w:sz w:val="24"/>
                <w:szCs w:val="24"/>
              </w:rPr>
            </w:pPr>
            <w:r w:rsidRPr="00770A5B">
              <w:rPr>
                <w:rFonts w:cs="Open Sans"/>
                <w:color w:val="333333"/>
                <w:sz w:val="24"/>
                <w:szCs w:val="24"/>
              </w:rPr>
              <w:t>Air and Space Transport</w:t>
            </w:r>
          </w:p>
        </w:tc>
      </w:tr>
      <w:tr w:rsidR="00770A5B" w:rsidRPr="00770A5B" w14:paraId="2BC30332" w14:textId="77777777" w:rsidTr="00770A5B">
        <w:tc>
          <w:tcPr>
            <w:cnfStyle w:val="001000000000" w:firstRow="0" w:lastRow="0" w:firstColumn="1" w:lastColumn="0" w:oddVBand="0" w:evenVBand="0" w:oddHBand="0" w:evenHBand="0" w:firstRowFirstColumn="0" w:firstRowLastColumn="0" w:lastRowFirstColumn="0" w:lastRowLastColumn="0"/>
            <w:tcW w:w="1002" w:type="dxa"/>
            <w:shd w:val="clear" w:color="auto" w:fill="FFFFFF" w:themeFill="background1"/>
          </w:tcPr>
          <w:p w14:paraId="73D6FF11" w14:textId="77777777" w:rsidR="00770A5B" w:rsidRPr="00770A5B" w:rsidRDefault="00770A5B" w:rsidP="00770A5B">
            <w:pPr>
              <w:keepNext w:val="0"/>
              <w:autoSpaceDE w:val="0"/>
              <w:autoSpaceDN w:val="0"/>
              <w:adjustRightInd w:val="0"/>
              <w:spacing w:before="0" w:after="0" w:line="240" w:lineRule="auto"/>
              <w:jc w:val="left"/>
              <w:rPr>
                <w:rFonts w:cs="Open Sans"/>
                <w:color w:val="333333"/>
                <w:sz w:val="24"/>
                <w:szCs w:val="24"/>
              </w:rPr>
            </w:pPr>
            <w:r w:rsidRPr="00770A5B">
              <w:rPr>
                <w:rFonts w:cs="Open Sans"/>
                <w:color w:val="333333"/>
                <w:sz w:val="24"/>
                <w:szCs w:val="24"/>
              </w:rPr>
              <w:t>50</w:t>
            </w:r>
          </w:p>
        </w:tc>
        <w:tc>
          <w:tcPr>
            <w:tcW w:w="8068" w:type="dxa"/>
            <w:shd w:val="clear" w:color="auto" w:fill="FFFFFF" w:themeFill="background1"/>
          </w:tcPr>
          <w:p w14:paraId="1A042318" w14:textId="77777777" w:rsidR="00770A5B" w:rsidRPr="00770A5B" w:rsidRDefault="00770A5B" w:rsidP="00770A5B">
            <w:pPr>
              <w:keepNext w:val="0"/>
              <w:autoSpaceDE w:val="0"/>
              <w:autoSpaceDN w:val="0"/>
              <w:adjustRightInd w:val="0"/>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cs="Open Sans"/>
                <w:color w:val="333333"/>
                <w:sz w:val="24"/>
                <w:szCs w:val="24"/>
              </w:rPr>
            </w:pPr>
            <w:r w:rsidRPr="00770A5B">
              <w:rPr>
                <w:rFonts w:cs="Open Sans"/>
                <w:color w:val="333333"/>
                <w:sz w:val="24"/>
                <w:szCs w:val="24"/>
              </w:rPr>
              <w:t>Other Transport</w:t>
            </w:r>
          </w:p>
        </w:tc>
      </w:tr>
      <w:tr w:rsidR="00770A5B" w:rsidRPr="00770A5B" w14:paraId="05B15BA8" w14:textId="77777777" w:rsidTr="00770A5B">
        <w:tc>
          <w:tcPr>
            <w:cnfStyle w:val="001000000000" w:firstRow="0" w:lastRow="0" w:firstColumn="1" w:lastColumn="0" w:oddVBand="0" w:evenVBand="0" w:oddHBand="0" w:evenHBand="0" w:firstRowFirstColumn="0" w:firstRowLastColumn="0" w:lastRowFirstColumn="0" w:lastRowLastColumn="0"/>
            <w:tcW w:w="1002" w:type="dxa"/>
            <w:shd w:val="clear" w:color="auto" w:fill="FFFFFF" w:themeFill="background1"/>
          </w:tcPr>
          <w:p w14:paraId="735E66D5" w14:textId="77777777" w:rsidR="00770A5B" w:rsidRPr="00770A5B" w:rsidRDefault="00770A5B" w:rsidP="00770A5B">
            <w:pPr>
              <w:keepNext w:val="0"/>
              <w:autoSpaceDE w:val="0"/>
              <w:autoSpaceDN w:val="0"/>
              <w:adjustRightInd w:val="0"/>
              <w:spacing w:before="0" w:after="0" w:line="240" w:lineRule="auto"/>
              <w:jc w:val="left"/>
              <w:rPr>
                <w:rFonts w:cs="Open Sans"/>
                <w:color w:val="333333"/>
                <w:sz w:val="24"/>
                <w:szCs w:val="24"/>
              </w:rPr>
            </w:pPr>
            <w:r w:rsidRPr="00770A5B">
              <w:rPr>
                <w:rFonts w:cs="Open Sans"/>
                <w:color w:val="333333"/>
                <w:sz w:val="24"/>
                <w:szCs w:val="24"/>
              </w:rPr>
              <w:t>51</w:t>
            </w:r>
          </w:p>
        </w:tc>
        <w:tc>
          <w:tcPr>
            <w:tcW w:w="8068" w:type="dxa"/>
            <w:shd w:val="clear" w:color="auto" w:fill="FFFFFF" w:themeFill="background1"/>
          </w:tcPr>
          <w:p w14:paraId="079BF923" w14:textId="77777777" w:rsidR="00770A5B" w:rsidRPr="00770A5B" w:rsidRDefault="00770A5B" w:rsidP="00770A5B">
            <w:pPr>
              <w:keepNext w:val="0"/>
              <w:autoSpaceDE w:val="0"/>
              <w:autoSpaceDN w:val="0"/>
              <w:adjustRightInd w:val="0"/>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cs="Open Sans"/>
                <w:color w:val="333333"/>
                <w:sz w:val="24"/>
                <w:szCs w:val="24"/>
              </w:rPr>
            </w:pPr>
            <w:r w:rsidRPr="00770A5B">
              <w:rPr>
                <w:rFonts w:cs="Open Sans"/>
                <w:color w:val="333333"/>
                <w:sz w:val="24"/>
                <w:szCs w:val="24"/>
              </w:rPr>
              <w:t>Postal and Courier Pick-up and Delivery Services</w:t>
            </w:r>
          </w:p>
        </w:tc>
      </w:tr>
      <w:tr w:rsidR="00770A5B" w:rsidRPr="00770A5B" w14:paraId="68BD4855" w14:textId="77777777" w:rsidTr="00770A5B">
        <w:tc>
          <w:tcPr>
            <w:cnfStyle w:val="001000000000" w:firstRow="0" w:lastRow="0" w:firstColumn="1" w:lastColumn="0" w:oddVBand="0" w:evenVBand="0" w:oddHBand="0" w:evenHBand="0" w:firstRowFirstColumn="0" w:firstRowLastColumn="0" w:lastRowFirstColumn="0" w:lastRowLastColumn="0"/>
            <w:tcW w:w="1002" w:type="dxa"/>
            <w:shd w:val="clear" w:color="auto" w:fill="FFFFFF" w:themeFill="background1"/>
          </w:tcPr>
          <w:p w14:paraId="0015E865" w14:textId="77777777" w:rsidR="00770A5B" w:rsidRPr="00770A5B" w:rsidRDefault="00770A5B" w:rsidP="00770A5B">
            <w:pPr>
              <w:keepNext w:val="0"/>
              <w:autoSpaceDE w:val="0"/>
              <w:autoSpaceDN w:val="0"/>
              <w:adjustRightInd w:val="0"/>
              <w:spacing w:before="0" w:after="0" w:line="240" w:lineRule="auto"/>
              <w:jc w:val="left"/>
              <w:rPr>
                <w:rFonts w:cs="Open Sans"/>
                <w:color w:val="333333"/>
                <w:sz w:val="24"/>
                <w:szCs w:val="24"/>
              </w:rPr>
            </w:pPr>
            <w:r w:rsidRPr="00770A5B">
              <w:rPr>
                <w:rFonts w:cs="Open Sans"/>
                <w:color w:val="333333"/>
                <w:sz w:val="24"/>
                <w:szCs w:val="24"/>
              </w:rPr>
              <w:t>52</w:t>
            </w:r>
          </w:p>
        </w:tc>
        <w:tc>
          <w:tcPr>
            <w:tcW w:w="8068" w:type="dxa"/>
            <w:shd w:val="clear" w:color="auto" w:fill="FFFFFF" w:themeFill="background1"/>
          </w:tcPr>
          <w:p w14:paraId="63810C2F" w14:textId="77777777" w:rsidR="00770A5B" w:rsidRPr="00770A5B" w:rsidRDefault="00770A5B" w:rsidP="00770A5B">
            <w:pPr>
              <w:keepNext w:val="0"/>
              <w:autoSpaceDE w:val="0"/>
              <w:autoSpaceDN w:val="0"/>
              <w:adjustRightInd w:val="0"/>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cs="Open Sans"/>
                <w:color w:val="333333"/>
                <w:sz w:val="24"/>
                <w:szCs w:val="24"/>
              </w:rPr>
            </w:pPr>
            <w:r w:rsidRPr="00770A5B">
              <w:rPr>
                <w:rFonts w:cs="Open Sans"/>
                <w:color w:val="333333"/>
                <w:sz w:val="24"/>
                <w:szCs w:val="24"/>
              </w:rPr>
              <w:t>Transport Support Services</w:t>
            </w:r>
          </w:p>
        </w:tc>
      </w:tr>
      <w:tr w:rsidR="00770A5B" w:rsidRPr="00770A5B" w14:paraId="62069C58" w14:textId="77777777" w:rsidTr="00770A5B">
        <w:tc>
          <w:tcPr>
            <w:cnfStyle w:val="001000000000" w:firstRow="0" w:lastRow="0" w:firstColumn="1" w:lastColumn="0" w:oddVBand="0" w:evenVBand="0" w:oddHBand="0" w:evenHBand="0" w:firstRowFirstColumn="0" w:firstRowLastColumn="0" w:lastRowFirstColumn="0" w:lastRowLastColumn="0"/>
            <w:tcW w:w="1002" w:type="dxa"/>
            <w:shd w:val="clear" w:color="auto" w:fill="FFFFFF" w:themeFill="background1"/>
          </w:tcPr>
          <w:p w14:paraId="408CC383" w14:textId="77777777" w:rsidR="00770A5B" w:rsidRPr="00770A5B" w:rsidRDefault="00770A5B" w:rsidP="00770A5B">
            <w:pPr>
              <w:keepNext w:val="0"/>
              <w:autoSpaceDE w:val="0"/>
              <w:autoSpaceDN w:val="0"/>
              <w:adjustRightInd w:val="0"/>
              <w:spacing w:before="0" w:after="0" w:line="240" w:lineRule="auto"/>
              <w:jc w:val="left"/>
              <w:rPr>
                <w:rFonts w:cs="Open Sans"/>
                <w:color w:val="333333"/>
                <w:sz w:val="24"/>
                <w:szCs w:val="24"/>
              </w:rPr>
            </w:pPr>
            <w:r w:rsidRPr="00770A5B">
              <w:rPr>
                <w:rFonts w:cs="Open Sans"/>
                <w:color w:val="333333"/>
                <w:sz w:val="24"/>
                <w:szCs w:val="24"/>
              </w:rPr>
              <w:t>53</w:t>
            </w:r>
          </w:p>
        </w:tc>
        <w:tc>
          <w:tcPr>
            <w:tcW w:w="8068" w:type="dxa"/>
            <w:shd w:val="clear" w:color="auto" w:fill="FFFFFF" w:themeFill="background1"/>
          </w:tcPr>
          <w:p w14:paraId="7335623C" w14:textId="77777777" w:rsidR="00770A5B" w:rsidRPr="00770A5B" w:rsidRDefault="00770A5B" w:rsidP="00770A5B">
            <w:pPr>
              <w:keepNext w:val="0"/>
              <w:autoSpaceDE w:val="0"/>
              <w:autoSpaceDN w:val="0"/>
              <w:adjustRightInd w:val="0"/>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cs="Open Sans"/>
                <w:color w:val="333333"/>
                <w:sz w:val="24"/>
                <w:szCs w:val="24"/>
              </w:rPr>
            </w:pPr>
            <w:r w:rsidRPr="00770A5B">
              <w:rPr>
                <w:rFonts w:cs="Open Sans"/>
                <w:color w:val="333333"/>
                <w:sz w:val="24"/>
                <w:szCs w:val="24"/>
              </w:rPr>
              <w:t>Warehousing and Storage Services</w:t>
            </w:r>
          </w:p>
        </w:tc>
      </w:tr>
      <w:tr w:rsidR="00770A5B" w:rsidRPr="00770A5B" w14:paraId="5C9EC940" w14:textId="77777777" w:rsidTr="00770A5B">
        <w:tc>
          <w:tcPr>
            <w:cnfStyle w:val="001000000000" w:firstRow="0" w:lastRow="0" w:firstColumn="1" w:lastColumn="0" w:oddVBand="0" w:evenVBand="0" w:oddHBand="0" w:evenHBand="0" w:firstRowFirstColumn="0" w:firstRowLastColumn="0" w:lastRowFirstColumn="0" w:lastRowLastColumn="0"/>
            <w:tcW w:w="1002" w:type="dxa"/>
            <w:shd w:val="clear" w:color="auto" w:fill="F2F2F2" w:themeFill="background2"/>
          </w:tcPr>
          <w:p w14:paraId="32A8C23F" w14:textId="77777777" w:rsidR="00770A5B" w:rsidRPr="00770A5B" w:rsidRDefault="00770A5B" w:rsidP="00770A5B">
            <w:pPr>
              <w:keepNext w:val="0"/>
              <w:autoSpaceDE w:val="0"/>
              <w:autoSpaceDN w:val="0"/>
              <w:adjustRightInd w:val="0"/>
              <w:spacing w:before="0" w:after="0" w:line="240" w:lineRule="auto"/>
              <w:jc w:val="left"/>
              <w:rPr>
                <w:rFonts w:cs="Open Sans"/>
                <w:color w:val="333333"/>
                <w:sz w:val="24"/>
                <w:szCs w:val="24"/>
              </w:rPr>
            </w:pPr>
            <w:r w:rsidRPr="00770A5B">
              <w:rPr>
                <w:rFonts w:cs="Open Sans"/>
                <w:color w:val="333333"/>
                <w:sz w:val="24"/>
                <w:szCs w:val="24"/>
              </w:rPr>
              <w:t>J</w:t>
            </w:r>
          </w:p>
        </w:tc>
        <w:tc>
          <w:tcPr>
            <w:tcW w:w="8068" w:type="dxa"/>
            <w:shd w:val="clear" w:color="auto" w:fill="F2F2F2" w:themeFill="background2"/>
          </w:tcPr>
          <w:p w14:paraId="0F30C268" w14:textId="77777777" w:rsidR="00770A5B" w:rsidRPr="00770A5B" w:rsidRDefault="00770A5B" w:rsidP="00770A5B">
            <w:pPr>
              <w:keepNext w:val="0"/>
              <w:autoSpaceDE w:val="0"/>
              <w:autoSpaceDN w:val="0"/>
              <w:adjustRightInd w:val="0"/>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cs="Open Sans"/>
                <w:color w:val="333333"/>
                <w:sz w:val="24"/>
                <w:szCs w:val="24"/>
              </w:rPr>
            </w:pPr>
            <w:r w:rsidRPr="00770A5B">
              <w:rPr>
                <w:rFonts w:cs="Open Sans"/>
                <w:color w:val="333333"/>
                <w:sz w:val="24"/>
                <w:szCs w:val="24"/>
              </w:rPr>
              <w:t>INFORMATION MEDIA AND TELECOMMUNICATIONS</w:t>
            </w:r>
          </w:p>
        </w:tc>
      </w:tr>
      <w:tr w:rsidR="00770A5B" w:rsidRPr="00770A5B" w14:paraId="3D11AC1C" w14:textId="77777777" w:rsidTr="00770A5B">
        <w:tc>
          <w:tcPr>
            <w:cnfStyle w:val="001000000000" w:firstRow="0" w:lastRow="0" w:firstColumn="1" w:lastColumn="0" w:oddVBand="0" w:evenVBand="0" w:oddHBand="0" w:evenHBand="0" w:firstRowFirstColumn="0" w:firstRowLastColumn="0" w:lastRowFirstColumn="0" w:lastRowLastColumn="0"/>
            <w:tcW w:w="1002" w:type="dxa"/>
            <w:shd w:val="clear" w:color="auto" w:fill="FFFFFF" w:themeFill="background1"/>
          </w:tcPr>
          <w:p w14:paraId="529B824D" w14:textId="77777777" w:rsidR="00770A5B" w:rsidRPr="00770A5B" w:rsidRDefault="00770A5B" w:rsidP="00770A5B">
            <w:pPr>
              <w:keepNext w:val="0"/>
              <w:autoSpaceDE w:val="0"/>
              <w:autoSpaceDN w:val="0"/>
              <w:adjustRightInd w:val="0"/>
              <w:spacing w:before="0" w:after="0" w:line="240" w:lineRule="auto"/>
              <w:jc w:val="left"/>
              <w:rPr>
                <w:rFonts w:cs="Open Sans"/>
                <w:color w:val="333333"/>
                <w:sz w:val="24"/>
                <w:szCs w:val="24"/>
              </w:rPr>
            </w:pPr>
            <w:r w:rsidRPr="00770A5B">
              <w:rPr>
                <w:rFonts w:cs="Open Sans"/>
                <w:color w:val="333333"/>
                <w:sz w:val="24"/>
                <w:szCs w:val="24"/>
              </w:rPr>
              <w:t>54</w:t>
            </w:r>
          </w:p>
        </w:tc>
        <w:tc>
          <w:tcPr>
            <w:tcW w:w="8068" w:type="dxa"/>
            <w:shd w:val="clear" w:color="auto" w:fill="FFFFFF" w:themeFill="background1"/>
          </w:tcPr>
          <w:p w14:paraId="32E2ACF3" w14:textId="77777777" w:rsidR="00770A5B" w:rsidRPr="00770A5B" w:rsidRDefault="00770A5B" w:rsidP="00770A5B">
            <w:pPr>
              <w:keepNext w:val="0"/>
              <w:autoSpaceDE w:val="0"/>
              <w:autoSpaceDN w:val="0"/>
              <w:adjustRightInd w:val="0"/>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cs="Open Sans"/>
                <w:color w:val="333333"/>
                <w:sz w:val="24"/>
                <w:szCs w:val="24"/>
              </w:rPr>
            </w:pPr>
            <w:r w:rsidRPr="00770A5B">
              <w:rPr>
                <w:rFonts w:cs="Open Sans"/>
                <w:color w:val="333333"/>
                <w:sz w:val="24"/>
                <w:szCs w:val="24"/>
              </w:rPr>
              <w:t>Publishing (except Internet and Music Publishing)</w:t>
            </w:r>
          </w:p>
        </w:tc>
      </w:tr>
      <w:tr w:rsidR="00770A5B" w:rsidRPr="00770A5B" w14:paraId="35BFC60C" w14:textId="77777777" w:rsidTr="00770A5B">
        <w:tc>
          <w:tcPr>
            <w:cnfStyle w:val="001000000000" w:firstRow="0" w:lastRow="0" w:firstColumn="1" w:lastColumn="0" w:oddVBand="0" w:evenVBand="0" w:oddHBand="0" w:evenHBand="0" w:firstRowFirstColumn="0" w:firstRowLastColumn="0" w:lastRowFirstColumn="0" w:lastRowLastColumn="0"/>
            <w:tcW w:w="1002" w:type="dxa"/>
            <w:shd w:val="clear" w:color="auto" w:fill="FFFFFF" w:themeFill="background1"/>
          </w:tcPr>
          <w:p w14:paraId="6A049319" w14:textId="77777777" w:rsidR="00770A5B" w:rsidRPr="00770A5B" w:rsidRDefault="00770A5B" w:rsidP="00770A5B">
            <w:pPr>
              <w:keepNext w:val="0"/>
              <w:autoSpaceDE w:val="0"/>
              <w:autoSpaceDN w:val="0"/>
              <w:adjustRightInd w:val="0"/>
              <w:spacing w:before="0" w:after="0" w:line="240" w:lineRule="auto"/>
              <w:jc w:val="left"/>
              <w:rPr>
                <w:rFonts w:cs="Open Sans"/>
                <w:color w:val="333333"/>
                <w:sz w:val="24"/>
                <w:szCs w:val="24"/>
              </w:rPr>
            </w:pPr>
            <w:r w:rsidRPr="00770A5B">
              <w:rPr>
                <w:rFonts w:cs="Open Sans"/>
                <w:color w:val="333333"/>
                <w:sz w:val="24"/>
                <w:szCs w:val="24"/>
              </w:rPr>
              <w:t>55</w:t>
            </w:r>
          </w:p>
        </w:tc>
        <w:tc>
          <w:tcPr>
            <w:tcW w:w="8068" w:type="dxa"/>
            <w:shd w:val="clear" w:color="auto" w:fill="FFFFFF" w:themeFill="background1"/>
          </w:tcPr>
          <w:p w14:paraId="4C8C199F" w14:textId="77777777" w:rsidR="00770A5B" w:rsidRPr="00770A5B" w:rsidRDefault="00770A5B" w:rsidP="00770A5B">
            <w:pPr>
              <w:keepNext w:val="0"/>
              <w:autoSpaceDE w:val="0"/>
              <w:autoSpaceDN w:val="0"/>
              <w:adjustRightInd w:val="0"/>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cs="Open Sans"/>
                <w:color w:val="333333"/>
                <w:sz w:val="24"/>
                <w:szCs w:val="24"/>
              </w:rPr>
            </w:pPr>
            <w:r w:rsidRPr="00770A5B">
              <w:rPr>
                <w:rFonts w:cs="Open Sans"/>
                <w:color w:val="333333"/>
                <w:sz w:val="24"/>
                <w:szCs w:val="24"/>
              </w:rPr>
              <w:t>Motion Picture and Sound Recording Activities</w:t>
            </w:r>
          </w:p>
        </w:tc>
      </w:tr>
      <w:tr w:rsidR="00770A5B" w:rsidRPr="00770A5B" w14:paraId="6798C1EF" w14:textId="77777777" w:rsidTr="00770A5B">
        <w:tc>
          <w:tcPr>
            <w:cnfStyle w:val="001000000000" w:firstRow="0" w:lastRow="0" w:firstColumn="1" w:lastColumn="0" w:oddVBand="0" w:evenVBand="0" w:oddHBand="0" w:evenHBand="0" w:firstRowFirstColumn="0" w:firstRowLastColumn="0" w:lastRowFirstColumn="0" w:lastRowLastColumn="0"/>
            <w:tcW w:w="1002" w:type="dxa"/>
            <w:shd w:val="clear" w:color="auto" w:fill="FFFFFF" w:themeFill="background1"/>
          </w:tcPr>
          <w:p w14:paraId="191D99AC" w14:textId="77777777" w:rsidR="00770A5B" w:rsidRPr="00770A5B" w:rsidRDefault="00770A5B" w:rsidP="00770A5B">
            <w:pPr>
              <w:keepNext w:val="0"/>
              <w:autoSpaceDE w:val="0"/>
              <w:autoSpaceDN w:val="0"/>
              <w:adjustRightInd w:val="0"/>
              <w:spacing w:before="0" w:after="0" w:line="240" w:lineRule="auto"/>
              <w:jc w:val="left"/>
              <w:rPr>
                <w:rFonts w:cs="Open Sans"/>
                <w:color w:val="333333"/>
                <w:sz w:val="24"/>
                <w:szCs w:val="24"/>
              </w:rPr>
            </w:pPr>
            <w:r w:rsidRPr="00770A5B">
              <w:rPr>
                <w:rFonts w:cs="Open Sans"/>
                <w:color w:val="333333"/>
                <w:sz w:val="24"/>
                <w:szCs w:val="24"/>
              </w:rPr>
              <w:t>56</w:t>
            </w:r>
          </w:p>
        </w:tc>
        <w:tc>
          <w:tcPr>
            <w:tcW w:w="8068" w:type="dxa"/>
            <w:shd w:val="clear" w:color="auto" w:fill="FFFFFF" w:themeFill="background1"/>
          </w:tcPr>
          <w:p w14:paraId="1F9D10C3" w14:textId="77777777" w:rsidR="00770A5B" w:rsidRPr="00770A5B" w:rsidRDefault="00770A5B" w:rsidP="00770A5B">
            <w:pPr>
              <w:keepNext w:val="0"/>
              <w:autoSpaceDE w:val="0"/>
              <w:autoSpaceDN w:val="0"/>
              <w:adjustRightInd w:val="0"/>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cs="Open Sans"/>
                <w:color w:val="333333"/>
                <w:sz w:val="24"/>
                <w:szCs w:val="24"/>
              </w:rPr>
            </w:pPr>
            <w:r w:rsidRPr="00770A5B">
              <w:rPr>
                <w:rFonts w:cs="Open Sans"/>
                <w:color w:val="333333"/>
                <w:sz w:val="24"/>
                <w:szCs w:val="24"/>
              </w:rPr>
              <w:t>Broadcasting (except Internet)</w:t>
            </w:r>
          </w:p>
        </w:tc>
      </w:tr>
      <w:tr w:rsidR="00770A5B" w:rsidRPr="00770A5B" w14:paraId="2966B064" w14:textId="77777777" w:rsidTr="00770A5B">
        <w:tc>
          <w:tcPr>
            <w:cnfStyle w:val="001000000000" w:firstRow="0" w:lastRow="0" w:firstColumn="1" w:lastColumn="0" w:oddVBand="0" w:evenVBand="0" w:oddHBand="0" w:evenHBand="0" w:firstRowFirstColumn="0" w:firstRowLastColumn="0" w:lastRowFirstColumn="0" w:lastRowLastColumn="0"/>
            <w:tcW w:w="1002" w:type="dxa"/>
            <w:shd w:val="clear" w:color="auto" w:fill="FFFFFF" w:themeFill="background1"/>
          </w:tcPr>
          <w:p w14:paraId="6A54D765" w14:textId="77777777" w:rsidR="00770A5B" w:rsidRPr="00770A5B" w:rsidRDefault="00770A5B" w:rsidP="00770A5B">
            <w:pPr>
              <w:keepNext w:val="0"/>
              <w:autoSpaceDE w:val="0"/>
              <w:autoSpaceDN w:val="0"/>
              <w:adjustRightInd w:val="0"/>
              <w:spacing w:before="0" w:after="0" w:line="240" w:lineRule="auto"/>
              <w:jc w:val="left"/>
              <w:rPr>
                <w:rFonts w:cs="Open Sans"/>
                <w:color w:val="333333"/>
                <w:sz w:val="24"/>
                <w:szCs w:val="24"/>
              </w:rPr>
            </w:pPr>
            <w:r w:rsidRPr="00770A5B">
              <w:rPr>
                <w:rFonts w:cs="Open Sans"/>
                <w:color w:val="333333"/>
                <w:sz w:val="24"/>
                <w:szCs w:val="24"/>
              </w:rPr>
              <w:t>57</w:t>
            </w:r>
          </w:p>
        </w:tc>
        <w:tc>
          <w:tcPr>
            <w:tcW w:w="8068" w:type="dxa"/>
            <w:shd w:val="clear" w:color="auto" w:fill="FFFFFF" w:themeFill="background1"/>
          </w:tcPr>
          <w:p w14:paraId="53D83B45" w14:textId="77777777" w:rsidR="00770A5B" w:rsidRPr="00770A5B" w:rsidRDefault="00770A5B" w:rsidP="00770A5B">
            <w:pPr>
              <w:keepNext w:val="0"/>
              <w:autoSpaceDE w:val="0"/>
              <w:autoSpaceDN w:val="0"/>
              <w:adjustRightInd w:val="0"/>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cs="Open Sans"/>
                <w:color w:val="333333"/>
                <w:sz w:val="24"/>
                <w:szCs w:val="24"/>
              </w:rPr>
            </w:pPr>
            <w:r w:rsidRPr="00770A5B">
              <w:rPr>
                <w:rFonts w:cs="Open Sans"/>
                <w:color w:val="333333"/>
                <w:sz w:val="24"/>
                <w:szCs w:val="24"/>
              </w:rPr>
              <w:t>Internet Publishing and Broadcasting</w:t>
            </w:r>
          </w:p>
        </w:tc>
      </w:tr>
      <w:tr w:rsidR="00770A5B" w:rsidRPr="00770A5B" w14:paraId="53E887BD" w14:textId="77777777" w:rsidTr="00770A5B">
        <w:tc>
          <w:tcPr>
            <w:cnfStyle w:val="001000000000" w:firstRow="0" w:lastRow="0" w:firstColumn="1" w:lastColumn="0" w:oddVBand="0" w:evenVBand="0" w:oddHBand="0" w:evenHBand="0" w:firstRowFirstColumn="0" w:firstRowLastColumn="0" w:lastRowFirstColumn="0" w:lastRowLastColumn="0"/>
            <w:tcW w:w="1002" w:type="dxa"/>
            <w:shd w:val="clear" w:color="auto" w:fill="FFFFFF" w:themeFill="background1"/>
          </w:tcPr>
          <w:p w14:paraId="6389BC80" w14:textId="77777777" w:rsidR="00770A5B" w:rsidRPr="00770A5B" w:rsidRDefault="00770A5B" w:rsidP="00770A5B">
            <w:pPr>
              <w:keepNext w:val="0"/>
              <w:autoSpaceDE w:val="0"/>
              <w:autoSpaceDN w:val="0"/>
              <w:adjustRightInd w:val="0"/>
              <w:spacing w:before="0" w:after="0" w:line="240" w:lineRule="auto"/>
              <w:jc w:val="left"/>
              <w:rPr>
                <w:rFonts w:cs="Open Sans"/>
                <w:color w:val="333333"/>
                <w:sz w:val="24"/>
                <w:szCs w:val="24"/>
              </w:rPr>
            </w:pPr>
            <w:r w:rsidRPr="00770A5B">
              <w:rPr>
                <w:rFonts w:cs="Open Sans"/>
                <w:color w:val="333333"/>
                <w:sz w:val="24"/>
                <w:szCs w:val="24"/>
              </w:rPr>
              <w:t>58</w:t>
            </w:r>
          </w:p>
        </w:tc>
        <w:tc>
          <w:tcPr>
            <w:tcW w:w="8068" w:type="dxa"/>
            <w:shd w:val="clear" w:color="auto" w:fill="FFFFFF" w:themeFill="background1"/>
          </w:tcPr>
          <w:p w14:paraId="361161FA" w14:textId="77777777" w:rsidR="00770A5B" w:rsidRPr="00770A5B" w:rsidRDefault="00770A5B" w:rsidP="00770A5B">
            <w:pPr>
              <w:keepNext w:val="0"/>
              <w:autoSpaceDE w:val="0"/>
              <w:autoSpaceDN w:val="0"/>
              <w:adjustRightInd w:val="0"/>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cs="Open Sans"/>
                <w:color w:val="333333"/>
                <w:sz w:val="24"/>
                <w:szCs w:val="24"/>
              </w:rPr>
            </w:pPr>
            <w:r w:rsidRPr="00770A5B">
              <w:rPr>
                <w:rFonts w:cs="Open Sans"/>
                <w:color w:val="333333"/>
                <w:sz w:val="24"/>
                <w:szCs w:val="24"/>
              </w:rPr>
              <w:t>Telecommunications Services</w:t>
            </w:r>
          </w:p>
        </w:tc>
      </w:tr>
      <w:tr w:rsidR="00770A5B" w:rsidRPr="00770A5B" w14:paraId="522247E2" w14:textId="77777777" w:rsidTr="00770A5B">
        <w:tc>
          <w:tcPr>
            <w:cnfStyle w:val="001000000000" w:firstRow="0" w:lastRow="0" w:firstColumn="1" w:lastColumn="0" w:oddVBand="0" w:evenVBand="0" w:oddHBand="0" w:evenHBand="0" w:firstRowFirstColumn="0" w:firstRowLastColumn="0" w:lastRowFirstColumn="0" w:lastRowLastColumn="0"/>
            <w:tcW w:w="1002" w:type="dxa"/>
            <w:shd w:val="clear" w:color="auto" w:fill="FFFFFF" w:themeFill="background1"/>
          </w:tcPr>
          <w:p w14:paraId="1AAC4849" w14:textId="77777777" w:rsidR="00770A5B" w:rsidRPr="00770A5B" w:rsidRDefault="00770A5B" w:rsidP="00770A5B">
            <w:pPr>
              <w:keepNext w:val="0"/>
              <w:autoSpaceDE w:val="0"/>
              <w:autoSpaceDN w:val="0"/>
              <w:adjustRightInd w:val="0"/>
              <w:spacing w:before="0" w:after="0" w:line="240" w:lineRule="auto"/>
              <w:jc w:val="left"/>
              <w:rPr>
                <w:rFonts w:cs="Open Sans"/>
                <w:color w:val="333333"/>
                <w:sz w:val="24"/>
                <w:szCs w:val="24"/>
              </w:rPr>
            </w:pPr>
            <w:r w:rsidRPr="00770A5B">
              <w:rPr>
                <w:rFonts w:cs="Open Sans"/>
                <w:color w:val="333333"/>
                <w:sz w:val="24"/>
                <w:szCs w:val="24"/>
              </w:rPr>
              <w:t>59</w:t>
            </w:r>
          </w:p>
        </w:tc>
        <w:tc>
          <w:tcPr>
            <w:tcW w:w="8068" w:type="dxa"/>
            <w:shd w:val="clear" w:color="auto" w:fill="FFFFFF" w:themeFill="background1"/>
          </w:tcPr>
          <w:p w14:paraId="5E5DDE34" w14:textId="77777777" w:rsidR="00770A5B" w:rsidRPr="00770A5B" w:rsidRDefault="00770A5B" w:rsidP="00770A5B">
            <w:pPr>
              <w:keepNext w:val="0"/>
              <w:autoSpaceDE w:val="0"/>
              <w:autoSpaceDN w:val="0"/>
              <w:adjustRightInd w:val="0"/>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cs="Open Sans"/>
                <w:color w:val="333333"/>
                <w:sz w:val="24"/>
                <w:szCs w:val="24"/>
              </w:rPr>
            </w:pPr>
            <w:r w:rsidRPr="00770A5B">
              <w:rPr>
                <w:rFonts w:cs="Open Sans"/>
                <w:color w:val="333333"/>
                <w:sz w:val="24"/>
                <w:szCs w:val="24"/>
              </w:rPr>
              <w:t>Not applicable</w:t>
            </w:r>
          </w:p>
        </w:tc>
      </w:tr>
      <w:tr w:rsidR="00770A5B" w:rsidRPr="00770A5B" w14:paraId="1A07E18D" w14:textId="77777777" w:rsidTr="00770A5B">
        <w:tc>
          <w:tcPr>
            <w:cnfStyle w:val="001000000000" w:firstRow="0" w:lastRow="0" w:firstColumn="1" w:lastColumn="0" w:oddVBand="0" w:evenVBand="0" w:oddHBand="0" w:evenHBand="0" w:firstRowFirstColumn="0" w:firstRowLastColumn="0" w:lastRowFirstColumn="0" w:lastRowLastColumn="0"/>
            <w:tcW w:w="1002" w:type="dxa"/>
            <w:shd w:val="clear" w:color="auto" w:fill="FFFFFF" w:themeFill="background1"/>
          </w:tcPr>
          <w:p w14:paraId="082C7E86" w14:textId="77777777" w:rsidR="00770A5B" w:rsidRPr="00770A5B" w:rsidRDefault="00770A5B" w:rsidP="00770A5B">
            <w:pPr>
              <w:keepNext w:val="0"/>
              <w:autoSpaceDE w:val="0"/>
              <w:autoSpaceDN w:val="0"/>
              <w:adjustRightInd w:val="0"/>
              <w:spacing w:before="0" w:after="0" w:line="240" w:lineRule="auto"/>
              <w:jc w:val="left"/>
              <w:rPr>
                <w:rFonts w:cs="Open Sans"/>
                <w:color w:val="333333"/>
                <w:sz w:val="24"/>
                <w:szCs w:val="24"/>
              </w:rPr>
            </w:pPr>
            <w:r w:rsidRPr="00770A5B">
              <w:rPr>
                <w:rFonts w:cs="Open Sans"/>
                <w:color w:val="333333"/>
                <w:sz w:val="24"/>
                <w:szCs w:val="24"/>
              </w:rPr>
              <w:t>60</w:t>
            </w:r>
          </w:p>
        </w:tc>
        <w:tc>
          <w:tcPr>
            <w:tcW w:w="8068" w:type="dxa"/>
            <w:shd w:val="clear" w:color="auto" w:fill="FFFFFF" w:themeFill="background1"/>
          </w:tcPr>
          <w:p w14:paraId="2DFE90DB" w14:textId="77777777" w:rsidR="00770A5B" w:rsidRPr="00770A5B" w:rsidRDefault="00770A5B" w:rsidP="00770A5B">
            <w:pPr>
              <w:keepNext w:val="0"/>
              <w:autoSpaceDE w:val="0"/>
              <w:autoSpaceDN w:val="0"/>
              <w:adjustRightInd w:val="0"/>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cs="Open Sans"/>
                <w:color w:val="333333"/>
                <w:sz w:val="24"/>
                <w:szCs w:val="24"/>
              </w:rPr>
            </w:pPr>
            <w:r w:rsidRPr="00770A5B">
              <w:rPr>
                <w:rFonts w:cs="Open Sans"/>
                <w:color w:val="333333"/>
                <w:sz w:val="24"/>
                <w:szCs w:val="24"/>
              </w:rPr>
              <w:t>Library and Other Information Services</w:t>
            </w:r>
          </w:p>
        </w:tc>
      </w:tr>
      <w:tr w:rsidR="00770A5B" w:rsidRPr="00770A5B" w14:paraId="1FF6BEA4" w14:textId="77777777" w:rsidTr="00770A5B">
        <w:tc>
          <w:tcPr>
            <w:cnfStyle w:val="001000000000" w:firstRow="0" w:lastRow="0" w:firstColumn="1" w:lastColumn="0" w:oddVBand="0" w:evenVBand="0" w:oddHBand="0" w:evenHBand="0" w:firstRowFirstColumn="0" w:firstRowLastColumn="0" w:lastRowFirstColumn="0" w:lastRowLastColumn="0"/>
            <w:tcW w:w="1002" w:type="dxa"/>
            <w:shd w:val="clear" w:color="auto" w:fill="F2F2F2" w:themeFill="background2"/>
          </w:tcPr>
          <w:p w14:paraId="3B649658" w14:textId="77777777" w:rsidR="00770A5B" w:rsidRPr="00770A5B" w:rsidRDefault="00770A5B" w:rsidP="00770A5B">
            <w:pPr>
              <w:keepNext w:val="0"/>
              <w:autoSpaceDE w:val="0"/>
              <w:autoSpaceDN w:val="0"/>
              <w:adjustRightInd w:val="0"/>
              <w:spacing w:before="0" w:after="0" w:line="240" w:lineRule="auto"/>
              <w:jc w:val="left"/>
              <w:rPr>
                <w:rFonts w:cs="Open Sans"/>
                <w:color w:val="333333"/>
                <w:sz w:val="24"/>
                <w:szCs w:val="24"/>
              </w:rPr>
            </w:pPr>
            <w:r w:rsidRPr="00770A5B">
              <w:rPr>
                <w:rFonts w:cs="Open Sans"/>
                <w:color w:val="333333"/>
                <w:sz w:val="24"/>
                <w:szCs w:val="24"/>
              </w:rPr>
              <w:t>K</w:t>
            </w:r>
          </w:p>
        </w:tc>
        <w:tc>
          <w:tcPr>
            <w:tcW w:w="8068" w:type="dxa"/>
            <w:shd w:val="clear" w:color="auto" w:fill="F2F2F2" w:themeFill="background2"/>
          </w:tcPr>
          <w:p w14:paraId="1CE889AF" w14:textId="77777777" w:rsidR="00770A5B" w:rsidRPr="00770A5B" w:rsidRDefault="00770A5B" w:rsidP="00770A5B">
            <w:pPr>
              <w:keepNext w:val="0"/>
              <w:autoSpaceDE w:val="0"/>
              <w:autoSpaceDN w:val="0"/>
              <w:adjustRightInd w:val="0"/>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cs="Open Sans"/>
                <w:color w:val="333333"/>
                <w:sz w:val="24"/>
                <w:szCs w:val="24"/>
              </w:rPr>
            </w:pPr>
            <w:r w:rsidRPr="00770A5B">
              <w:rPr>
                <w:rFonts w:cs="Open Sans"/>
                <w:color w:val="333333"/>
                <w:sz w:val="24"/>
                <w:szCs w:val="24"/>
              </w:rPr>
              <w:t>FINANCIAL AND INSURANCE SERVICES</w:t>
            </w:r>
          </w:p>
        </w:tc>
      </w:tr>
      <w:tr w:rsidR="00770A5B" w:rsidRPr="00770A5B" w14:paraId="37E47FEB" w14:textId="77777777" w:rsidTr="00770A5B">
        <w:tc>
          <w:tcPr>
            <w:cnfStyle w:val="001000000000" w:firstRow="0" w:lastRow="0" w:firstColumn="1" w:lastColumn="0" w:oddVBand="0" w:evenVBand="0" w:oddHBand="0" w:evenHBand="0" w:firstRowFirstColumn="0" w:firstRowLastColumn="0" w:lastRowFirstColumn="0" w:lastRowLastColumn="0"/>
            <w:tcW w:w="1002" w:type="dxa"/>
            <w:shd w:val="clear" w:color="auto" w:fill="F2F2F2" w:themeFill="background2"/>
          </w:tcPr>
          <w:p w14:paraId="57FC58AB" w14:textId="77777777" w:rsidR="00770A5B" w:rsidRPr="00770A5B" w:rsidRDefault="00770A5B" w:rsidP="00770A5B">
            <w:pPr>
              <w:keepNext w:val="0"/>
              <w:autoSpaceDE w:val="0"/>
              <w:autoSpaceDN w:val="0"/>
              <w:adjustRightInd w:val="0"/>
              <w:spacing w:before="0" w:after="0" w:line="240" w:lineRule="auto"/>
              <w:jc w:val="left"/>
              <w:rPr>
                <w:rFonts w:cs="Open Sans"/>
                <w:color w:val="333333"/>
                <w:sz w:val="24"/>
                <w:szCs w:val="24"/>
              </w:rPr>
            </w:pPr>
            <w:r w:rsidRPr="00770A5B">
              <w:rPr>
                <w:rFonts w:cs="Open Sans"/>
                <w:color w:val="333333"/>
                <w:sz w:val="24"/>
                <w:szCs w:val="24"/>
              </w:rPr>
              <w:t>62</w:t>
            </w:r>
          </w:p>
        </w:tc>
        <w:tc>
          <w:tcPr>
            <w:tcW w:w="8068" w:type="dxa"/>
            <w:shd w:val="clear" w:color="auto" w:fill="FFFFFF" w:themeFill="background1"/>
          </w:tcPr>
          <w:p w14:paraId="06E26FB7" w14:textId="77777777" w:rsidR="00770A5B" w:rsidRPr="00770A5B" w:rsidRDefault="00770A5B" w:rsidP="00770A5B">
            <w:pPr>
              <w:keepNext w:val="0"/>
              <w:autoSpaceDE w:val="0"/>
              <w:autoSpaceDN w:val="0"/>
              <w:adjustRightInd w:val="0"/>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cs="Open Sans"/>
                <w:color w:val="333333"/>
                <w:sz w:val="24"/>
                <w:szCs w:val="24"/>
              </w:rPr>
            </w:pPr>
            <w:r w:rsidRPr="00770A5B">
              <w:rPr>
                <w:rFonts w:cs="Open Sans"/>
                <w:color w:val="333333"/>
                <w:sz w:val="24"/>
                <w:szCs w:val="24"/>
              </w:rPr>
              <w:t>Finance</w:t>
            </w:r>
          </w:p>
        </w:tc>
      </w:tr>
      <w:tr w:rsidR="00770A5B" w:rsidRPr="00770A5B" w14:paraId="5DF41576" w14:textId="77777777" w:rsidTr="00770A5B">
        <w:tc>
          <w:tcPr>
            <w:cnfStyle w:val="001000000000" w:firstRow="0" w:lastRow="0" w:firstColumn="1" w:lastColumn="0" w:oddVBand="0" w:evenVBand="0" w:oddHBand="0" w:evenHBand="0" w:firstRowFirstColumn="0" w:firstRowLastColumn="0" w:lastRowFirstColumn="0" w:lastRowLastColumn="0"/>
            <w:tcW w:w="1002" w:type="dxa"/>
            <w:shd w:val="clear" w:color="auto" w:fill="F2F2F2" w:themeFill="background2"/>
          </w:tcPr>
          <w:p w14:paraId="540C3C4D" w14:textId="77777777" w:rsidR="00770A5B" w:rsidRPr="00770A5B" w:rsidRDefault="00770A5B" w:rsidP="00770A5B">
            <w:pPr>
              <w:keepNext w:val="0"/>
              <w:autoSpaceDE w:val="0"/>
              <w:autoSpaceDN w:val="0"/>
              <w:adjustRightInd w:val="0"/>
              <w:spacing w:before="0" w:after="0" w:line="240" w:lineRule="auto"/>
              <w:jc w:val="left"/>
              <w:rPr>
                <w:rFonts w:cs="Open Sans"/>
                <w:color w:val="333333"/>
                <w:sz w:val="24"/>
                <w:szCs w:val="24"/>
              </w:rPr>
            </w:pPr>
            <w:r w:rsidRPr="00770A5B">
              <w:rPr>
                <w:rFonts w:cs="Open Sans"/>
                <w:color w:val="333333"/>
                <w:sz w:val="24"/>
                <w:szCs w:val="24"/>
              </w:rPr>
              <w:t>63</w:t>
            </w:r>
          </w:p>
        </w:tc>
        <w:tc>
          <w:tcPr>
            <w:tcW w:w="8068" w:type="dxa"/>
            <w:shd w:val="clear" w:color="auto" w:fill="FFFFFF" w:themeFill="background1"/>
          </w:tcPr>
          <w:p w14:paraId="74723F52" w14:textId="77777777" w:rsidR="00770A5B" w:rsidRPr="00770A5B" w:rsidRDefault="00770A5B" w:rsidP="00770A5B">
            <w:pPr>
              <w:keepNext w:val="0"/>
              <w:autoSpaceDE w:val="0"/>
              <w:autoSpaceDN w:val="0"/>
              <w:adjustRightInd w:val="0"/>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cs="Open Sans"/>
                <w:color w:val="333333"/>
                <w:sz w:val="24"/>
                <w:szCs w:val="24"/>
              </w:rPr>
            </w:pPr>
            <w:r w:rsidRPr="00770A5B">
              <w:rPr>
                <w:rFonts w:cs="Open Sans"/>
                <w:color w:val="333333"/>
                <w:sz w:val="24"/>
                <w:szCs w:val="24"/>
              </w:rPr>
              <w:t>Insurance and Superannuation Funds</w:t>
            </w:r>
          </w:p>
        </w:tc>
      </w:tr>
      <w:tr w:rsidR="00770A5B" w:rsidRPr="00770A5B" w14:paraId="4F1E96C8" w14:textId="77777777" w:rsidTr="00770A5B">
        <w:tc>
          <w:tcPr>
            <w:cnfStyle w:val="001000000000" w:firstRow="0" w:lastRow="0" w:firstColumn="1" w:lastColumn="0" w:oddVBand="0" w:evenVBand="0" w:oddHBand="0" w:evenHBand="0" w:firstRowFirstColumn="0" w:firstRowLastColumn="0" w:lastRowFirstColumn="0" w:lastRowLastColumn="0"/>
            <w:tcW w:w="1002" w:type="dxa"/>
            <w:shd w:val="clear" w:color="auto" w:fill="F2F2F2" w:themeFill="background2"/>
          </w:tcPr>
          <w:p w14:paraId="77E846A0" w14:textId="77777777" w:rsidR="00770A5B" w:rsidRPr="00770A5B" w:rsidRDefault="00770A5B" w:rsidP="00770A5B">
            <w:pPr>
              <w:keepNext w:val="0"/>
              <w:autoSpaceDE w:val="0"/>
              <w:autoSpaceDN w:val="0"/>
              <w:adjustRightInd w:val="0"/>
              <w:spacing w:before="0" w:after="0" w:line="240" w:lineRule="auto"/>
              <w:jc w:val="left"/>
              <w:rPr>
                <w:rFonts w:cs="Open Sans"/>
                <w:color w:val="333333"/>
                <w:sz w:val="24"/>
                <w:szCs w:val="24"/>
              </w:rPr>
            </w:pPr>
            <w:r w:rsidRPr="00770A5B">
              <w:rPr>
                <w:rFonts w:cs="Open Sans"/>
                <w:color w:val="333333"/>
                <w:sz w:val="24"/>
                <w:szCs w:val="24"/>
              </w:rPr>
              <w:t>64</w:t>
            </w:r>
          </w:p>
        </w:tc>
        <w:tc>
          <w:tcPr>
            <w:tcW w:w="8068" w:type="dxa"/>
            <w:shd w:val="clear" w:color="auto" w:fill="FFFFFF" w:themeFill="background1"/>
          </w:tcPr>
          <w:p w14:paraId="24EA6482" w14:textId="77777777" w:rsidR="00770A5B" w:rsidRPr="00770A5B" w:rsidRDefault="00770A5B" w:rsidP="00770A5B">
            <w:pPr>
              <w:keepNext w:val="0"/>
              <w:autoSpaceDE w:val="0"/>
              <w:autoSpaceDN w:val="0"/>
              <w:adjustRightInd w:val="0"/>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cs="Open Sans"/>
                <w:color w:val="333333"/>
                <w:sz w:val="24"/>
                <w:szCs w:val="24"/>
              </w:rPr>
            </w:pPr>
            <w:r w:rsidRPr="00770A5B">
              <w:rPr>
                <w:rFonts w:cs="Open Sans"/>
                <w:color w:val="333333"/>
                <w:sz w:val="24"/>
                <w:szCs w:val="24"/>
              </w:rPr>
              <w:t>Auxiliary Finance and Insurance Services</w:t>
            </w:r>
          </w:p>
        </w:tc>
      </w:tr>
      <w:tr w:rsidR="00770A5B" w:rsidRPr="00770A5B" w14:paraId="56225F75" w14:textId="77777777" w:rsidTr="00770A5B">
        <w:tc>
          <w:tcPr>
            <w:cnfStyle w:val="001000000000" w:firstRow="0" w:lastRow="0" w:firstColumn="1" w:lastColumn="0" w:oddVBand="0" w:evenVBand="0" w:oddHBand="0" w:evenHBand="0" w:firstRowFirstColumn="0" w:firstRowLastColumn="0" w:lastRowFirstColumn="0" w:lastRowLastColumn="0"/>
            <w:tcW w:w="1002" w:type="dxa"/>
            <w:shd w:val="clear" w:color="auto" w:fill="F2F2F2" w:themeFill="background2"/>
          </w:tcPr>
          <w:p w14:paraId="638B6267" w14:textId="77777777" w:rsidR="00770A5B" w:rsidRPr="00770A5B" w:rsidRDefault="00770A5B" w:rsidP="00770A5B">
            <w:pPr>
              <w:keepNext w:val="0"/>
              <w:autoSpaceDE w:val="0"/>
              <w:autoSpaceDN w:val="0"/>
              <w:adjustRightInd w:val="0"/>
              <w:spacing w:before="0" w:after="0" w:line="240" w:lineRule="auto"/>
              <w:jc w:val="left"/>
              <w:rPr>
                <w:rFonts w:cs="Open Sans"/>
                <w:color w:val="333333"/>
                <w:sz w:val="24"/>
                <w:szCs w:val="24"/>
              </w:rPr>
            </w:pPr>
            <w:r w:rsidRPr="00770A5B">
              <w:rPr>
                <w:rFonts w:cs="Open Sans"/>
                <w:color w:val="333333"/>
                <w:sz w:val="24"/>
                <w:szCs w:val="24"/>
              </w:rPr>
              <w:t>L</w:t>
            </w:r>
          </w:p>
        </w:tc>
        <w:tc>
          <w:tcPr>
            <w:tcW w:w="8068" w:type="dxa"/>
            <w:shd w:val="clear" w:color="auto" w:fill="F2F2F2" w:themeFill="background2"/>
          </w:tcPr>
          <w:p w14:paraId="754AEAE6" w14:textId="77777777" w:rsidR="00770A5B" w:rsidRPr="00770A5B" w:rsidRDefault="00770A5B" w:rsidP="00770A5B">
            <w:pPr>
              <w:keepNext w:val="0"/>
              <w:autoSpaceDE w:val="0"/>
              <w:autoSpaceDN w:val="0"/>
              <w:adjustRightInd w:val="0"/>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cs="Open Sans"/>
                <w:color w:val="333333"/>
                <w:sz w:val="24"/>
                <w:szCs w:val="24"/>
              </w:rPr>
            </w:pPr>
            <w:r w:rsidRPr="00770A5B">
              <w:rPr>
                <w:rFonts w:cs="Open Sans"/>
                <w:color w:val="333333"/>
                <w:sz w:val="24"/>
                <w:szCs w:val="24"/>
              </w:rPr>
              <w:t>RENTAL, HIRING AND REAL ESTATE SERVICES</w:t>
            </w:r>
          </w:p>
        </w:tc>
      </w:tr>
      <w:tr w:rsidR="00770A5B" w:rsidRPr="00770A5B" w14:paraId="613D355E" w14:textId="77777777" w:rsidTr="00770A5B">
        <w:tc>
          <w:tcPr>
            <w:cnfStyle w:val="001000000000" w:firstRow="0" w:lastRow="0" w:firstColumn="1" w:lastColumn="0" w:oddVBand="0" w:evenVBand="0" w:oddHBand="0" w:evenHBand="0" w:firstRowFirstColumn="0" w:firstRowLastColumn="0" w:lastRowFirstColumn="0" w:lastRowLastColumn="0"/>
            <w:tcW w:w="1002" w:type="dxa"/>
            <w:shd w:val="clear" w:color="auto" w:fill="FFFFFF" w:themeFill="background1"/>
          </w:tcPr>
          <w:p w14:paraId="7FB4E68A" w14:textId="77777777" w:rsidR="00770A5B" w:rsidRPr="00770A5B" w:rsidRDefault="00770A5B" w:rsidP="00770A5B">
            <w:pPr>
              <w:keepNext w:val="0"/>
              <w:autoSpaceDE w:val="0"/>
              <w:autoSpaceDN w:val="0"/>
              <w:adjustRightInd w:val="0"/>
              <w:spacing w:before="0" w:after="0" w:line="240" w:lineRule="auto"/>
              <w:jc w:val="left"/>
              <w:rPr>
                <w:rFonts w:cs="Open Sans"/>
                <w:color w:val="333333"/>
                <w:sz w:val="24"/>
                <w:szCs w:val="24"/>
              </w:rPr>
            </w:pPr>
            <w:r w:rsidRPr="00770A5B">
              <w:rPr>
                <w:rFonts w:cs="Open Sans"/>
                <w:color w:val="333333"/>
                <w:sz w:val="24"/>
                <w:szCs w:val="24"/>
              </w:rPr>
              <w:lastRenderedPageBreak/>
              <w:t>66</w:t>
            </w:r>
          </w:p>
        </w:tc>
        <w:tc>
          <w:tcPr>
            <w:tcW w:w="8068" w:type="dxa"/>
            <w:shd w:val="clear" w:color="auto" w:fill="FFFFFF" w:themeFill="background1"/>
          </w:tcPr>
          <w:p w14:paraId="59FD3092" w14:textId="77777777" w:rsidR="00770A5B" w:rsidRPr="00770A5B" w:rsidRDefault="00770A5B" w:rsidP="00770A5B">
            <w:pPr>
              <w:keepNext w:val="0"/>
              <w:autoSpaceDE w:val="0"/>
              <w:autoSpaceDN w:val="0"/>
              <w:adjustRightInd w:val="0"/>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cs="Open Sans"/>
                <w:color w:val="333333"/>
                <w:sz w:val="24"/>
                <w:szCs w:val="24"/>
              </w:rPr>
            </w:pPr>
            <w:r w:rsidRPr="00770A5B">
              <w:rPr>
                <w:rFonts w:cs="Open Sans"/>
                <w:color w:val="333333"/>
                <w:sz w:val="24"/>
                <w:szCs w:val="24"/>
              </w:rPr>
              <w:t>Rental and Hiring Services (except Real Estate)</w:t>
            </w:r>
          </w:p>
        </w:tc>
      </w:tr>
      <w:tr w:rsidR="00770A5B" w:rsidRPr="00770A5B" w14:paraId="370DB662" w14:textId="77777777" w:rsidTr="00770A5B">
        <w:tc>
          <w:tcPr>
            <w:cnfStyle w:val="001000000000" w:firstRow="0" w:lastRow="0" w:firstColumn="1" w:lastColumn="0" w:oddVBand="0" w:evenVBand="0" w:oddHBand="0" w:evenHBand="0" w:firstRowFirstColumn="0" w:firstRowLastColumn="0" w:lastRowFirstColumn="0" w:lastRowLastColumn="0"/>
            <w:tcW w:w="1002" w:type="dxa"/>
            <w:shd w:val="clear" w:color="auto" w:fill="FFFFFF" w:themeFill="background1"/>
          </w:tcPr>
          <w:p w14:paraId="0435394F" w14:textId="77777777" w:rsidR="00770A5B" w:rsidRPr="00770A5B" w:rsidRDefault="00770A5B" w:rsidP="00770A5B">
            <w:pPr>
              <w:keepNext w:val="0"/>
              <w:autoSpaceDE w:val="0"/>
              <w:autoSpaceDN w:val="0"/>
              <w:adjustRightInd w:val="0"/>
              <w:spacing w:before="0" w:after="0" w:line="240" w:lineRule="auto"/>
              <w:jc w:val="left"/>
              <w:rPr>
                <w:rFonts w:cs="Open Sans"/>
                <w:color w:val="333333"/>
                <w:sz w:val="24"/>
                <w:szCs w:val="24"/>
              </w:rPr>
            </w:pPr>
            <w:r w:rsidRPr="00770A5B">
              <w:rPr>
                <w:rFonts w:cs="Open Sans"/>
                <w:color w:val="333333"/>
                <w:sz w:val="24"/>
                <w:szCs w:val="24"/>
              </w:rPr>
              <w:t>67</w:t>
            </w:r>
          </w:p>
        </w:tc>
        <w:tc>
          <w:tcPr>
            <w:tcW w:w="8068" w:type="dxa"/>
            <w:shd w:val="clear" w:color="auto" w:fill="FFFFFF" w:themeFill="background1"/>
          </w:tcPr>
          <w:p w14:paraId="08E43D3B" w14:textId="77777777" w:rsidR="00770A5B" w:rsidRPr="00770A5B" w:rsidRDefault="00770A5B" w:rsidP="00770A5B">
            <w:pPr>
              <w:keepNext w:val="0"/>
              <w:autoSpaceDE w:val="0"/>
              <w:autoSpaceDN w:val="0"/>
              <w:adjustRightInd w:val="0"/>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cs="Open Sans"/>
                <w:color w:val="333333"/>
                <w:sz w:val="24"/>
                <w:szCs w:val="24"/>
              </w:rPr>
            </w:pPr>
            <w:r w:rsidRPr="00770A5B">
              <w:rPr>
                <w:rFonts w:cs="Open Sans"/>
                <w:color w:val="333333"/>
                <w:sz w:val="24"/>
                <w:szCs w:val="24"/>
              </w:rPr>
              <w:t>Property Operators and Real Estate Services</w:t>
            </w:r>
          </w:p>
        </w:tc>
      </w:tr>
      <w:tr w:rsidR="00770A5B" w:rsidRPr="00770A5B" w14:paraId="3FE11DD8" w14:textId="77777777" w:rsidTr="00770A5B">
        <w:tc>
          <w:tcPr>
            <w:cnfStyle w:val="001000000000" w:firstRow="0" w:lastRow="0" w:firstColumn="1" w:lastColumn="0" w:oddVBand="0" w:evenVBand="0" w:oddHBand="0" w:evenHBand="0" w:firstRowFirstColumn="0" w:firstRowLastColumn="0" w:lastRowFirstColumn="0" w:lastRowLastColumn="0"/>
            <w:tcW w:w="1002" w:type="dxa"/>
            <w:shd w:val="clear" w:color="auto" w:fill="F2F2F2" w:themeFill="background2"/>
          </w:tcPr>
          <w:p w14:paraId="241A9F0D" w14:textId="77777777" w:rsidR="00770A5B" w:rsidRPr="00770A5B" w:rsidRDefault="00770A5B" w:rsidP="00770A5B">
            <w:pPr>
              <w:keepNext w:val="0"/>
              <w:autoSpaceDE w:val="0"/>
              <w:autoSpaceDN w:val="0"/>
              <w:adjustRightInd w:val="0"/>
              <w:spacing w:before="0" w:after="0" w:line="240" w:lineRule="auto"/>
              <w:jc w:val="left"/>
              <w:rPr>
                <w:rFonts w:cs="Open Sans"/>
                <w:color w:val="333333"/>
                <w:sz w:val="24"/>
                <w:szCs w:val="24"/>
              </w:rPr>
            </w:pPr>
            <w:r w:rsidRPr="00770A5B">
              <w:rPr>
                <w:rFonts w:cs="Open Sans"/>
                <w:color w:val="333333"/>
                <w:sz w:val="24"/>
                <w:szCs w:val="24"/>
              </w:rPr>
              <w:t>M</w:t>
            </w:r>
          </w:p>
        </w:tc>
        <w:tc>
          <w:tcPr>
            <w:tcW w:w="8068" w:type="dxa"/>
            <w:shd w:val="clear" w:color="auto" w:fill="F2F2F2" w:themeFill="background2"/>
          </w:tcPr>
          <w:p w14:paraId="2C547A35" w14:textId="77777777" w:rsidR="00770A5B" w:rsidRPr="00770A5B" w:rsidRDefault="00770A5B" w:rsidP="00770A5B">
            <w:pPr>
              <w:keepNext w:val="0"/>
              <w:autoSpaceDE w:val="0"/>
              <w:autoSpaceDN w:val="0"/>
              <w:adjustRightInd w:val="0"/>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cs="Open Sans"/>
                <w:color w:val="333333"/>
                <w:sz w:val="24"/>
                <w:szCs w:val="24"/>
              </w:rPr>
            </w:pPr>
            <w:r w:rsidRPr="00770A5B">
              <w:rPr>
                <w:rFonts w:cs="Open Sans"/>
                <w:color w:val="333333"/>
                <w:sz w:val="24"/>
                <w:szCs w:val="24"/>
              </w:rPr>
              <w:t>PROFESSIONAL, SCIENTIFIC AND TECHNICAL SERVICES</w:t>
            </w:r>
          </w:p>
        </w:tc>
      </w:tr>
      <w:tr w:rsidR="00770A5B" w:rsidRPr="00770A5B" w14:paraId="3010AF19" w14:textId="77777777" w:rsidTr="00770A5B">
        <w:tc>
          <w:tcPr>
            <w:cnfStyle w:val="001000000000" w:firstRow="0" w:lastRow="0" w:firstColumn="1" w:lastColumn="0" w:oddVBand="0" w:evenVBand="0" w:oddHBand="0" w:evenHBand="0" w:firstRowFirstColumn="0" w:firstRowLastColumn="0" w:lastRowFirstColumn="0" w:lastRowLastColumn="0"/>
            <w:tcW w:w="1002" w:type="dxa"/>
            <w:shd w:val="clear" w:color="auto" w:fill="FFFFFF" w:themeFill="background1"/>
          </w:tcPr>
          <w:p w14:paraId="3A42B219" w14:textId="77777777" w:rsidR="00770A5B" w:rsidRPr="00770A5B" w:rsidRDefault="00770A5B" w:rsidP="00770A5B">
            <w:pPr>
              <w:keepNext w:val="0"/>
              <w:autoSpaceDE w:val="0"/>
              <w:autoSpaceDN w:val="0"/>
              <w:adjustRightInd w:val="0"/>
              <w:spacing w:before="0" w:after="0" w:line="240" w:lineRule="auto"/>
              <w:jc w:val="left"/>
              <w:rPr>
                <w:rFonts w:cs="Open Sans"/>
                <w:color w:val="333333"/>
                <w:sz w:val="24"/>
                <w:szCs w:val="24"/>
              </w:rPr>
            </w:pPr>
            <w:r w:rsidRPr="00770A5B">
              <w:rPr>
                <w:rFonts w:cs="Open Sans"/>
                <w:color w:val="333333"/>
                <w:sz w:val="24"/>
                <w:szCs w:val="24"/>
              </w:rPr>
              <w:t>69</w:t>
            </w:r>
          </w:p>
        </w:tc>
        <w:tc>
          <w:tcPr>
            <w:tcW w:w="8068" w:type="dxa"/>
            <w:shd w:val="clear" w:color="auto" w:fill="FFFFFF" w:themeFill="background1"/>
          </w:tcPr>
          <w:p w14:paraId="2BB73FA0" w14:textId="77777777" w:rsidR="00770A5B" w:rsidRPr="00770A5B" w:rsidRDefault="00770A5B" w:rsidP="00770A5B">
            <w:pPr>
              <w:keepNext w:val="0"/>
              <w:autoSpaceDE w:val="0"/>
              <w:autoSpaceDN w:val="0"/>
              <w:adjustRightInd w:val="0"/>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cs="Open Sans"/>
                <w:color w:val="333333"/>
                <w:sz w:val="24"/>
                <w:szCs w:val="24"/>
              </w:rPr>
            </w:pPr>
            <w:r w:rsidRPr="00770A5B">
              <w:rPr>
                <w:rFonts w:cs="Open Sans"/>
                <w:color w:val="333333"/>
                <w:sz w:val="24"/>
                <w:szCs w:val="24"/>
              </w:rPr>
              <w:t>Not applicable</w:t>
            </w:r>
          </w:p>
        </w:tc>
      </w:tr>
      <w:tr w:rsidR="00770A5B" w:rsidRPr="00770A5B" w14:paraId="5CB9E122" w14:textId="77777777" w:rsidTr="00770A5B">
        <w:tc>
          <w:tcPr>
            <w:cnfStyle w:val="001000000000" w:firstRow="0" w:lastRow="0" w:firstColumn="1" w:lastColumn="0" w:oddVBand="0" w:evenVBand="0" w:oddHBand="0" w:evenHBand="0" w:firstRowFirstColumn="0" w:firstRowLastColumn="0" w:lastRowFirstColumn="0" w:lastRowLastColumn="0"/>
            <w:tcW w:w="1002" w:type="dxa"/>
            <w:shd w:val="clear" w:color="auto" w:fill="FFFFFF" w:themeFill="background1"/>
          </w:tcPr>
          <w:p w14:paraId="0B1A20FC" w14:textId="77777777" w:rsidR="00770A5B" w:rsidRPr="00770A5B" w:rsidRDefault="00770A5B" w:rsidP="00770A5B">
            <w:pPr>
              <w:keepNext w:val="0"/>
              <w:autoSpaceDE w:val="0"/>
              <w:autoSpaceDN w:val="0"/>
              <w:adjustRightInd w:val="0"/>
              <w:spacing w:before="0" w:after="0" w:line="240" w:lineRule="auto"/>
              <w:jc w:val="left"/>
              <w:rPr>
                <w:rFonts w:cs="Open Sans"/>
                <w:color w:val="333333"/>
                <w:sz w:val="24"/>
                <w:szCs w:val="24"/>
              </w:rPr>
            </w:pPr>
            <w:r w:rsidRPr="00770A5B">
              <w:rPr>
                <w:rFonts w:cs="Open Sans"/>
                <w:color w:val="333333"/>
                <w:sz w:val="24"/>
                <w:szCs w:val="24"/>
              </w:rPr>
              <w:t>70</w:t>
            </w:r>
          </w:p>
        </w:tc>
        <w:tc>
          <w:tcPr>
            <w:tcW w:w="8068" w:type="dxa"/>
            <w:shd w:val="clear" w:color="auto" w:fill="FFFFFF" w:themeFill="background1"/>
          </w:tcPr>
          <w:p w14:paraId="0470214B" w14:textId="77777777" w:rsidR="00770A5B" w:rsidRPr="00770A5B" w:rsidRDefault="00770A5B" w:rsidP="00770A5B">
            <w:pPr>
              <w:keepNext w:val="0"/>
              <w:autoSpaceDE w:val="0"/>
              <w:autoSpaceDN w:val="0"/>
              <w:adjustRightInd w:val="0"/>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cs="Open Sans"/>
                <w:color w:val="333333"/>
                <w:sz w:val="24"/>
                <w:szCs w:val="24"/>
              </w:rPr>
            </w:pPr>
            <w:r w:rsidRPr="00770A5B">
              <w:rPr>
                <w:rFonts w:cs="Open Sans"/>
                <w:color w:val="333333"/>
                <w:sz w:val="24"/>
                <w:szCs w:val="24"/>
              </w:rPr>
              <w:t>Computer System Design and Related Services</w:t>
            </w:r>
          </w:p>
        </w:tc>
      </w:tr>
      <w:tr w:rsidR="00770A5B" w:rsidRPr="00770A5B" w14:paraId="58EDC626" w14:textId="77777777" w:rsidTr="00770A5B">
        <w:tc>
          <w:tcPr>
            <w:cnfStyle w:val="001000000000" w:firstRow="0" w:lastRow="0" w:firstColumn="1" w:lastColumn="0" w:oddVBand="0" w:evenVBand="0" w:oddHBand="0" w:evenHBand="0" w:firstRowFirstColumn="0" w:firstRowLastColumn="0" w:lastRowFirstColumn="0" w:lastRowLastColumn="0"/>
            <w:tcW w:w="1002" w:type="dxa"/>
            <w:shd w:val="clear" w:color="auto" w:fill="F2F2F2" w:themeFill="background2"/>
          </w:tcPr>
          <w:p w14:paraId="61FEB99B" w14:textId="77777777" w:rsidR="00770A5B" w:rsidRPr="00770A5B" w:rsidRDefault="00770A5B" w:rsidP="00770A5B">
            <w:pPr>
              <w:keepNext w:val="0"/>
              <w:autoSpaceDE w:val="0"/>
              <w:autoSpaceDN w:val="0"/>
              <w:adjustRightInd w:val="0"/>
              <w:spacing w:before="0" w:after="0" w:line="240" w:lineRule="auto"/>
              <w:jc w:val="left"/>
              <w:rPr>
                <w:rFonts w:cs="Open Sans"/>
                <w:color w:val="333333"/>
                <w:sz w:val="24"/>
                <w:szCs w:val="24"/>
              </w:rPr>
            </w:pPr>
            <w:r w:rsidRPr="00770A5B">
              <w:rPr>
                <w:rFonts w:cs="Open Sans"/>
                <w:color w:val="333333"/>
                <w:sz w:val="24"/>
                <w:szCs w:val="24"/>
              </w:rPr>
              <w:t>N</w:t>
            </w:r>
          </w:p>
        </w:tc>
        <w:tc>
          <w:tcPr>
            <w:tcW w:w="8068" w:type="dxa"/>
            <w:shd w:val="clear" w:color="auto" w:fill="F2F2F2" w:themeFill="background2"/>
          </w:tcPr>
          <w:p w14:paraId="04234A80" w14:textId="77777777" w:rsidR="00770A5B" w:rsidRPr="00770A5B" w:rsidRDefault="00770A5B" w:rsidP="00770A5B">
            <w:pPr>
              <w:keepNext w:val="0"/>
              <w:autoSpaceDE w:val="0"/>
              <w:autoSpaceDN w:val="0"/>
              <w:adjustRightInd w:val="0"/>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cs="Open Sans"/>
                <w:color w:val="333333"/>
                <w:sz w:val="24"/>
                <w:szCs w:val="24"/>
              </w:rPr>
            </w:pPr>
            <w:r w:rsidRPr="00770A5B">
              <w:rPr>
                <w:rFonts w:cs="Open Sans"/>
                <w:color w:val="333333"/>
                <w:sz w:val="24"/>
                <w:szCs w:val="24"/>
              </w:rPr>
              <w:t>ADMINISTRATIVE AND SUPPORT SERVICES</w:t>
            </w:r>
          </w:p>
        </w:tc>
      </w:tr>
      <w:tr w:rsidR="00770A5B" w:rsidRPr="00770A5B" w14:paraId="72A0755C" w14:textId="77777777" w:rsidTr="00770A5B">
        <w:tc>
          <w:tcPr>
            <w:cnfStyle w:val="001000000000" w:firstRow="0" w:lastRow="0" w:firstColumn="1" w:lastColumn="0" w:oddVBand="0" w:evenVBand="0" w:oddHBand="0" w:evenHBand="0" w:firstRowFirstColumn="0" w:firstRowLastColumn="0" w:lastRowFirstColumn="0" w:lastRowLastColumn="0"/>
            <w:tcW w:w="1002" w:type="dxa"/>
            <w:shd w:val="clear" w:color="auto" w:fill="FFFFFF" w:themeFill="background1"/>
          </w:tcPr>
          <w:p w14:paraId="34D77BBE" w14:textId="77777777" w:rsidR="00770A5B" w:rsidRPr="00770A5B" w:rsidRDefault="00770A5B" w:rsidP="00770A5B">
            <w:pPr>
              <w:keepNext w:val="0"/>
              <w:autoSpaceDE w:val="0"/>
              <w:autoSpaceDN w:val="0"/>
              <w:adjustRightInd w:val="0"/>
              <w:spacing w:before="0" w:after="0" w:line="240" w:lineRule="auto"/>
              <w:jc w:val="left"/>
              <w:rPr>
                <w:rFonts w:cs="Open Sans"/>
                <w:color w:val="333333"/>
                <w:sz w:val="24"/>
                <w:szCs w:val="24"/>
              </w:rPr>
            </w:pPr>
            <w:r w:rsidRPr="00770A5B">
              <w:rPr>
                <w:rFonts w:cs="Open Sans"/>
                <w:color w:val="333333"/>
                <w:sz w:val="24"/>
                <w:szCs w:val="24"/>
              </w:rPr>
              <w:t>72</w:t>
            </w:r>
          </w:p>
        </w:tc>
        <w:tc>
          <w:tcPr>
            <w:tcW w:w="8068" w:type="dxa"/>
            <w:shd w:val="clear" w:color="auto" w:fill="FFFFFF" w:themeFill="background1"/>
          </w:tcPr>
          <w:p w14:paraId="49B2FCFE" w14:textId="77777777" w:rsidR="00770A5B" w:rsidRPr="00770A5B" w:rsidRDefault="00770A5B" w:rsidP="00770A5B">
            <w:pPr>
              <w:keepNext w:val="0"/>
              <w:autoSpaceDE w:val="0"/>
              <w:autoSpaceDN w:val="0"/>
              <w:adjustRightInd w:val="0"/>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cs="Open Sans"/>
                <w:color w:val="333333"/>
                <w:sz w:val="24"/>
                <w:szCs w:val="24"/>
              </w:rPr>
            </w:pPr>
            <w:r w:rsidRPr="00770A5B">
              <w:rPr>
                <w:rFonts w:cs="Open Sans"/>
                <w:color w:val="333333"/>
                <w:sz w:val="24"/>
                <w:szCs w:val="24"/>
              </w:rPr>
              <w:t>Administrative Services</w:t>
            </w:r>
          </w:p>
        </w:tc>
      </w:tr>
      <w:tr w:rsidR="00770A5B" w:rsidRPr="00770A5B" w14:paraId="04821025" w14:textId="77777777" w:rsidTr="00770A5B">
        <w:tc>
          <w:tcPr>
            <w:cnfStyle w:val="001000000000" w:firstRow="0" w:lastRow="0" w:firstColumn="1" w:lastColumn="0" w:oddVBand="0" w:evenVBand="0" w:oddHBand="0" w:evenHBand="0" w:firstRowFirstColumn="0" w:firstRowLastColumn="0" w:lastRowFirstColumn="0" w:lastRowLastColumn="0"/>
            <w:tcW w:w="1002" w:type="dxa"/>
            <w:shd w:val="clear" w:color="auto" w:fill="FFFFFF" w:themeFill="background1"/>
          </w:tcPr>
          <w:p w14:paraId="10C34981" w14:textId="77777777" w:rsidR="00770A5B" w:rsidRPr="00770A5B" w:rsidRDefault="00770A5B" w:rsidP="00770A5B">
            <w:pPr>
              <w:keepNext w:val="0"/>
              <w:autoSpaceDE w:val="0"/>
              <w:autoSpaceDN w:val="0"/>
              <w:adjustRightInd w:val="0"/>
              <w:spacing w:before="0" w:after="0" w:line="240" w:lineRule="auto"/>
              <w:jc w:val="left"/>
              <w:rPr>
                <w:rFonts w:cs="Open Sans"/>
                <w:color w:val="333333"/>
                <w:sz w:val="24"/>
                <w:szCs w:val="24"/>
              </w:rPr>
            </w:pPr>
            <w:r w:rsidRPr="00770A5B">
              <w:rPr>
                <w:rFonts w:cs="Open Sans"/>
                <w:color w:val="333333"/>
                <w:sz w:val="24"/>
                <w:szCs w:val="24"/>
              </w:rPr>
              <w:t>73</w:t>
            </w:r>
          </w:p>
        </w:tc>
        <w:tc>
          <w:tcPr>
            <w:tcW w:w="8068" w:type="dxa"/>
            <w:shd w:val="clear" w:color="auto" w:fill="FFFFFF" w:themeFill="background1"/>
          </w:tcPr>
          <w:p w14:paraId="2EE78FBD" w14:textId="77777777" w:rsidR="00770A5B" w:rsidRPr="00770A5B" w:rsidRDefault="00770A5B" w:rsidP="00770A5B">
            <w:pPr>
              <w:keepNext w:val="0"/>
              <w:autoSpaceDE w:val="0"/>
              <w:autoSpaceDN w:val="0"/>
              <w:adjustRightInd w:val="0"/>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cs="Open Sans"/>
                <w:color w:val="333333"/>
                <w:sz w:val="24"/>
                <w:szCs w:val="24"/>
              </w:rPr>
            </w:pPr>
            <w:r w:rsidRPr="00770A5B">
              <w:rPr>
                <w:rFonts w:cs="Open Sans"/>
                <w:color w:val="333333"/>
                <w:sz w:val="24"/>
                <w:szCs w:val="24"/>
              </w:rPr>
              <w:t>Building Cleaning, Pest Control and Other Support Services</w:t>
            </w:r>
          </w:p>
        </w:tc>
      </w:tr>
      <w:tr w:rsidR="00770A5B" w:rsidRPr="00770A5B" w14:paraId="67B79F88" w14:textId="77777777" w:rsidTr="00770A5B">
        <w:tc>
          <w:tcPr>
            <w:cnfStyle w:val="001000000000" w:firstRow="0" w:lastRow="0" w:firstColumn="1" w:lastColumn="0" w:oddVBand="0" w:evenVBand="0" w:oddHBand="0" w:evenHBand="0" w:firstRowFirstColumn="0" w:firstRowLastColumn="0" w:lastRowFirstColumn="0" w:lastRowLastColumn="0"/>
            <w:tcW w:w="1002" w:type="dxa"/>
            <w:shd w:val="clear" w:color="auto" w:fill="F2F2F2" w:themeFill="background2"/>
          </w:tcPr>
          <w:p w14:paraId="0CB1FDB0" w14:textId="77777777" w:rsidR="00770A5B" w:rsidRPr="00770A5B" w:rsidRDefault="00770A5B" w:rsidP="00770A5B">
            <w:pPr>
              <w:keepNext w:val="0"/>
              <w:autoSpaceDE w:val="0"/>
              <w:autoSpaceDN w:val="0"/>
              <w:adjustRightInd w:val="0"/>
              <w:spacing w:before="0" w:after="0" w:line="240" w:lineRule="auto"/>
              <w:jc w:val="left"/>
              <w:rPr>
                <w:rFonts w:cs="Open Sans"/>
                <w:color w:val="333333"/>
                <w:sz w:val="24"/>
                <w:szCs w:val="24"/>
              </w:rPr>
            </w:pPr>
            <w:r w:rsidRPr="00770A5B">
              <w:rPr>
                <w:rFonts w:cs="Open Sans"/>
                <w:color w:val="333333"/>
                <w:sz w:val="24"/>
                <w:szCs w:val="24"/>
              </w:rPr>
              <w:t>O</w:t>
            </w:r>
          </w:p>
        </w:tc>
        <w:tc>
          <w:tcPr>
            <w:tcW w:w="8068" w:type="dxa"/>
            <w:shd w:val="clear" w:color="auto" w:fill="F2F2F2" w:themeFill="background2"/>
          </w:tcPr>
          <w:p w14:paraId="235DFCCA" w14:textId="77777777" w:rsidR="00770A5B" w:rsidRPr="00770A5B" w:rsidRDefault="00770A5B" w:rsidP="00770A5B">
            <w:pPr>
              <w:keepNext w:val="0"/>
              <w:autoSpaceDE w:val="0"/>
              <w:autoSpaceDN w:val="0"/>
              <w:adjustRightInd w:val="0"/>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cs="Open Sans"/>
                <w:color w:val="333333"/>
                <w:sz w:val="24"/>
                <w:szCs w:val="24"/>
              </w:rPr>
            </w:pPr>
            <w:r w:rsidRPr="00770A5B">
              <w:rPr>
                <w:rFonts w:cs="Open Sans"/>
                <w:color w:val="333333"/>
                <w:sz w:val="24"/>
                <w:szCs w:val="24"/>
              </w:rPr>
              <w:t>PUBLIC ADMINISTRATION AND SAFETY</w:t>
            </w:r>
          </w:p>
        </w:tc>
      </w:tr>
      <w:tr w:rsidR="00770A5B" w:rsidRPr="00770A5B" w14:paraId="24023C15" w14:textId="77777777" w:rsidTr="00770A5B">
        <w:tc>
          <w:tcPr>
            <w:cnfStyle w:val="001000000000" w:firstRow="0" w:lastRow="0" w:firstColumn="1" w:lastColumn="0" w:oddVBand="0" w:evenVBand="0" w:oddHBand="0" w:evenHBand="0" w:firstRowFirstColumn="0" w:firstRowLastColumn="0" w:lastRowFirstColumn="0" w:lastRowLastColumn="0"/>
            <w:tcW w:w="1002" w:type="dxa"/>
            <w:shd w:val="clear" w:color="auto" w:fill="FFFFFF" w:themeFill="background1"/>
          </w:tcPr>
          <w:p w14:paraId="0A700F8F" w14:textId="77777777" w:rsidR="00770A5B" w:rsidRPr="00770A5B" w:rsidRDefault="00770A5B" w:rsidP="00770A5B">
            <w:pPr>
              <w:keepNext w:val="0"/>
              <w:autoSpaceDE w:val="0"/>
              <w:autoSpaceDN w:val="0"/>
              <w:adjustRightInd w:val="0"/>
              <w:spacing w:before="0" w:after="0" w:line="240" w:lineRule="auto"/>
              <w:jc w:val="left"/>
              <w:rPr>
                <w:rFonts w:cs="Open Sans"/>
                <w:color w:val="333333"/>
                <w:sz w:val="24"/>
                <w:szCs w:val="24"/>
              </w:rPr>
            </w:pPr>
            <w:r w:rsidRPr="00770A5B">
              <w:rPr>
                <w:rFonts w:cs="Open Sans"/>
                <w:color w:val="333333"/>
                <w:sz w:val="24"/>
                <w:szCs w:val="24"/>
              </w:rPr>
              <w:t>75</w:t>
            </w:r>
          </w:p>
        </w:tc>
        <w:tc>
          <w:tcPr>
            <w:tcW w:w="8068" w:type="dxa"/>
            <w:shd w:val="clear" w:color="auto" w:fill="FFFFFF" w:themeFill="background1"/>
          </w:tcPr>
          <w:p w14:paraId="08118AB0" w14:textId="77777777" w:rsidR="00770A5B" w:rsidRPr="00770A5B" w:rsidRDefault="00770A5B" w:rsidP="00770A5B">
            <w:pPr>
              <w:keepNext w:val="0"/>
              <w:autoSpaceDE w:val="0"/>
              <w:autoSpaceDN w:val="0"/>
              <w:adjustRightInd w:val="0"/>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cs="Open Sans"/>
                <w:color w:val="333333"/>
                <w:sz w:val="24"/>
                <w:szCs w:val="24"/>
              </w:rPr>
            </w:pPr>
            <w:r w:rsidRPr="00770A5B">
              <w:rPr>
                <w:rFonts w:cs="Open Sans"/>
                <w:color w:val="333333"/>
                <w:sz w:val="24"/>
                <w:szCs w:val="24"/>
              </w:rPr>
              <w:t>Public Administration</w:t>
            </w:r>
          </w:p>
        </w:tc>
      </w:tr>
      <w:tr w:rsidR="00770A5B" w:rsidRPr="00770A5B" w14:paraId="67D8F8B7" w14:textId="77777777" w:rsidTr="00770A5B">
        <w:tc>
          <w:tcPr>
            <w:cnfStyle w:val="001000000000" w:firstRow="0" w:lastRow="0" w:firstColumn="1" w:lastColumn="0" w:oddVBand="0" w:evenVBand="0" w:oddHBand="0" w:evenHBand="0" w:firstRowFirstColumn="0" w:firstRowLastColumn="0" w:lastRowFirstColumn="0" w:lastRowLastColumn="0"/>
            <w:tcW w:w="1002" w:type="dxa"/>
            <w:shd w:val="clear" w:color="auto" w:fill="FFFFFF" w:themeFill="background1"/>
          </w:tcPr>
          <w:p w14:paraId="04C7C9AC" w14:textId="77777777" w:rsidR="00770A5B" w:rsidRPr="00770A5B" w:rsidRDefault="00770A5B" w:rsidP="00770A5B">
            <w:pPr>
              <w:keepNext w:val="0"/>
              <w:autoSpaceDE w:val="0"/>
              <w:autoSpaceDN w:val="0"/>
              <w:adjustRightInd w:val="0"/>
              <w:spacing w:before="0" w:after="0" w:line="240" w:lineRule="auto"/>
              <w:jc w:val="left"/>
              <w:rPr>
                <w:rFonts w:cs="Open Sans"/>
                <w:color w:val="333333"/>
                <w:sz w:val="24"/>
                <w:szCs w:val="24"/>
              </w:rPr>
            </w:pPr>
            <w:r w:rsidRPr="00770A5B">
              <w:rPr>
                <w:rFonts w:cs="Open Sans"/>
                <w:color w:val="333333"/>
                <w:sz w:val="24"/>
                <w:szCs w:val="24"/>
              </w:rPr>
              <w:t>76</w:t>
            </w:r>
          </w:p>
        </w:tc>
        <w:tc>
          <w:tcPr>
            <w:tcW w:w="8068" w:type="dxa"/>
            <w:shd w:val="clear" w:color="auto" w:fill="FFFFFF" w:themeFill="background1"/>
          </w:tcPr>
          <w:p w14:paraId="7F908F5E" w14:textId="77777777" w:rsidR="00770A5B" w:rsidRPr="00770A5B" w:rsidRDefault="00770A5B" w:rsidP="00770A5B">
            <w:pPr>
              <w:keepNext w:val="0"/>
              <w:autoSpaceDE w:val="0"/>
              <w:autoSpaceDN w:val="0"/>
              <w:adjustRightInd w:val="0"/>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cs="Open Sans"/>
                <w:color w:val="333333"/>
                <w:sz w:val="24"/>
                <w:szCs w:val="24"/>
              </w:rPr>
            </w:pPr>
            <w:r w:rsidRPr="00770A5B">
              <w:rPr>
                <w:rFonts w:cs="Open Sans"/>
                <w:color w:val="333333"/>
                <w:sz w:val="24"/>
                <w:szCs w:val="24"/>
              </w:rPr>
              <w:t>Defence</w:t>
            </w:r>
          </w:p>
        </w:tc>
      </w:tr>
      <w:tr w:rsidR="00770A5B" w:rsidRPr="00770A5B" w14:paraId="6BFF973B" w14:textId="77777777" w:rsidTr="00770A5B">
        <w:tc>
          <w:tcPr>
            <w:cnfStyle w:val="001000000000" w:firstRow="0" w:lastRow="0" w:firstColumn="1" w:lastColumn="0" w:oddVBand="0" w:evenVBand="0" w:oddHBand="0" w:evenHBand="0" w:firstRowFirstColumn="0" w:firstRowLastColumn="0" w:lastRowFirstColumn="0" w:lastRowLastColumn="0"/>
            <w:tcW w:w="1002" w:type="dxa"/>
            <w:shd w:val="clear" w:color="auto" w:fill="FFFFFF" w:themeFill="background1"/>
          </w:tcPr>
          <w:p w14:paraId="09CA7028" w14:textId="77777777" w:rsidR="00770A5B" w:rsidRPr="00770A5B" w:rsidRDefault="00770A5B" w:rsidP="00770A5B">
            <w:pPr>
              <w:keepNext w:val="0"/>
              <w:autoSpaceDE w:val="0"/>
              <w:autoSpaceDN w:val="0"/>
              <w:adjustRightInd w:val="0"/>
              <w:spacing w:before="0" w:after="0" w:line="240" w:lineRule="auto"/>
              <w:jc w:val="left"/>
              <w:rPr>
                <w:rFonts w:cs="Open Sans"/>
                <w:color w:val="333333"/>
                <w:sz w:val="24"/>
                <w:szCs w:val="24"/>
              </w:rPr>
            </w:pPr>
            <w:r w:rsidRPr="00770A5B">
              <w:rPr>
                <w:rFonts w:cs="Open Sans"/>
                <w:color w:val="333333"/>
                <w:sz w:val="24"/>
                <w:szCs w:val="24"/>
              </w:rPr>
              <w:t>77</w:t>
            </w:r>
          </w:p>
        </w:tc>
        <w:tc>
          <w:tcPr>
            <w:tcW w:w="8068" w:type="dxa"/>
            <w:shd w:val="clear" w:color="auto" w:fill="FFFFFF" w:themeFill="background1"/>
          </w:tcPr>
          <w:p w14:paraId="363D62AF" w14:textId="77777777" w:rsidR="00770A5B" w:rsidRPr="00770A5B" w:rsidRDefault="00770A5B" w:rsidP="00770A5B">
            <w:pPr>
              <w:keepNext w:val="0"/>
              <w:autoSpaceDE w:val="0"/>
              <w:autoSpaceDN w:val="0"/>
              <w:adjustRightInd w:val="0"/>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cs="Open Sans"/>
                <w:color w:val="333333"/>
                <w:sz w:val="24"/>
                <w:szCs w:val="24"/>
              </w:rPr>
            </w:pPr>
            <w:r w:rsidRPr="00770A5B">
              <w:rPr>
                <w:rFonts w:cs="Open Sans"/>
                <w:color w:val="333333"/>
                <w:sz w:val="24"/>
                <w:szCs w:val="24"/>
              </w:rPr>
              <w:t>Public Order, Safety and Regulatory Services</w:t>
            </w:r>
          </w:p>
        </w:tc>
      </w:tr>
      <w:tr w:rsidR="00770A5B" w:rsidRPr="00770A5B" w14:paraId="47CD7265" w14:textId="77777777" w:rsidTr="00770A5B">
        <w:tc>
          <w:tcPr>
            <w:cnfStyle w:val="001000000000" w:firstRow="0" w:lastRow="0" w:firstColumn="1" w:lastColumn="0" w:oddVBand="0" w:evenVBand="0" w:oddHBand="0" w:evenHBand="0" w:firstRowFirstColumn="0" w:firstRowLastColumn="0" w:lastRowFirstColumn="0" w:lastRowLastColumn="0"/>
            <w:tcW w:w="1002" w:type="dxa"/>
            <w:shd w:val="clear" w:color="auto" w:fill="F2F2F2" w:themeFill="background2"/>
          </w:tcPr>
          <w:p w14:paraId="4759B376" w14:textId="77777777" w:rsidR="00770A5B" w:rsidRPr="00770A5B" w:rsidRDefault="00770A5B" w:rsidP="00770A5B">
            <w:pPr>
              <w:keepNext w:val="0"/>
              <w:autoSpaceDE w:val="0"/>
              <w:autoSpaceDN w:val="0"/>
              <w:adjustRightInd w:val="0"/>
              <w:spacing w:before="0" w:after="0" w:line="240" w:lineRule="auto"/>
              <w:jc w:val="left"/>
              <w:rPr>
                <w:rFonts w:cs="Open Sans"/>
                <w:color w:val="333333"/>
                <w:sz w:val="24"/>
                <w:szCs w:val="24"/>
              </w:rPr>
            </w:pPr>
            <w:r w:rsidRPr="00770A5B">
              <w:rPr>
                <w:rFonts w:cs="Open Sans"/>
                <w:color w:val="333333"/>
                <w:sz w:val="24"/>
                <w:szCs w:val="24"/>
              </w:rPr>
              <w:t>P</w:t>
            </w:r>
          </w:p>
        </w:tc>
        <w:tc>
          <w:tcPr>
            <w:tcW w:w="8068" w:type="dxa"/>
            <w:shd w:val="clear" w:color="auto" w:fill="F2F2F2" w:themeFill="background2"/>
          </w:tcPr>
          <w:p w14:paraId="5746879D" w14:textId="77777777" w:rsidR="00770A5B" w:rsidRPr="00770A5B" w:rsidRDefault="00770A5B" w:rsidP="00770A5B">
            <w:pPr>
              <w:keepNext w:val="0"/>
              <w:autoSpaceDE w:val="0"/>
              <w:autoSpaceDN w:val="0"/>
              <w:adjustRightInd w:val="0"/>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cs="Open Sans"/>
                <w:color w:val="333333"/>
                <w:sz w:val="24"/>
                <w:szCs w:val="24"/>
              </w:rPr>
            </w:pPr>
            <w:r w:rsidRPr="00770A5B">
              <w:rPr>
                <w:rFonts w:cs="Open Sans"/>
                <w:color w:val="333333"/>
                <w:sz w:val="24"/>
                <w:szCs w:val="24"/>
              </w:rPr>
              <w:t>EDUCATION AND TRAINING</w:t>
            </w:r>
          </w:p>
        </w:tc>
      </w:tr>
      <w:tr w:rsidR="00770A5B" w:rsidRPr="00770A5B" w14:paraId="4206989E" w14:textId="77777777" w:rsidTr="00770A5B">
        <w:tc>
          <w:tcPr>
            <w:cnfStyle w:val="001000000000" w:firstRow="0" w:lastRow="0" w:firstColumn="1" w:lastColumn="0" w:oddVBand="0" w:evenVBand="0" w:oddHBand="0" w:evenHBand="0" w:firstRowFirstColumn="0" w:firstRowLastColumn="0" w:lastRowFirstColumn="0" w:lastRowLastColumn="0"/>
            <w:tcW w:w="1002" w:type="dxa"/>
            <w:shd w:val="clear" w:color="auto" w:fill="FFFFFF" w:themeFill="background1"/>
          </w:tcPr>
          <w:p w14:paraId="2FAA56CC" w14:textId="77777777" w:rsidR="00770A5B" w:rsidRPr="00770A5B" w:rsidRDefault="00770A5B" w:rsidP="00770A5B">
            <w:pPr>
              <w:keepNext w:val="0"/>
              <w:autoSpaceDE w:val="0"/>
              <w:autoSpaceDN w:val="0"/>
              <w:adjustRightInd w:val="0"/>
              <w:spacing w:before="0" w:after="0" w:line="240" w:lineRule="auto"/>
              <w:jc w:val="left"/>
              <w:rPr>
                <w:rFonts w:cs="Open Sans"/>
                <w:color w:val="333333"/>
                <w:sz w:val="24"/>
                <w:szCs w:val="24"/>
              </w:rPr>
            </w:pPr>
            <w:r w:rsidRPr="00770A5B">
              <w:rPr>
                <w:rFonts w:cs="Open Sans"/>
                <w:color w:val="333333"/>
                <w:sz w:val="24"/>
                <w:szCs w:val="24"/>
              </w:rPr>
              <w:t>80</w:t>
            </w:r>
          </w:p>
        </w:tc>
        <w:tc>
          <w:tcPr>
            <w:tcW w:w="8068" w:type="dxa"/>
            <w:shd w:val="clear" w:color="auto" w:fill="FFFFFF" w:themeFill="background1"/>
          </w:tcPr>
          <w:p w14:paraId="34D09C3D" w14:textId="77777777" w:rsidR="00770A5B" w:rsidRPr="00770A5B" w:rsidRDefault="00770A5B" w:rsidP="00770A5B">
            <w:pPr>
              <w:keepNext w:val="0"/>
              <w:autoSpaceDE w:val="0"/>
              <w:autoSpaceDN w:val="0"/>
              <w:adjustRightInd w:val="0"/>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cs="Open Sans"/>
                <w:color w:val="333333"/>
                <w:sz w:val="24"/>
                <w:szCs w:val="24"/>
              </w:rPr>
            </w:pPr>
            <w:r w:rsidRPr="00770A5B">
              <w:rPr>
                <w:rFonts w:cs="Open Sans"/>
                <w:color w:val="333333"/>
                <w:sz w:val="24"/>
                <w:szCs w:val="24"/>
              </w:rPr>
              <w:t>Preschool and School Education</w:t>
            </w:r>
          </w:p>
        </w:tc>
      </w:tr>
      <w:tr w:rsidR="00770A5B" w:rsidRPr="00770A5B" w14:paraId="75F5DE8E" w14:textId="77777777" w:rsidTr="00770A5B">
        <w:tc>
          <w:tcPr>
            <w:cnfStyle w:val="001000000000" w:firstRow="0" w:lastRow="0" w:firstColumn="1" w:lastColumn="0" w:oddVBand="0" w:evenVBand="0" w:oddHBand="0" w:evenHBand="0" w:firstRowFirstColumn="0" w:firstRowLastColumn="0" w:lastRowFirstColumn="0" w:lastRowLastColumn="0"/>
            <w:tcW w:w="1002" w:type="dxa"/>
            <w:shd w:val="clear" w:color="auto" w:fill="FFFFFF" w:themeFill="background1"/>
          </w:tcPr>
          <w:p w14:paraId="1219B1AE" w14:textId="77777777" w:rsidR="00770A5B" w:rsidRPr="00770A5B" w:rsidRDefault="00770A5B" w:rsidP="00770A5B">
            <w:pPr>
              <w:keepNext w:val="0"/>
              <w:autoSpaceDE w:val="0"/>
              <w:autoSpaceDN w:val="0"/>
              <w:adjustRightInd w:val="0"/>
              <w:spacing w:before="0" w:after="0" w:line="240" w:lineRule="auto"/>
              <w:jc w:val="left"/>
              <w:rPr>
                <w:rFonts w:cs="Open Sans"/>
                <w:color w:val="333333"/>
                <w:sz w:val="24"/>
                <w:szCs w:val="24"/>
              </w:rPr>
            </w:pPr>
            <w:r w:rsidRPr="00770A5B">
              <w:rPr>
                <w:rFonts w:cs="Open Sans"/>
                <w:color w:val="333333"/>
                <w:sz w:val="24"/>
                <w:szCs w:val="24"/>
              </w:rPr>
              <w:t>81</w:t>
            </w:r>
          </w:p>
        </w:tc>
        <w:tc>
          <w:tcPr>
            <w:tcW w:w="8068" w:type="dxa"/>
            <w:shd w:val="clear" w:color="auto" w:fill="FFFFFF" w:themeFill="background1"/>
          </w:tcPr>
          <w:p w14:paraId="7EC2103D" w14:textId="77777777" w:rsidR="00770A5B" w:rsidRPr="00770A5B" w:rsidRDefault="00770A5B" w:rsidP="00770A5B">
            <w:pPr>
              <w:keepNext w:val="0"/>
              <w:autoSpaceDE w:val="0"/>
              <w:autoSpaceDN w:val="0"/>
              <w:adjustRightInd w:val="0"/>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cs="Open Sans"/>
                <w:color w:val="333333"/>
                <w:sz w:val="24"/>
                <w:szCs w:val="24"/>
              </w:rPr>
            </w:pPr>
            <w:r w:rsidRPr="00770A5B">
              <w:rPr>
                <w:rFonts w:cs="Open Sans"/>
                <w:color w:val="333333"/>
                <w:sz w:val="24"/>
                <w:szCs w:val="24"/>
              </w:rPr>
              <w:t>Tertiary Education</w:t>
            </w:r>
          </w:p>
        </w:tc>
      </w:tr>
      <w:tr w:rsidR="00770A5B" w:rsidRPr="00770A5B" w14:paraId="4FCE5E5B" w14:textId="77777777" w:rsidTr="00770A5B">
        <w:tc>
          <w:tcPr>
            <w:cnfStyle w:val="001000000000" w:firstRow="0" w:lastRow="0" w:firstColumn="1" w:lastColumn="0" w:oddVBand="0" w:evenVBand="0" w:oddHBand="0" w:evenHBand="0" w:firstRowFirstColumn="0" w:firstRowLastColumn="0" w:lastRowFirstColumn="0" w:lastRowLastColumn="0"/>
            <w:tcW w:w="1002" w:type="dxa"/>
            <w:shd w:val="clear" w:color="auto" w:fill="FFFFFF" w:themeFill="background1"/>
          </w:tcPr>
          <w:p w14:paraId="7467EB17" w14:textId="77777777" w:rsidR="00770A5B" w:rsidRPr="00770A5B" w:rsidRDefault="00770A5B" w:rsidP="00770A5B">
            <w:pPr>
              <w:keepNext w:val="0"/>
              <w:autoSpaceDE w:val="0"/>
              <w:autoSpaceDN w:val="0"/>
              <w:adjustRightInd w:val="0"/>
              <w:spacing w:before="0" w:after="0" w:line="240" w:lineRule="auto"/>
              <w:jc w:val="left"/>
              <w:rPr>
                <w:rFonts w:cs="Open Sans"/>
                <w:color w:val="333333"/>
                <w:sz w:val="24"/>
                <w:szCs w:val="24"/>
              </w:rPr>
            </w:pPr>
            <w:r w:rsidRPr="00770A5B">
              <w:rPr>
                <w:rFonts w:cs="Open Sans"/>
                <w:color w:val="333333"/>
                <w:sz w:val="24"/>
                <w:szCs w:val="24"/>
              </w:rPr>
              <w:t>82</w:t>
            </w:r>
          </w:p>
        </w:tc>
        <w:tc>
          <w:tcPr>
            <w:tcW w:w="8068" w:type="dxa"/>
            <w:shd w:val="clear" w:color="auto" w:fill="FFFFFF" w:themeFill="background1"/>
          </w:tcPr>
          <w:p w14:paraId="51B2B4C9" w14:textId="77777777" w:rsidR="00770A5B" w:rsidRPr="00770A5B" w:rsidRDefault="00770A5B" w:rsidP="00770A5B">
            <w:pPr>
              <w:keepNext w:val="0"/>
              <w:autoSpaceDE w:val="0"/>
              <w:autoSpaceDN w:val="0"/>
              <w:adjustRightInd w:val="0"/>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cs="Open Sans"/>
                <w:color w:val="333333"/>
                <w:sz w:val="24"/>
                <w:szCs w:val="24"/>
              </w:rPr>
            </w:pPr>
            <w:r w:rsidRPr="00770A5B">
              <w:rPr>
                <w:rFonts w:cs="Open Sans"/>
                <w:color w:val="333333"/>
                <w:sz w:val="24"/>
                <w:szCs w:val="24"/>
              </w:rPr>
              <w:t>Adult, Community and Other Education</w:t>
            </w:r>
          </w:p>
        </w:tc>
      </w:tr>
      <w:tr w:rsidR="00770A5B" w:rsidRPr="00770A5B" w14:paraId="390B2FF4" w14:textId="77777777" w:rsidTr="00770A5B">
        <w:tc>
          <w:tcPr>
            <w:cnfStyle w:val="001000000000" w:firstRow="0" w:lastRow="0" w:firstColumn="1" w:lastColumn="0" w:oddVBand="0" w:evenVBand="0" w:oddHBand="0" w:evenHBand="0" w:firstRowFirstColumn="0" w:firstRowLastColumn="0" w:lastRowFirstColumn="0" w:lastRowLastColumn="0"/>
            <w:tcW w:w="1002" w:type="dxa"/>
            <w:shd w:val="clear" w:color="auto" w:fill="F2F2F2" w:themeFill="background2"/>
          </w:tcPr>
          <w:p w14:paraId="3B06B302" w14:textId="77777777" w:rsidR="00770A5B" w:rsidRPr="00770A5B" w:rsidRDefault="00770A5B" w:rsidP="00770A5B">
            <w:pPr>
              <w:keepNext w:val="0"/>
              <w:autoSpaceDE w:val="0"/>
              <w:autoSpaceDN w:val="0"/>
              <w:adjustRightInd w:val="0"/>
              <w:spacing w:before="0" w:after="0" w:line="240" w:lineRule="auto"/>
              <w:jc w:val="left"/>
              <w:rPr>
                <w:rFonts w:cs="Open Sans"/>
                <w:color w:val="333333"/>
                <w:sz w:val="24"/>
                <w:szCs w:val="24"/>
              </w:rPr>
            </w:pPr>
            <w:r w:rsidRPr="00770A5B">
              <w:rPr>
                <w:rFonts w:cs="Open Sans"/>
                <w:color w:val="333333"/>
                <w:sz w:val="24"/>
                <w:szCs w:val="24"/>
              </w:rPr>
              <w:t>Q</w:t>
            </w:r>
          </w:p>
        </w:tc>
        <w:tc>
          <w:tcPr>
            <w:tcW w:w="8068" w:type="dxa"/>
            <w:shd w:val="clear" w:color="auto" w:fill="F2F2F2" w:themeFill="background2"/>
          </w:tcPr>
          <w:p w14:paraId="0B0E276D" w14:textId="77777777" w:rsidR="00770A5B" w:rsidRPr="00770A5B" w:rsidRDefault="00770A5B" w:rsidP="00770A5B">
            <w:pPr>
              <w:keepNext w:val="0"/>
              <w:autoSpaceDE w:val="0"/>
              <w:autoSpaceDN w:val="0"/>
              <w:adjustRightInd w:val="0"/>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cs="Open Sans"/>
                <w:color w:val="333333"/>
                <w:sz w:val="24"/>
                <w:szCs w:val="24"/>
              </w:rPr>
            </w:pPr>
            <w:r w:rsidRPr="00770A5B">
              <w:rPr>
                <w:rFonts w:cs="Open Sans"/>
                <w:color w:val="333333"/>
                <w:sz w:val="24"/>
                <w:szCs w:val="24"/>
              </w:rPr>
              <w:t>HEALTH CARE AND SOCIAL ASSISTANCE</w:t>
            </w:r>
          </w:p>
        </w:tc>
      </w:tr>
      <w:tr w:rsidR="00770A5B" w:rsidRPr="00770A5B" w14:paraId="4E57DCF8" w14:textId="77777777" w:rsidTr="00770A5B">
        <w:tc>
          <w:tcPr>
            <w:cnfStyle w:val="001000000000" w:firstRow="0" w:lastRow="0" w:firstColumn="1" w:lastColumn="0" w:oddVBand="0" w:evenVBand="0" w:oddHBand="0" w:evenHBand="0" w:firstRowFirstColumn="0" w:firstRowLastColumn="0" w:lastRowFirstColumn="0" w:lastRowLastColumn="0"/>
            <w:tcW w:w="1002" w:type="dxa"/>
            <w:shd w:val="clear" w:color="auto" w:fill="FFFFFF" w:themeFill="background1"/>
          </w:tcPr>
          <w:p w14:paraId="7D3B75AF" w14:textId="77777777" w:rsidR="00770A5B" w:rsidRPr="00770A5B" w:rsidRDefault="00770A5B" w:rsidP="00770A5B">
            <w:pPr>
              <w:keepNext w:val="0"/>
              <w:autoSpaceDE w:val="0"/>
              <w:autoSpaceDN w:val="0"/>
              <w:adjustRightInd w:val="0"/>
              <w:spacing w:before="0" w:after="0" w:line="240" w:lineRule="auto"/>
              <w:jc w:val="left"/>
              <w:rPr>
                <w:rFonts w:cs="Open Sans"/>
                <w:color w:val="333333"/>
                <w:sz w:val="24"/>
                <w:szCs w:val="24"/>
              </w:rPr>
            </w:pPr>
            <w:r w:rsidRPr="00770A5B">
              <w:rPr>
                <w:rFonts w:cs="Open Sans"/>
                <w:color w:val="333333"/>
                <w:sz w:val="24"/>
                <w:szCs w:val="24"/>
              </w:rPr>
              <w:t>84</w:t>
            </w:r>
          </w:p>
        </w:tc>
        <w:tc>
          <w:tcPr>
            <w:tcW w:w="8068" w:type="dxa"/>
            <w:shd w:val="clear" w:color="auto" w:fill="FFFFFF" w:themeFill="background1"/>
          </w:tcPr>
          <w:p w14:paraId="6D1EB6CE" w14:textId="77777777" w:rsidR="00770A5B" w:rsidRPr="00770A5B" w:rsidRDefault="00770A5B" w:rsidP="00770A5B">
            <w:pPr>
              <w:keepNext w:val="0"/>
              <w:autoSpaceDE w:val="0"/>
              <w:autoSpaceDN w:val="0"/>
              <w:adjustRightInd w:val="0"/>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cs="Open Sans"/>
                <w:color w:val="333333"/>
                <w:sz w:val="24"/>
                <w:szCs w:val="24"/>
              </w:rPr>
            </w:pPr>
            <w:r w:rsidRPr="00770A5B">
              <w:rPr>
                <w:rFonts w:cs="Open Sans"/>
                <w:color w:val="333333"/>
                <w:sz w:val="24"/>
                <w:szCs w:val="24"/>
              </w:rPr>
              <w:t>Hospitals</w:t>
            </w:r>
          </w:p>
        </w:tc>
      </w:tr>
      <w:tr w:rsidR="00770A5B" w:rsidRPr="00770A5B" w14:paraId="0D834FE8" w14:textId="77777777" w:rsidTr="00770A5B">
        <w:tc>
          <w:tcPr>
            <w:cnfStyle w:val="001000000000" w:firstRow="0" w:lastRow="0" w:firstColumn="1" w:lastColumn="0" w:oddVBand="0" w:evenVBand="0" w:oddHBand="0" w:evenHBand="0" w:firstRowFirstColumn="0" w:firstRowLastColumn="0" w:lastRowFirstColumn="0" w:lastRowLastColumn="0"/>
            <w:tcW w:w="1002" w:type="dxa"/>
            <w:shd w:val="clear" w:color="auto" w:fill="FFFFFF" w:themeFill="background1"/>
          </w:tcPr>
          <w:p w14:paraId="1BC4F1BC" w14:textId="77777777" w:rsidR="00770A5B" w:rsidRPr="00770A5B" w:rsidRDefault="00770A5B" w:rsidP="00770A5B">
            <w:pPr>
              <w:keepNext w:val="0"/>
              <w:autoSpaceDE w:val="0"/>
              <w:autoSpaceDN w:val="0"/>
              <w:adjustRightInd w:val="0"/>
              <w:spacing w:before="0" w:after="0" w:line="240" w:lineRule="auto"/>
              <w:jc w:val="left"/>
              <w:rPr>
                <w:rFonts w:cs="Open Sans"/>
                <w:color w:val="333333"/>
                <w:sz w:val="24"/>
                <w:szCs w:val="24"/>
              </w:rPr>
            </w:pPr>
            <w:r w:rsidRPr="00770A5B">
              <w:rPr>
                <w:rFonts w:cs="Open Sans"/>
                <w:color w:val="333333"/>
                <w:sz w:val="24"/>
                <w:szCs w:val="24"/>
              </w:rPr>
              <w:t>85</w:t>
            </w:r>
          </w:p>
        </w:tc>
        <w:tc>
          <w:tcPr>
            <w:tcW w:w="8068" w:type="dxa"/>
            <w:shd w:val="clear" w:color="auto" w:fill="FFFFFF" w:themeFill="background1"/>
          </w:tcPr>
          <w:p w14:paraId="6D7A7264" w14:textId="77777777" w:rsidR="00770A5B" w:rsidRPr="00770A5B" w:rsidRDefault="00770A5B" w:rsidP="00770A5B">
            <w:pPr>
              <w:keepNext w:val="0"/>
              <w:autoSpaceDE w:val="0"/>
              <w:autoSpaceDN w:val="0"/>
              <w:adjustRightInd w:val="0"/>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cs="Open Sans"/>
                <w:color w:val="333333"/>
                <w:sz w:val="24"/>
                <w:szCs w:val="24"/>
              </w:rPr>
            </w:pPr>
            <w:r w:rsidRPr="00770A5B">
              <w:rPr>
                <w:rFonts w:cs="Open Sans"/>
                <w:color w:val="333333"/>
                <w:sz w:val="24"/>
                <w:szCs w:val="24"/>
              </w:rPr>
              <w:t>Medical and Other Health Care Services</w:t>
            </w:r>
          </w:p>
        </w:tc>
      </w:tr>
      <w:tr w:rsidR="00770A5B" w:rsidRPr="00770A5B" w14:paraId="2E3048EA" w14:textId="77777777" w:rsidTr="00770A5B">
        <w:tc>
          <w:tcPr>
            <w:cnfStyle w:val="001000000000" w:firstRow="0" w:lastRow="0" w:firstColumn="1" w:lastColumn="0" w:oddVBand="0" w:evenVBand="0" w:oddHBand="0" w:evenHBand="0" w:firstRowFirstColumn="0" w:firstRowLastColumn="0" w:lastRowFirstColumn="0" w:lastRowLastColumn="0"/>
            <w:tcW w:w="1002" w:type="dxa"/>
            <w:shd w:val="clear" w:color="auto" w:fill="FFFFFF" w:themeFill="background1"/>
          </w:tcPr>
          <w:p w14:paraId="019D2837" w14:textId="77777777" w:rsidR="00770A5B" w:rsidRPr="00770A5B" w:rsidRDefault="00770A5B" w:rsidP="00770A5B">
            <w:pPr>
              <w:keepNext w:val="0"/>
              <w:autoSpaceDE w:val="0"/>
              <w:autoSpaceDN w:val="0"/>
              <w:adjustRightInd w:val="0"/>
              <w:spacing w:before="0" w:after="0" w:line="240" w:lineRule="auto"/>
              <w:jc w:val="left"/>
              <w:rPr>
                <w:rFonts w:cs="Open Sans"/>
                <w:color w:val="333333"/>
                <w:sz w:val="24"/>
                <w:szCs w:val="24"/>
              </w:rPr>
            </w:pPr>
            <w:r w:rsidRPr="00770A5B">
              <w:rPr>
                <w:rFonts w:cs="Open Sans"/>
                <w:color w:val="333333"/>
                <w:sz w:val="24"/>
                <w:szCs w:val="24"/>
              </w:rPr>
              <w:t>86</w:t>
            </w:r>
          </w:p>
        </w:tc>
        <w:tc>
          <w:tcPr>
            <w:tcW w:w="8068" w:type="dxa"/>
            <w:shd w:val="clear" w:color="auto" w:fill="FFFFFF" w:themeFill="background1"/>
          </w:tcPr>
          <w:p w14:paraId="051C6A8D" w14:textId="77777777" w:rsidR="00770A5B" w:rsidRPr="00770A5B" w:rsidRDefault="00770A5B" w:rsidP="00770A5B">
            <w:pPr>
              <w:keepNext w:val="0"/>
              <w:autoSpaceDE w:val="0"/>
              <w:autoSpaceDN w:val="0"/>
              <w:adjustRightInd w:val="0"/>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cs="Open Sans"/>
                <w:color w:val="333333"/>
                <w:sz w:val="24"/>
                <w:szCs w:val="24"/>
              </w:rPr>
            </w:pPr>
            <w:r w:rsidRPr="00770A5B">
              <w:rPr>
                <w:rFonts w:cs="Open Sans"/>
                <w:color w:val="333333"/>
                <w:sz w:val="24"/>
                <w:szCs w:val="24"/>
              </w:rPr>
              <w:t>Residential Care Services</w:t>
            </w:r>
          </w:p>
        </w:tc>
      </w:tr>
      <w:tr w:rsidR="00770A5B" w:rsidRPr="00770A5B" w14:paraId="13DDAD6A" w14:textId="77777777" w:rsidTr="00770A5B">
        <w:tc>
          <w:tcPr>
            <w:cnfStyle w:val="001000000000" w:firstRow="0" w:lastRow="0" w:firstColumn="1" w:lastColumn="0" w:oddVBand="0" w:evenVBand="0" w:oddHBand="0" w:evenHBand="0" w:firstRowFirstColumn="0" w:firstRowLastColumn="0" w:lastRowFirstColumn="0" w:lastRowLastColumn="0"/>
            <w:tcW w:w="1002" w:type="dxa"/>
            <w:shd w:val="clear" w:color="auto" w:fill="FFFFFF" w:themeFill="background1"/>
          </w:tcPr>
          <w:p w14:paraId="0D6A05FF" w14:textId="77777777" w:rsidR="00770A5B" w:rsidRPr="00770A5B" w:rsidRDefault="00770A5B" w:rsidP="00770A5B">
            <w:pPr>
              <w:keepNext w:val="0"/>
              <w:autoSpaceDE w:val="0"/>
              <w:autoSpaceDN w:val="0"/>
              <w:adjustRightInd w:val="0"/>
              <w:spacing w:before="0" w:after="0" w:line="240" w:lineRule="auto"/>
              <w:jc w:val="left"/>
              <w:rPr>
                <w:rFonts w:cs="Open Sans"/>
                <w:color w:val="333333"/>
                <w:sz w:val="24"/>
                <w:szCs w:val="24"/>
              </w:rPr>
            </w:pPr>
            <w:r w:rsidRPr="00770A5B">
              <w:rPr>
                <w:rFonts w:cs="Open Sans"/>
                <w:color w:val="333333"/>
                <w:sz w:val="24"/>
                <w:szCs w:val="24"/>
              </w:rPr>
              <w:t>87</w:t>
            </w:r>
          </w:p>
        </w:tc>
        <w:tc>
          <w:tcPr>
            <w:tcW w:w="8068" w:type="dxa"/>
            <w:shd w:val="clear" w:color="auto" w:fill="FFFFFF" w:themeFill="background1"/>
          </w:tcPr>
          <w:p w14:paraId="3774B8AE" w14:textId="77777777" w:rsidR="00770A5B" w:rsidRPr="00770A5B" w:rsidRDefault="00770A5B" w:rsidP="00770A5B">
            <w:pPr>
              <w:keepNext w:val="0"/>
              <w:autoSpaceDE w:val="0"/>
              <w:autoSpaceDN w:val="0"/>
              <w:adjustRightInd w:val="0"/>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cs="Open Sans"/>
                <w:color w:val="333333"/>
                <w:sz w:val="24"/>
                <w:szCs w:val="24"/>
              </w:rPr>
            </w:pPr>
            <w:r w:rsidRPr="00770A5B">
              <w:rPr>
                <w:rFonts w:cs="Open Sans"/>
                <w:color w:val="333333"/>
                <w:sz w:val="24"/>
                <w:szCs w:val="24"/>
              </w:rPr>
              <w:t>Social Assistance Services</w:t>
            </w:r>
          </w:p>
        </w:tc>
      </w:tr>
      <w:tr w:rsidR="00770A5B" w:rsidRPr="00770A5B" w14:paraId="797B2FEF" w14:textId="77777777" w:rsidTr="00770A5B">
        <w:tc>
          <w:tcPr>
            <w:cnfStyle w:val="001000000000" w:firstRow="0" w:lastRow="0" w:firstColumn="1" w:lastColumn="0" w:oddVBand="0" w:evenVBand="0" w:oddHBand="0" w:evenHBand="0" w:firstRowFirstColumn="0" w:firstRowLastColumn="0" w:lastRowFirstColumn="0" w:lastRowLastColumn="0"/>
            <w:tcW w:w="1002" w:type="dxa"/>
            <w:shd w:val="clear" w:color="auto" w:fill="F2F2F2" w:themeFill="background2"/>
          </w:tcPr>
          <w:p w14:paraId="3A526E29" w14:textId="77777777" w:rsidR="00770A5B" w:rsidRPr="00770A5B" w:rsidRDefault="00770A5B" w:rsidP="00770A5B">
            <w:pPr>
              <w:keepNext w:val="0"/>
              <w:autoSpaceDE w:val="0"/>
              <w:autoSpaceDN w:val="0"/>
              <w:adjustRightInd w:val="0"/>
              <w:spacing w:before="0" w:after="0" w:line="240" w:lineRule="auto"/>
              <w:jc w:val="left"/>
              <w:rPr>
                <w:rFonts w:cs="Open Sans"/>
                <w:color w:val="333333"/>
                <w:sz w:val="24"/>
                <w:szCs w:val="24"/>
              </w:rPr>
            </w:pPr>
            <w:r w:rsidRPr="00770A5B">
              <w:rPr>
                <w:rFonts w:cs="Open Sans"/>
                <w:color w:val="333333"/>
                <w:sz w:val="24"/>
                <w:szCs w:val="24"/>
              </w:rPr>
              <w:t>R</w:t>
            </w:r>
          </w:p>
        </w:tc>
        <w:tc>
          <w:tcPr>
            <w:tcW w:w="8068" w:type="dxa"/>
            <w:shd w:val="clear" w:color="auto" w:fill="F2F2F2" w:themeFill="background2"/>
          </w:tcPr>
          <w:p w14:paraId="0758ECA5" w14:textId="77777777" w:rsidR="00770A5B" w:rsidRPr="00770A5B" w:rsidRDefault="00770A5B" w:rsidP="00770A5B">
            <w:pPr>
              <w:keepNext w:val="0"/>
              <w:autoSpaceDE w:val="0"/>
              <w:autoSpaceDN w:val="0"/>
              <w:adjustRightInd w:val="0"/>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cs="Open Sans"/>
                <w:color w:val="333333"/>
                <w:sz w:val="24"/>
                <w:szCs w:val="24"/>
              </w:rPr>
            </w:pPr>
            <w:r w:rsidRPr="00770A5B">
              <w:rPr>
                <w:rFonts w:cs="Open Sans"/>
                <w:color w:val="333333"/>
                <w:sz w:val="24"/>
                <w:szCs w:val="24"/>
              </w:rPr>
              <w:t>ARTS AND RECREATION SERVICES</w:t>
            </w:r>
          </w:p>
        </w:tc>
      </w:tr>
      <w:tr w:rsidR="00770A5B" w:rsidRPr="00770A5B" w14:paraId="3413C434" w14:textId="77777777" w:rsidTr="00770A5B">
        <w:tc>
          <w:tcPr>
            <w:cnfStyle w:val="001000000000" w:firstRow="0" w:lastRow="0" w:firstColumn="1" w:lastColumn="0" w:oddVBand="0" w:evenVBand="0" w:oddHBand="0" w:evenHBand="0" w:firstRowFirstColumn="0" w:firstRowLastColumn="0" w:lastRowFirstColumn="0" w:lastRowLastColumn="0"/>
            <w:tcW w:w="1002" w:type="dxa"/>
            <w:shd w:val="clear" w:color="auto" w:fill="FFFFFF" w:themeFill="background1"/>
          </w:tcPr>
          <w:p w14:paraId="05EAD44C" w14:textId="77777777" w:rsidR="00770A5B" w:rsidRPr="00770A5B" w:rsidRDefault="00770A5B" w:rsidP="00770A5B">
            <w:pPr>
              <w:keepNext w:val="0"/>
              <w:autoSpaceDE w:val="0"/>
              <w:autoSpaceDN w:val="0"/>
              <w:adjustRightInd w:val="0"/>
              <w:spacing w:before="0" w:after="0" w:line="240" w:lineRule="auto"/>
              <w:jc w:val="left"/>
              <w:rPr>
                <w:rFonts w:cs="Open Sans"/>
                <w:color w:val="333333"/>
                <w:sz w:val="24"/>
                <w:szCs w:val="24"/>
              </w:rPr>
            </w:pPr>
            <w:r w:rsidRPr="00770A5B">
              <w:rPr>
                <w:rFonts w:cs="Open Sans"/>
                <w:color w:val="333333"/>
                <w:sz w:val="24"/>
                <w:szCs w:val="24"/>
              </w:rPr>
              <w:t>89</w:t>
            </w:r>
          </w:p>
        </w:tc>
        <w:tc>
          <w:tcPr>
            <w:tcW w:w="8068" w:type="dxa"/>
            <w:shd w:val="clear" w:color="auto" w:fill="FFFFFF" w:themeFill="background1"/>
          </w:tcPr>
          <w:p w14:paraId="1CDF0D73" w14:textId="77777777" w:rsidR="00770A5B" w:rsidRPr="00770A5B" w:rsidRDefault="00770A5B" w:rsidP="00770A5B">
            <w:pPr>
              <w:keepNext w:val="0"/>
              <w:autoSpaceDE w:val="0"/>
              <w:autoSpaceDN w:val="0"/>
              <w:adjustRightInd w:val="0"/>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cs="Open Sans"/>
                <w:color w:val="333333"/>
                <w:sz w:val="24"/>
                <w:szCs w:val="24"/>
              </w:rPr>
            </w:pPr>
            <w:r w:rsidRPr="00770A5B">
              <w:rPr>
                <w:rFonts w:cs="Open Sans"/>
                <w:color w:val="333333"/>
                <w:sz w:val="24"/>
                <w:szCs w:val="24"/>
              </w:rPr>
              <w:t>Heritage Activities</w:t>
            </w:r>
          </w:p>
        </w:tc>
      </w:tr>
      <w:tr w:rsidR="00770A5B" w:rsidRPr="00770A5B" w14:paraId="3DC628A7" w14:textId="77777777" w:rsidTr="00770A5B">
        <w:tc>
          <w:tcPr>
            <w:cnfStyle w:val="001000000000" w:firstRow="0" w:lastRow="0" w:firstColumn="1" w:lastColumn="0" w:oddVBand="0" w:evenVBand="0" w:oddHBand="0" w:evenHBand="0" w:firstRowFirstColumn="0" w:firstRowLastColumn="0" w:lastRowFirstColumn="0" w:lastRowLastColumn="0"/>
            <w:tcW w:w="1002" w:type="dxa"/>
            <w:shd w:val="clear" w:color="auto" w:fill="FFFFFF" w:themeFill="background1"/>
          </w:tcPr>
          <w:p w14:paraId="755AC70B" w14:textId="77777777" w:rsidR="00770A5B" w:rsidRPr="00770A5B" w:rsidRDefault="00770A5B" w:rsidP="00770A5B">
            <w:pPr>
              <w:keepNext w:val="0"/>
              <w:autoSpaceDE w:val="0"/>
              <w:autoSpaceDN w:val="0"/>
              <w:adjustRightInd w:val="0"/>
              <w:spacing w:before="0" w:after="0" w:line="240" w:lineRule="auto"/>
              <w:jc w:val="left"/>
              <w:rPr>
                <w:rFonts w:cs="Open Sans"/>
                <w:color w:val="333333"/>
                <w:sz w:val="24"/>
                <w:szCs w:val="24"/>
              </w:rPr>
            </w:pPr>
            <w:r w:rsidRPr="00770A5B">
              <w:rPr>
                <w:rFonts w:cs="Open Sans"/>
                <w:color w:val="333333"/>
                <w:sz w:val="24"/>
                <w:szCs w:val="24"/>
              </w:rPr>
              <w:t>90</w:t>
            </w:r>
          </w:p>
        </w:tc>
        <w:tc>
          <w:tcPr>
            <w:tcW w:w="8068" w:type="dxa"/>
            <w:shd w:val="clear" w:color="auto" w:fill="FFFFFF" w:themeFill="background1"/>
          </w:tcPr>
          <w:p w14:paraId="3692EE21" w14:textId="77777777" w:rsidR="00770A5B" w:rsidRPr="00770A5B" w:rsidRDefault="00770A5B" w:rsidP="00770A5B">
            <w:pPr>
              <w:keepNext w:val="0"/>
              <w:autoSpaceDE w:val="0"/>
              <w:autoSpaceDN w:val="0"/>
              <w:adjustRightInd w:val="0"/>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cs="Open Sans"/>
                <w:color w:val="333333"/>
                <w:sz w:val="24"/>
                <w:szCs w:val="24"/>
              </w:rPr>
            </w:pPr>
            <w:r w:rsidRPr="00770A5B">
              <w:rPr>
                <w:rFonts w:cs="Open Sans"/>
                <w:color w:val="333333"/>
                <w:sz w:val="24"/>
                <w:szCs w:val="24"/>
              </w:rPr>
              <w:t>Creative and Performing Arts Activities</w:t>
            </w:r>
          </w:p>
        </w:tc>
      </w:tr>
      <w:tr w:rsidR="00770A5B" w:rsidRPr="00770A5B" w14:paraId="4C0CE0B0" w14:textId="77777777" w:rsidTr="00770A5B">
        <w:tc>
          <w:tcPr>
            <w:cnfStyle w:val="001000000000" w:firstRow="0" w:lastRow="0" w:firstColumn="1" w:lastColumn="0" w:oddVBand="0" w:evenVBand="0" w:oddHBand="0" w:evenHBand="0" w:firstRowFirstColumn="0" w:firstRowLastColumn="0" w:lastRowFirstColumn="0" w:lastRowLastColumn="0"/>
            <w:tcW w:w="1002" w:type="dxa"/>
            <w:shd w:val="clear" w:color="auto" w:fill="FFFFFF" w:themeFill="background1"/>
          </w:tcPr>
          <w:p w14:paraId="76125F23" w14:textId="77777777" w:rsidR="00770A5B" w:rsidRPr="00770A5B" w:rsidRDefault="00770A5B" w:rsidP="00770A5B">
            <w:pPr>
              <w:keepNext w:val="0"/>
              <w:autoSpaceDE w:val="0"/>
              <w:autoSpaceDN w:val="0"/>
              <w:adjustRightInd w:val="0"/>
              <w:spacing w:before="0" w:after="0" w:line="240" w:lineRule="auto"/>
              <w:jc w:val="left"/>
              <w:rPr>
                <w:rFonts w:cs="Open Sans"/>
                <w:color w:val="333333"/>
                <w:sz w:val="24"/>
                <w:szCs w:val="24"/>
              </w:rPr>
            </w:pPr>
            <w:r w:rsidRPr="00770A5B">
              <w:rPr>
                <w:rFonts w:cs="Open Sans"/>
                <w:color w:val="333333"/>
                <w:sz w:val="24"/>
                <w:szCs w:val="24"/>
              </w:rPr>
              <w:t>91</w:t>
            </w:r>
          </w:p>
        </w:tc>
        <w:tc>
          <w:tcPr>
            <w:tcW w:w="8068" w:type="dxa"/>
            <w:shd w:val="clear" w:color="auto" w:fill="FFFFFF" w:themeFill="background1"/>
          </w:tcPr>
          <w:p w14:paraId="39D8C511" w14:textId="77777777" w:rsidR="00770A5B" w:rsidRPr="00770A5B" w:rsidRDefault="00770A5B" w:rsidP="00770A5B">
            <w:pPr>
              <w:keepNext w:val="0"/>
              <w:autoSpaceDE w:val="0"/>
              <w:autoSpaceDN w:val="0"/>
              <w:adjustRightInd w:val="0"/>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cs="Open Sans"/>
                <w:color w:val="333333"/>
                <w:sz w:val="24"/>
                <w:szCs w:val="24"/>
              </w:rPr>
            </w:pPr>
            <w:r w:rsidRPr="00770A5B">
              <w:rPr>
                <w:rFonts w:cs="Open Sans"/>
                <w:color w:val="333333"/>
                <w:sz w:val="24"/>
                <w:szCs w:val="24"/>
              </w:rPr>
              <w:t>Sport and Recreation Activities</w:t>
            </w:r>
          </w:p>
        </w:tc>
      </w:tr>
      <w:tr w:rsidR="00770A5B" w:rsidRPr="00770A5B" w14:paraId="64DFD240" w14:textId="77777777" w:rsidTr="00770A5B">
        <w:tc>
          <w:tcPr>
            <w:cnfStyle w:val="001000000000" w:firstRow="0" w:lastRow="0" w:firstColumn="1" w:lastColumn="0" w:oddVBand="0" w:evenVBand="0" w:oddHBand="0" w:evenHBand="0" w:firstRowFirstColumn="0" w:firstRowLastColumn="0" w:lastRowFirstColumn="0" w:lastRowLastColumn="0"/>
            <w:tcW w:w="1002" w:type="dxa"/>
            <w:shd w:val="clear" w:color="auto" w:fill="FFFFFF" w:themeFill="background1"/>
          </w:tcPr>
          <w:p w14:paraId="25148CAB" w14:textId="77777777" w:rsidR="00770A5B" w:rsidRPr="00770A5B" w:rsidRDefault="00770A5B" w:rsidP="00770A5B">
            <w:pPr>
              <w:keepNext w:val="0"/>
              <w:autoSpaceDE w:val="0"/>
              <w:autoSpaceDN w:val="0"/>
              <w:adjustRightInd w:val="0"/>
              <w:spacing w:before="0" w:after="0" w:line="240" w:lineRule="auto"/>
              <w:jc w:val="left"/>
              <w:rPr>
                <w:rFonts w:cs="Open Sans"/>
                <w:color w:val="333333"/>
                <w:sz w:val="24"/>
                <w:szCs w:val="24"/>
              </w:rPr>
            </w:pPr>
            <w:r w:rsidRPr="00770A5B">
              <w:rPr>
                <w:rFonts w:cs="Open Sans"/>
                <w:color w:val="333333"/>
                <w:sz w:val="24"/>
                <w:szCs w:val="24"/>
              </w:rPr>
              <w:t>92</w:t>
            </w:r>
          </w:p>
        </w:tc>
        <w:tc>
          <w:tcPr>
            <w:tcW w:w="8068" w:type="dxa"/>
            <w:shd w:val="clear" w:color="auto" w:fill="FFFFFF" w:themeFill="background1"/>
          </w:tcPr>
          <w:p w14:paraId="20652F99" w14:textId="77777777" w:rsidR="00770A5B" w:rsidRPr="00770A5B" w:rsidRDefault="00770A5B" w:rsidP="00770A5B">
            <w:pPr>
              <w:keepNext w:val="0"/>
              <w:autoSpaceDE w:val="0"/>
              <w:autoSpaceDN w:val="0"/>
              <w:adjustRightInd w:val="0"/>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cs="Open Sans"/>
                <w:color w:val="333333"/>
                <w:sz w:val="24"/>
                <w:szCs w:val="24"/>
              </w:rPr>
            </w:pPr>
            <w:r w:rsidRPr="00770A5B">
              <w:rPr>
                <w:rFonts w:cs="Open Sans"/>
                <w:color w:val="333333"/>
                <w:sz w:val="24"/>
                <w:szCs w:val="24"/>
              </w:rPr>
              <w:t>Gambling Activities</w:t>
            </w:r>
          </w:p>
        </w:tc>
      </w:tr>
      <w:tr w:rsidR="00770A5B" w:rsidRPr="00770A5B" w14:paraId="60B6B99B" w14:textId="77777777" w:rsidTr="00770A5B">
        <w:tc>
          <w:tcPr>
            <w:cnfStyle w:val="001000000000" w:firstRow="0" w:lastRow="0" w:firstColumn="1" w:lastColumn="0" w:oddVBand="0" w:evenVBand="0" w:oddHBand="0" w:evenHBand="0" w:firstRowFirstColumn="0" w:firstRowLastColumn="0" w:lastRowFirstColumn="0" w:lastRowLastColumn="0"/>
            <w:tcW w:w="1002" w:type="dxa"/>
            <w:shd w:val="clear" w:color="auto" w:fill="F2F2F2" w:themeFill="background2"/>
          </w:tcPr>
          <w:p w14:paraId="7991E100" w14:textId="77777777" w:rsidR="00770A5B" w:rsidRPr="00770A5B" w:rsidRDefault="00770A5B" w:rsidP="00770A5B">
            <w:pPr>
              <w:keepNext w:val="0"/>
              <w:autoSpaceDE w:val="0"/>
              <w:autoSpaceDN w:val="0"/>
              <w:adjustRightInd w:val="0"/>
              <w:spacing w:before="0" w:after="0" w:line="240" w:lineRule="auto"/>
              <w:jc w:val="left"/>
              <w:rPr>
                <w:rFonts w:cs="Open Sans"/>
                <w:color w:val="333333"/>
                <w:sz w:val="24"/>
                <w:szCs w:val="24"/>
              </w:rPr>
            </w:pPr>
            <w:r w:rsidRPr="00770A5B">
              <w:rPr>
                <w:rFonts w:cs="Open Sans"/>
                <w:color w:val="333333"/>
                <w:sz w:val="24"/>
                <w:szCs w:val="24"/>
              </w:rPr>
              <w:t>S</w:t>
            </w:r>
          </w:p>
        </w:tc>
        <w:tc>
          <w:tcPr>
            <w:tcW w:w="8068" w:type="dxa"/>
            <w:shd w:val="clear" w:color="auto" w:fill="F2F2F2" w:themeFill="background2"/>
          </w:tcPr>
          <w:p w14:paraId="6C71B196" w14:textId="77777777" w:rsidR="00770A5B" w:rsidRPr="00770A5B" w:rsidRDefault="00770A5B" w:rsidP="00770A5B">
            <w:pPr>
              <w:keepNext w:val="0"/>
              <w:autoSpaceDE w:val="0"/>
              <w:autoSpaceDN w:val="0"/>
              <w:adjustRightInd w:val="0"/>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cs="Open Sans"/>
                <w:color w:val="333333"/>
                <w:sz w:val="24"/>
                <w:szCs w:val="24"/>
              </w:rPr>
            </w:pPr>
            <w:r w:rsidRPr="00770A5B">
              <w:rPr>
                <w:rFonts w:cs="Open Sans"/>
                <w:color w:val="333333"/>
                <w:sz w:val="24"/>
                <w:szCs w:val="24"/>
              </w:rPr>
              <w:t>OTHER SERVICES</w:t>
            </w:r>
          </w:p>
        </w:tc>
      </w:tr>
      <w:tr w:rsidR="00770A5B" w:rsidRPr="00770A5B" w14:paraId="77B3B5D8" w14:textId="77777777" w:rsidTr="00770A5B">
        <w:tc>
          <w:tcPr>
            <w:cnfStyle w:val="001000000000" w:firstRow="0" w:lastRow="0" w:firstColumn="1" w:lastColumn="0" w:oddVBand="0" w:evenVBand="0" w:oddHBand="0" w:evenHBand="0" w:firstRowFirstColumn="0" w:firstRowLastColumn="0" w:lastRowFirstColumn="0" w:lastRowLastColumn="0"/>
            <w:tcW w:w="1002" w:type="dxa"/>
            <w:shd w:val="clear" w:color="auto" w:fill="FFFFFF" w:themeFill="background1"/>
          </w:tcPr>
          <w:p w14:paraId="5CFB61B9" w14:textId="77777777" w:rsidR="00770A5B" w:rsidRPr="00770A5B" w:rsidRDefault="00770A5B" w:rsidP="00770A5B">
            <w:pPr>
              <w:keepNext w:val="0"/>
              <w:autoSpaceDE w:val="0"/>
              <w:autoSpaceDN w:val="0"/>
              <w:adjustRightInd w:val="0"/>
              <w:spacing w:before="0" w:after="0" w:line="240" w:lineRule="auto"/>
              <w:jc w:val="left"/>
              <w:rPr>
                <w:rFonts w:cs="Open Sans"/>
                <w:color w:val="333333"/>
                <w:sz w:val="24"/>
                <w:szCs w:val="24"/>
              </w:rPr>
            </w:pPr>
            <w:r w:rsidRPr="00770A5B">
              <w:rPr>
                <w:rFonts w:cs="Open Sans"/>
                <w:color w:val="333333"/>
                <w:sz w:val="24"/>
                <w:szCs w:val="24"/>
              </w:rPr>
              <w:t>94</w:t>
            </w:r>
          </w:p>
        </w:tc>
        <w:tc>
          <w:tcPr>
            <w:tcW w:w="8068" w:type="dxa"/>
            <w:shd w:val="clear" w:color="auto" w:fill="FFFFFF" w:themeFill="background1"/>
          </w:tcPr>
          <w:p w14:paraId="32E0DE0F" w14:textId="77777777" w:rsidR="00770A5B" w:rsidRPr="00770A5B" w:rsidRDefault="00770A5B" w:rsidP="00770A5B">
            <w:pPr>
              <w:keepNext w:val="0"/>
              <w:autoSpaceDE w:val="0"/>
              <w:autoSpaceDN w:val="0"/>
              <w:adjustRightInd w:val="0"/>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cs="Open Sans"/>
                <w:color w:val="333333"/>
                <w:sz w:val="24"/>
                <w:szCs w:val="24"/>
              </w:rPr>
            </w:pPr>
            <w:r w:rsidRPr="00770A5B">
              <w:rPr>
                <w:rFonts w:cs="Open Sans"/>
                <w:color w:val="333333"/>
                <w:sz w:val="24"/>
                <w:szCs w:val="24"/>
              </w:rPr>
              <w:t>Repair and Maintenance</w:t>
            </w:r>
          </w:p>
        </w:tc>
      </w:tr>
      <w:tr w:rsidR="00770A5B" w:rsidRPr="00770A5B" w14:paraId="1C904E80" w14:textId="77777777" w:rsidTr="00770A5B">
        <w:tc>
          <w:tcPr>
            <w:cnfStyle w:val="001000000000" w:firstRow="0" w:lastRow="0" w:firstColumn="1" w:lastColumn="0" w:oddVBand="0" w:evenVBand="0" w:oddHBand="0" w:evenHBand="0" w:firstRowFirstColumn="0" w:firstRowLastColumn="0" w:lastRowFirstColumn="0" w:lastRowLastColumn="0"/>
            <w:tcW w:w="1002" w:type="dxa"/>
            <w:shd w:val="clear" w:color="auto" w:fill="FFFFFF" w:themeFill="background1"/>
          </w:tcPr>
          <w:p w14:paraId="44541BDA" w14:textId="77777777" w:rsidR="00770A5B" w:rsidRPr="00770A5B" w:rsidRDefault="00770A5B" w:rsidP="00770A5B">
            <w:pPr>
              <w:keepNext w:val="0"/>
              <w:autoSpaceDE w:val="0"/>
              <w:autoSpaceDN w:val="0"/>
              <w:adjustRightInd w:val="0"/>
              <w:spacing w:before="0" w:after="0" w:line="240" w:lineRule="auto"/>
              <w:jc w:val="left"/>
              <w:rPr>
                <w:rFonts w:cs="Open Sans"/>
                <w:color w:val="333333"/>
                <w:sz w:val="24"/>
                <w:szCs w:val="24"/>
              </w:rPr>
            </w:pPr>
            <w:r w:rsidRPr="00770A5B">
              <w:rPr>
                <w:rFonts w:cs="Open Sans"/>
                <w:color w:val="333333"/>
                <w:sz w:val="24"/>
                <w:szCs w:val="24"/>
              </w:rPr>
              <w:t>95</w:t>
            </w:r>
          </w:p>
        </w:tc>
        <w:tc>
          <w:tcPr>
            <w:tcW w:w="8068" w:type="dxa"/>
            <w:shd w:val="clear" w:color="auto" w:fill="FFFFFF" w:themeFill="background1"/>
          </w:tcPr>
          <w:p w14:paraId="69BD41C0" w14:textId="77777777" w:rsidR="00770A5B" w:rsidRPr="00770A5B" w:rsidRDefault="00770A5B" w:rsidP="00770A5B">
            <w:pPr>
              <w:keepNext w:val="0"/>
              <w:autoSpaceDE w:val="0"/>
              <w:autoSpaceDN w:val="0"/>
              <w:adjustRightInd w:val="0"/>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cs="Open Sans"/>
                <w:color w:val="333333"/>
                <w:sz w:val="24"/>
                <w:szCs w:val="24"/>
              </w:rPr>
            </w:pPr>
            <w:r w:rsidRPr="00770A5B">
              <w:rPr>
                <w:rFonts w:cs="Open Sans"/>
                <w:color w:val="333333"/>
                <w:sz w:val="24"/>
                <w:szCs w:val="24"/>
              </w:rPr>
              <w:t>Personal and Other Services</w:t>
            </w:r>
          </w:p>
        </w:tc>
      </w:tr>
      <w:tr w:rsidR="00770A5B" w:rsidRPr="00770A5B" w14:paraId="2D084303" w14:textId="77777777" w:rsidTr="00770A5B">
        <w:tc>
          <w:tcPr>
            <w:cnfStyle w:val="001000000000" w:firstRow="0" w:lastRow="0" w:firstColumn="1" w:lastColumn="0" w:oddVBand="0" w:evenVBand="0" w:oddHBand="0" w:evenHBand="0" w:firstRowFirstColumn="0" w:firstRowLastColumn="0" w:lastRowFirstColumn="0" w:lastRowLastColumn="0"/>
            <w:tcW w:w="1002" w:type="dxa"/>
            <w:shd w:val="clear" w:color="auto" w:fill="FFFFFF" w:themeFill="background1"/>
          </w:tcPr>
          <w:p w14:paraId="67203F9E" w14:textId="77777777" w:rsidR="00770A5B" w:rsidRPr="00770A5B" w:rsidRDefault="00770A5B" w:rsidP="00770A5B">
            <w:pPr>
              <w:keepNext w:val="0"/>
              <w:autoSpaceDE w:val="0"/>
              <w:autoSpaceDN w:val="0"/>
              <w:adjustRightInd w:val="0"/>
              <w:spacing w:before="0" w:after="0" w:line="240" w:lineRule="auto"/>
              <w:jc w:val="left"/>
              <w:rPr>
                <w:rFonts w:cs="Open Sans"/>
                <w:color w:val="333333"/>
                <w:sz w:val="24"/>
                <w:szCs w:val="24"/>
              </w:rPr>
            </w:pPr>
            <w:r w:rsidRPr="00770A5B">
              <w:rPr>
                <w:rFonts w:cs="Open Sans"/>
                <w:color w:val="333333"/>
                <w:sz w:val="24"/>
                <w:szCs w:val="24"/>
              </w:rPr>
              <w:t>96</w:t>
            </w:r>
          </w:p>
        </w:tc>
        <w:tc>
          <w:tcPr>
            <w:tcW w:w="8068" w:type="dxa"/>
            <w:shd w:val="clear" w:color="auto" w:fill="FFFFFF" w:themeFill="background1"/>
          </w:tcPr>
          <w:p w14:paraId="5B35764D" w14:textId="77777777" w:rsidR="00770A5B" w:rsidRPr="00770A5B" w:rsidRDefault="00770A5B" w:rsidP="00770A5B">
            <w:pPr>
              <w:keepNext w:val="0"/>
              <w:autoSpaceDE w:val="0"/>
              <w:autoSpaceDN w:val="0"/>
              <w:adjustRightInd w:val="0"/>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cs="Open Sans"/>
                <w:color w:val="333333"/>
                <w:sz w:val="24"/>
                <w:szCs w:val="24"/>
              </w:rPr>
            </w:pPr>
            <w:r w:rsidRPr="00770A5B">
              <w:rPr>
                <w:rFonts w:cs="Open Sans"/>
                <w:color w:val="333333"/>
                <w:sz w:val="24"/>
                <w:szCs w:val="24"/>
              </w:rPr>
              <w:t>Private Households Employing Staff and Undifferentiated Goods- and Service-Producing Activities of Households for Own Use</w:t>
            </w:r>
          </w:p>
        </w:tc>
      </w:tr>
    </w:tbl>
    <w:p w14:paraId="50880BC3" w14:textId="77777777" w:rsidR="00257A85" w:rsidRDefault="00257A85">
      <w:pPr>
        <w:spacing w:before="0" w:after="0" w:line="240" w:lineRule="auto"/>
        <w:jc w:val="left"/>
        <w:rPr>
          <w:rFonts w:ascii="Open Sans Light" w:hAnsi="Open Sans Light" w:cs="Arial"/>
          <w:bCs/>
          <w:color w:val="207BA1"/>
          <w:sz w:val="40"/>
          <w:szCs w:val="40"/>
          <w:highlight w:val="lightGray"/>
        </w:rPr>
      </w:pPr>
      <w:r>
        <w:rPr>
          <w:rFonts w:cs="Arial"/>
          <w:bCs/>
          <w:color w:val="207BA1"/>
          <w:highlight w:val="lightGray"/>
        </w:rPr>
        <w:br w:type="page"/>
      </w:r>
    </w:p>
    <w:p w14:paraId="125CBFDE" w14:textId="66134D5C" w:rsidR="008E726F" w:rsidRDefault="00FA3533" w:rsidP="00FA3533">
      <w:pPr>
        <w:pStyle w:val="Heading2"/>
      </w:pPr>
      <w:bookmarkStart w:id="203" w:name="_Toc79671835"/>
      <w:r>
        <w:lastRenderedPageBreak/>
        <w:t>D</w:t>
      </w:r>
      <w:r>
        <w:tab/>
      </w:r>
      <w:r w:rsidR="00AB6986">
        <w:t>References</w:t>
      </w:r>
      <w:bookmarkEnd w:id="203"/>
    </w:p>
    <w:p w14:paraId="0B395219" w14:textId="77777777" w:rsidR="0047327B" w:rsidRDefault="0047327B" w:rsidP="008E726F">
      <w:pPr>
        <w:pStyle w:val="BodyText"/>
      </w:pPr>
      <w:proofErr w:type="spellStart"/>
      <w:r w:rsidRPr="00FB5CD7">
        <w:t>Akerman</w:t>
      </w:r>
      <w:proofErr w:type="spellEnd"/>
      <w:r w:rsidRPr="00FB5CD7">
        <w:t>,</w:t>
      </w:r>
      <w:r>
        <w:t xml:space="preserve"> A. </w:t>
      </w:r>
      <w:proofErr w:type="spellStart"/>
      <w:r w:rsidRPr="00FB5CD7">
        <w:t>Gaarder</w:t>
      </w:r>
      <w:proofErr w:type="spellEnd"/>
      <w:r>
        <w:t xml:space="preserve">, I., </w:t>
      </w:r>
      <w:proofErr w:type="spellStart"/>
      <w:r w:rsidRPr="00FB5CD7">
        <w:t>Mogstad</w:t>
      </w:r>
      <w:proofErr w:type="spellEnd"/>
      <w:r>
        <w:t>, M. (2015). The skill complementarity of broadband internet.</w:t>
      </w:r>
      <w:r w:rsidRPr="00FB5CD7">
        <w:t xml:space="preserve"> </w:t>
      </w:r>
      <w:r w:rsidRPr="00826439">
        <w:rPr>
          <w:i/>
          <w:iCs/>
        </w:rPr>
        <w:t>The Quarterly Journal of Economics</w:t>
      </w:r>
      <w:r w:rsidRPr="00FB5CD7">
        <w:t>, 130</w:t>
      </w:r>
      <w:r>
        <w:t>(</w:t>
      </w:r>
      <w:r w:rsidRPr="00FB5CD7">
        <w:t>4</w:t>
      </w:r>
      <w:r>
        <w:t>)</w:t>
      </w:r>
      <w:r w:rsidRPr="00FB5CD7">
        <w:t>, pp. 1781-1824</w:t>
      </w:r>
      <w:r>
        <w:t>.</w:t>
      </w:r>
    </w:p>
    <w:p w14:paraId="310F4BE2" w14:textId="77777777" w:rsidR="0047327B" w:rsidRDefault="0047327B" w:rsidP="008E726F">
      <w:pPr>
        <w:pStyle w:val="BodyText"/>
      </w:pPr>
      <w:proofErr w:type="spellStart"/>
      <w:r w:rsidRPr="00932B5E">
        <w:t>AlphaBeta</w:t>
      </w:r>
      <w:proofErr w:type="spellEnd"/>
      <w:r w:rsidRPr="00932B5E">
        <w:t xml:space="preserve"> </w:t>
      </w:r>
      <w:r>
        <w:t xml:space="preserve">Australia </w:t>
      </w:r>
      <w:r w:rsidRPr="00932B5E">
        <w:t>(20</w:t>
      </w:r>
      <w:r>
        <w:t>20</w:t>
      </w:r>
      <w:r w:rsidRPr="00932B5E">
        <w:t>)</w:t>
      </w:r>
      <w:r>
        <w:t xml:space="preserve">. </w:t>
      </w:r>
      <w:r w:rsidRPr="00EF1C88">
        <w:rPr>
          <w:i/>
          <w:iCs/>
        </w:rPr>
        <w:t>Economic Impact Analysis</w:t>
      </w:r>
      <w:r>
        <w:t>, NBN Network Investment Plan.</w:t>
      </w:r>
    </w:p>
    <w:p w14:paraId="32DEE12D" w14:textId="6AB6714C" w:rsidR="0047327B" w:rsidRPr="001B6EBB" w:rsidRDefault="0047327B" w:rsidP="008E726F">
      <w:pPr>
        <w:pStyle w:val="BodyText"/>
      </w:pPr>
      <w:r>
        <w:t>A</w:t>
      </w:r>
      <w:r w:rsidRPr="001B6EBB">
        <w:t xml:space="preserve">ustralian </w:t>
      </w:r>
      <w:r>
        <w:t>C</w:t>
      </w:r>
      <w:r w:rsidRPr="001B6EBB">
        <w:t xml:space="preserve">ompetition and </w:t>
      </w:r>
      <w:r>
        <w:t>C</w:t>
      </w:r>
      <w:r w:rsidRPr="001B6EBB">
        <w:t xml:space="preserve">onsumer </w:t>
      </w:r>
      <w:r>
        <w:t>C</w:t>
      </w:r>
      <w:r w:rsidRPr="001B6EBB">
        <w:t xml:space="preserve">ommission </w:t>
      </w:r>
      <w:r>
        <w:t xml:space="preserve">(2020). </w:t>
      </w:r>
      <w:r w:rsidRPr="001B6EBB">
        <w:t>Communications Market Report 2019-20, available</w:t>
      </w:r>
      <w:r>
        <w:t xml:space="preserve"> at: </w:t>
      </w:r>
      <w:hyperlink r:id="rId67" w:history="1">
        <w:r>
          <w:rPr>
            <w:rStyle w:val="Hyperlink"/>
          </w:rPr>
          <w:t>https://www.accc.gov.au/system/files/20-47RPT_Communications_Market_Report_FA.pdf</w:t>
        </w:r>
      </w:hyperlink>
    </w:p>
    <w:p w14:paraId="2B7142CB" w14:textId="74255276" w:rsidR="0047327B" w:rsidRPr="001B6EBB" w:rsidRDefault="0047327B" w:rsidP="008E726F">
      <w:pPr>
        <w:pStyle w:val="BodyText"/>
        <w:rPr>
          <w:u w:val="single"/>
        </w:rPr>
      </w:pPr>
      <w:r>
        <w:t>A</w:t>
      </w:r>
      <w:r w:rsidRPr="001B6EBB">
        <w:t xml:space="preserve">ustralian </w:t>
      </w:r>
      <w:r>
        <w:t>C</w:t>
      </w:r>
      <w:r w:rsidRPr="001B6EBB">
        <w:t xml:space="preserve">ompetition and </w:t>
      </w:r>
      <w:r>
        <w:t>C</w:t>
      </w:r>
      <w:r w:rsidRPr="001B6EBB">
        <w:t xml:space="preserve">onsumer </w:t>
      </w:r>
      <w:r>
        <w:t>C</w:t>
      </w:r>
      <w:r w:rsidRPr="001B6EBB">
        <w:t xml:space="preserve">ommission </w:t>
      </w:r>
      <w:r>
        <w:t xml:space="preserve">(2020). </w:t>
      </w:r>
      <w:r w:rsidRPr="001B6EBB">
        <w:t>Preliminary view on LTRCM capital expenditure and operating expenditure for 2019-20</w:t>
      </w:r>
      <w:r>
        <w:t xml:space="preserve">, available at: </w:t>
      </w:r>
      <w:hyperlink r:id="rId68" w:history="1">
        <w:r>
          <w:rPr>
            <w:rStyle w:val="Hyperlink"/>
          </w:rPr>
          <w:t>https://www.accc.gov.au/system/files/LTRCM%202019-20%20-%20ACCC%20preliminary%20view%20note.pdf</w:t>
        </w:r>
      </w:hyperlink>
    </w:p>
    <w:p w14:paraId="331C33DC" w14:textId="77777777" w:rsidR="0047327B" w:rsidRDefault="0047327B" w:rsidP="008E726F">
      <w:pPr>
        <w:pStyle w:val="BodyText"/>
      </w:pPr>
      <w:r w:rsidRPr="006A623D">
        <w:t xml:space="preserve">Bai, </w:t>
      </w:r>
      <w:r>
        <w:t>Y.</w:t>
      </w:r>
      <w:r w:rsidRPr="006A623D">
        <w:t xml:space="preserve"> </w:t>
      </w:r>
      <w:r>
        <w:t>(2017)</w:t>
      </w:r>
      <w:r w:rsidRPr="006A623D">
        <w:t>. The faster, the better? The impact of internet speed on employment</w:t>
      </w:r>
      <w:r>
        <w:t>,</w:t>
      </w:r>
      <w:r w:rsidRPr="006A623D">
        <w:t xml:space="preserve"> </w:t>
      </w:r>
      <w:r w:rsidRPr="00826439">
        <w:rPr>
          <w:i/>
          <w:iCs/>
        </w:rPr>
        <w:t>Information Economics and Policy</w:t>
      </w:r>
      <w:r w:rsidRPr="006A623D">
        <w:t xml:space="preserve">, 40(C), </w:t>
      </w:r>
      <w:r>
        <w:t xml:space="preserve">pp. </w:t>
      </w:r>
      <w:r w:rsidRPr="006A623D">
        <w:t>21-25.</w:t>
      </w:r>
    </w:p>
    <w:p w14:paraId="5BFE5367" w14:textId="56D9819C" w:rsidR="0047327B" w:rsidRPr="00695285" w:rsidRDefault="0047327B" w:rsidP="008E726F">
      <w:pPr>
        <w:pStyle w:val="BodyText"/>
      </w:pPr>
      <w:r>
        <w:t xml:space="preserve">Brake and Atkinson (2019), </w:t>
      </w:r>
      <w:proofErr w:type="gramStart"/>
      <w:r>
        <w:rPr>
          <w:i/>
          <w:iCs/>
        </w:rPr>
        <w:t>A</w:t>
      </w:r>
      <w:proofErr w:type="gramEnd"/>
      <w:r>
        <w:rPr>
          <w:i/>
          <w:iCs/>
        </w:rPr>
        <w:t xml:space="preserve"> policymaker’s guide to broadband competition</w:t>
      </w:r>
      <w:r>
        <w:t xml:space="preserve">, available at: </w:t>
      </w:r>
      <w:hyperlink r:id="rId69" w:history="1">
        <w:r w:rsidRPr="009B2D85">
          <w:rPr>
            <w:rStyle w:val="Hyperlink"/>
          </w:rPr>
          <w:t>https://itif.org/publications/2019/09/03/policymakers-guide-broadband-competition</w:t>
        </w:r>
      </w:hyperlink>
      <w:r>
        <w:t xml:space="preserve"> </w:t>
      </w:r>
    </w:p>
    <w:p w14:paraId="46D27BC2" w14:textId="77777777" w:rsidR="0047327B" w:rsidRDefault="0047327B" w:rsidP="008E726F">
      <w:pPr>
        <w:pStyle w:val="BodyText"/>
      </w:pPr>
      <w:proofErr w:type="spellStart"/>
      <w:r w:rsidRPr="00AB6986">
        <w:t>Bresnahan</w:t>
      </w:r>
      <w:proofErr w:type="spellEnd"/>
      <w:r w:rsidRPr="00AB6986">
        <w:t xml:space="preserve"> &amp; </w:t>
      </w:r>
      <w:proofErr w:type="spellStart"/>
      <w:r w:rsidRPr="00AB6986">
        <w:t>Trajtenberg</w:t>
      </w:r>
      <w:proofErr w:type="spellEnd"/>
      <w:r>
        <w:t xml:space="preserve"> (1995)</w:t>
      </w:r>
      <w:r w:rsidRPr="00AB6986">
        <w:t xml:space="preserve">, “General purpose technologies ‘Engines of growth’?” </w:t>
      </w:r>
      <w:r w:rsidRPr="00AB6986">
        <w:rPr>
          <w:i/>
          <w:iCs/>
        </w:rPr>
        <w:t>Journal of Econometrics</w:t>
      </w:r>
      <w:r w:rsidRPr="00AB6986">
        <w:t>, Volume 65, Issue 1, January, Pages 83-</w:t>
      </w:r>
      <w:proofErr w:type="gramStart"/>
      <w:r w:rsidRPr="00AB6986">
        <w:t>108</w:t>
      </w:r>
      <w:r w:rsidRPr="00AB6986" w:rsidDel="002B545E">
        <w:t xml:space="preserve"> </w:t>
      </w:r>
      <w:r>
        <w:t>.</w:t>
      </w:r>
      <w:proofErr w:type="gramEnd"/>
    </w:p>
    <w:p w14:paraId="13E2A1D6" w14:textId="77777777" w:rsidR="0047327B" w:rsidRDefault="0047327B" w:rsidP="008E726F">
      <w:pPr>
        <w:pStyle w:val="BodyText"/>
      </w:pPr>
      <w:proofErr w:type="spellStart"/>
      <w:r w:rsidRPr="00B54ADE">
        <w:t>Bresnahan</w:t>
      </w:r>
      <w:proofErr w:type="spellEnd"/>
      <w:r w:rsidRPr="00B54ADE">
        <w:t xml:space="preserve"> and Reiss, </w:t>
      </w:r>
      <w:proofErr w:type="gramStart"/>
      <w:r w:rsidRPr="00B54ADE">
        <w:rPr>
          <w:i/>
          <w:iCs/>
        </w:rPr>
        <w:t>The</w:t>
      </w:r>
      <w:proofErr w:type="gramEnd"/>
      <w:r w:rsidRPr="00B54ADE">
        <w:rPr>
          <w:i/>
          <w:iCs/>
        </w:rPr>
        <w:t xml:space="preserve"> Journal of Political Economy</w:t>
      </w:r>
      <w:r w:rsidRPr="00B54ADE">
        <w:t>, Vol. 99, No. 5. (Oct., 1991), pp. 977-1009.</w:t>
      </w:r>
    </w:p>
    <w:p w14:paraId="786758D8" w14:textId="77777777" w:rsidR="0047327B" w:rsidRPr="00885B0A" w:rsidRDefault="0047327B" w:rsidP="008E726F">
      <w:pPr>
        <w:pStyle w:val="BodyText"/>
      </w:pPr>
      <w:proofErr w:type="spellStart"/>
      <w:r w:rsidRPr="00442ACE">
        <w:t>Briglauer</w:t>
      </w:r>
      <w:proofErr w:type="spellEnd"/>
      <w:r w:rsidRPr="00442ACE">
        <w:t xml:space="preserve"> et al. (2021) A retrospective study on the regional benefits and </w:t>
      </w:r>
      <w:proofErr w:type="spellStart"/>
      <w:r w:rsidRPr="00442ACE">
        <w:t>spillover</w:t>
      </w:r>
      <w:proofErr w:type="spellEnd"/>
      <w:r w:rsidRPr="00442ACE">
        <w:t xml:space="preserve"> effects of high-speed broadband networks</w:t>
      </w:r>
      <w:r>
        <w:t>:</w:t>
      </w:r>
      <w:r w:rsidRPr="00442ACE">
        <w:t xml:space="preserve"> Evidence from German counties</w:t>
      </w:r>
      <w:r>
        <w:t xml:space="preserve">, </w:t>
      </w:r>
      <w:r w:rsidRPr="00826439">
        <w:rPr>
          <w:i/>
          <w:iCs/>
        </w:rPr>
        <w:t>International Journal of Industrial Organization</w:t>
      </w:r>
      <w:r>
        <w:t xml:space="preserve">, </w:t>
      </w:r>
      <w:proofErr w:type="gramStart"/>
      <w:r>
        <w:t>74,102677</w:t>
      </w:r>
      <w:r w:rsidRPr="00885B0A" w:rsidDel="002B545E">
        <w:t xml:space="preserve"> </w:t>
      </w:r>
      <w:r>
        <w:t>.</w:t>
      </w:r>
      <w:proofErr w:type="gramEnd"/>
    </w:p>
    <w:p w14:paraId="2FC848F6" w14:textId="77777777" w:rsidR="0047327B" w:rsidRPr="00442ACE" w:rsidRDefault="0047327B" w:rsidP="008E726F">
      <w:pPr>
        <w:pStyle w:val="BodyText"/>
      </w:pPr>
      <w:proofErr w:type="spellStart"/>
      <w:r w:rsidRPr="00442ACE">
        <w:t>Briglauer</w:t>
      </w:r>
      <w:proofErr w:type="spellEnd"/>
      <w:r>
        <w:t xml:space="preserve">, W.; </w:t>
      </w:r>
      <w:proofErr w:type="spellStart"/>
      <w:r w:rsidRPr="00442ACE">
        <w:t>Gugler</w:t>
      </w:r>
      <w:proofErr w:type="spellEnd"/>
      <w:r>
        <w:t xml:space="preserve">, K. </w:t>
      </w:r>
      <w:r w:rsidRPr="00442ACE">
        <w:t>(2019)</w:t>
      </w:r>
      <w:r>
        <w:t>.</w:t>
      </w:r>
      <w:r w:rsidRPr="00442ACE">
        <w:t xml:space="preserve"> Go for Gigabit First Evidence on Economic Beneﬁts of High-speed Broadband Technologies in Europe</w:t>
      </w:r>
      <w:r>
        <w:t xml:space="preserve">, </w:t>
      </w:r>
      <w:r>
        <w:rPr>
          <w:i/>
          <w:iCs/>
        </w:rPr>
        <w:t>Journal of Common Market Studies</w:t>
      </w:r>
      <w:r>
        <w:t xml:space="preserve">, </w:t>
      </w:r>
      <w:r w:rsidRPr="00442ACE">
        <w:t>57</w:t>
      </w:r>
      <w:r>
        <w:t>(</w:t>
      </w:r>
      <w:r w:rsidRPr="00442ACE">
        <w:t>5</w:t>
      </w:r>
      <w:r>
        <w:t>),</w:t>
      </w:r>
      <w:r w:rsidRPr="00442ACE">
        <w:t xml:space="preserve"> pp. 1071–1090</w:t>
      </w:r>
      <w:r>
        <w:t>.</w:t>
      </w:r>
    </w:p>
    <w:p w14:paraId="31A3CDD3" w14:textId="77777777" w:rsidR="0047327B" w:rsidRDefault="0047327B" w:rsidP="008E726F">
      <w:pPr>
        <w:pStyle w:val="BodyText"/>
      </w:pPr>
      <w:proofErr w:type="spellStart"/>
      <w:r w:rsidRPr="000B4ED6">
        <w:t>Canzian</w:t>
      </w:r>
      <w:proofErr w:type="spellEnd"/>
      <w:r w:rsidRPr="000B4ED6">
        <w:t xml:space="preserve">, G., </w:t>
      </w:r>
      <w:proofErr w:type="spellStart"/>
      <w:r w:rsidRPr="000B4ED6">
        <w:t>Poy</w:t>
      </w:r>
      <w:proofErr w:type="spellEnd"/>
      <w:r w:rsidRPr="000B4ED6">
        <w:t xml:space="preserve">, S., &amp; </w:t>
      </w:r>
      <w:proofErr w:type="spellStart"/>
      <w:r w:rsidRPr="000B4ED6">
        <w:t>Schüller</w:t>
      </w:r>
      <w:proofErr w:type="spellEnd"/>
      <w:r w:rsidRPr="000B4ED6">
        <w:t>, S. (201</w:t>
      </w:r>
      <w:r>
        <w:t>9</w:t>
      </w:r>
      <w:r w:rsidRPr="000B4ED6">
        <w:t>). Broadband upgrade and firm performance in rural areas: Quasi-experimental evidence</w:t>
      </w:r>
      <w:r>
        <w:t xml:space="preserve">, </w:t>
      </w:r>
      <w:r w:rsidRPr="00826439">
        <w:rPr>
          <w:i/>
          <w:iCs/>
        </w:rPr>
        <w:t>Regional Science and Urban Economics</w:t>
      </w:r>
      <w:r>
        <w:t>, 77, pp 87-103.</w:t>
      </w:r>
    </w:p>
    <w:p w14:paraId="741BE3ED" w14:textId="77777777" w:rsidR="0047327B" w:rsidRDefault="0047327B" w:rsidP="00AD0B20">
      <w:pPr>
        <w:pStyle w:val="BodyText"/>
      </w:pPr>
      <w:r>
        <w:t>Centre on Regulation in Europe (2017). Demand-Side Policies to Accelerate the Transition to Ultrafast Broadband.</w:t>
      </w:r>
    </w:p>
    <w:p w14:paraId="6D03F7DA" w14:textId="77777777" w:rsidR="0047327B" w:rsidRDefault="0047327B" w:rsidP="008E726F">
      <w:pPr>
        <w:pStyle w:val="BodyText"/>
      </w:pPr>
      <w:r w:rsidRPr="0047327B">
        <w:t xml:space="preserve">Clarke, </w:t>
      </w:r>
      <w:proofErr w:type="spellStart"/>
      <w:r w:rsidRPr="0047327B">
        <w:t>Qiang</w:t>
      </w:r>
      <w:proofErr w:type="spellEnd"/>
      <w:r w:rsidRPr="0047327B">
        <w:t xml:space="preserve"> and Xu, </w:t>
      </w:r>
      <w:proofErr w:type="gramStart"/>
      <w:r w:rsidRPr="0047327B">
        <w:rPr>
          <w:i/>
          <w:iCs/>
        </w:rPr>
        <w:t>The</w:t>
      </w:r>
      <w:proofErr w:type="gramEnd"/>
      <w:r w:rsidRPr="0047327B">
        <w:rPr>
          <w:i/>
          <w:iCs/>
        </w:rPr>
        <w:t xml:space="preserve"> Internet as a General-Purpose Technology: Firm-Level Evidence from around the World</w:t>
      </w:r>
      <w:r w:rsidRPr="0047327B">
        <w:t>, World Bank Policy Research Working Paper 7192</w:t>
      </w:r>
    </w:p>
    <w:p w14:paraId="4C4850AB" w14:textId="77777777" w:rsidR="0047327B" w:rsidRDefault="0047327B" w:rsidP="00AD0B20">
      <w:pPr>
        <w:pStyle w:val="BodyText"/>
      </w:pPr>
      <w:r>
        <w:t xml:space="preserve">Department of Infrastructure, Transport, Regional Development and Communications (2021). </w:t>
      </w:r>
      <w:r w:rsidRPr="00EF1C88">
        <w:rPr>
          <w:i/>
          <w:iCs/>
        </w:rPr>
        <w:t>Working paper—Economic impact of ubiquitous high speed broadband: agriculture sector</w:t>
      </w:r>
      <w:r>
        <w:rPr>
          <w:i/>
          <w:iCs/>
        </w:rPr>
        <w:t>.</w:t>
      </w:r>
    </w:p>
    <w:p w14:paraId="0D4B8E4F" w14:textId="77777777" w:rsidR="0047327B" w:rsidRDefault="0047327B" w:rsidP="008E726F">
      <w:pPr>
        <w:pStyle w:val="BodyText"/>
      </w:pPr>
      <w:r w:rsidRPr="006A623D">
        <w:t>Fabling, Richard and Grimes, Arthur, Picking up Speed: Does Ultrafast Broadband Increase Firm Productivity? (November 2016). Motu Working Paper No. 16-22</w:t>
      </w:r>
      <w:r>
        <w:t>.</w:t>
      </w:r>
    </w:p>
    <w:p w14:paraId="269F2C8A" w14:textId="77777777" w:rsidR="0047327B" w:rsidRDefault="0047327B" w:rsidP="008E726F">
      <w:pPr>
        <w:pStyle w:val="BodyText"/>
      </w:pPr>
      <w:proofErr w:type="spellStart"/>
      <w:r w:rsidRPr="000B4ED6">
        <w:t>Godlovitch</w:t>
      </w:r>
      <w:proofErr w:type="spellEnd"/>
      <w:r>
        <w:t>, I.</w:t>
      </w:r>
      <w:r w:rsidRPr="000B4ED6">
        <w:t xml:space="preserve">, </w:t>
      </w:r>
      <w:proofErr w:type="spellStart"/>
      <w:r w:rsidRPr="000B4ED6">
        <w:t>Gorp</w:t>
      </w:r>
      <w:proofErr w:type="spellEnd"/>
      <w:r>
        <w:t>, N. V.,</w:t>
      </w:r>
      <w:r w:rsidRPr="000B4ED6">
        <w:t xml:space="preserve"> </w:t>
      </w:r>
      <w:proofErr w:type="spellStart"/>
      <w:r w:rsidRPr="000B4ED6">
        <w:t>Hausemer</w:t>
      </w:r>
      <w:proofErr w:type="spellEnd"/>
      <w:r>
        <w:t xml:space="preserve">, P., </w:t>
      </w:r>
      <w:proofErr w:type="spellStart"/>
      <w:r w:rsidRPr="000B4ED6">
        <w:t>Vassileva</w:t>
      </w:r>
      <w:proofErr w:type="spellEnd"/>
      <w:r>
        <w:t xml:space="preserve">, I., </w:t>
      </w:r>
      <w:proofErr w:type="spellStart"/>
      <w:r w:rsidRPr="000B4ED6">
        <w:t>Womersley</w:t>
      </w:r>
      <w:proofErr w:type="spellEnd"/>
      <w:r>
        <w:t>, R.,</w:t>
      </w:r>
      <w:r w:rsidRPr="000B4ED6">
        <w:t xml:space="preserve"> </w:t>
      </w:r>
      <w:proofErr w:type="spellStart"/>
      <w:r w:rsidRPr="000B4ED6">
        <w:t>Batura</w:t>
      </w:r>
      <w:proofErr w:type="spellEnd"/>
      <w:r>
        <w:t xml:space="preserve"> O. (2016). </w:t>
      </w:r>
      <w:r w:rsidRPr="000B4ED6">
        <w:t>Support for the preparation of the impact assessment accompanying the review of the regulatory framework for e-communications</w:t>
      </w:r>
      <w:r>
        <w:t>, Final Report.</w:t>
      </w:r>
    </w:p>
    <w:p w14:paraId="437C7AAE" w14:textId="77777777" w:rsidR="0047327B" w:rsidRPr="00FB5CD7" w:rsidRDefault="0047327B" w:rsidP="008E726F">
      <w:pPr>
        <w:pStyle w:val="BodyText"/>
      </w:pPr>
      <w:r w:rsidRPr="00826439">
        <w:lastRenderedPageBreak/>
        <w:t>Grimes,</w:t>
      </w:r>
      <w:r>
        <w:t xml:space="preserve"> A.,</w:t>
      </w:r>
      <w:r w:rsidRPr="00826439">
        <w:t xml:space="preserve"> Ren</w:t>
      </w:r>
      <w:r>
        <w:t xml:space="preserve">, C., </w:t>
      </w:r>
      <w:r w:rsidRPr="00826439">
        <w:t>Stevens</w:t>
      </w:r>
      <w:r>
        <w:t xml:space="preserve">, P. </w:t>
      </w:r>
      <w:r w:rsidRPr="00826439">
        <w:t>(2012)</w:t>
      </w:r>
      <w:r>
        <w:t xml:space="preserve">. </w:t>
      </w:r>
      <w:r w:rsidRPr="00826439">
        <w:t>The need for speed: impacts of internet connectivity on firm productivity</w:t>
      </w:r>
      <w:r>
        <w:t>,</w:t>
      </w:r>
      <w:r>
        <w:rPr>
          <w:b/>
          <w:bCs/>
        </w:rPr>
        <w:t xml:space="preserve"> </w:t>
      </w:r>
      <w:r w:rsidRPr="00826439">
        <w:rPr>
          <w:i/>
          <w:iCs/>
        </w:rPr>
        <w:t>Journal of Productivity Analysis</w:t>
      </w:r>
      <w:r>
        <w:t xml:space="preserve">. </w:t>
      </w:r>
      <w:r w:rsidRPr="00826439">
        <w:t>37</w:t>
      </w:r>
      <w:r>
        <w:t>(</w:t>
      </w:r>
      <w:r w:rsidRPr="00826439">
        <w:t>2</w:t>
      </w:r>
      <w:r>
        <w:t xml:space="preserve">), </w:t>
      </w:r>
      <w:r w:rsidRPr="00FB5CD7">
        <w:t>pp. 187-</w:t>
      </w:r>
      <w:proofErr w:type="gramStart"/>
      <w:r w:rsidRPr="00FB5CD7">
        <w:t>201 </w:t>
      </w:r>
      <w:r>
        <w:t>.</w:t>
      </w:r>
      <w:proofErr w:type="gramEnd"/>
    </w:p>
    <w:p w14:paraId="197B492B" w14:textId="77777777" w:rsidR="0047327B" w:rsidRDefault="0047327B" w:rsidP="008E726F">
      <w:pPr>
        <w:pStyle w:val="BodyText"/>
      </w:pPr>
      <w:r>
        <w:t xml:space="preserve">Gruber, H.; </w:t>
      </w:r>
      <w:proofErr w:type="spellStart"/>
      <w:r>
        <w:t>Hätönen</w:t>
      </w:r>
      <w:proofErr w:type="spellEnd"/>
      <w:r>
        <w:t xml:space="preserve">, J.; </w:t>
      </w:r>
      <w:proofErr w:type="spellStart"/>
      <w:r>
        <w:t>Koutroumpis</w:t>
      </w:r>
      <w:proofErr w:type="spellEnd"/>
      <w:r>
        <w:t xml:space="preserve">, P. (2014). Broadband access in the EU: An assessment of future economic benefits, </w:t>
      </w:r>
      <w:r w:rsidRPr="00826439">
        <w:rPr>
          <w:i/>
          <w:iCs/>
        </w:rPr>
        <w:t>Telecommunications Policy</w:t>
      </w:r>
      <w:r>
        <w:t>, 38(11), pp 1046-1058.</w:t>
      </w:r>
    </w:p>
    <w:p w14:paraId="29B2B5F0" w14:textId="77777777" w:rsidR="0047327B" w:rsidRDefault="0047327B" w:rsidP="008E726F">
      <w:pPr>
        <w:pStyle w:val="BodyText"/>
      </w:pPr>
      <w:r w:rsidRPr="006A623D">
        <w:t>Haller</w:t>
      </w:r>
      <w:r>
        <w:t>, S. A.,</w:t>
      </w:r>
      <w:r w:rsidRPr="006A623D">
        <w:t xml:space="preserve"> Lyons</w:t>
      </w:r>
      <w:r>
        <w:t xml:space="preserve">, S. (2015). </w:t>
      </w:r>
      <w:r w:rsidRPr="006A623D">
        <w:t>Broadband adoption and firm productivity: Evidence from Irish manufacturing firm</w:t>
      </w:r>
      <w:r>
        <w:t xml:space="preserve">s, </w:t>
      </w:r>
      <w:r w:rsidRPr="00826439">
        <w:rPr>
          <w:i/>
          <w:iCs/>
        </w:rPr>
        <w:t>Telecommunications Policy</w:t>
      </w:r>
      <w:r>
        <w:t>, 39, pp.1-13.</w:t>
      </w:r>
    </w:p>
    <w:p w14:paraId="47FA7E52" w14:textId="77777777" w:rsidR="0047327B" w:rsidRDefault="0047327B" w:rsidP="008E726F">
      <w:pPr>
        <w:pStyle w:val="BodyText"/>
      </w:pPr>
      <w:proofErr w:type="spellStart"/>
      <w:r w:rsidRPr="00932B5E">
        <w:t>Hasbi</w:t>
      </w:r>
      <w:proofErr w:type="spellEnd"/>
      <w:r w:rsidRPr="00932B5E">
        <w:t xml:space="preserve">, </w:t>
      </w:r>
      <w:r>
        <w:t>M. (</w:t>
      </w:r>
      <w:r w:rsidRPr="00932B5E">
        <w:t>2017</w:t>
      </w:r>
      <w:r>
        <w:t>)</w:t>
      </w:r>
      <w:r w:rsidRPr="00932B5E">
        <w:t>. Impact of Very High-Speed Broadband on Local Economic Growth: Empirical Evidence</w:t>
      </w:r>
      <w:r>
        <w:t xml:space="preserve">, </w:t>
      </w:r>
      <w:r w:rsidRPr="00932B5E">
        <w:t>14th ITS Asia-Pacific Regional Conference, Kyoto</w:t>
      </w:r>
      <w:r>
        <w:t>.</w:t>
      </w:r>
    </w:p>
    <w:p w14:paraId="6FCCEA3A" w14:textId="77777777" w:rsidR="0047327B" w:rsidRDefault="0047327B" w:rsidP="008E726F">
      <w:pPr>
        <w:pStyle w:val="BodyText"/>
      </w:pPr>
      <w:proofErr w:type="spellStart"/>
      <w:r>
        <w:t>Ipsos</w:t>
      </w:r>
      <w:proofErr w:type="spellEnd"/>
      <w:r>
        <w:t xml:space="preserve"> MORI (2018). </w:t>
      </w:r>
      <w:r w:rsidRPr="00FB5CD7">
        <w:t>Evaluation of the Economic Impact and Public Value of the Superfast Broadband Programme</w:t>
      </w:r>
      <w:r>
        <w:t>, Final report.</w:t>
      </w:r>
    </w:p>
    <w:p w14:paraId="23429621" w14:textId="77777777" w:rsidR="0047327B" w:rsidRDefault="0047327B" w:rsidP="008E726F">
      <w:pPr>
        <w:pStyle w:val="BodyText"/>
      </w:pPr>
      <w:r>
        <w:t xml:space="preserve">ITU. (2018). </w:t>
      </w:r>
      <w:proofErr w:type="gramStart"/>
      <w:r w:rsidRPr="004A4FCA">
        <w:t>The</w:t>
      </w:r>
      <w:proofErr w:type="gramEnd"/>
      <w:r w:rsidRPr="004A4FCA">
        <w:t xml:space="preserve"> economic contribution of broadband, digitization and ICT regulation</w:t>
      </w:r>
      <w:r>
        <w:t>.</w:t>
      </w:r>
    </w:p>
    <w:p w14:paraId="4C86288F" w14:textId="77777777" w:rsidR="0047327B" w:rsidRDefault="0047327B" w:rsidP="008E726F">
      <w:pPr>
        <w:pStyle w:val="BodyText"/>
      </w:pPr>
      <w:proofErr w:type="spellStart"/>
      <w:r w:rsidRPr="00A210B7">
        <w:t>Koutroumpis</w:t>
      </w:r>
      <w:proofErr w:type="spellEnd"/>
      <w:r>
        <w:t xml:space="preserve">, P. (2009). </w:t>
      </w:r>
      <w:r w:rsidRPr="00A210B7">
        <w:t>The economic impact of broadband on growth: A simultaneous approach</w:t>
      </w:r>
      <w:r>
        <w:t xml:space="preserve">, </w:t>
      </w:r>
      <w:r w:rsidRPr="00826439">
        <w:rPr>
          <w:i/>
          <w:iCs/>
        </w:rPr>
        <w:t>Telecommunications Policy</w:t>
      </w:r>
      <w:r>
        <w:t xml:space="preserve">, </w:t>
      </w:r>
      <w:r w:rsidRPr="00A210B7">
        <w:t>33(9)</w:t>
      </w:r>
      <w:r>
        <w:t xml:space="preserve">, pp. </w:t>
      </w:r>
      <w:r w:rsidRPr="00A210B7">
        <w:t>471-485</w:t>
      </w:r>
      <w:r>
        <w:t>.</w:t>
      </w:r>
    </w:p>
    <w:p w14:paraId="51CED51B" w14:textId="714E2A8A" w:rsidR="0047327B" w:rsidRPr="00A210B7" w:rsidRDefault="0047327B" w:rsidP="008E726F">
      <w:pPr>
        <w:pStyle w:val="BodyText"/>
      </w:pPr>
      <w:proofErr w:type="spellStart"/>
      <w:r>
        <w:t>Koutroumpis</w:t>
      </w:r>
      <w:proofErr w:type="spellEnd"/>
      <w:r>
        <w:t xml:space="preserve">, P. (2018) (for </w:t>
      </w:r>
      <w:proofErr w:type="spellStart"/>
      <w:r>
        <w:t>Ofcom</w:t>
      </w:r>
      <w:proofErr w:type="spellEnd"/>
      <w:r>
        <w:t xml:space="preserve">), The Economic Impact of Broadband: Evidence from OECD Countries, retrieved from </w:t>
      </w:r>
      <w:hyperlink r:id="rId70" w:history="1">
        <w:r w:rsidRPr="004E4FD2">
          <w:rPr>
            <w:rStyle w:val="Hyperlink"/>
          </w:rPr>
          <w:t>https://www.ofcom.org.uk/__data/assets/pdf_file/0025/113299/economic-broadband-oecd-countries.pdf</w:t>
        </w:r>
      </w:hyperlink>
      <w:r>
        <w:t xml:space="preserve">.  </w:t>
      </w:r>
    </w:p>
    <w:p w14:paraId="06D260E0" w14:textId="77777777" w:rsidR="0047327B" w:rsidRDefault="0047327B" w:rsidP="008E726F">
      <w:pPr>
        <w:pStyle w:val="BodyText"/>
      </w:pPr>
      <w:r w:rsidRPr="00BA396D">
        <w:t xml:space="preserve">McCoy, </w:t>
      </w:r>
      <w:r>
        <w:t>D</w:t>
      </w:r>
      <w:r w:rsidRPr="00BA396D">
        <w:t xml:space="preserve">; Lyons, </w:t>
      </w:r>
      <w:r>
        <w:t>S</w:t>
      </w:r>
      <w:r w:rsidRPr="00BA396D">
        <w:t xml:space="preserve">; </w:t>
      </w:r>
      <w:proofErr w:type="spellStart"/>
      <w:r w:rsidRPr="00BA396D">
        <w:t>Morgenroth</w:t>
      </w:r>
      <w:proofErr w:type="spellEnd"/>
      <w:r w:rsidRPr="00BA396D">
        <w:t xml:space="preserve">, </w:t>
      </w:r>
      <w:r>
        <w:t>E</w:t>
      </w:r>
      <w:r w:rsidRPr="00BA396D">
        <w:t xml:space="preserve">; </w:t>
      </w:r>
      <w:proofErr w:type="spellStart"/>
      <w:r w:rsidRPr="00BA396D">
        <w:t>Palcic</w:t>
      </w:r>
      <w:proofErr w:type="spellEnd"/>
      <w:r w:rsidRPr="00BA396D">
        <w:t xml:space="preserve">, </w:t>
      </w:r>
      <w:r>
        <w:t>D</w:t>
      </w:r>
      <w:r w:rsidRPr="00BA396D">
        <w:t>; Allen, L</w:t>
      </w:r>
      <w:r>
        <w:t xml:space="preserve">. (2016). </w:t>
      </w:r>
      <w:r w:rsidRPr="00BA396D">
        <w:t>The impact of broadband and other infrastructure on the location of new business establishments</w:t>
      </w:r>
      <w:r>
        <w:t xml:space="preserve">, </w:t>
      </w:r>
      <w:r w:rsidRPr="00BA396D">
        <w:t>27th European Regional Conference of the International Telecommunications Society</w:t>
      </w:r>
      <w:r>
        <w:t>.</w:t>
      </w:r>
    </w:p>
    <w:p w14:paraId="4FDB32B6" w14:textId="77777777" w:rsidR="0047327B" w:rsidRDefault="0047327B" w:rsidP="008E726F">
      <w:pPr>
        <w:pStyle w:val="BodyText"/>
      </w:pPr>
      <w:proofErr w:type="spellStart"/>
      <w:r w:rsidRPr="00576529">
        <w:t>Rohman</w:t>
      </w:r>
      <w:proofErr w:type="spellEnd"/>
      <w:r w:rsidRPr="00576529">
        <w:t>, I</w:t>
      </w:r>
      <w:r>
        <w:t>.</w:t>
      </w:r>
      <w:r w:rsidRPr="00576529">
        <w:t xml:space="preserve"> K</w:t>
      </w:r>
      <w:r>
        <w:t>.;</w:t>
      </w:r>
      <w:r w:rsidRPr="00576529">
        <w:t xml:space="preserve"> </w:t>
      </w:r>
      <w:proofErr w:type="spellStart"/>
      <w:r w:rsidRPr="00576529">
        <w:t>Bohlin</w:t>
      </w:r>
      <w:proofErr w:type="spellEnd"/>
      <w:r w:rsidRPr="00576529">
        <w:t>, E</w:t>
      </w:r>
      <w:r>
        <w:t>. (2012).</w:t>
      </w:r>
      <w:r w:rsidRPr="00576529">
        <w:t xml:space="preserve"> Does Broadband Speed Really Matter for Driving Economic Growth? Investigating OECD Countries.</w:t>
      </w:r>
    </w:p>
    <w:p w14:paraId="273558F2" w14:textId="77777777" w:rsidR="0047327B" w:rsidRDefault="0047327B" w:rsidP="008E726F">
      <w:pPr>
        <w:pStyle w:val="BodyText"/>
      </w:pPr>
      <w:r w:rsidRPr="00826439">
        <w:t>Solow</w:t>
      </w:r>
      <w:r>
        <w:t xml:space="preserve">, M (1956). </w:t>
      </w:r>
      <w:r w:rsidRPr="00A210B7">
        <w:t>A Contribution to the Theory of Economic</w:t>
      </w:r>
      <w:r>
        <w:t xml:space="preserve"> </w:t>
      </w:r>
      <w:r w:rsidRPr="00826439">
        <w:t>Growth</w:t>
      </w:r>
      <w:r>
        <w:t xml:space="preserve">, </w:t>
      </w:r>
      <w:proofErr w:type="gramStart"/>
      <w:r w:rsidRPr="00826439">
        <w:rPr>
          <w:i/>
          <w:iCs/>
        </w:rPr>
        <w:t>The</w:t>
      </w:r>
      <w:proofErr w:type="gramEnd"/>
      <w:r w:rsidRPr="00826439">
        <w:rPr>
          <w:i/>
          <w:iCs/>
        </w:rPr>
        <w:t xml:space="preserve"> Quarterly Journal of Economics</w:t>
      </w:r>
      <w:r w:rsidRPr="00A210B7">
        <w:t>, 70</w:t>
      </w:r>
      <w:r>
        <w:t>(</w:t>
      </w:r>
      <w:r w:rsidRPr="00A210B7">
        <w:t>1</w:t>
      </w:r>
      <w:r>
        <w:t>)</w:t>
      </w:r>
      <w:r w:rsidRPr="00A210B7">
        <w:t>, pp. 65-94</w:t>
      </w:r>
      <w:r>
        <w:t>.</w:t>
      </w:r>
    </w:p>
    <w:p w14:paraId="44A1F3D0" w14:textId="77777777" w:rsidR="0047327B" w:rsidRPr="00525380" w:rsidRDefault="0047327B" w:rsidP="008E726F">
      <w:pPr>
        <w:pStyle w:val="BodyText"/>
      </w:pPr>
      <w:r w:rsidRPr="004D55B1">
        <w:t>Sosa, D. (2014). Early Evidence Suggests Gigabit Broadband Drives GDP.</w:t>
      </w:r>
    </w:p>
    <w:p w14:paraId="1413395F" w14:textId="77777777" w:rsidR="0047327B" w:rsidRDefault="0047327B" w:rsidP="008E726F">
      <w:pPr>
        <w:pStyle w:val="BodyText"/>
      </w:pPr>
      <w:r w:rsidRPr="004A4FCA">
        <w:t>SQW.</w:t>
      </w:r>
      <w:r>
        <w:t xml:space="preserve"> </w:t>
      </w:r>
      <w:r w:rsidRPr="004A4FCA">
        <w:t>(2013)</w:t>
      </w:r>
      <w:r>
        <w:t>.</w:t>
      </w:r>
      <w:r w:rsidRPr="004A4FCA">
        <w:t xml:space="preserve"> UK Broadband Impact Study Impact Report. </w:t>
      </w:r>
    </w:p>
    <w:p w14:paraId="408CBDF0" w14:textId="77777777" w:rsidR="0047327B" w:rsidRPr="00F22121" w:rsidRDefault="0047327B" w:rsidP="00AD0B20">
      <w:pPr>
        <w:pStyle w:val="BodyText"/>
      </w:pPr>
      <w:r>
        <w:t xml:space="preserve">Y. Kim and P. </w:t>
      </w:r>
      <w:proofErr w:type="spellStart"/>
      <w:r>
        <w:t>Orazen</w:t>
      </w:r>
      <w:proofErr w:type="spellEnd"/>
      <w:r>
        <w:t xml:space="preserve"> (2016). “</w:t>
      </w:r>
      <w:r w:rsidRPr="00F22121">
        <w:t>Broadband Internet and New Firm Location Decisions in Rural Areas</w:t>
      </w:r>
      <w:r>
        <w:t xml:space="preserve">”, in </w:t>
      </w:r>
      <w:r>
        <w:rPr>
          <w:i/>
          <w:iCs/>
        </w:rPr>
        <w:t xml:space="preserve">American Journal of Agricultural Economics, </w:t>
      </w:r>
      <w:r>
        <w:t>Vol. 99, Issue 1, Jan 2017.</w:t>
      </w:r>
    </w:p>
    <w:p w14:paraId="725F8484" w14:textId="77777777" w:rsidR="008E726F" w:rsidRDefault="008104A7" w:rsidP="00593E68">
      <w:pPr>
        <w:spacing w:before="0" w:after="0" w:line="240" w:lineRule="auto"/>
        <w:jc w:val="left"/>
      </w:pPr>
      <w:r>
        <w:br w:type="page"/>
      </w:r>
    </w:p>
    <w:p w14:paraId="556B9E1C" w14:textId="77777777" w:rsidR="001346DD" w:rsidRDefault="001346DD" w:rsidP="0070509A">
      <w:pPr>
        <w:pStyle w:val="CVHeading"/>
        <w:sectPr w:rsidR="001346DD" w:rsidSect="00285CD3">
          <w:pgSz w:w="11906" w:h="16838" w:code="9"/>
          <w:pgMar w:top="1871" w:right="1418" w:bottom="1134" w:left="1418" w:header="709" w:footer="567" w:gutter="0"/>
          <w:cols w:space="708"/>
          <w:formProt w:val="0"/>
          <w:docGrid w:linePitch="360"/>
        </w:sectPr>
      </w:pPr>
    </w:p>
    <w:p w14:paraId="3865DC2A" w14:textId="77777777" w:rsidR="001248A9" w:rsidRPr="00291882" w:rsidRDefault="001248A9" w:rsidP="001248A9">
      <w:pPr>
        <w:spacing w:before="0" w:line="264" w:lineRule="auto"/>
        <w:jc w:val="right"/>
        <w:rPr>
          <w:rFonts w:ascii="Open Sans SemiBold" w:hAnsi="Open Sans SemiBold" w:cs="Open Sans SemiBold"/>
          <w:bCs/>
          <w:sz w:val="24"/>
          <w:szCs w:val="24"/>
        </w:rPr>
      </w:pPr>
      <w:r w:rsidRPr="00291882">
        <w:rPr>
          <w:rFonts w:ascii="Open Sans SemiBold" w:hAnsi="Open Sans SemiBold" w:cs="Open Sans SemiBold"/>
          <w:bCs/>
          <w:sz w:val="24"/>
          <w:szCs w:val="24"/>
        </w:rPr>
        <w:lastRenderedPageBreak/>
        <w:t>Frontier Economics</w:t>
      </w:r>
    </w:p>
    <w:p w14:paraId="36BC0D6D" w14:textId="77777777" w:rsidR="001248A9" w:rsidRPr="003C16C6" w:rsidRDefault="001248A9" w:rsidP="001248A9">
      <w:pPr>
        <w:spacing w:before="0" w:line="264" w:lineRule="auto"/>
        <w:jc w:val="right"/>
        <w:rPr>
          <w:sz w:val="18"/>
          <w:szCs w:val="18"/>
        </w:rPr>
      </w:pPr>
      <w:r>
        <w:rPr>
          <w:sz w:val="18"/>
          <w:szCs w:val="18"/>
        </w:rPr>
        <w:t>Brisbane</w:t>
      </w:r>
      <w:r w:rsidRPr="00291882">
        <w:rPr>
          <w:sz w:val="18"/>
          <w:szCs w:val="18"/>
        </w:rPr>
        <w:t xml:space="preserve"> </w:t>
      </w:r>
      <w:r w:rsidRPr="00C14B5D">
        <w:rPr>
          <w:color w:val="207BA1" w:themeColor="accent2"/>
          <w:sz w:val="18"/>
          <w:szCs w:val="18"/>
        </w:rPr>
        <w:t>|</w:t>
      </w:r>
      <w:r w:rsidRPr="00291882">
        <w:rPr>
          <w:sz w:val="18"/>
          <w:szCs w:val="18"/>
        </w:rPr>
        <w:t xml:space="preserve"> </w:t>
      </w:r>
      <w:r w:rsidRPr="003C16C6">
        <w:rPr>
          <w:sz w:val="18"/>
          <w:szCs w:val="18"/>
        </w:rPr>
        <w:t>M</w:t>
      </w:r>
      <w:r>
        <w:rPr>
          <w:sz w:val="18"/>
          <w:szCs w:val="18"/>
        </w:rPr>
        <w:t>elbourne</w:t>
      </w:r>
      <w:r w:rsidRPr="003C16C6">
        <w:rPr>
          <w:sz w:val="18"/>
          <w:szCs w:val="18"/>
        </w:rPr>
        <w:t xml:space="preserve"> </w:t>
      </w:r>
      <w:r w:rsidRPr="00C14B5D">
        <w:rPr>
          <w:color w:val="207BA1" w:themeColor="accent2"/>
          <w:sz w:val="18"/>
          <w:szCs w:val="18"/>
        </w:rPr>
        <w:t>|</w:t>
      </w:r>
      <w:r w:rsidRPr="003C16C6">
        <w:rPr>
          <w:sz w:val="18"/>
          <w:szCs w:val="18"/>
        </w:rPr>
        <w:t xml:space="preserve"> S</w:t>
      </w:r>
      <w:r>
        <w:rPr>
          <w:sz w:val="18"/>
          <w:szCs w:val="18"/>
        </w:rPr>
        <w:t xml:space="preserve">ingapore </w:t>
      </w:r>
      <w:r w:rsidRPr="00C14B5D">
        <w:rPr>
          <w:color w:val="207BA1" w:themeColor="accent2"/>
          <w:sz w:val="18"/>
          <w:szCs w:val="18"/>
        </w:rPr>
        <w:t>|</w:t>
      </w:r>
      <w:r w:rsidRPr="00291882">
        <w:rPr>
          <w:sz w:val="18"/>
          <w:szCs w:val="18"/>
        </w:rPr>
        <w:t xml:space="preserve"> </w:t>
      </w:r>
      <w:r w:rsidRPr="003C16C6">
        <w:rPr>
          <w:sz w:val="18"/>
          <w:szCs w:val="18"/>
        </w:rPr>
        <w:t>S</w:t>
      </w:r>
      <w:r>
        <w:rPr>
          <w:sz w:val="18"/>
          <w:szCs w:val="18"/>
        </w:rPr>
        <w:t>ydney</w:t>
      </w:r>
    </w:p>
    <w:p w14:paraId="675BE417" w14:textId="77777777" w:rsidR="001248A9" w:rsidRPr="003C16C6" w:rsidRDefault="001248A9" w:rsidP="001248A9">
      <w:pPr>
        <w:spacing w:before="0" w:line="264" w:lineRule="auto"/>
        <w:jc w:val="right"/>
        <w:rPr>
          <w:sz w:val="18"/>
          <w:szCs w:val="18"/>
        </w:rPr>
      </w:pPr>
      <w:r w:rsidRPr="003C16C6">
        <w:rPr>
          <w:sz w:val="18"/>
          <w:szCs w:val="18"/>
        </w:rPr>
        <w:t xml:space="preserve">Frontier Economics Pty Ltd </w:t>
      </w:r>
      <w:r w:rsidRPr="003C16C6">
        <w:rPr>
          <w:sz w:val="18"/>
          <w:szCs w:val="18"/>
        </w:rPr>
        <w:br/>
        <w:t>395 Collins Street Melbourne Victoria 3000</w:t>
      </w:r>
    </w:p>
    <w:p w14:paraId="4B4A29DC" w14:textId="77777777" w:rsidR="001248A9" w:rsidRPr="003C16C6" w:rsidRDefault="001248A9" w:rsidP="001248A9">
      <w:pPr>
        <w:spacing w:before="0" w:line="264" w:lineRule="auto"/>
        <w:jc w:val="right"/>
        <w:rPr>
          <w:sz w:val="18"/>
          <w:szCs w:val="18"/>
        </w:rPr>
      </w:pPr>
      <w:r w:rsidRPr="003C16C6">
        <w:rPr>
          <w:sz w:val="18"/>
          <w:szCs w:val="18"/>
        </w:rPr>
        <w:t xml:space="preserve">Tel: +61 3 9620 4488 </w:t>
      </w:r>
      <w:r>
        <w:rPr>
          <w:sz w:val="18"/>
          <w:szCs w:val="18"/>
        </w:rPr>
        <w:br/>
      </w:r>
      <w:hyperlink r:id="rId71" w:history="1">
        <w:r w:rsidRPr="00FE4336">
          <w:rPr>
            <w:rStyle w:val="Hyperlink"/>
            <w:color w:val="185B78" w:themeColor="accent2" w:themeShade="BF"/>
            <w:sz w:val="18"/>
            <w:szCs w:val="18"/>
          </w:rPr>
          <w:t>https://www.frontier-economics.com.au</w:t>
        </w:r>
      </w:hyperlink>
    </w:p>
    <w:p w14:paraId="7734BF26" w14:textId="77777777" w:rsidR="001248A9" w:rsidRPr="003C16C6" w:rsidRDefault="001248A9" w:rsidP="001248A9">
      <w:pPr>
        <w:spacing w:before="0" w:after="0" w:line="264" w:lineRule="auto"/>
        <w:jc w:val="right"/>
        <w:rPr>
          <w:sz w:val="18"/>
          <w:szCs w:val="18"/>
        </w:rPr>
      </w:pPr>
      <w:r w:rsidRPr="003C16C6">
        <w:rPr>
          <w:sz w:val="18"/>
          <w:szCs w:val="18"/>
        </w:rPr>
        <w:t>ACN: 087 553 124 ABN: 13 087 553</w:t>
      </w:r>
      <w:r>
        <w:rPr>
          <w:sz w:val="18"/>
          <w:szCs w:val="18"/>
        </w:rPr>
        <w:t xml:space="preserve"> 124</w:t>
      </w:r>
    </w:p>
    <w:p w14:paraId="418A4AE9" w14:textId="0064F3C5" w:rsidR="001248A9" w:rsidRPr="001248A9" w:rsidRDefault="001248A9" w:rsidP="001248A9">
      <w:pPr>
        <w:tabs>
          <w:tab w:val="left" w:pos="2269"/>
        </w:tabs>
        <w:jc w:val="right"/>
      </w:pPr>
    </w:p>
    <w:sectPr w:rsidR="001248A9" w:rsidRPr="001248A9" w:rsidSect="001248A9">
      <w:headerReference w:type="default" r:id="rId72"/>
      <w:footerReference w:type="default" r:id="rId73"/>
      <w:type w:val="continuous"/>
      <w:pgSz w:w="11906" w:h="16838" w:code="9"/>
      <w:pgMar w:top="12616" w:right="1418" w:bottom="1134" w:left="1418" w:header="567" w:footer="510" w:gutter="0"/>
      <w:pgNumType w:start="1"/>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8247DDC" w14:textId="77777777" w:rsidR="00DD5715" w:rsidRDefault="00DD5715" w:rsidP="00860DFA">
      <w:pPr>
        <w:spacing w:before="0" w:line="240" w:lineRule="auto"/>
      </w:pPr>
      <w:r>
        <w:separator/>
      </w:r>
    </w:p>
  </w:endnote>
  <w:endnote w:type="continuationSeparator" w:id="0">
    <w:p w14:paraId="42F757A7" w14:textId="77777777" w:rsidR="00DD5715" w:rsidRDefault="00DD5715" w:rsidP="00860DFA">
      <w:pPr>
        <w:spacing w:before="0" w:line="240" w:lineRule="auto"/>
      </w:pPr>
      <w:r>
        <w:continuationSeparator/>
      </w:r>
    </w:p>
  </w:endnote>
  <w:endnote w:type="continuationNotice" w:id="1">
    <w:p w14:paraId="31B60333" w14:textId="77777777" w:rsidR="00DD5715" w:rsidRDefault="00DD5715">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Open Sans">
    <w:altName w:val="Tahoma"/>
    <w:charset w:val="00"/>
    <w:family w:val="swiss"/>
    <w:pitch w:val="variable"/>
    <w:sig w:usb0="E00002EF" w:usb1="4000205B" w:usb2="00000028" w:usb3="00000000" w:csb0="0000019F" w:csb1="00000000"/>
    <w:embedRegular r:id="rId1" w:fontKey="{4F738AD7-516D-4B86-A816-C3855EBA8C24}"/>
    <w:embedBold r:id="rId2" w:fontKey="{590B22F9-ABF1-4A5A-9A73-0E7D3CC78EEB}"/>
    <w:embedItalic r:id="rId3" w:fontKey="{415DFEC7-D1FD-4387-AD31-55FDFF6F88BE}"/>
    <w:embedBoldItalic r:id="rId4" w:fontKey="{672A2CFE-B6D3-4A4E-87F8-F806C325E92F}"/>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embedRegular r:id="rId5" w:fontKey="{2A8DEE1F-EB9A-4B17-9A83-8624DDF3B639}"/>
  </w:font>
  <w:font w:name="Wingdings 2">
    <w:panose1 w:val="05020102010507070707"/>
    <w:charset w:val="02"/>
    <w:family w:val="roman"/>
    <w:pitch w:val="variable"/>
    <w:sig w:usb0="00000000" w:usb1="10000000" w:usb2="00000000" w:usb3="00000000" w:csb0="80000000" w:csb1="00000000"/>
    <w:embedRegular r:id="rId6" w:fontKey="{1184AA6E-7520-44F3-A580-65B53C4A03AE}"/>
  </w:font>
  <w:font w:name="Open Sans Light">
    <w:altName w:val="Segoe UI"/>
    <w:charset w:val="00"/>
    <w:family w:val="swiss"/>
    <w:pitch w:val="variable"/>
    <w:sig w:usb0="E00002EF" w:usb1="4000205B" w:usb2="00000028" w:usb3="00000000" w:csb0="0000019F" w:csb1="00000000"/>
    <w:embedRegular r:id="rId7" w:fontKey="{52AB4F86-48DB-43F8-9BCF-3676E69F7472}"/>
    <w:embedBold r:id="rId8" w:fontKey="{A6F8EEBA-492F-4B0F-9B3E-A1498B740606}"/>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2AFF" w:usb1="4000ACFF" w:usb2="00000009" w:usb3="00000000" w:csb0="000001FF" w:csb1="00000000"/>
    <w:embedRegular r:id="rId9" w:fontKey="{9A4C2467-A266-43F8-A985-B45177AE3961}"/>
    <w:embedBold r:id="rId10" w:fontKey="{F2FCE62B-CD20-48EA-BE1F-B3ECAE7F92AA}"/>
    <w:embedItalic r:id="rId11" w:fontKey="{134A58FC-924C-4377-83EA-F5134C9E5419}"/>
    <w:embedBoldItalic r:id="rId12" w:fontKey="{F9F17228-88D2-46F6-913D-518AAF43CC0D}"/>
  </w:font>
  <w:font w:name="AR ESSENCE">
    <w:altName w:val="Calibri"/>
    <w:charset w:val="00"/>
    <w:family w:val="auto"/>
    <w:pitch w:val="variable"/>
    <w:sig w:usb0="8000002F" w:usb1="0000000A" w:usb2="00000000" w:usb3="00000000" w:csb0="00000001" w:csb1="00000000"/>
  </w:font>
  <w:font w:name="Open Sans SemiBold">
    <w:altName w:val="Segoe UI"/>
    <w:charset w:val="00"/>
    <w:family w:val="swiss"/>
    <w:pitch w:val="variable"/>
    <w:sig w:usb0="E00002EF" w:usb1="4000205B" w:usb2="00000028" w:usb3="00000000" w:csb0="0000019F" w:csb1="00000000"/>
    <w:embedRegular r:id="rId13" w:fontKey="{A4C9BA58-9F9A-43E4-A1C6-7ADC9A68A10A}"/>
    <w:embedBold r:id="rId14" w:fontKey="{65809E3A-AEC4-487C-9216-B09C7D127B89}"/>
  </w:font>
  <w:font w:name="Segoe UI">
    <w:panose1 w:val="020B0502040204020203"/>
    <w:charset w:val="00"/>
    <w:family w:val="swiss"/>
    <w:pitch w:val="variable"/>
    <w:sig w:usb0="E4002EFF" w:usb1="C000E47F" w:usb2="00000009" w:usb3="00000000" w:csb0="000001FF" w:csb1="00000000"/>
    <w:embedRegular r:id="rId15" w:fontKey="{BDCADFA7-8AA1-4D70-ADAE-26669B6772C0}"/>
  </w:font>
  <w:font w:name="Cambria Math">
    <w:panose1 w:val="02040503050406030204"/>
    <w:charset w:val="00"/>
    <w:family w:val="roman"/>
    <w:pitch w:val="variable"/>
    <w:sig w:usb0="E00002FF" w:usb1="420024FF" w:usb2="00000000" w:usb3="00000000" w:csb0="0000019F" w:csb1="00000000"/>
    <w:embedRegular r:id="rId16" w:fontKey="{8AFEB886-99B2-4192-8E4E-A515CE0A6501}"/>
    <w:embedItalic r:id="rId17" w:fontKey="{5D48685B-0AE5-4D2A-9B1D-40BF91E03A0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FFEBC8" w14:textId="7FD3FF4C" w:rsidR="00DD5715" w:rsidRPr="00122CA4" w:rsidRDefault="00DD5715" w:rsidP="00416309">
    <w:pPr>
      <w:pStyle w:val="Footer"/>
      <w:pBdr>
        <w:top w:val="single" w:sz="8" w:space="6" w:color="E83F35" w:themeColor="accent1"/>
      </w:pBdr>
      <w:tabs>
        <w:tab w:val="right" w:pos="8931"/>
      </w:tabs>
      <w:rPr>
        <w:rFonts w:ascii="Open Sans Light" w:hAnsi="Open Sans Light" w:cs="Open Sans Light"/>
        <w:b/>
        <w:color w:val="6A7177"/>
        <w:sz w:val="18"/>
        <w:szCs w:val="18"/>
      </w:rPr>
    </w:pPr>
    <w:r>
      <w:rPr>
        <w:rFonts w:ascii="Open Sans Light" w:hAnsi="Open Sans Light" w:cs="Open Sans Light"/>
        <w:noProof/>
        <w:lang w:eastAsia="en-AU"/>
      </w:rPr>
      <mc:AlternateContent>
        <mc:Choice Requires="wps">
          <w:drawing>
            <wp:anchor distT="0" distB="0" distL="114300" distR="114300" simplePos="0" relativeHeight="251659264" behindDoc="0" locked="0" layoutInCell="1" allowOverlap="1" wp14:anchorId="0A80417E" wp14:editId="385D3A35">
              <wp:simplePos x="0" y="0"/>
              <wp:positionH relativeFrom="rightMargin">
                <wp:posOffset>-3407</wp:posOffset>
              </wp:positionH>
              <wp:positionV relativeFrom="paragraph">
                <wp:posOffset>-22225</wp:posOffset>
              </wp:positionV>
              <wp:extent cx="5402" cy="206518"/>
              <wp:effectExtent l="0" t="0" r="33020" b="22225"/>
              <wp:wrapNone/>
              <wp:docPr id="18" name="Straight Connector 18" descr="Decorative">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5402" cy="206518"/>
                      </a:xfrm>
                      <a:prstGeom prst="line">
                        <a:avLst/>
                      </a:prstGeom>
                      <a:ln w="127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4648DD28" id="Straight Connector 18" o:spid="_x0000_s1026" alt="Decorative" style="position:absolute;flip:x;z-index:251659264;visibility:visible;mso-wrap-style:square;mso-height-percent:0;mso-wrap-distance-left:9pt;mso-wrap-distance-top:0;mso-wrap-distance-right:9pt;mso-wrap-distance-bottom:0;mso-position-horizontal:absolute;mso-position-horizontal-relative:right-margin-area;mso-position-vertical:absolute;mso-position-vertical-relative:text;mso-height-percent:0;mso-height-relative:margin" from="-.25pt,-1.75pt" to=".2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" strokecolor="white [3212]" strokeweight="1pt">
              <w10:wrap anchorx="margin"/>
            </v:line>
          </w:pict>
        </mc:Fallback>
      </mc:AlternateContent>
    </w:r>
    <w:r w:rsidRPr="00122CA4">
      <w:rPr>
        <w:rFonts w:ascii="Open Sans Light" w:hAnsi="Open Sans Light" w:cs="Open Sans Light"/>
        <w:color w:val="6A7177"/>
        <w:sz w:val="18"/>
        <w:szCs w:val="18"/>
      </w:rPr>
      <w:t>Frontier Economic</w:t>
    </w:r>
    <w:r>
      <w:rPr>
        <w:rFonts w:ascii="Open Sans Light" w:hAnsi="Open Sans Light" w:cs="Open Sans Light"/>
        <w:color w:val="6A7177"/>
        <w:sz w:val="18"/>
        <w:szCs w:val="18"/>
      </w:rPr>
      <w:t>s</w:t>
    </w:r>
    <w:r>
      <w:rPr>
        <w:rFonts w:ascii="Open Sans Light" w:hAnsi="Open Sans Light" w:cs="Open Sans Light"/>
        <w:color w:val="6A7177"/>
        <w:sz w:val="18"/>
        <w:szCs w:val="18"/>
      </w:rPr>
      <w:tab/>
    </w:r>
    <w:r w:rsidRPr="000A3D53">
      <w:rPr>
        <w:rFonts w:ascii="Open Sans Light" w:hAnsi="Open Sans Light" w:cs="Open Sans Light"/>
        <w:color w:val="6A7177"/>
        <w:sz w:val="18"/>
        <w:szCs w:val="18"/>
      </w:rPr>
      <w:fldChar w:fldCharType="begin"/>
    </w:r>
    <w:r w:rsidRPr="000A3D53">
      <w:rPr>
        <w:rFonts w:ascii="Open Sans Light" w:hAnsi="Open Sans Light" w:cs="Open Sans Light"/>
        <w:color w:val="6A7177"/>
        <w:sz w:val="18"/>
        <w:szCs w:val="18"/>
      </w:rPr>
      <w:instrText xml:space="preserve"> PAGE   \* MERGEFORMAT </w:instrText>
    </w:r>
    <w:r w:rsidRPr="000A3D53">
      <w:rPr>
        <w:rFonts w:ascii="Open Sans Light" w:hAnsi="Open Sans Light" w:cs="Open Sans Light"/>
        <w:color w:val="6A7177"/>
        <w:sz w:val="18"/>
        <w:szCs w:val="18"/>
      </w:rPr>
      <w:fldChar w:fldCharType="separate"/>
    </w:r>
    <w:r w:rsidR="00E031EF">
      <w:rPr>
        <w:rFonts w:ascii="Open Sans Light" w:hAnsi="Open Sans Light" w:cs="Open Sans Light"/>
        <w:noProof/>
        <w:color w:val="6A7177"/>
        <w:sz w:val="18"/>
        <w:szCs w:val="18"/>
      </w:rPr>
      <w:t>24</w:t>
    </w:r>
    <w:r w:rsidRPr="000A3D53">
      <w:rPr>
        <w:rFonts w:ascii="Open Sans Light" w:hAnsi="Open Sans Light" w:cs="Open Sans Light"/>
        <w:noProof/>
        <w:color w:val="6A7177"/>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E04E89" w14:textId="77777777" w:rsidR="00DD5715" w:rsidRDefault="00DD5715" w:rsidP="00637AFB">
    <w:pPr>
      <w:pStyle w:val="Footer"/>
      <w:ind w:left="-851" w:right="-853"/>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00BBE9" w14:textId="14FE6F4A" w:rsidR="00DD5715" w:rsidRPr="002E6BB5" w:rsidRDefault="00DD5715" w:rsidP="009645AD">
    <w:pPr>
      <w:pStyle w:val="Footer"/>
      <w:pBdr>
        <w:top w:val="single" w:sz="8" w:space="10" w:color="E83F35" w:themeColor="accent1"/>
      </w:pBdr>
      <w:rPr>
        <w:b/>
        <w:sz w:val="18"/>
        <w:szCs w:val="18"/>
      </w:rPr>
    </w:pPr>
    <w:r>
      <w:rPr>
        <w:rFonts w:ascii="Open Sans Light" w:hAnsi="Open Sans Light" w:cs="Open Sans Light"/>
        <w:noProof/>
        <w:lang w:eastAsia="en-AU"/>
      </w:rPr>
      <mc:AlternateContent>
        <mc:Choice Requires="wps">
          <w:drawing>
            <wp:anchor distT="0" distB="0" distL="114300" distR="114300" simplePos="0" relativeHeight="251665408" behindDoc="0" locked="0" layoutInCell="1" allowOverlap="1" wp14:anchorId="5E367DBA" wp14:editId="247F7346">
              <wp:simplePos x="0" y="0"/>
              <wp:positionH relativeFrom="margin">
                <wp:posOffset>5721985</wp:posOffset>
              </wp:positionH>
              <wp:positionV relativeFrom="paragraph">
                <wp:posOffset>-48895</wp:posOffset>
              </wp:positionV>
              <wp:extent cx="5402" cy="206518"/>
              <wp:effectExtent l="0" t="0" r="33020" b="22225"/>
              <wp:wrapNone/>
              <wp:docPr id="31" name="Straight Connector 31" descr="Decorative">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5402" cy="206518"/>
                      </a:xfrm>
                      <a:prstGeom prst="line">
                        <a:avLst/>
                      </a:prstGeom>
                      <a:ln w="127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14E1B2CB" id="Straight Connector 31" o:spid="_x0000_s1026" alt="Decorative" style="position:absolute;flip:x;z-index:25166540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 from="450.55pt,-3.85pt" to="451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" strokecolor="white [3212]" strokeweight="1pt">
              <w10:wrap anchorx="margin"/>
            </v:line>
          </w:pict>
        </mc:Fallback>
      </mc:AlternateContent>
    </w:r>
    <w:r>
      <w:rPr>
        <w:sz w:val="18"/>
        <w:szCs w:val="18"/>
      </w:rPr>
      <w:t>F</w:t>
    </w:r>
    <w:r w:rsidRPr="009E16F7">
      <w:rPr>
        <w:sz w:val="18"/>
        <w:szCs w:val="18"/>
      </w:rPr>
      <w:t xml:space="preserve">rontier </w:t>
    </w:r>
    <w:r>
      <w:rPr>
        <w:sz w:val="18"/>
        <w:szCs w:val="18"/>
      </w:rPr>
      <w:t>E</w:t>
    </w:r>
    <w:r w:rsidRPr="009E16F7">
      <w:rPr>
        <w:sz w:val="18"/>
        <w:szCs w:val="18"/>
      </w:rPr>
      <w:t>conomics</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A80F73" w14:textId="77777777" w:rsidR="00DD5715" w:rsidRPr="00BC74DB" w:rsidRDefault="00DD5715" w:rsidP="003829C4">
    <w:pPr>
      <w:pStyle w:val="Footer"/>
      <w:rPr>
        <w:b/>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318CC4F" w14:textId="77777777" w:rsidR="00DD5715" w:rsidRPr="00647A60" w:rsidRDefault="00DD5715" w:rsidP="00860DFA">
      <w:pPr>
        <w:spacing w:before="0" w:line="240" w:lineRule="auto"/>
        <w:rPr>
          <w:color w:val="F2F2F2" w:themeColor="background2"/>
        </w:rPr>
      </w:pPr>
      <w:r w:rsidRPr="00647A60">
        <w:rPr>
          <w:color w:val="F2F2F2" w:themeColor="background2"/>
        </w:rPr>
        <w:separator/>
      </w:r>
    </w:p>
  </w:footnote>
  <w:footnote w:type="continuationSeparator" w:id="0">
    <w:p w14:paraId="0A3FEA7F" w14:textId="77777777" w:rsidR="00DD5715" w:rsidRPr="00647A60" w:rsidRDefault="00DD5715" w:rsidP="00860DFA">
      <w:pPr>
        <w:spacing w:before="0" w:line="240" w:lineRule="auto"/>
        <w:rPr>
          <w:color w:val="F2F2F2" w:themeColor="background2"/>
        </w:rPr>
      </w:pPr>
      <w:r w:rsidRPr="00647A60">
        <w:rPr>
          <w:color w:val="F2F2F2" w:themeColor="background2"/>
        </w:rPr>
        <w:continuationSeparator/>
      </w:r>
    </w:p>
  </w:footnote>
  <w:footnote w:type="continuationNotice" w:id="1">
    <w:p w14:paraId="7F7A6964" w14:textId="77777777" w:rsidR="00DD5715" w:rsidRDefault="00DD5715">
      <w:pPr>
        <w:spacing w:before="0" w:after="0" w:line="240" w:lineRule="auto"/>
      </w:pPr>
    </w:p>
  </w:footnote>
  <w:footnote w:id="2">
    <w:p w14:paraId="122D924D" w14:textId="77777777" w:rsidR="00DD5715" w:rsidRPr="002D3DE4" w:rsidRDefault="00DD5715">
      <w:pPr>
        <w:pStyle w:val="FootnoteText"/>
        <w:rPr>
          <w:highlight w:val="yellow"/>
        </w:rPr>
      </w:pPr>
      <w:r>
        <w:rPr>
          <w:rStyle w:val="FootnoteReference"/>
        </w:rPr>
        <w:footnoteRef/>
      </w:r>
      <w:r>
        <w:t xml:space="preserve"> </w:t>
      </w:r>
      <w:r>
        <w:tab/>
      </w:r>
      <w:hyperlink r:id="rId1" w:history="1">
        <w:r w:rsidRPr="00B34403">
          <w:rPr>
            <w:rStyle w:val="Hyperlink"/>
          </w:rPr>
          <w:t>https://minister.infrastructure.gov.au/fletcher/media-release/45-billion-nbn-investment-bring-ultra-fast-broadband-millions-families-and-businesses-and-create-25000-jobs</w:t>
        </w:r>
      </w:hyperlink>
      <w:r w:rsidRPr="00B34403">
        <w:t xml:space="preserve"> </w:t>
      </w:r>
    </w:p>
  </w:footnote>
  <w:footnote w:id="3">
    <w:p w14:paraId="3F5B7687" w14:textId="77777777" w:rsidR="00DD5715" w:rsidRPr="00791AEA" w:rsidRDefault="00DD5715" w:rsidP="00CD031D">
      <w:pPr>
        <w:pStyle w:val="FootnoteText"/>
        <w:rPr>
          <w:lang w:val="en-US"/>
        </w:rPr>
      </w:pPr>
      <w:r>
        <w:rPr>
          <w:rStyle w:val="FootnoteReference"/>
        </w:rPr>
        <w:footnoteRef/>
      </w:r>
      <w:r>
        <w:t xml:space="preserve"> </w:t>
      </w:r>
      <w:r>
        <w:rPr>
          <w:lang w:val="en-US"/>
        </w:rPr>
        <w:t>Pricing was current during the period of the analysis, March to June 2021.</w:t>
      </w:r>
    </w:p>
  </w:footnote>
  <w:footnote w:id="4">
    <w:p w14:paraId="66496467" w14:textId="77777777" w:rsidR="00DD5715" w:rsidRDefault="00DD5715" w:rsidP="00000B99">
      <w:pPr>
        <w:pStyle w:val="FootnoteText"/>
      </w:pPr>
      <w:r>
        <w:rPr>
          <w:rStyle w:val="FootnoteReference"/>
        </w:rPr>
        <w:footnoteRef/>
      </w:r>
      <w:r>
        <w:t xml:space="preserve"> </w:t>
      </w:r>
      <w:r>
        <w:tab/>
      </w:r>
      <w:r w:rsidRPr="001851BD">
        <w:t>NBN Co estimates that it serves more than a million businesses with TC-4 services</w:t>
      </w:r>
      <w:r>
        <w:t>. As per Senate Committee (</w:t>
      </w:r>
      <w:r w:rsidRPr="004C0994">
        <w:t xml:space="preserve">Environment </w:t>
      </w:r>
      <w:r>
        <w:t>a</w:t>
      </w:r>
      <w:r w:rsidRPr="004C0994">
        <w:t>nd Communications Legislation</w:t>
      </w:r>
      <w:r>
        <w:t xml:space="preserve">) Estimates, </w:t>
      </w:r>
      <w:r w:rsidRPr="000A38C0">
        <w:t>Thursday, 27 May 2021</w:t>
      </w:r>
      <w:r>
        <w:t>, p. 27.</w:t>
      </w:r>
    </w:p>
  </w:footnote>
  <w:footnote w:id="5">
    <w:p w14:paraId="289DAA4C" w14:textId="77777777" w:rsidR="00DD5715" w:rsidRPr="00111CB3" w:rsidRDefault="00DD5715">
      <w:pPr>
        <w:pStyle w:val="FootnoteText"/>
        <w:rPr>
          <w:lang w:val="en-US"/>
        </w:rPr>
      </w:pPr>
      <w:r>
        <w:rPr>
          <w:rStyle w:val="FootnoteReference"/>
        </w:rPr>
        <w:footnoteRef/>
      </w:r>
      <w:r>
        <w:t xml:space="preserve"> </w:t>
      </w:r>
      <w:r>
        <w:rPr>
          <w:lang w:val="en-US"/>
        </w:rPr>
        <w:tab/>
      </w:r>
      <w:hyperlink r:id="rId2" w:history="1">
        <w:r w:rsidRPr="00D17891">
          <w:rPr>
            <w:rStyle w:val="Hyperlink"/>
            <w:lang w:val="en-US"/>
          </w:rPr>
          <w:t>https://www.abs.gov.au/statistics/economy/business-indicators/counts-australian-businesses-including-entries-and-exits/latest-release</w:t>
        </w:r>
      </w:hyperlink>
      <w:r>
        <w:rPr>
          <w:lang w:val="en-US"/>
        </w:rPr>
        <w:t xml:space="preserve"> </w:t>
      </w:r>
    </w:p>
  </w:footnote>
  <w:footnote w:id="6">
    <w:p w14:paraId="36EEAB93" w14:textId="77777777" w:rsidR="00DD5715" w:rsidRDefault="00DD5715" w:rsidP="00F42788">
      <w:pPr>
        <w:pStyle w:val="FootnoteText"/>
      </w:pPr>
      <w:r>
        <w:rPr>
          <w:rStyle w:val="FootnoteReference"/>
        </w:rPr>
        <w:footnoteRef/>
      </w:r>
      <w:r>
        <w:t xml:space="preserve"> </w:t>
      </w:r>
      <w:r>
        <w:tab/>
        <w:t xml:space="preserve">Deloitte Access Economics, </w:t>
      </w:r>
      <w:r w:rsidRPr="001C054C">
        <w:rPr>
          <w:i/>
          <w:iCs/>
        </w:rPr>
        <w:t>Benefits of high speed broadband for Australian Households</w:t>
      </w:r>
      <w:r>
        <w:t>, Prepared for the Department of Communications, 2013, p. 10.</w:t>
      </w:r>
    </w:p>
  </w:footnote>
  <w:footnote w:id="7">
    <w:p w14:paraId="28C8B8AC" w14:textId="77777777" w:rsidR="00DD5715" w:rsidRDefault="00DD5715">
      <w:pPr>
        <w:pStyle w:val="FootnoteText"/>
      </w:pPr>
      <w:r>
        <w:rPr>
          <w:rStyle w:val="FootnoteReference"/>
        </w:rPr>
        <w:footnoteRef/>
      </w:r>
      <w:r>
        <w:t xml:space="preserve"> </w:t>
      </w:r>
      <w:proofErr w:type="spellStart"/>
      <w:r>
        <w:t>AlphaBeta</w:t>
      </w:r>
      <w:proofErr w:type="spellEnd"/>
      <w:r>
        <w:t xml:space="preserve">, </w:t>
      </w:r>
      <w:r w:rsidRPr="004F75B3">
        <w:rPr>
          <w:i/>
          <w:iCs/>
        </w:rPr>
        <w:t xml:space="preserve">Economic impact analysis: </w:t>
      </w:r>
      <w:proofErr w:type="spellStart"/>
      <w:r w:rsidRPr="004F75B3">
        <w:rPr>
          <w:i/>
          <w:iCs/>
        </w:rPr>
        <w:t>nbn</w:t>
      </w:r>
      <w:proofErr w:type="spellEnd"/>
      <w:r w:rsidRPr="004F75B3">
        <w:rPr>
          <w:i/>
          <w:iCs/>
        </w:rPr>
        <w:t xml:space="preserve"> network investment plan</w:t>
      </w:r>
      <w:r>
        <w:t>, September 2020.</w:t>
      </w:r>
    </w:p>
  </w:footnote>
  <w:footnote w:id="8">
    <w:p w14:paraId="0494981B" w14:textId="77777777" w:rsidR="00DD5715" w:rsidRDefault="00DD5715" w:rsidP="00876CAA">
      <w:pPr>
        <w:pStyle w:val="FootnoteText"/>
      </w:pPr>
      <w:r>
        <w:rPr>
          <w:rStyle w:val="FootnoteReference"/>
        </w:rPr>
        <w:footnoteRef/>
      </w:r>
      <w:r>
        <w:t xml:space="preserve"> </w:t>
      </w:r>
      <w:r>
        <w:tab/>
        <w:t>Based on Stats NZ business operations survey data.</w:t>
      </w:r>
    </w:p>
  </w:footnote>
  <w:footnote w:id="9">
    <w:p w14:paraId="539BF303" w14:textId="77777777" w:rsidR="00DD5715" w:rsidRDefault="00DD5715" w:rsidP="00876CAA">
      <w:pPr>
        <w:pStyle w:val="FootnoteText"/>
      </w:pPr>
      <w:r>
        <w:rPr>
          <w:rStyle w:val="FootnoteReference"/>
        </w:rPr>
        <w:footnoteRef/>
      </w:r>
      <w:r>
        <w:t xml:space="preserve"> </w:t>
      </w:r>
      <w:r>
        <w:tab/>
        <w:t>Fabling and Grimes (2016).</w:t>
      </w:r>
    </w:p>
  </w:footnote>
  <w:footnote w:id="10">
    <w:p w14:paraId="11207CD4" w14:textId="77777777" w:rsidR="00DD5715" w:rsidRDefault="00DD5715" w:rsidP="00633FDD">
      <w:pPr>
        <w:pStyle w:val="FootnoteText"/>
      </w:pPr>
      <w:r>
        <w:rPr>
          <w:rStyle w:val="FootnoteReference"/>
        </w:rPr>
        <w:footnoteRef/>
      </w:r>
      <w:r>
        <w:t xml:space="preserve"> </w:t>
      </w:r>
      <w:r>
        <w:tab/>
      </w:r>
      <w:r w:rsidRPr="00633FDD">
        <w:t>The limitations are of two kinds:</w:t>
      </w:r>
      <w:r>
        <w:t xml:space="preserve"> (</w:t>
      </w:r>
      <w:proofErr w:type="spellStart"/>
      <w:r>
        <w:t>i</w:t>
      </w:r>
      <w:proofErr w:type="spellEnd"/>
      <w:r>
        <w:t>)</w:t>
      </w:r>
      <w:r w:rsidRPr="00633FDD">
        <w:rPr>
          <w:lang w:val="en-GB"/>
        </w:rPr>
        <w:t xml:space="preserve"> </w:t>
      </w:r>
      <w:proofErr w:type="spellStart"/>
      <w:r w:rsidRPr="00633FDD">
        <w:rPr>
          <w:lang w:val="en-GB"/>
        </w:rPr>
        <w:t>endogeneity</w:t>
      </w:r>
      <w:proofErr w:type="spellEnd"/>
      <w:r w:rsidRPr="00633FDD">
        <w:rPr>
          <w:lang w:val="en-GB"/>
        </w:rPr>
        <w:t xml:space="preserve"> </w:t>
      </w:r>
      <w:r>
        <w:rPr>
          <w:lang w:val="en-GB"/>
        </w:rPr>
        <w:t xml:space="preserve">between broadband and the economic variables of interest and (ii) transposing the study to </w:t>
      </w:r>
      <w:r w:rsidRPr="00633FDD">
        <w:t>Australian circumstances</w:t>
      </w:r>
      <w:r>
        <w:t xml:space="preserve">. </w:t>
      </w:r>
      <w:proofErr w:type="spellStart"/>
      <w:r>
        <w:t>Endogeneity</w:t>
      </w:r>
      <w:proofErr w:type="spellEnd"/>
      <w:r>
        <w:t xml:space="preserve"> arises when the flow of the causal relationship is unclear: does an increase in broadband penetration increase GDP, or does higher GDP increase take-up of broadband. The second issue arises as there are few studies that use Australian data - for the effects to be similar, the studies will either have to reflect to or be adjusted to reflect the Australian market - e.g. for the industry structure. </w:t>
      </w:r>
    </w:p>
  </w:footnote>
  <w:footnote w:id="11">
    <w:p w14:paraId="26619E91" w14:textId="77777777" w:rsidR="00DD5715" w:rsidRPr="007857EE" w:rsidRDefault="00DD5715" w:rsidP="002E1A1F">
      <w:pPr>
        <w:pStyle w:val="FootnoteText"/>
        <w:rPr>
          <w:lang w:val="en-US"/>
        </w:rPr>
      </w:pPr>
      <w:r>
        <w:rPr>
          <w:rStyle w:val="FootnoteReference"/>
        </w:rPr>
        <w:footnoteRef/>
      </w:r>
      <w:r>
        <w:t xml:space="preserve"> </w:t>
      </w:r>
      <w:r>
        <w:rPr>
          <w:lang w:val="en-US"/>
        </w:rPr>
        <w:tab/>
      </w:r>
      <w:proofErr w:type="spellStart"/>
      <w:r>
        <w:rPr>
          <w:lang w:val="en-US"/>
        </w:rPr>
        <w:t>Briglauer</w:t>
      </w:r>
      <w:proofErr w:type="spellEnd"/>
      <w:r>
        <w:rPr>
          <w:lang w:val="en-US"/>
        </w:rPr>
        <w:t xml:space="preserve"> et al, 2021.</w:t>
      </w:r>
    </w:p>
  </w:footnote>
  <w:footnote w:id="12">
    <w:p w14:paraId="0A0CFA72" w14:textId="77777777" w:rsidR="00DD5715" w:rsidRDefault="00DD5715">
      <w:pPr>
        <w:pStyle w:val="FootnoteText"/>
      </w:pPr>
      <w:r>
        <w:rPr>
          <w:rStyle w:val="FootnoteReference"/>
        </w:rPr>
        <w:footnoteRef/>
      </w:r>
      <w:r>
        <w:t xml:space="preserve"> </w:t>
      </w:r>
      <w:r>
        <w:tab/>
      </w:r>
      <w:r w:rsidRPr="007B4D65">
        <w:t>Although we recognise that cross-country studies have certain advantages over intra-country studies, our view is that this study best addresses</w:t>
      </w:r>
      <w:r>
        <w:t xml:space="preserve"> moves towards faster broadband (&gt;25mbps) than available cross country studies.</w:t>
      </w:r>
    </w:p>
  </w:footnote>
  <w:footnote w:id="13">
    <w:p w14:paraId="2EF08BC1" w14:textId="77777777" w:rsidR="00DD5715" w:rsidRPr="007A475B" w:rsidRDefault="00DD5715" w:rsidP="002E1A1F">
      <w:pPr>
        <w:pStyle w:val="FootnoteText"/>
        <w:rPr>
          <w:lang w:val="en-US"/>
        </w:rPr>
      </w:pPr>
      <w:r>
        <w:rPr>
          <w:rStyle w:val="FootnoteReference"/>
        </w:rPr>
        <w:footnoteRef/>
      </w:r>
      <w:r>
        <w:t xml:space="preserve"> </w:t>
      </w:r>
      <w:r>
        <w:rPr>
          <w:lang w:val="en-US"/>
        </w:rPr>
        <w:tab/>
        <w:t>The total number of connections was sourced from the NBN Corporate Plan 2021, Table 2.</w:t>
      </w:r>
    </w:p>
  </w:footnote>
  <w:footnote w:id="14">
    <w:p w14:paraId="5D2E489F" w14:textId="77777777" w:rsidR="00DD5715" w:rsidRPr="005F70E4" w:rsidRDefault="00DD5715" w:rsidP="00836854">
      <w:pPr>
        <w:pStyle w:val="FootnoteText"/>
        <w:rPr>
          <w:lang w:val="en-US"/>
        </w:rPr>
      </w:pPr>
      <w:r>
        <w:rPr>
          <w:rStyle w:val="FootnoteReference"/>
        </w:rPr>
        <w:footnoteRef/>
      </w:r>
      <w:r>
        <w:t xml:space="preserve"> </w:t>
      </w:r>
      <w:r>
        <w:rPr>
          <w:lang w:val="en-US"/>
        </w:rPr>
        <w:tab/>
        <w:t>Results are not sensitive to the population cutoff.</w:t>
      </w:r>
    </w:p>
  </w:footnote>
  <w:footnote w:id="15">
    <w:p w14:paraId="53A4EFFA" w14:textId="77777777" w:rsidR="00DD5715" w:rsidRPr="005F70E4" w:rsidRDefault="00DD5715" w:rsidP="00836854">
      <w:pPr>
        <w:pStyle w:val="FootnoteText"/>
        <w:rPr>
          <w:lang w:val="en-US"/>
        </w:rPr>
      </w:pPr>
      <w:r>
        <w:rPr>
          <w:rStyle w:val="FootnoteReference"/>
        </w:rPr>
        <w:footnoteRef/>
      </w:r>
      <w:r>
        <w:t xml:space="preserve"> </w:t>
      </w:r>
      <w:r>
        <w:rPr>
          <w:lang w:val="en-US"/>
        </w:rPr>
        <w:tab/>
        <w:t xml:space="preserve">ABS, </w:t>
      </w:r>
      <w:r w:rsidRPr="00F70AC1">
        <w:rPr>
          <w:lang w:val="en-US"/>
        </w:rPr>
        <w:t>Population estimates by selected Non-ABS Structures, 2010 to 2020</w:t>
      </w:r>
      <w:r>
        <w:rPr>
          <w:lang w:val="en-US"/>
        </w:rPr>
        <w:t>.</w:t>
      </w:r>
    </w:p>
  </w:footnote>
  <w:footnote w:id="16">
    <w:p w14:paraId="79971917" w14:textId="77777777" w:rsidR="00DD5715" w:rsidRPr="00791AEA" w:rsidRDefault="00DD5715">
      <w:pPr>
        <w:pStyle w:val="FootnoteText"/>
        <w:rPr>
          <w:lang w:val="en-US"/>
        </w:rPr>
      </w:pPr>
      <w:r>
        <w:rPr>
          <w:rStyle w:val="FootnoteReference"/>
        </w:rPr>
        <w:footnoteRef/>
      </w:r>
      <w:r>
        <w:t xml:space="preserve"> </w:t>
      </w:r>
      <w:r>
        <w:rPr>
          <w:lang w:val="en-US"/>
        </w:rPr>
        <w:tab/>
      </w:r>
      <w:r w:rsidRPr="009C001D">
        <w:rPr>
          <w:lang w:val="en-US"/>
        </w:rPr>
        <w:t>Gross Value Added (GVA) is the value of gross output minus intermediate consumption. GVA estimates enable analysis of industry contributions to the economy.</w:t>
      </w:r>
      <w:r>
        <w:rPr>
          <w:lang w:val="en-US"/>
        </w:rPr>
        <w:t xml:space="preserve"> See </w:t>
      </w:r>
      <w:hyperlink r:id="rId3" w:history="1">
        <w:r w:rsidRPr="00CF7F2E">
          <w:rPr>
            <w:rStyle w:val="Hyperlink"/>
            <w:lang w:val="en-US"/>
          </w:rPr>
          <w:t>https://www.abs.gov.au/articles/output-indicator-method-national-accounts</w:t>
        </w:r>
      </w:hyperlink>
      <w:r>
        <w:rPr>
          <w:lang w:val="en-US"/>
        </w:rPr>
        <w:t xml:space="preserve">. </w:t>
      </w:r>
    </w:p>
  </w:footnote>
  <w:footnote w:id="17">
    <w:p w14:paraId="34AA8E4D" w14:textId="77777777" w:rsidR="00DD5715" w:rsidRPr="00E703CC" w:rsidRDefault="00DD5715" w:rsidP="00492135">
      <w:pPr>
        <w:pStyle w:val="FootnoteText"/>
        <w:rPr>
          <w:lang w:val="en-US"/>
        </w:rPr>
      </w:pPr>
      <w:r>
        <w:rPr>
          <w:rStyle w:val="FootnoteReference"/>
        </w:rPr>
        <w:footnoteRef/>
      </w:r>
      <w:r>
        <w:t xml:space="preserve"> </w:t>
      </w:r>
      <w:r>
        <w:rPr>
          <w:lang w:val="en-US"/>
        </w:rPr>
        <w:tab/>
        <w:t>The average download speed in the study was 29.64 Mbps, or 25.19 if restricted to rural counties.</w:t>
      </w:r>
    </w:p>
  </w:footnote>
  <w:footnote w:id="18">
    <w:p w14:paraId="0E21FF0F" w14:textId="77777777" w:rsidR="00DD5715" w:rsidRPr="00C4242E" w:rsidRDefault="00DD5715" w:rsidP="00492135">
      <w:pPr>
        <w:pStyle w:val="FootnoteText"/>
        <w:rPr>
          <w:lang w:val="en-US"/>
        </w:rPr>
      </w:pPr>
      <w:r>
        <w:rPr>
          <w:rStyle w:val="FootnoteReference"/>
        </w:rPr>
        <w:footnoteRef/>
      </w:r>
      <w:r>
        <w:t xml:space="preserve"> </w:t>
      </w:r>
      <w:r>
        <w:rPr>
          <w:lang w:val="en-US"/>
        </w:rPr>
        <w:tab/>
      </w:r>
      <w:proofErr w:type="spellStart"/>
      <w:r>
        <w:rPr>
          <w:lang w:val="en-US"/>
        </w:rPr>
        <w:t>Briglauer</w:t>
      </w:r>
      <w:proofErr w:type="spellEnd"/>
      <w:r>
        <w:rPr>
          <w:lang w:val="en-US"/>
        </w:rPr>
        <w:t xml:space="preserve"> (2021), p. 12.</w:t>
      </w:r>
    </w:p>
  </w:footnote>
  <w:footnote w:id="19">
    <w:p w14:paraId="4942A92E" w14:textId="77777777" w:rsidR="00DD5715" w:rsidRPr="00C4242E" w:rsidRDefault="00DD5715" w:rsidP="00492135">
      <w:pPr>
        <w:pStyle w:val="FootnoteText"/>
        <w:rPr>
          <w:lang w:val="en-US"/>
        </w:rPr>
      </w:pPr>
      <w:r>
        <w:rPr>
          <w:rStyle w:val="FootnoteReference"/>
        </w:rPr>
        <w:footnoteRef/>
      </w:r>
      <w:r>
        <w:t xml:space="preserve"> </w:t>
      </w:r>
      <w:r>
        <w:rPr>
          <w:lang w:val="en-US"/>
        </w:rPr>
        <w:tab/>
        <w:t xml:space="preserve">The ACCC’s </w:t>
      </w:r>
      <w:r w:rsidRPr="00622FB4">
        <w:rPr>
          <w:lang w:val="en-US"/>
        </w:rPr>
        <w:t>March 2021 NBN wholesale market indicators report</w:t>
      </w:r>
      <w:r>
        <w:rPr>
          <w:lang w:val="en-US"/>
        </w:rPr>
        <w:t xml:space="preserve"> indicates no significant differences in CVC per connection (either for TC-4 connections or all connections) between regional and metro POIs; the metro regions did have slightly higher CVC per connection on average, however.</w:t>
      </w:r>
    </w:p>
  </w:footnote>
  <w:footnote w:id="20">
    <w:p w14:paraId="1D613589" w14:textId="77777777" w:rsidR="00DD5715" w:rsidRDefault="00DD5715" w:rsidP="00492135">
      <w:pPr>
        <w:pStyle w:val="FootnoteText"/>
      </w:pPr>
      <w:r>
        <w:rPr>
          <w:rStyle w:val="FootnoteReference"/>
        </w:rPr>
        <w:footnoteRef/>
      </w:r>
      <w:r>
        <w:t xml:space="preserve"> </w:t>
      </w:r>
      <w:r>
        <w:tab/>
      </w:r>
      <w:proofErr w:type="spellStart"/>
      <w:r>
        <w:t>Rohman</w:t>
      </w:r>
      <w:proofErr w:type="spellEnd"/>
      <w:r>
        <w:t xml:space="preserve"> and </w:t>
      </w:r>
      <w:proofErr w:type="spellStart"/>
      <w:r>
        <w:t>Bohlin</w:t>
      </w:r>
      <w:proofErr w:type="spellEnd"/>
      <w:r>
        <w:t xml:space="preserve"> find that a doubling of speeds increases GDP by 0.3%, so that a 10% speed increase would increase GDP by 0.03%. This study is based on results from </w:t>
      </w:r>
      <w:r w:rsidRPr="00AF2B4A">
        <w:t>33 OECD countries over 2008-2010</w:t>
      </w:r>
      <w:r>
        <w:t>; t</w:t>
      </w:r>
      <w:r w:rsidRPr="00AF2B4A">
        <w:t>he sample mean is 8.3 mbps, hence 16.6 mbps for a 100% increase.</w:t>
      </w:r>
    </w:p>
  </w:footnote>
  <w:footnote w:id="21">
    <w:p w14:paraId="354F8ADB" w14:textId="77777777" w:rsidR="00DD5715" w:rsidRPr="005F70E4" w:rsidRDefault="00DD5715" w:rsidP="00492135">
      <w:pPr>
        <w:pStyle w:val="FootnoteText"/>
        <w:rPr>
          <w:lang w:val="en-US"/>
        </w:rPr>
      </w:pPr>
      <w:r>
        <w:rPr>
          <w:rStyle w:val="FootnoteReference"/>
        </w:rPr>
        <w:footnoteRef/>
      </w:r>
      <w:r>
        <w:t xml:space="preserve"> </w:t>
      </w:r>
      <w:r>
        <w:rPr>
          <w:lang w:val="en-US"/>
        </w:rPr>
        <w:tab/>
        <w:t>We assume that urban and rural areas both receive the same uplift in speeds because of the initiative. While it is possible that the speed increase is biased towards one area, we have not been provided with data to investigate the split.</w:t>
      </w:r>
    </w:p>
  </w:footnote>
  <w:footnote w:id="22">
    <w:p w14:paraId="478ED557" w14:textId="77777777" w:rsidR="00DD5715" w:rsidRPr="005F70E4" w:rsidRDefault="00DD5715" w:rsidP="00492135">
      <w:pPr>
        <w:pStyle w:val="FootnoteText"/>
        <w:rPr>
          <w:lang w:val="en-US"/>
        </w:rPr>
      </w:pPr>
      <w:r>
        <w:rPr>
          <w:rStyle w:val="FootnoteReference"/>
        </w:rPr>
        <w:footnoteRef/>
      </w:r>
      <w:r>
        <w:t xml:space="preserve"> </w:t>
      </w:r>
      <w:r>
        <w:rPr>
          <w:lang w:val="en-US"/>
        </w:rPr>
        <w:tab/>
        <w:t>Forecasts of GVA for FY2021 through FY2024 apply the April 2021 Consensus Economics forecasts of Australian GDP to 2020 GVA.</w:t>
      </w:r>
    </w:p>
  </w:footnote>
  <w:footnote w:id="23">
    <w:p w14:paraId="4D9B4604" w14:textId="77777777" w:rsidR="00DD5715" w:rsidRDefault="00DD5715">
      <w:pPr>
        <w:pStyle w:val="FootnoteText"/>
      </w:pPr>
      <w:r>
        <w:rPr>
          <w:rStyle w:val="FootnoteReference"/>
        </w:rPr>
        <w:footnoteRef/>
      </w:r>
      <w:r>
        <w:t xml:space="preserve"> </w:t>
      </w:r>
      <w:r>
        <w:tab/>
        <w:t>Total- or Multi-factor productivity is a measure of the efficiency at which business convert inputs into outputs.</w:t>
      </w:r>
    </w:p>
  </w:footnote>
  <w:footnote w:id="24">
    <w:p w14:paraId="58D9F85E" w14:textId="77777777" w:rsidR="00DD5715" w:rsidRDefault="00DD5715" w:rsidP="00BA15FE">
      <w:pPr>
        <w:pStyle w:val="FootnoteText"/>
      </w:pPr>
      <w:r>
        <w:rPr>
          <w:rStyle w:val="FootnoteReference"/>
        </w:rPr>
        <w:footnoteRef/>
      </w:r>
      <w:r>
        <w:t xml:space="preserve"> </w:t>
      </w:r>
      <w:r>
        <w:tab/>
        <w:t xml:space="preserve">Clarke, </w:t>
      </w:r>
      <w:proofErr w:type="spellStart"/>
      <w:r>
        <w:t>Qiang</w:t>
      </w:r>
      <w:proofErr w:type="spellEnd"/>
      <w:r>
        <w:t xml:space="preserve"> and Xu, </w:t>
      </w:r>
      <w:proofErr w:type="gramStart"/>
      <w:r w:rsidRPr="00BA15FE">
        <w:rPr>
          <w:i/>
          <w:iCs/>
        </w:rPr>
        <w:t>The</w:t>
      </w:r>
      <w:proofErr w:type="gramEnd"/>
      <w:r w:rsidRPr="00BA15FE">
        <w:rPr>
          <w:i/>
          <w:iCs/>
        </w:rPr>
        <w:t xml:space="preserve"> Internet as a General-Purpose Technology: Firm-Level Evidence from around the World</w:t>
      </w:r>
      <w:r>
        <w:t xml:space="preserve">, World Bank </w:t>
      </w:r>
      <w:r w:rsidRPr="00BA15FE">
        <w:t>Policy Research Working Paper 7192</w:t>
      </w:r>
      <w:r>
        <w:t>, p. 5.</w:t>
      </w:r>
    </w:p>
  </w:footnote>
  <w:footnote w:id="25">
    <w:p w14:paraId="3D1A2416" w14:textId="77777777" w:rsidR="00DD5715" w:rsidRDefault="00DD5715">
      <w:pPr>
        <w:pStyle w:val="FootnoteText"/>
      </w:pPr>
      <w:r>
        <w:rPr>
          <w:rStyle w:val="FootnoteReference"/>
        </w:rPr>
        <w:footnoteRef/>
      </w:r>
      <w:r>
        <w:t xml:space="preserve"> </w:t>
      </w:r>
      <w:r>
        <w:tab/>
        <w:t xml:space="preserve">The </w:t>
      </w:r>
      <w:proofErr w:type="gramStart"/>
      <w:r>
        <w:t>authors</w:t>
      </w:r>
      <w:proofErr w:type="gramEnd"/>
      <w:r>
        <w:t xml:space="preserve"> state that the majority of upgrades were from ADSL (7mbps) to ADSL2+ (20mbps) - a 2.8 times or 188% increase while some services were initially supplied at 1.2mbps. </w:t>
      </w:r>
      <w:proofErr w:type="spellStart"/>
      <w:r>
        <w:t>Canzian</w:t>
      </w:r>
      <w:proofErr w:type="spellEnd"/>
      <w:r>
        <w:t xml:space="preserve"> et al (2019), p. 90.</w:t>
      </w:r>
    </w:p>
  </w:footnote>
  <w:footnote w:id="26">
    <w:p w14:paraId="2EE73616" w14:textId="77777777" w:rsidR="00DD5715" w:rsidRDefault="00DD5715">
      <w:pPr>
        <w:pStyle w:val="FootnoteText"/>
      </w:pPr>
      <w:r>
        <w:rPr>
          <w:rStyle w:val="FootnoteReference"/>
        </w:rPr>
        <w:footnoteRef/>
      </w:r>
      <w:r>
        <w:t xml:space="preserve"> </w:t>
      </w:r>
      <w:r>
        <w:tab/>
        <w:t xml:space="preserve">The range is calculated based on standard errors from </w:t>
      </w:r>
      <w:proofErr w:type="spellStart"/>
      <w:r>
        <w:t>Canzian</w:t>
      </w:r>
      <w:proofErr w:type="spellEnd"/>
      <w:r>
        <w:t xml:space="preserve"> et al (2019). We use +- two standard errors of the point estimate to obtain the range, meaning that we expect the true increase to lie within this range with 95% confidence.</w:t>
      </w:r>
    </w:p>
  </w:footnote>
  <w:footnote w:id="27">
    <w:p w14:paraId="7712B884" w14:textId="77777777" w:rsidR="00DD5715" w:rsidRDefault="00DD5715">
      <w:pPr>
        <w:pStyle w:val="FootnoteText"/>
      </w:pPr>
      <w:r>
        <w:rPr>
          <w:rStyle w:val="FootnoteReference"/>
        </w:rPr>
        <w:footnoteRef/>
      </w:r>
      <w:r>
        <w:t xml:space="preserve"> </w:t>
      </w:r>
      <w:r>
        <w:tab/>
        <w:t>Ibid.</w:t>
      </w:r>
    </w:p>
  </w:footnote>
  <w:footnote w:id="28">
    <w:p w14:paraId="243D8795" w14:textId="4624E06F" w:rsidR="00DD5715" w:rsidRDefault="00DD5715">
      <w:pPr>
        <w:pStyle w:val="FootnoteText"/>
      </w:pPr>
      <w:r>
        <w:rPr>
          <w:rStyle w:val="FootnoteReference"/>
        </w:rPr>
        <w:footnoteRef/>
      </w:r>
      <w:r>
        <w:t xml:space="preserve"> </w:t>
      </w:r>
      <w:r>
        <w:tab/>
        <w:t xml:space="preserve">The </w:t>
      </w:r>
      <w:proofErr w:type="spellStart"/>
      <w:r>
        <w:t>Canzian</w:t>
      </w:r>
      <w:proofErr w:type="spellEnd"/>
      <w:r>
        <w:t xml:space="preserve"> et al. study uses data from Trentino, a province in the North of Italy, and it excludes agricultural and mining companies. As per </w:t>
      </w:r>
      <w:r>
        <w:fldChar w:fldCharType="begin"/>
      </w:r>
      <w:r>
        <w:instrText xml:space="preserve"> REF _Ref74644926 \h </w:instrText>
      </w:r>
      <w:r>
        <w:fldChar w:fldCharType="separate"/>
      </w:r>
      <w:r w:rsidRPr="002D3DE4">
        <w:rPr>
          <w:rStyle w:val="Bold"/>
        </w:rPr>
        <w:t xml:space="preserve">Table </w:t>
      </w:r>
      <w:r>
        <w:rPr>
          <w:rStyle w:val="Bold"/>
          <w:noProof/>
        </w:rPr>
        <w:t>10</w:t>
      </w:r>
      <w:r>
        <w:fldChar w:fldCharType="end"/>
      </w:r>
      <w:r>
        <w:t xml:space="preserve"> we adjust the results to reflect the significance of these two sectors in Australia, noting that both agriculture and mining are relatively small users of IT compared to other sectors.</w:t>
      </w:r>
    </w:p>
  </w:footnote>
  <w:footnote w:id="29">
    <w:p w14:paraId="67871AB2" w14:textId="77777777" w:rsidR="00DD5715" w:rsidRDefault="00DD5715">
      <w:pPr>
        <w:pStyle w:val="FootnoteText"/>
      </w:pPr>
      <w:r>
        <w:rPr>
          <w:rStyle w:val="FootnoteReference"/>
        </w:rPr>
        <w:footnoteRef/>
      </w:r>
      <w:r>
        <w:t xml:space="preserve"> </w:t>
      </w:r>
      <w:r>
        <w:tab/>
        <w:t xml:space="preserve">Provided by NBN Co. </w:t>
      </w:r>
    </w:p>
  </w:footnote>
  <w:footnote w:id="30">
    <w:p w14:paraId="45180803" w14:textId="77777777" w:rsidR="00DD5715" w:rsidRDefault="00DD5715">
      <w:pPr>
        <w:pStyle w:val="FootnoteText"/>
      </w:pPr>
      <w:r>
        <w:rPr>
          <w:rStyle w:val="FootnoteReference"/>
        </w:rPr>
        <w:footnoteRef/>
      </w:r>
      <w:r>
        <w:t xml:space="preserve"> </w:t>
      </w:r>
      <w:r>
        <w:tab/>
        <w:t xml:space="preserve">We recognise that this proxy is imperfect, and it would improve our estimates if we could use a more direct proxy for existing quality of service, but is the best available at this time. It is also possible that the treatment effects in more remote areas are not higher than in other areas, as the kinds of businesses located in these areas may simply choose lower quality broadband services even when higher quality services are available. Preliminary analysis of NBN </w:t>
      </w:r>
      <w:proofErr w:type="spellStart"/>
      <w:r>
        <w:t>Co’s</w:t>
      </w:r>
      <w:proofErr w:type="spellEnd"/>
      <w:r>
        <w:t xml:space="preserve"> data indicates that the relative take-up of Enterprise Ethernet is higher in areas with higher remoteness scores.</w:t>
      </w:r>
    </w:p>
  </w:footnote>
  <w:footnote w:id="31">
    <w:p w14:paraId="45F843C4" w14:textId="77777777" w:rsidR="00DD5715" w:rsidRDefault="00DD5715">
      <w:pPr>
        <w:pStyle w:val="FootnoteText"/>
      </w:pPr>
      <w:r>
        <w:rPr>
          <w:rStyle w:val="FootnoteReference"/>
        </w:rPr>
        <w:footnoteRef/>
      </w:r>
      <w:r>
        <w:t xml:space="preserve"> </w:t>
      </w:r>
      <w:r>
        <w:tab/>
        <w:t xml:space="preserve">The ABS has recorded evidence, for example, that larger firms are more likely to undertake training and other activities likely to enhance the adoption of IT by employees. See ABS </w:t>
      </w:r>
      <w:r w:rsidRPr="00A55B17">
        <w:t>81290DO002_201516 Business Use of Information Technology, 2015-16</w:t>
      </w:r>
      <w:r>
        <w:t xml:space="preserve">, </w:t>
      </w:r>
      <w:r w:rsidRPr="007A7528">
        <w:t>Table 18 Implemented management practices for the use of ICT and/or the internet, by employment size–2015-16</w:t>
      </w:r>
      <w:r>
        <w:t>. However, we cannot identify quantitatively how important these effects are likely to be in different locations in Australia.</w:t>
      </w:r>
    </w:p>
  </w:footnote>
  <w:footnote w:id="32">
    <w:p w14:paraId="604C8686" w14:textId="77777777" w:rsidR="00DD5715" w:rsidRDefault="00DD5715">
      <w:pPr>
        <w:pStyle w:val="FootnoteText"/>
      </w:pPr>
      <w:r>
        <w:rPr>
          <w:rStyle w:val="FootnoteReference"/>
        </w:rPr>
        <w:footnoteRef/>
      </w:r>
      <w:r>
        <w:t xml:space="preserve"> </w:t>
      </w:r>
      <w:r>
        <w:tab/>
      </w:r>
      <w:r w:rsidRPr="000937EF">
        <w:t>However, we do not have sufficient evidence</w:t>
      </w:r>
      <w:r>
        <w:t xml:space="preserve"> to judge whether such effects were important in the </w:t>
      </w:r>
      <w:proofErr w:type="spellStart"/>
      <w:r>
        <w:t>Canzian</w:t>
      </w:r>
      <w:proofErr w:type="spellEnd"/>
      <w:r>
        <w:t xml:space="preserve"> et al study, so those estimates are likely to account for the ‘average’ complementary investments made by firms.</w:t>
      </w:r>
    </w:p>
  </w:footnote>
  <w:footnote w:id="33">
    <w:p w14:paraId="72D1B817" w14:textId="77777777" w:rsidR="00DD5715" w:rsidRDefault="00DD5715" w:rsidP="007A321E">
      <w:pPr>
        <w:pStyle w:val="FootnoteText"/>
      </w:pPr>
      <w:r>
        <w:rPr>
          <w:rStyle w:val="FootnoteReference"/>
        </w:rPr>
        <w:footnoteRef/>
      </w:r>
      <w:r>
        <w:t xml:space="preserve"> </w:t>
      </w:r>
      <w:r>
        <w:tab/>
        <w:t>It may be argued that the effects of higher speeds are increasing in speed, as higher speeds facilitates new applications that have a significant impact on productivity. However, it is also conceivable that the positive effect will decrease as speeds increase (diminishing returns).</w:t>
      </w:r>
    </w:p>
  </w:footnote>
  <w:footnote w:id="34">
    <w:p w14:paraId="72903C65" w14:textId="77777777" w:rsidR="00DD5715" w:rsidRDefault="00DD5715">
      <w:pPr>
        <w:pStyle w:val="FootnoteText"/>
      </w:pPr>
      <w:r>
        <w:rPr>
          <w:rStyle w:val="FootnoteReference"/>
        </w:rPr>
        <w:footnoteRef/>
      </w:r>
      <w:r>
        <w:t xml:space="preserve"> </w:t>
      </w:r>
      <w:r>
        <w:tab/>
        <w:t>We exclude investment in dwellings.</w:t>
      </w:r>
    </w:p>
  </w:footnote>
  <w:footnote w:id="35">
    <w:p w14:paraId="2269DA37" w14:textId="77777777" w:rsidR="00DD5715" w:rsidRDefault="00DD5715">
      <w:pPr>
        <w:pStyle w:val="FootnoteText"/>
      </w:pPr>
      <w:r>
        <w:rPr>
          <w:rStyle w:val="FootnoteReference"/>
        </w:rPr>
        <w:footnoteRef/>
      </w:r>
      <w:r>
        <w:t xml:space="preserve"> </w:t>
      </w:r>
      <w:r>
        <w:tab/>
        <w:t>For example, all firms may receive a baseline fixed benefit, and then a further benefit depending on their ICT intensity.</w:t>
      </w:r>
    </w:p>
  </w:footnote>
  <w:footnote w:id="36">
    <w:p w14:paraId="51E53CA2" w14:textId="77777777" w:rsidR="00DD5715" w:rsidRDefault="00DD5715">
      <w:pPr>
        <w:pStyle w:val="FootnoteText"/>
      </w:pPr>
      <w:r>
        <w:rPr>
          <w:rStyle w:val="FootnoteReference"/>
        </w:rPr>
        <w:footnoteRef/>
      </w:r>
      <w:r>
        <w:t xml:space="preserve"> </w:t>
      </w:r>
      <w:r>
        <w:tab/>
        <w:t>In other words, this reduces the productivity difference between sectors - equivalent to assuming there is some fixed benefit to all firms.</w:t>
      </w:r>
    </w:p>
  </w:footnote>
  <w:footnote w:id="37">
    <w:p w14:paraId="6253E5B8" w14:textId="77777777" w:rsidR="00DD5715" w:rsidRDefault="00DD5715" w:rsidP="00BA29AB">
      <w:pPr>
        <w:pStyle w:val="FootnoteText"/>
      </w:pPr>
      <w:r>
        <w:rPr>
          <w:rStyle w:val="FootnoteReference"/>
        </w:rPr>
        <w:footnoteRef/>
      </w:r>
      <w:r>
        <w:t xml:space="preserve"> </w:t>
      </w:r>
      <w:r>
        <w:tab/>
        <w:t xml:space="preserve">SA1s have a population of between 200 and 800 people with an average population size of approximately 400 people. There are 57,523 spatial SA1 regions covering the whole of Australia without gaps or overlaps. See </w:t>
      </w:r>
      <w:hyperlink r:id="rId4" w:history="1">
        <w:r w:rsidRPr="004B2E10">
          <w:rPr>
            <w:rStyle w:val="Hyperlink"/>
          </w:rPr>
          <w:t>https://www.abs.gov.au/ausstats/abs@.nsf/Lookup/by%20Subject/1270.0.55.001~July%202016~Main%20Features~Statistical%20Area%20Level%201%20(SA1)~10013</w:t>
        </w:r>
      </w:hyperlink>
      <w:r>
        <w:t xml:space="preserve">. </w:t>
      </w:r>
    </w:p>
  </w:footnote>
  <w:footnote w:id="38">
    <w:p w14:paraId="47A0C000" w14:textId="77777777" w:rsidR="00DD5715" w:rsidRDefault="00DD5715">
      <w:pPr>
        <w:pStyle w:val="FootnoteText"/>
      </w:pPr>
      <w:r>
        <w:rPr>
          <w:rStyle w:val="FootnoteReference"/>
        </w:rPr>
        <w:footnoteRef/>
      </w:r>
      <w:r>
        <w:t xml:space="preserve"> </w:t>
      </w:r>
      <w:r>
        <w:tab/>
        <w:t>For example, construction is the biggest beneficiary for 93 Business Fibre Zones.</w:t>
      </w:r>
    </w:p>
  </w:footnote>
  <w:footnote w:id="39">
    <w:p w14:paraId="7CF29903" w14:textId="77777777" w:rsidR="00DD5715" w:rsidRDefault="00DD5715">
      <w:pPr>
        <w:pStyle w:val="FootnoteText"/>
      </w:pPr>
      <w:r>
        <w:rPr>
          <w:rStyle w:val="FootnoteReference"/>
        </w:rPr>
        <w:footnoteRef/>
      </w:r>
      <w:r>
        <w:t xml:space="preserve"> </w:t>
      </w:r>
      <w:r>
        <w:tab/>
      </w:r>
      <w:proofErr w:type="spellStart"/>
      <w:r>
        <w:t>Canzian</w:t>
      </w:r>
      <w:proofErr w:type="spellEnd"/>
      <w:r>
        <w:t xml:space="preserve"> et al (2019), p. 95.</w:t>
      </w:r>
    </w:p>
  </w:footnote>
  <w:footnote w:id="40">
    <w:p w14:paraId="01E50034" w14:textId="77777777" w:rsidR="00DD5715" w:rsidRDefault="00DD5715">
      <w:pPr>
        <w:pStyle w:val="FootnoteText"/>
      </w:pPr>
      <w:r>
        <w:rPr>
          <w:rStyle w:val="FootnoteReference"/>
        </w:rPr>
        <w:footnoteRef/>
      </w:r>
      <w:r>
        <w:t xml:space="preserve"> </w:t>
      </w:r>
      <w:r>
        <w:tab/>
      </w:r>
      <w:r w:rsidRPr="008E33D6">
        <w:t xml:space="preserve">This classification reflects the structure-conduct-performance framework that has been the basis of industrial economics for many years. Although economists may differ as to the precise formulation of this schema (and its </w:t>
      </w:r>
      <w:r w:rsidRPr="008E33D6">
        <w:rPr>
          <w:i/>
        </w:rPr>
        <w:t>predictive</w:t>
      </w:r>
      <w:r w:rsidRPr="008E33D6">
        <w:t xml:space="preserve"> properties), the idea is that the structure of a market (in particular, the patterns of firms within the market and the condition of entry) is a key influence on patterns of conduct within the market; and the patterns of conduct within the market will result in the performance of the market – the efficiency with which the market allocates resources in both dynamic and static dimensions.</w:t>
      </w:r>
    </w:p>
  </w:footnote>
  <w:footnote w:id="41">
    <w:p w14:paraId="494584F6" w14:textId="77777777" w:rsidR="00DD5715" w:rsidRDefault="00DD5715" w:rsidP="00050F3C">
      <w:pPr>
        <w:pStyle w:val="FootnoteText"/>
      </w:pPr>
      <w:r>
        <w:rPr>
          <w:rStyle w:val="FootnoteReference"/>
        </w:rPr>
        <w:footnoteRef/>
      </w:r>
      <w:r>
        <w:t xml:space="preserve"> </w:t>
      </w:r>
      <w:r>
        <w:tab/>
      </w:r>
      <w:r w:rsidRPr="005E4713">
        <w:rPr>
          <w:i/>
        </w:rPr>
        <w:t>Application by Chime Communications Pty Ltd</w:t>
      </w:r>
      <w:r w:rsidRPr="005E4713">
        <w:t xml:space="preserve"> (No 2) [2009] </w:t>
      </w:r>
      <w:proofErr w:type="spellStart"/>
      <w:r w:rsidRPr="005E4713">
        <w:t>ACompT</w:t>
      </w:r>
      <w:proofErr w:type="spellEnd"/>
      <w:r w:rsidRPr="005E4713">
        <w:t xml:space="preserve"> 2 (27 May 2009)</w:t>
      </w:r>
      <w:r>
        <w:t xml:space="preserve">. </w:t>
      </w:r>
      <w:r w:rsidRPr="00050F3C">
        <w:t xml:space="preserve">The Tribunal accepted the validity of the structure-conduct-performance schema to review the competitiveness of a market </w:t>
      </w:r>
      <w:r>
        <w:t>(at 48)</w:t>
      </w:r>
      <w:r w:rsidRPr="00050F3C">
        <w:t>:</w:t>
      </w:r>
      <w:r>
        <w:br/>
      </w:r>
      <w:r>
        <w:br/>
        <w:t>“</w:t>
      </w:r>
      <w:r w:rsidRPr="00050F3C">
        <w:t>In the Tribunal’s view a market is sufficiently competitive if the market experiences at least a reasonable degree of rivalry between firms each of which suffers some constraint in their use of market power from competitors (actual and potential) and from customers. The criteria for such competition are structural (a sufficient number of sellers, few inhibitions on entry and expansion), conduct-based (e.g. no collusion between firms, no exclusionary or predatory tactics) and performance-based (e.g. firms should be efficient, prices should reflect costs and be responsive to changing market forces)</w:t>
      </w:r>
      <w:r>
        <w:t>”</w:t>
      </w:r>
    </w:p>
  </w:footnote>
  <w:footnote w:id="42">
    <w:p w14:paraId="0B0AA272" w14:textId="77777777" w:rsidR="00DD5715" w:rsidRDefault="00DD5715" w:rsidP="004D4705">
      <w:pPr>
        <w:pStyle w:val="FootnoteText"/>
      </w:pPr>
      <w:r>
        <w:rPr>
          <w:rStyle w:val="FootnoteReference"/>
        </w:rPr>
        <w:footnoteRef/>
      </w:r>
      <w:r>
        <w:t xml:space="preserve"> </w:t>
      </w:r>
      <w:r>
        <w:tab/>
        <w:t xml:space="preserve">The High Court has stated that “Identifying a market and defining its dimensions is "a focusing process", requiring selection of "what emerges as the clearest picture of the relevant competitive process in the light of commercial reality and the purposes of the law”.” </w:t>
      </w:r>
      <w:r w:rsidRPr="001D1381">
        <w:rPr>
          <w:i/>
          <w:iCs/>
        </w:rPr>
        <w:t xml:space="preserve">ACCC v Flight Centre [2016] HCA49 </w:t>
      </w:r>
      <w:r w:rsidRPr="001D1381">
        <w:t>at [69]</w:t>
      </w:r>
      <w:r>
        <w:t>.</w:t>
      </w:r>
    </w:p>
  </w:footnote>
  <w:footnote w:id="43">
    <w:p w14:paraId="3206A810" w14:textId="77777777" w:rsidR="00DD5715" w:rsidRDefault="00DD5715" w:rsidP="004316EC">
      <w:pPr>
        <w:pStyle w:val="FootnoteText"/>
      </w:pPr>
      <w:r>
        <w:rPr>
          <w:rStyle w:val="FootnoteReference"/>
        </w:rPr>
        <w:footnoteRef/>
      </w:r>
      <w:r>
        <w:t xml:space="preserve"> </w:t>
      </w:r>
      <w:r>
        <w:tab/>
        <w:t xml:space="preserve">This approach draws on the best known Australian case on market definition, in which the Trade Practices Tribunal stated that: “A market is the area of close competition between firms or ... the field of rivalry between them. ... Within the bounds of a market there is substitution—substitution between one product and another, and between one source of supply and another, in response to changing prices. ... In determining the outer boundaries of the market we ask a quite simple but fundamental question: if the firm were to ‘give less and charge more’ would there be, to put the matter colloquially, much of a reaction.” </w:t>
      </w:r>
      <w:r w:rsidRPr="004316EC">
        <w:rPr>
          <w:i/>
          <w:iCs/>
        </w:rPr>
        <w:t>Queensland Cooperative Milling Association Ltd/Defiance Holdings Ltd, re proposed merger with Barnes Milling Ltd</w:t>
      </w:r>
      <w:r>
        <w:t xml:space="preserve"> (1976) ATPR 40-012</w:t>
      </w:r>
    </w:p>
  </w:footnote>
  <w:footnote w:id="44">
    <w:p w14:paraId="446A2D94" w14:textId="77777777" w:rsidR="00DD5715" w:rsidRDefault="00DD5715">
      <w:pPr>
        <w:pStyle w:val="FootnoteText"/>
      </w:pPr>
      <w:r>
        <w:rPr>
          <w:rStyle w:val="FootnoteReference"/>
        </w:rPr>
        <w:footnoteRef/>
      </w:r>
      <w:r>
        <w:t xml:space="preserve"> </w:t>
      </w:r>
      <w:r>
        <w:tab/>
        <w:t>The HHI is a measure of market concentration that uses the square of market shares, which accounts for asymmetry in market shares between firms.</w:t>
      </w:r>
    </w:p>
  </w:footnote>
  <w:footnote w:id="45">
    <w:p w14:paraId="38635059" w14:textId="77777777" w:rsidR="00DD5715" w:rsidRDefault="00DD5715" w:rsidP="0072386C">
      <w:pPr>
        <w:pStyle w:val="FootnoteText"/>
      </w:pPr>
      <w:r>
        <w:rPr>
          <w:rStyle w:val="FootnoteReference"/>
        </w:rPr>
        <w:footnoteRef/>
      </w:r>
      <w:r>
        <w:t xml:space="preserve"> </w:t>
      </w:r>
      <w:r>
        <w:tab/>
        <w:t>Although the ACCC does not categorise markets into concentration categories, it notes that in merger considerations, The ACCC will generally be less likely to identify horizontal competition concerns when the post-merger HHI is less than 2000, or greater than 2000 with a change in HHI less than 100.</w:t>
      </w:r>
    </w:p>
  </w:footnote>
  <w:footnote w:id="46">
    <w:p w14:paraId="550E280B" w14:textId="77777777" w:rsidR="00DD5715" w:rsidRDefault="00DD5715">
      <w:pPr>
        <w:pStyle w:val="FootnoteText"/>
      </w:pPr>
      <w:r>
        <w:rPr>
          <w:rStyle w:val="FootnoteReference"/>
        </w:rPr>
        <w:footnoteRef/>
      </w:r>
      <w:r>
        <w:t xml:space="preserve"> </w:t>
      </w:r>
      <w:r>
        <w:tab/>
        <w:t>Although there has been little direct analysis of competition in these markets, we observe that the NBN Implementation Study (2010) suggested that infrastructure-based competition in areas outside of CBDs and business parks is limited (p. 65.) and that “the market is complex, pricing is opaque, and the nature of intensity of competition vary significantly by location. In some areas, wholesale access is available on multiple fibre networks, while some locations are served by a single vertically-integrated provider”. While there have been some changes since this time (including TPG Telecom’s deployment of FTTB networks) these deployments are quite limited in coverage.</w:t>
      </w:r>
    </w:p>
  </w:footnote>
  <w:footnote w:id="47">
    <w:p w14:paraId="1B23134D" w14:textId="77777777" w:rsidR="00DD5715" w:rsidRDefault="00DD5715">
      <w:pPr>
        <w:pStyle w:val="FootnoteText"/>
      </w:pPr>
      <w:r>
        <w:rPr>
          <w:rStyle w:val="FootnoteReference"/>
        </w:rPr>
        <w:footnoteRef/>
      </w:r>
      <w:r>
        <w:t xml:space="preserve"> </w:t>
      </w:r>
      <w:r>
        <w:tab/>
      </w:r>
      <w:proofErr w:type="spellStart"/>
      <w:r>
        <w:t>Bresnahan</w:t>
      </w:r>
      <w:proofErr w:type="spellEnd"/>
      <w:r>
        <w:t xml:space="preserve"> and Reiss, </w:t>
      </w:r>
      <w:proofErr w:type="gramStart"/>
      <w:r w:rsidRPr="00743E56">
        <w:rPr>
          <w:i/>
          <w:iCs/>
        </w:rPr>
        <w:t>The</w:t>
      </w:r>
      <w:proofErr w:type="gramEnd"/>
      <w:r w:rsidRPr="00743E56">
        <w:rPr>
          <w:i/>
          <w:iCs/>
        </w:rPr>
        <w:t xml:space="preserve"> Journal of Political Economy</w:t>
      </w:r>
      <w:r w:rsidRPr="00743E56">
        <w:t>, Vol. 99, No. 5. (Oct., 1991), pp. 977-1009.</w:t>
      </w:r>
    </w:p>
  </w:footnote>
  <w:footnote w:id="48">
    <w:p w14:paraId="2BA83AA1" w14:textId="77777777" w:rsidR="00DD5715" w:rsidRDefault="00DD5715">
      <w:pPr>
        <w:pStyle w:val="FootnoteText"/>
      </w:pPr>
      <w:r>
        <w:rPr>
          <w:rStyle w:val="FootnoteReference"/>
        </w:rPr>
        <w:footnoteRef/>
      </w:r>
      <w:r>
        <w:t xml:space="preserve"> </w:t>
      </w:r>
      <w:r>
        <w:tab/>
        <w:t>This is highlighted in studies of broadband competition, including by authors such Brake and Atkinson (2019).</w:t>
      </w:r>
    </w:p>
  </w:footnote>
  <w:footnote w:id="49">
    <w:p w14:paraId="6FDDFB2B" w14:textId="41EF6425" w:rsidR="00DD5715" w:rsidRDefault="00DD5715">
      <w:pPr>
        <w:pStyle w:val="FootnoteText"/>
      </w:pPr>
      <w:r>
        <w:rPr>
          <w:rStyle w:val="FootnoteReference"/>
        </w:rPr>
        <w:footnoteRef/>
      </w:r>
      <w:r>
        <w:t xml:space="preserve"> </w:t>
      </w:r>
      <w:r>
        <w:tab/>
        <w:t xml:space="preserve">Particularly when one also considers the reach of NBN </w:t>
      </w:r>
      <w:proofErr w:type="spellStart"/>
      <w:r>
        <w:t>Co’s</w:t>
      </w:r>
      <w:proofErr w:type="spellEnd"/>
      <w:r>
        <w:t xml:space="preserve"> business satellite services, as discussed in Section </w:t>
      </w:r>
      <w:r>
        <w:fldChar w:fldCharType="begin"/>
      </w:r>
      <w:r>
        <w:instrText xml:space="preserve"> REF _Ref74672399 \r \h </w:instrText>
      </w:r>
      <w:r>
        <w:fldChar w:fldCharType="separate"/>
      </w:r>
      <w:r>
        <w:t>0</w:t>
      </w:r>
      <w:r>
        <w:fldChar w:fldCharType="end"/>
      </w:r>
      <w:r>
        <w:t>.</w:t>
      </w:r>
    </w:p>
  </w:footnote>
  <w:footnote w:id="50">
    <w:p w14:paraId="31F981CE" w14:textId="77777777" w:rsidR="00DD5715" w:rsidRDefault="00DD5715">
      <w:pPr>
        <w:pStyle w:val="FootnoteText"/>
      </w:pPr>
      <w:r>
        <w:rPr>
          <w:rStyle w:val="FootnoteReference"/>
        </w:rPr>
        <w:footnoteRef/>
      </w:r>
      <w:r>
        <w:t xml:space="preserve"> </w:t>
      </w:r>
      <w:r>
        <w:tab/>
        <w:t>Although it does not eliminate concerns that NBN Co would wish to compete with network providers in the upstream local markets in ways that may extend its market power.</w:t>
      </w:r>
    </w:p>
  </w:footnote>
  <w:footnote w:id="51">
    <w:p w14:paraId="4BF585F1" w14:textId="77777777" w:rsidR="00DD5715" w:rsidRDefault="00DD5715">
      <w:pPr>
        <w:pStyle w:val="FootnoteText"/>
      </w:pPr>
      <w:r>
        <w:rPr>
          <w:rStyle w:val="FootnoteReference"/>
        </w:rPr>
        <w:footnoteRef/>
      </w:r>
      <w:r>
        <w:t xml:space="preserve"> </w:t>
      </w:r>
      <w:r>
        <w:tab/>
      </w:r>
      <w:proofErr w:type="spellStart"/>
      <w:r w:rsidRPr="001953DB">
        <w:t>Comscentre’s</w:t>
      </w:r>
      <w:proofErr w:type="spellEnd"/>
      <w:r w:rsidRPr="001953DB">
        <w:t xml:space="preserve"> submission to the Inquiry into the business case for the NBN and the experiences of small businesses</w:t>
      </w:r>
      <w:r>
        <w:t>, Submission 23, p. 2.</w:t>
      </w:r>
    </w:p>
  </w:footnote>
  <w:footnote w:id="52">
    <w:p w14:paraId="25203AAE" w14:textId="77777777" w:rsidR="00DD5715" w:rsidRPr="00981B21" w:rsidRDefault="00DD5715">
      <w:pPr>
        <w:pStyle w:val="FootnoteText"/>
        <w:rPr>
          <w:lang w:val="en-US"/>
        </w:rPr>
      </w:pPr>
      <w:r>
        <w:rPr>
          <w:rStyle w:val="FootnoteReference"/>
        </w:rPr>
        <w:footnoteRef/>
      </w:r>
      <w:r>
        <w:t xml:space="preserve"> </w:t>
      </w:r>
      <w:r>
        <w:rPr>
          <w:lang w:val="en-US"/>
        </w:rPr>
        <w:tab/>
      </w:r>
      <w:hyperlink r:id="rId5" w:history="1">
        <w:r w:rsidRPr="00D17891">
          <w:rPr>
            <w:rStyle w:val="Hyperlink"/>
            <w:lang w:val="en-US"/>
          </w:rPr>
          <w:t>https://itwire.com/telecoms-and-nbn/vocus-claims-it-has-become-top-provider-of-nbn-enterprise-ethernet-services.html</w:t>
        </w:r>
      </w:hyperlink>
      <w:r>
        <w:rPr>
          <w:lang w:val="en-US"/>
        </w:rPr>
        <w:t xml:space="preserve"> </w:t>
      </w:r>
    </w:p>
  </w:footnote>
  <w:footnote w:id="53">
    <w:p w14:paraId="6077EDAA" w14:textId="77777777" w:rsidR="00DD5715" w:rsidRPr="000C1B19" w:rsidRDefault="00DD5715">
      <w:pPr>
        <w:pStyle w:val="FootnoteText"/>
        <w:rPr>
          <w:lang w:val="en-US"/>
        </w:rPr>
      </w:pPr>
      <w:r>
        <w:rPr>
          <w:rStyle w:val="FootnoteReference"/>
        </w:rPr>
        <w:footnoteRef/>
      </w:r>
      <w:r>
        <w:t xml:space="preserve"> </w:t>
      </w:r>
      <w:r>
        <w:rPr>
          <w:lang w:val="en-US"/>
        </w:rPr>
        <w:tab/>
        <w:t>Ibid.</w:t>
      </w:r>
    </w:p>
  </w:footnote>
  <w:footnote w:id="54">
    <w:p w14:paraId="73E58565" w14:textId="77777777" w:rsidR="00DD5715" w:rsidRPr="007B700C" w:rsidRDefault="00DD5715">
      <w:pPr>
        <w:pStyle w:val="FootnoteText"/>
        <w:rPr>
          <w:lang w:val="en-US"/>
        </w:rPr>
      </w:pPr>
      <w:r>
        <w:rPr>
          <w:rStyle w:val="FootnoteReference"/>
        </w:rPr>
        <w:footnoteRef/>
      </w:r>
      <w:r>
        <w:t xml:space="preserve"> </w:t>
      </w:r>
      <w:r>
        <w:rPr>
          <w:lang w:val="en-US"/>
        </w:rPr>
        <w:tab/>
      </w:r>
      <w:hyperlink r:id="rId6" w:history="1">
        <w:r w:rsidRPr="00D17891">
          <w:rPr>
            <w:rStyle w:val="Hyperlink"/>
            <w:lang w:val="en-US"/>
          </w:rPr>
          <w:t>https://www.vocus.com.au/news/vocus-develops-leading-expertise-in-business-nbn-satellite-service</w:t>
        </w:r>
      </w:hyperlink>
      <w:r>
        <w:rPr>
          <w:lang w:val="en-US"/>
        </w:rPr>
        <w:t xml:space="preserve"> </w:t>
      </w:r>
    </w:p>
  </w:footnote>
  <w:footnote w:id="55">
    <w:p w14:paraId="473B7072" w14:textId="77777777" w:rsidR="00DD5715" w:rsidRPr="000C1B19" w:rsidRDefault="00DD5715">
      <w:pPr>
        <w:pStyle w:val="FootnoteText"/>
        <w:rPr>
          <w:lang w:val="en-US"/>
        </w:rPr>
      </w:pPr>
      <w:r>
        <w:rPr>
          <w:rStyle w:val="FootnoteReference"/>
        </w:rPr>
        <w:footnoteRef/>
      </w:r>
      <w:r>
        <w:t xml:space="preserve"> </w:t>
      </w:r>
      <w:r>
        <w:rPr>
          <w:lang w:val="en-US"/>
        </w:rPr>
        <w:tab/>
      </w:r>
      <w:hyperlink r:id="rId7" w:history="1">
        <w:r w:rsidRPr="00D17891">
          <w:rPr>
            <w:rStyle w:val="Hyperlink"/>
            <w:lang w:val="en-US"/>
          </w:rPr>
          <w:t>https://vocusgroup.com.au/media/1467/1h20-asx-release-media-release-investor-presentation.pdf</w:t>
        </w:r>
      </w:hyperlink>
      <w:r>
        <w:rPr>
          <w:lang w:val="en-US"/>
        </w:rPr>
        <w:t xml:space="preserve"> </w:t>
      </w:r>
    </w:p>
  </w:footnote>
  <w:footnote w:id="56">
    <w:p w14:paraId="4E55AFE3" w14:textId="77777777" w:rsidR="00DD5715" w:rsidRDefault="00DD5715" w:rsidP="00FB4431">
      <w:pPr>
        <w:pStyle w:val="FootnoteText"/>
      </w:pPr>
      <w:r>
        <w:rPr>
          <w:rStyle w:val="FootnoteReference"/>
        </w:rPr>
        <w:footnoteRef/>
      </w:r>
      <w:r>
        <w:t xml:space="preserve"> </w:t>
      </w:r>
      <w:r>
        <w:tab/>
        <w:t xml:space="preserve">Unfortunately, there is no information on </w:t>
      </w:r>
      <w:r w:rsidRPr="008A3B61">
        <w:t xml:space="preserve">the existing degree of </w:t>
      </w:r>
      <w:r>
        <w:t xml:space="preserve">network </w:t>
      </w:r>
      <w:r w:rsidRPr="008A3B61">
        <w:t xml:space="preserve">competition </w:t>
      </w:r>
      <w:r>
        <w:t>at a detailed level (e.g. by Business Fibre Zone) and so no way of specifically identifying which regions will benefit most from competition.</w:t>
      </w:r>
    </w:p>
  </w:footnote>
  <w:footnote w:id="57">
    <w:p w14:paraId="48497593" w14:textId="77777777" w:rsidR="00DD5715" w:rsidRDefault="00DD5715" w:rsidP="00AB6986">
      <w:pPr>
        <w:pStyle w:val="FootnoteText"/>
      </w:pPr>
      <w:r>
        <w:rPr>
          <w:rStyle w:val="FootnoteReference"/>
        </w:rPr>
        <w:footnoteRef/>
      </w:r>
      <w:r>
        <w:t xml:space="preserve"> </w:t>
      </w:r>
      <w:r>
        <w:tab/>
        <w:t xml:space="preserve"> “</w:t>
      </w:r>
      <w:r w:rsidRPr="00E53AA7">
        <w:t>GPT's are characterized by pervasiveness, inherent potential for technical improvements, and ‘</w:t>
      </w:r>
      <w:proofErr w:type="spellStart"/>
      <w:r w:rsidRPr="00E53AA7">
        <w:t>innovational</w:t>
      </w:r>
      <w:proofErr w:type="spellEnd"/>
      <w:r w:rsidRPr="00E53AA7">
        <w:t xml:space="preserve"> complementarities’, giving rise to increasing returns-to-scale.</w:t>
      </w:r>
      <w:r>
        <w:t xml:space="preserve">” </w:t>
      </w:r>
      <w:proofErr w:type="spellStart"/>
      <w:r>
        <w:t>Bresnahan</w:t>
      </w:r>
      <w:proofErr w:type="spellEnd"/>
      <w:r>
        <w:t xml:space="preserve"> &amp; </w:t>
      </w:r>
      <w:proofErr w:type="spellStart"/>
      <w:r>
        <w:t>Trajtenberg</w:t>
      </w:r>
      <w:proofErr w:type="spellEnd"/>
      <w:r>
        <w:t>, “</w:t>
      </w:r>
      <w:r w:rsidRPr="00AB6986">
        <w:t>General purpose technologies ‘Engines of growth’?</w:t>
      </w:r>
      <w:r>
        <w:t xml:space="preserve">” </w:t>
      </w:r>
      <w:r w:rsidRPr="00AB6986">
        <w:rPr>
          <w:i/>
          <w:iCs/>
        </w:rPr>
        <w:t>Journal of Econometrics</w:t>
      </w:r>
      <w:r>
        <w:t xml:space="preserve">, Volume 65, Issue 1, January 1995, Pages 83-108 </w:t>
      </w:r>
    </w:p>
  </w:footnote>
  <w:footnote w:id="58">
    <w:p w14:paraId="64FBC3F5" w14:textId="77777777" w:rsidR="00DD5715" w:rsidRPr="00E81AAE" w:rsidRDefault="00DD5715" w:rsidP="00DD2B23">
      <w:pPr>
        <w:pStyle w:val="FootnoteText"/>
        <w:rPr>
          <w:lang w:val="en-US"/>
        </w:rPr>
      </w:pPr>
      <w:r>
        <w:rPr>
          <w:rStyle w:val="FootnoteReference"/>
        </w:rPr>
        <w:footnoteRef/>
      </w:r>
      <w:r>
        <w:t xml:space="preserve"> </w:t>
      </w:r>
      <w:r>
        <w:rPr>
          <w:lang w:val="en-US"/>
        </w:rPr>
        <w:tab/>
        <w:t>Assuming a “medium class of service”.</w:t>
      </w:r>
    </w:p>
  </w:footnote>
  <w:footnote w:id="59">
    <w:p w14:paraId="6D04ACE2" w14:textId="77777777" w:rsidR="00DD5715" w:rsidRPr="000777A8" w:rsidRDefault="00DD5715" w:rsidP="00707E11">
      <w:pPr>
        <w:pStyle w:val="FootnoteText"/>
        <w:rPr>
          <w:lang w:val="en-US"/>
        </w:rPr>
      </w:pPr>
      <w:r>
        <w:rPr>
          <w:rStyle w:val="FootnoteReference"/>
        </w:rPr>
        <w:footnoteRef/>
      </w:r>
      <w:r>
        <w:t xml:space="preserve"> </w:t>
      </w:r>
      <w:r>
        <w:rPr>
          <w:lang w:val="en-US"/>
        </w:rPr>
        <w:tab/>
        <w:t xml:space="preserve">This may not be a benefit at a whole of economy level (depending on the extent the benefit leads to a corresponding </w:t>
      </w:r>
      <w:proofErr w:type="spellStart"/>
      <w:r>
        <w:rPr>
          <w:lang w:val="en-US"/>
        </w:rPr>
        <w:t>disbenefit</w:t>
      </w:r>
      <w:proofErr w:type="spellEnd"/>
      <w:r>
        <w:rPr>
          <w:lang w:val="en-US"/>
        </w:rPr>
        <w:t xml:space="preserve"> for another Australian firm) but will be valuable to the beneficiary business.</w:t>
      </w:r>
    </w:p>
  </w:footnote>
  <w:footnote w:id="60">
    <w:p w14:paraId="67693DAE" w14:textId="77777777" w:rsidR="00DD5715" w:rsidRDefault="00DD5715" w:rsidP="008E726F">
      <w:pPr>
        <w:pStyle w:val="FootnoteText"/>
      </w:pPr>
      <w:r>
        <w:rPr>
          <w:rStyle w:val="FootnoteReference"/>
        </w:rPr>
        <w:footnoteRef/>
      </w:r>
      <w:r>
        <w:t xml:space="preserve"> </w:t>
      </w:r>
      <w:r>
        <w:tab/>
        <w:t>The incremental effect of adopting hybrid broadband over basic broadband was found to be slightly lower (0.002%-0.003% increase in GDP). Ranges for GDP impact reflect results across different methodologies adopted in the paper. Equivalent Australian GDP impact is based on 2019 World Bank data and an exchange rate of $1USD to $1.29 AUD.</w:t>
      </w:r>
    </w:p>
  </w:footnote>
  <w:footnote w:id="61">
    <w:p w14:paraId="4B70257C" w14:textId="77777777" w:rsidR="00DD5715" w:rsidRDefault="00DD5715" w:rsidP="008E726F">
      <w:pPr>
        <w:pStyle w:val="FootnoteText"/>
      </w:pPr>
      <w:r>
        <w:rPr>
          <w:rStyle w:val="FootnoteReference"/>
        </w:rPr>
        <w:footnoteRef/>
      </w:r>
      <w:r>
        <w:t xml:space="preserve"> </w:t>
      </w:r>
      <w:r>
        <w:tab/>
        <w:t>By ‘newer’ here we mean hybrid and end-to-end fibre broadband.</w:t>
      </w:r>
    </w:p>
  </w:footnote>
  <w:footnote w:id="62">
    <w:p w14:paraId="285AE7C1" w14:textId="77777777" w:rsidR="00DD5715" w:rsidRDefault="00DD5715" w:rsidP="008E726F">
      <w:pPr>
        <w:pStyle w:val="FootnoteText"/>
      </w:pPr>
      <w:r>
        <w:rPr>
          <w:rStyle w:val="FootnoteReference"/>
        </w:rPr>
        <w:footnoteRef/>
      </w:r>
      <w:r>
        <w:t xml:space="preserve"> </w:t>
      </w:r>
      <w:r>
        <w:tab/>
        <w:t>Nearby was defined as the 5 closest counties.</w:t>
      </w:r>
    </w:p>
  </w:footnote>
  <w:footnote w:id="63">
    <w:p w14:paraId="4279AB8F" w14:textId="77777777" w:rsidR="00DD5715" w:rsidRDefault="00DD5715" w:rsidP="008E726F">
      <w:pPr>
        <w:pStyle w:val="FootnoteText"/>
      </w:pPr>
      <w:r>
        <w:rPr>
          <w:rStyle w:val="FootnoteReference"/>
        </w:rPr>
        <w:footnoteRef/>
      </w:r>
      <w:r>
        <w:t xml:space="preserve"> </w:t>
      </w:r>
      <w:r>
        <w:tab/>
      </w:r>
      <w:proofErr w:type="gramStart"/>
      <w:r>
        <w:t>i.e</w:t>
      </w:r>
      <w:proofErr w:type="gramEnd"/>
      <w:r>
        <w:t>. an internet connection that offers a speed of 1 gigabit per second or more.</w:t>
      </w:r>
    </w:p>
  </w:footnote>
  <w:footnote w:id="64">
    <w:p w14:paraId="50B75BA0" w14:textId="77777777" w:rsidR="00DD5715" w:rsidRDefault="00DD5715" w:rsidP="008E726F">
      <w:pPr>
        <w:pStyle w:val="FootnoteText"/>
      </w:pPr>
      <w:r>
        <w:rPr>
          <w:rStyle w:val="FootnoteReference"/>
        </w:rPr>
        <w:footnoteRef/>
      </w:r>
      <w:r>
        <w:t xml:space="preserve"> </w:t>
      </w:r>
      <w:r>
        <w:tab/>
        <w:t>To the extent MSA’s are fundamentally different in a way that impacts their GDP per capita (e.g. if they have different business regulations). Furthermore, despite being cited in other similar studies it appears this paper has not been peer-reviewed or published in a journal.</w:t>
      </w:r>
    </w:p>
  </w:footnote>
  <w:footnote w:id="65">
    <w:p w14:paraId="2542D853" w14:textId="77777777" w:rsidR="00DD5715" w:rsidRDefault="00DD5715" w:rsidP="008E726F">
      <w:pPr>
        <w:pStyle w:val="FootnoteText"/>
      </w:pPr>
      <w:r>
        <w:rPr>
          <w:rStyle w:val="FootnoteReference"/>
        </w:rPr>
        <w:footnoteRef/>
      </w:r>
      <w:r>
        <w:t xml:space="preserve"> </w:t>
      </w:r>
      <w:r>
        <w:tab/>
        <w:t>This is an annualised impact.</w:t>
      </w:r>
    </w:p>
  </w:footnote>
  <w:footnote w:id="66">
    <w:p w14:paraId="1071C1C5" w14:textId="77777777" w:rsidR="00DD5715" w:rsidRDefault="00DD5715" w:rsidP="008E726F">
      <w:pPr>
        <w:pStyle w:val="FootnoteText"/>
      </w:pPr>
      <w:r>
        <w:rPr>
          <w:rStyle w:val="FootnoteReference"/>
        </w:rPr>
        <w:footnoteRef/>
      </w:r>
      <w:r>
        <w:t xml:space="preserve"> </w:t>
      </w:r>
      <w:r>
        <w:tab/>
        <w:t xml:space="preserve">Research done </w:t>
      </w:r>
      <w:r w:rsidRPr="00D76302">
        <w:t>SQW Consulting</w:t>
      </w:r>
      <w:r>
        <w:t xml:space="preserve"> in collaboration with </w:t>
      </w:r>
      <w:r w:rsidRPr="00D76302">
        <w:t>Cambridge Econometrics</w:t>
      </w:r>
      <w:r>
        <w:t xml:space="preserve"> and </w:t>
      </w:r>
      <w:r w:rsidRPr="00D76302">
        <w:t xml:space="preserve">Dr </w:t>
      </w:r>
      <w:proofErr w:type="spellStart"/>
      <w:r w:rsidRPr="00D76302">
        <w:t>Pantelis</w:t>
      </w:r>
      <w:proofErr w:type="spellEnd"/>
      <w:r w:rsidRPr="00D76302">
        <w:t xml:space="preserve"> </w:t>
      </w:r>
      <w:proofErr w:type="spellStart"/>
      <w:r w:rsidRPr="00D76302">
        <w:t>Koutroumpis</w:t>
      </w:r>
      <w:proofErr w:type="spellEnd"/>
      <w:r w:rsidRPr="00D76302">
        <w:t>.</w:t>
      </w:r>
    </w:p>
  </w:footnote>
  <w:footnote w:id="67">
    <w:p w14:paraId="77235F55" w14:textId="77777777" w:rsidR="00DD5715" w:rsidRDefault="00DD5715" w:rsidP="008E726F">
      <w:pPr>
        <w:pStyle w:val="FootnoteText"/>
      </w:pPr>
      <w:r>
        <w:rPr>
          <w:rStyle w:val="FootnoteReference"/>
        </w:rPr>
        <w:footnoteRef/>
      </w:r>
      <w:r>
        <w:t xml:space="preserve"> </w:t>
      </w:r>
      <w:r>
        <w:tab/>
      </w:r>
      <w:r w:rsidRPr="00D76302">
        <w:rPr>
          <w:lang w:val="en-SG"/>
        </w:rPr>
        <w:t>UK Broadband Impact Study, November 2013, pp. 14-15.</w:t>
      </w:r>
    </w:p>
  </w:footnote>
  <w:footnote w:id="68">
    <w:p w14:paraId="230D25A2" w14:textId="77777777" w:rsidR="00DD5715" w:rsidRDefault="00DD5715" w:rsidP="008E726F">
      <w:pPr>
        <w:pStyle w:val="FootnoteText"/>
      </w:pPr>
      <w:r>
        <w:rPr>
          <w:rStyle w:val="FootnoteReference"/>
        </w:rPr>
        <w:footnoteRef/>
      </w:r>
      <w:r>
        <w:t xml:space="preserve"> </w:t>
      </w:r>
      <w:r>
        <w:tab/>
      </w:r>
      <w:r w:rsidRPr="00EB1B4C">
        <w:t>HHI or the ‘</w:t>
      </w:r>
      <w:proofErr w:type="spellStart"/>
      <w:r w:rsidRPr="00EB1B4C">
        <w:t>Herfindahl</w:t>
      </w:r>
      <w:proofErr w:type="spellEnd"/>
      <w:r w:rsidRPr="00EB1B4C">
        <w:t>-Hirschman Index’ is a way to measure the degree of concentration in an industry and often used as a proxy for the level of competition in the industry. A higher HHI indicates high concentration, while a lower HHI indicates lower concentration. For example, if there were a single provider of fixed line broadband services in Australia, the HHI index for the Australian fixed line broadband services would be equal to 1. Should new players start to provide broadband services and capture market share, the HHI would decrease.</w:t>
      </w:r>
    </w:p>
  </w:footnote>
  <w:footnote w:id="69">
    <w:p w14:paraId="4A69851A" w14:textId="77777777" w:rsidR="00DD5715" w:rsidRDefault="00DD5715" w:rsidP="008E726F">
      <w:pPr>
        <w:pStyle w:val="FootnoteText"/>
      </w:pPr>
      <w:r>
        <w:rPr>
          <w:rStyle w:val="FootnoteReference"/>
        </w:rPr>
        <w:footnoteRef/>
      </w:r>
      <w:r>
        <w:t xml:space="preserve"> </w:t>
      </w:r>
      <w:r>
        <w:tab/>
        <w:t>The model for HHI’s impact on penetration is an intermediate model that is ultimately used to identify the effect of penetration on GDP. As such, ITU warns that the results of this intermediate models should not be considered general conclusions.</w:t>
      </w:r>
    </w:p>
  </w:footnote>
  <w:footnote w:id="70">
    <w:p w14:paraId="4D241AB3" w14:textId="77777777" w:rsidR="00DD5715" w:rsidRDefault="00DD5715" w:rsidP="008E726F">
      <w:pPr>
        <w:pStyle w:val="FootnoteText"/>
      </w:pPr>
      <w:r>
        <w:rPr>
          <w:rStyle w:val="FootnoteReference"/>
        </w:rPr>
        <w:footnoteRef/>
      </w:r>
      <w:r>
        <w:t xml:space="preserve"> </w:t>
      </w:r>
      <w:r>
        <w:tab/>
      </w:r>
      <w:hyperlink r:id="rId8" w:history="1">
        <w:r w:rsidRPr="004E4FD2">
          <w:rPr>
            <w:rStyle w:val="Hyperlink"/>
          </w:rPr>
          <w:t>https://www.ofcom.org.uk/__data/assets/pdf_file/0025/113299/economic-broadband-oecd-countries.pdf</w:t>
        </w:r>
      </w:hyperlink>
      <w:r>
        <w:t xml:space="preserve"> </w:t>
      </w:r>
    </w:p>
  </w:footnote>
  <w:footnote w:id="71">
    <w:p w14:paraId="7D212036" w14:textId="77777777" w:rsidR="00DD5715" w:rsidRDefault="00DD5715" w:rsidP="008E726F">
      <w:pPr>
        <w:pStyle w:val="FootnoteText"/>
      </w:pPr>
      <w:r>
        <w:rPr>
          <w:rStyle w:val="FootnoteReference"/>
        </w:rPr>
        <w:footnoteRef/>
      </w:r>
      <w:r>
        <w:t xml:space="preserve"> </w:t>
      </w:r>
      <w:r>
        <w:tab/>
        <w:t xml:space="preserve">The empirical approach estimates the effects of ADSL2+ availability (compared with existing ADSL or no broadband) on limited companies’ performance in the Province of Trento (Italy) in the short-term, i.e. up until one year after ADSL2+ activation. The effects are therefore averaged across firms that did and did not take up the speed upgrade, as the authors have no information on broadband adoption by the firms in their sample. </w:t>
      </w:r>
    </w:p>
  </w:footnote>
  <w:footnote w:id="72">
    <w:p w14:paraId="7ADDB9FD" w14:textId="77777777" w:rsidR="00DD5715" w:rsidRDefault="00DD5715" w:rsidP="008E726F">
      <w:pPr>
        <w:pStyle w:val="FootnoteText"/>
      </w:pPr>
      <w:r>
        <w:rPr>
          <w:rStyle w:val="FootnoteReference"/>
        </w:rPr>
        <w:footnoteRef/>
      </w:r>
      <w:r>
        <w:t xml:space="preserve"> </w:t>
      </w:r>
      <w:r>
        <w:tab/>
        <w:t>T</w:t>
      </w:r>
      <w:r w:rsidRPr="00D12D97">
        <w:t>otal-factor productivity (TFP)</w:t>
      </w:r>
      <w:r>
        <w:t xml:space="preserve"> represents the efficiency of the economy in converting inputs into outputs, and</w:t>
      </w:r>
      <w:r w:rsidRPr="00D12D97">
        <w:t xml:space="preserve"> is usually measured as the ratio of aggregate output (e.g., GDP) to aggregate inputs</w:t>
      </w:r>
      <w:r>
        <w:t>.</w:t>
      </w:r>
    </w:p>
  </w:footnote>
  <w:footnote w:id="73">
    <w:p w14:paraId="27352136" w14:textId="77777777" w:rsidR="00DD5715" w:rsidRDefault="00DD5715" w:rsidP="008E726F">
      <w:pPr>
        <w:pStyle w:val="FootnoteText"/>
      </w:pPr>
      <w:r>
        <w:rPr>
          <w:rStyle w:val="FootnoteReference"/>
        </w:rPr>
        <w:footnoteRef/>
      </w:r>
      <w:r>
        <w:t xml:space="preserve"> </w:t>
      </w:r>
      <w:r>
        <w:tab/>
        <w:t xml:space="preserve">Consultants were from WIK-Consult, </w:t>
      </w:r>
      <w:proofErr w:type="spellStart"/>
      <w:r>
        <w:t>Ecorys</w:t>
      </w:r>
      <w:proofErr w:type="spellEnd"/>
      <w:r>
        <w:t xml:space="preserve">, VVA consulting, </w:t>
      </w:r>
      <w:r w:rsidRPr="00F122BB">
        <w:t>LS Telecom</w:t>
      </w:r>
      <w:r>
        <w:t xml:space="preserve">, and freelance </w:t>
      </w:r>
      <w:r w:rsidRPr="00F122BB">
        <w:t>legal expert and policy consultant </w:t>
      </w:r>
      <w:r>
        <w:t xml:space="preserve">Olga </w:t>
      </w:r>
      <w:proofErr w:type="spellStart"/>
      <w:r>
        <w:t>Batura</w:t>
      </w:r>
      <w:proofErr w:type="spellEnd"/>
      <w:r>
        <w:t>.</w:t>
      </w:r>
    </w:p>
  </w:footnote>
  <w:footnote w:id="74">
    <w:p w14:paraId="3C47E9A9" w14:textId="77777777" w:rsidR="00DD5715" w:rsidRDefault="00DD5715" w:rsidP="008E726F">
      <w:pPr>
        <w:pStyle w:val="FootnoteText"/>
      </w:pPr>
      <w:r>
        <w:rPr>
          <w:rStyle w:val="FootnoteReference"/>
        </w:rPr>
        <w:footnoteRef/>
      </w:r>
      <w:r>
        <w:t xml:space="preserve"> </w:t>
      </w:r>
      <w:r>
        <w:tab/>
        <w:t>Labour productivity is measured by using value added per worker.</w:t>
      </w:r>
    </w:p>
  </w:footnote>
  <w:footnote w:id="75">
    <w:p w14:paraId="2DDBD874" w14:textId="77777777" w:rsidR="00DD5715" w:rsidRPr="002D439A" w:rsidRDefault="00DD5715" w:rsidP="008E726F">
      <w:pPr>
        <w:pStyle w:val="FootnoteText"/>
      </w:pPr>
      <w:r>
        <w:rPr>
          <w:rStyle w:val="FootnoteReference"/>
        </w:rPr>
        <w:footnoteRef/>
      </w:r>
      <w:r>
        <w:t xml:space="preserve"> </w:t>
      </w:r>
      <w:r>
        <w:tab/>
        <w:t>Urban areas are local authorities which have a population density of at least 200 people per km</w:t>
      </w:r>
      <w:r>
        <w:rPr>
          <w:vertAlign w:val="superscript"/>
        </w:rPr>
        <w:t>2</w:t>
      </w:r>
      <w:r>
        <w:t xml:space="preserve"> and rural otherwise.</w:t>
      </w:r>
      <w:r w:rsidRPr="002D439A">
        <w:rPr>
          <w:color w:val="37424A" w:themeColor="text1"/>
          <w:sz w:val="20"/>
          <w:szCs w:val="20"/>
        </w:rPr>
        <w:t xml:space="preserve"> </w:t>
      </w:r>
      <w:r>
        <w:t>Kn</w:t>
      </w:r>
      <w:r w:rsidRPr="002D439A">
        <w:t xml:space="preserve">owledge intensity of </w:t>
      </w:r>
      <w:r>
        <w:t xml:space="preserve">a firm was defined as high intensity if at least </w:t>
      </w:r>
      <w:r w:rsidRPr="002D439A">
        <w:t xml:space="preserve">25% of </w:t>
      </w:r>
      <w:r>
        <w:t xml:space="preserve">its </w:t>
      </w:r>
      <w:r w:rsidRPr="002D439A">
        <w:t>employees who are "managers, professionals, associate professionals or technicians"</w:t>
      </w:r>
      <w:r>
        <w:t xml:space="preserve">, with </w:t>
      </w:r>
      <w:r w:rsidRPr="002D439A">
        <w:t xml:space="preserve">all other firms are treated as </w:t>
      </w:r>
      <w:r>
        <w:t>low knowledge intensity firms.</w:t>
      </w:r>
    </w:p>
  </w:footnote>
  <w:footnote w:id="76">
    <w:p w14:paraId="660BAEBC" w14:textId="77777777" w:rsidR="00DD5715" w:rsidRDefault="00DD5715" w:rsidP="008E726F">
      <w:pPr>
        <w:pStyle w:val="FootnoteText"/>
      </w:pPr>
      <w:r>
        <w:rPr>
          <w:rStyle w:val="FootnoteReference"/>
        </w:rPr>
        <w:footnoteRef/>
      </w:r>
      <w:r>
        <w:t xml:space="preserve"> </w:t>
      </w:r>
      <w:r>
        <w:tab/>
        <w:t>The programme was largely delivered through FTTC technology, facilitating download speed of at least 30 megabits per second. Businesses located in rollout zones were typically</w:t>
      </w:r>
      <w:r w:rsidRPr="002B197A">
        <w:t xml:space="preserve"> </w:t>
      </w:r>
      <w:r>
        <w:t>“</w:t>
      </w:r>
      <w:r w:rsidRPr="002B197A">
        <w:t>smaller, less productive, and more concentrated in the manufacturing sector than those firms located on postcodes outside of the programme area</w:t>
      </w:r>
      <w:r>
        <w:t>”.</w:t>
      </w:r>
    </w:p>
  </w:footnote>
  <w:footnote w:id="77">
    <w:p w14:paraId="693B3EE8" w14:textId="77777777" w:rsidR="00DD5715" w:rsidRDefault="00DD5715" w:rsidP="008E726F">
      <w:pPr>
        <w:pStyle w:val="FootnoteText"/>
      </w:pPr>
      <w:r>
        <w:rPr>
          <w:rStyle w:val="FootnoteReference"/>
        </w:rPr>
        <w:footnoteRef/>
      </w:r>
      <w:r>
        <w:t xml:space="preserve"> </w:t>
      </w:r>
      <w:r>
        <w:tab/>
        <w:t xml:space="preserve">Firm turnover was </w:t>
      </w:r>
      <w:proofErr w:type="spellStart"/>
      <w:r>
        <w:t>proxied</w:t>
      </w:r>
      <w:proofErr w:type="spellEnd"/>
      <w:r>
        <w:t xml:space="preserve"> by turnover by employee.</w:t>
      </w:r>
    </w:p>
  </w:footnote>
  <w:footnote w:id="78">
    <w:p w14:paraId="20E9379B" w14:textId="77777777" w:rsidR="00DD5715" w:rsidRDefault="00DD5715" w:rsidP="008E726F">
      <w:pPr>
        <w:pStyle w:val="FootnoteText"/>
      </w:pPr>
      <w:r>
        <w:rPr>
          <w:rStyle w:val="FootnoteReference"/>
        </w:rPr>
        <w:footnoteRef/>
      </w:r>
      <w:r>
        <w:t xml:space="preserve"> </w:t>
      </w:r>
      <w:r>
        <w:tab/>
        <w:t>Download speeds of up to 100Mbps (megabits per second), and in some areas up to 1000Mbps.</w:t>
      </w:r>
    </w:p>
  </w:footnote>
  <w:footnote w:id="79">
    <w:p w14:paraId="2E06E94F" w14:textId="77777777" w:rsidR="00DD5715" w:rsidRDefault="00DD5715" w:rsidP="008E726F">
      <w:pPr>
        <w:pStyle w:val="FootnoteText"/>
      </w:pPr>
      <w:r>
        <w:rPr>
          <w:rStyle w:val="FootnoteReference"/>
        </w:rPr>
        <w:footnoteRef/>
      </w:r>
      <w:r>
        <w:t xml:space="preserve"> </w:t>
      </w:r>
      <w:r>
        <w:tab/>
        <w:t xml:space="preserve">Complementary investment here means activities the firm reported as being conducted to “get more benefit from (their) ICT”. These activities include changed staff levels or skills mix, trained employees, introduced new work practices (e.g. </w:t>
      </w:r>
      <w:proofErr w:type="spellStart"/>
      <w:r>
        <w:t>teamworking</w:t>
      </w:r>
      <w:proofErr w:type="spellEnd"/>
      <w:r>
        <w:t>), restructures the organisation, implemented new business strategies or management techniques, physically relocated any business activities, invested in capital other than ICT, performed research and development, redesigned processes for producing or distributing goods and services, shifted production towards goods and services that use ICT more intensively.</w:t>
      </w:r>
    </w:p>
  </w:footnote>
  <w:footnote w:id="80">
    <w:p w14:paraId="5A3157C9" w14:textId="77777777" w:rsidR="00DD5715" w:rsidRDefault="00DD5715" w:rsidP="008E726F">
      <w:pPr>
        <w:pStyle w:val="FootnoteText"/>
      </w:pPr>
      <w:r>
        <w:rPr>
          <w:rStyle w:val="FootnoteReference"/>
        </w:rPr>
        <w:footnoteRef/>
      </w:r>
      <w:r>
        <w:t xml:space="preserve"> </w:t>
      </w:r>
      <w:r>
        <w:tab/>
        <w:t xml:space="preserve">In fact, a negative relationship is implied. Fast vs. very fast compares speeds of 100 Mb/s – 1 </w:t>
      </w:r>
      <w:proofErr w:type="gramStart"/>
      <w:r>
        <w:t>Gb/</w:t>
      </w:r>
      <w:proofErr w:type="gramEnd"/>
      <w:r>
        <w:t xml:space="preserve">s (fast) to speeds of over 1 Gb/s (very fast). The unintuitive negative employment impact of going form fast to very fast broadband is not explored in the paper to any great extent and may imply model misspecification. For example, it may be that less efficient businesses opt-into upgrading their broadband from fast to very fast and the model is picking up this effect rather than the isolated impact of improved broadband speed on employment. </w:t>
      </w:r>
    </w:p>
  </w:footnote>
  <w:footnote w:id="81">
    <w:p w14:paraId="32019CED" w14:textId="77777777" w:rsidR="00DD5715" w:rsidRDefault="00DD5715" w:rsidP="008E726F">
      <w:pPr>
        <w:pStyle w:val="FootnoteText"/>
      </w:pPr>
      <w:r>
        <w:rPr>
          <w:rStyle w:val="FootnoteReference"/>
        </w:rPr>
        <w:footnoteRef/>
      </w:r>
      <w:r>
        <w:t xml:space="preserve"> </w:t>
      </w:r>
      <w:r>
        <w:tab/>
        <w:t>A 1.7% contribution to employment was found for ‘highly urbanised’ municipalities.</w:t>
      </w:r>
    </w:p>
  </w:footnote>
  <w:footnote w:id="82">
    <w:p w14:paraId="02EE00F3" w14:textId="77777777" w:rsidR="00DD5715" w:rsidRDefault="00DD5715" w:rsidP="008E726F">
      <w:pPr>
        <w:pStyle w:val="FootnoteText"/>
      </w:pPr>
      <w:r>
        <w:rPr>
          <w:rStyle w:val="FootnoteReference"/>
        </w:rPr>
        <w:footnoteRef/>
      </w:r>
      <w:r>
        <w:t xml:space="preserve"> </w:t>
      </w:r>
      <w:r>
        <w:tab/>
        <w:t>Residential deployment</w:t>
      </w:r>
    </w:p>
  </w:footnote>
  <w:footnote w:id="83">
    <w:p w14:paraId="7FA71D60" w14:textId="77777777" w:rsidR="00DD5715" w:rsidRDefault="00DD5715" w:rsidP="008E726F">
      <w:pPr>
        <w:pStyle w:val="FootnoteText"/>
      </w:pPr>
      <w:r>
        <w:rPr>
          <w:rStyle w:val="FootnoteReference"/>
        </w:rPr>
        <w:footnoteRef/>
      </w:r>
      <w:r>
        <w:t xml:space="preserve"> </w:t>
      </w:r>
      <w:r>
        <w:tab/>
        <w:t>High speed services delivered through Fibre to the Home (</w:t>
      </w:r>
      <w:proofErr w:type="spellStart"/>
      <w:r>
        <w:t>FttH</w:t>
      </w:r>
      <w:proofErr w:type="spellEnd"/>
      <w:r>
        <w:t>) or Fibre to the Last Amplifier (</w:t>
      </w:r>
      <w:proofErr w:type="spellStart"/>
      <w:r>
        <w:t>FttLA</w:t>
      </w:r>
      <w:proofErr w:type="spellEnd"/>
      <w:r>
        <w:t>),</w:t>
      </w:r>
    </w:p>
  </w:footnote>
  <w:footnote w:id="84">
    <w:p w14:paraId="491EE76F" w14:textId="77777777" w:rsidR="00DD5715" w:rsidRDefault="00DD5715" w:rsidP="008E726F">
      <w:pPr>
        <w:pStyle w:val="FootnoteText"/>
      </w:pPr>
      <w:r>
        <w:rPr>
          <w:rStyle w:val="FootnoteReference"/>
        </w:rPr>
        <w:footnoteRef/>
      </w:r>
      <w:r>
        <w:t xml:space="preserve"> </w:t>
      </w:r>
      <w:r>
        <w:tab/>
        <w:t>Locations were either single Electoral Divisions or aggregations of contiguous Electoral Divisions which are at or above the 75 percentile of employment density.</w:t>
      </w:r>
    </w:p>
  </w:footnote>
  <w:footnote w:id="85">
    <w:p w14:paraId="41A16BF5" w14:textId="77777777" w:rsidR="00DD5715" w:rsidRDefault="00DD5715" w:rsidP="008E726F">
      <w:pPr>
        <w:pStyle w:val="FootnoteText"/>
      </w:pPr>
      <w:r>
        <w:rPr>
          <w:rStyle w:val="FootnoteReference"/>
        </w:rPr>
        <w:footnoteRef/>
      </w:r>
      <w:r>
        <w:t xml:space="preserve"> </w:t>
      </w:r>
      <w:r>
        <w:tab/>
        <w:t xml:space="preserve">Teleworking benefits account for over $2.2 billion of the $6.4 billion of the GDP impact of improved broadband in the </w:t>
      </w:r>
      <w:proofErr w:type="spellStart"/>
      <w:r>
        <w:t>AlphaBeta</w:t>
      </w:r>
      <w:proofErr w:type="spellEnd"/>
      <w:r>
        <w:t xml:space="preserve"> Advisors research.</w:t>
      </w:r>
    </w:p>
  </w:footnote>
  <w:footnote w:id="86">
    <w:p w14:paraId="68B77FA7" w14:textId="77777777" w:rsidR="00DD5715" w:rsidRDefault="00DD5715" w:rsidP="008E726F">
      <w:pPr>
        <w:pStyle w:val="FootnoteText"/>
      </w:pPr>
      <w:r>
        <w:rPr>
          <w:rStyle w:val="FootnoteReference"/>
        </w:rPr>
        <w:footnoteRef/>
      </w:r>
      <w:r>
        <w:t xml:space="preserve"> </w:t>
      </w:r>
      <w:r>
        <w:tab/>
      </w:r>
      <w:r w:rsidRPr="006E702D">
        <w:t>Kuhn &amp; Mansour (2011) "Is Internet Job Search Still Ineffective?</w:t>
      </w:r>
      <w:proofErr w:type="gramStart"/>
      <w:r w:rsidRPr="006E702D">
        <w:t>",</w:t>
      </w:r>
      <w:proofErr w:type="gramEnd"/>
      <w:r w:rsidRPr="006E702D">
        <w:t xml:space="preserve"> IZA Discussion Paper No. 5955</w:t>
      </w:r>
      <w:r>
        <w:t>.</w:t>
      </w:r>
    </w:p>
  </w:footnote>
  <w:footnote w:id="87">
    <w:p w14:paraId="62A907DA" w14:textId="77777777" w:rsidR="00DD5715" w:rsidRPr="00791AEA" w:rsidRDefault="00DD5715">
      <w:pPr>
        <w:pStyle w:val="FootnoteText"/>
        <w:rPr>
          <w:lang w:val="en-US"/>
        </w:rPr>
      </w:pPr>
      <w:r>
        <w:rPr>
          <w:rStyle w:val="FootnoteReference"/>
        </w:rPr>
        <w:footnoteRef/>
      </w:r>
      <w:r>
        <w:t xml:space="preserve"> </w:t>
      </w:r>
      <w:r>
        <w:rPr>
          <w:lang w:val="en-US"/>
        </w:rPr>
        <w:tab/>
        <w:t xml:space="preserve">ABS, </w:t>
      </w:r>
      <w:r w:rsidRPr="00D358F3">
        <w:rPr>
          <w:lang w:val="en-US"/>
        </w:rPr>
        <w:t xml:space="preserve">1270.0.55.001 - Australian Statistical Geography Standard (ASGS): Volume 1 - Main Structure and Greater Capital City Statistical Areas, July 2016  </w:t>
      </w:r>
    </w:p>
  </w:footnote>
  <w:footnote w:id="88">
    <w:p w14:paraId="099F1C67" w14:textId="77777777" w:rsidR="00DD5715" w:rsidRDefault="00DD5715" w:rsidP="00001CCB">
      <w:pPr>
        <w:pStyle w:val="FootnoteText"/>
        <w:rPr>
          <w:lang w:val="en-US"/>
        </w:rPr>
      </w:pPr>
      <w:r>
        <w:rPr>
          <w:rStyle w:val="FootnoteReference"/>
        </w:rPr>
        <w:footnoteRef/>
      </w:r>
      <w:r>
        <w:t xml:space="preserve"> </w:t>
      </w:r>
      <w:r>
        <w:rPr>
          <w:lang w:val="en-US"/>
        </w:rPr>
        <w:tab/>
        <w:t>ABS, 8165.0 Counts of Australian Businesses, including Entries and Exits, June 2016 to June 2020.</w:t>
      </w:r>
    </w:p>
  </w:footnote>
  <w:footnote w:id="89">
    <w:p w14:paraId="3811459A" w14:textId="77777777" w:rsidR="00DD5715" w:rsidRDefault="00DD5715" w:rsidP="00001CCB">
      <w:pPr>
        <w:pStyle w:val="FootnoteText"/>
        <w:rPr>
          <w:lang w:val="en-US"/>
        </w:rPr>
      </w:pPr>
      <w:r>
        <w:rPr>
          <w:rStyle w:val="FootnoteReference"/>
        </w:rPr>
        <w:footnoteRef/>
      </w:r>
      <w:r>
        <w:t xml:space="preserve"> </w:t>
      </w:r>
      <w:r>
        <w:rPr>
          <w:lang w:val="en-US"/>
        </w:rPr>
        <w:tab/>
        <w:t>ABS, 81550DO001_201920 Australian Industry, 2019-20.</w:t>
      </w:r>
    </w:p>
  </w:footnote>
  <w:footnote w:id="90">
    <w:p w14:paraId="09A808E7" w14:textId="77777777" w:rsidR="00DD5715" w:rsidRDefault="00DD5715" w:rsidP="00001CCB">
      <w:pPr>
        <w:pStyle w:val="FootnoteText"/>
        <w:rPr>
          <w:lang w:val="en-US"/>
        </w:rPr>
      </w:pPr>
      <w:r>
        <w:rPr>
          <w:rStyle w:val="FootnoteReference"/>
        </w:rPr>
        <w:footnoteRef/>
      </w:r>
      <w:r>
        <w:t xml:space="preserve"> </w:t>
      </w:r>
      <w:r>
        <w:rPr>
          <w:lang w:val="en-US"/>
        </w:rPr>
        <w:tab/>
        <w:t>ABS, 5204.0 Australian System of National Accounts Table 5. Gross Value Added (GVA) by Industry.</w:t>
      </w:r>
    </w:p>
  </w:footnote>
  <w:footnote w:id="91">
    <w:p w14:paraId="0E6A453C" w14:textId="77777777" w:rsidR="00DD5715" w:rsidRDefault="00DD5715" w:rsidP="00001CCB">
      <w:pPr>
        <w:pStyle w:val="FootnoteText"/>
        <w:rPr>
          <w:lang w:val="en-US"/>
        </w:rPr>
      </w:pPr>
      <w:r>
        <w:rPr>
          <w:rStyle w:val="FootnoteReference"/>
        </w:rPr>
        <w:footnoteRef/>
      </w:r>
      <w:r>
        <w:t xml:space="preserve"> </w:t>
      </w:r>
      <w:r>
        <w:rPr>
          <w:lang w:val="en-US"/>
        </w:rPr>
        <w:tab/>
        <w:t xml:space="preserve">To do this we use the </w:t>
      </w:r>
      <w:proofErr w:type="spellStart"/>
      <w:r>
        <w:rPr>
          <w:lang w:val="en-US"/>
        </w:rPr>
        <w:t>Generalised</w:t>
      </w:r>
      <w:proofErr w:type="spellEnd"/>
      <w:r>
        <w:rPr>
          <w:lang w:val="en-US"/>
        </w:rPr>
        <w:t xml:space="preserve"> Method of Moments approach to best match the fraction of businesses in each bin.</w:t>
      </w:r>
    </w:p>
  </w:footnote>
  <w:footnote w:id="92">
    <w:p w14:paraId="1DEED4EF" w14:textId="77777777" w:rsidR="00DD5715" w:rsidRDefault="00DD5715" w:rsidP="00001CCB">
      <w:pPr>
        <w:pStyle w:val="FootnoteText"/>
        <w:rPr>
          <w:lang w:val="en-US"/>
        </w:rPr>
      </w:pPr>
      <w:r>
        <w:rPr>
          <w:rStyle w:val="FootnoteReference"/>
        </w:rPr>
        <w:footnoteRef/>
      </w:r>
      <w:r>
        <w:t xml:space="preserve"> </w:t>
      </w:r>
      <w:r>
        <w:rPr>
          <w:lang w:val="en-US"/>
        </w:rPr>
        <w:tab/>
        <w:t xml:space="preserve">For this we use ASGS provided SA2 </w:t>
      </w:r>
      <w:proofErr w:type="spellStart"/>
      <w:r>
        <w:rPr>
          <w:lang w:val="en-US"/>
        </w:rPr>
        <w:t>shapefiles</w:t>
      </w:r>
      <w:proofErr w:type="spellEnd"/>
      <w:r>
        <w:rPr>
          <w:lang w:val="en-US"/>
        </w:rPr>
        <w:t>, and data provided by NBN containing the geographic boundaries of each BFZ.</w:t>
      </w:r>
    </w:p>
  </w:footnote>
  <w:footnote w:id="93">
    <w:p w14:paraId="6E6B88E6" w14:textId="77777777" w:rsidR="00DD5715" w:rsidRDefault="00DD5715" w:rsidP="00001CCB">
      <w:pPr>
        <w:pStyle w:val="FootnoteText"/>
        <w:rPr>
          <w:lang w:val="en-US"/>
        </w:rPr>
      </w:pPr>
      <w:r>
        <w:rPr>
          <w:rStyle w:val="FootnoteReference"/>
        </w:rPr>
        <w:footnoteRef/>
      </w:r>
      <w:r>
        <w:t xml:space="preserve"> </w:t>
      </w:r>
      <w:r>
        <w:rPr>
          <w:lang w:val="en-US"/>
        </w:rPr>
        <w:tab/>
        <w:t>ABS, 5204.0 Australian System of National Accounts Table 5. Gross Value Added (GVA) by Industry.</w:t>
      </w:r>
    </w:p>
  </w:footnote>
  <w:footnote w:id="94">
    <w:p w14:paraId="2E6FC29C" w14:textId="77777777" w:rsidR="00DD5715" w:rsidRDefault="00DD5715">
      <w:pPr>
        <w:pStyle w:val="FootnoteText"/>
      </w:pPr>
      <w:r>
        <w:rPr>
          <w:rStyle w:val="FootnoteReference"/>
        </w:rPr>
        <w:footnoteRef/>
      </w:r>
      <w:r>
        <w:t xml:space="preserve"> </w:t>
      </w:r>
      <w:r>
        <w:tab/>
        <w:t>This is to account for the fact that the study in Trento did not cover firms in the mining of agricultural sector.</w:t>
      </w:r>
    </w:p>
  </w:footnote>
  <w:footnote w:id="95">
    <w:p w14:paraId="1089B99C" w14:textId="77777777" w:rsidR="00DD5715" w:rsidRDefault="00DD5715">
      <w:pPr>
        <w:pStyle w:val="FootnoteText"/>
      </w:pPr>
      <w:r>
        <w:rPr>
          <w:rStyle w:val="FootnoteReference"/>
        </w:rPr>
        <w:footnoteRef/>
      </w:r>
      <w:r>
        <w:t xml:space="preserve"> </w:t>
      </w:r>
      <w:r>
        <w:tab/>
        <w:t>Note given that we are utilise Italian national accounts data, we implicitly assume that ICT intensities for the same industries across Australia and Trento are similar.</w:t>
      </w:r>
    </w:p>
  </w:footnote>
  <w:footnote w:id="96">
    <w:p w14:paraId="0EA24E79" w14:textId="77777777" w:rsidR="00DD5715" w:rsidRDefault="00DD5715">
      <w:pPr>
        <w:pStyle w:val="FootnoteText"/>
      </w:pPr>
      <w:r>
        <w:rPr>
          <w:rStyle w:val="FootnoteReference"/>
        </w:rPr>
        <w:footnoteRef/>
      </w:r>
      <w:r>
        <w:t xml:space="preserve"> </w:t>
      </w:r>
      <w:r>
        <w:tab/>
        <w:t>We note that the change in speed in the Trento study ranges from 2-20Mbps and 7-20Mbps. As such, the relative change in speed was calculated twice, one where we assume a starting point of 2Mbps in Trento, and the other with a starting point of 7Mbps in Trento. The Australian productivity benefit is then calculated using both relative speed calculations, and the average of the two productivity benefits is used in our analysis.</w:t>
      </w:r>
    </w:p>
  </w:footnote>
  <w:footnote w:id="97">
    <w:p w14:paraId="03A91F4C" w14:textId="77777777" w:rsidR="00DD5715" w:rsidRDefault="00DD5715" w:rsidP="0056642F">
      <w:pPr>
        <w:pStyle w:val="FootnoteText"/>
      </w:pPr>
      <w:r>
        <w:rPr>
          <w:rStyle w:val="FootnoteReference"/>
        </w:rPr>
        <w:footnoteRef/>
      </w:r>
      <w:r>
        <w:t xml:space="preserve"> </w:t>
      </w:r>
      <w:r>
        <w:tab/>
        <w:t>For example, all firms may receive a baseline fixed benefit, and then a further benefit depending on their ICT intensity.</w:t>
      </w:r>
    </w:p>
  </w:footnote>
  <w:footnote w:id="98">
    <w:p w14:paraId="0A2267F3" w14:textId="77777777" w:rsidR="00DD5715" w:rsidRDefault="00DD5715" w:rsidP="00A96F78">
      <w:pPr>
        <w:pStyle w:val="FootnoteText"/>
      </w:pPr>
      <w:r>
        <w:rPr>
          <w:rStyle w:val="FootnoteReference"/>
        </w:rPr>
        <w:footnoteRef/>
      </w:r>
      <w:r>
        <w:t xml:space="preserve"> </w:t>
      </w:r>
      <w:r>
        <w:tab/>
        <w:t>Provided by NBN Co. There are 4 zones, from least to most remote, these are CBD, Zone 1, Zone 2 and Zone 3. All SA1 statistical units within a Business Fibre Zone is mapped to one of these zones.</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35DF06" w14:textId="40BB0C22" w:rsidR="00DD5715" w:rsidRPr="00122CA4" w:rsidRDefault="00E031EF" w:rsidP="00B62909">
    <w:pPr>
      <w:pStyle w:val="Header"/>
      <w:pBdr>
        <w:bottom w:val="none" w:sz="0" w:space="0" w:color="auto"/>
      </w:pBdr>
      <w:rPr>
        <w:rFonts w:ascii="Open Sans Light" w:hAnsi="Open Sans Light" w:cs="Open Sans Light"/>
        <w:b w:val="0"/>
        <w:bCs/>
      </w:rPr>
    </w:pPr>
    <w:sdt>
      <w:sdtPr>
        <w:rPr>
          <w:rFonts w:ascii="Open Sans Light" w:hAnsi="Open Sans Light" w:cs="Open Sans Light"/>
          <w:b w:val="0"/>
          <w:bCs/>
        </w:rPr>
        <w:alias w:val="Report Title"/>
        <w:tag w:val="ReportTitle"/>
        <w:id w:val="420300993"/>
        <w:dataBinding w:xpath="/root[1]/ReportTitle[1]" w:storeItemID="{8A6671F6-5EF9-4802-9226-F59F66B71F67}"/>
        <w:text/>
      </w:sdtPr>
      <w:sdtEndPr/>
      <w:sdtContent>
        <w:r w:rsidR="00DD5715">
          <w:rPr>
            <w:rFonts w:ascii="Open Sans Light" w:hAnsi="Open Sans Light" w:cs="Open Sans Light"/>
            <w:b w:val="0"/>
            <w:bCs/>
          </w:rPr>
          <w:t>The economic impact of new NBN investments on business</w:t>
        </w:r>
      </w:sdtContent>
    </w:sdt>
  </w:p>
  <w:p w14:paraId="50B9F0F3" w14:textId="77777777" w:rsidR="00DD5715" w:rsidRPr="00C84082" w:rsidRDefault="00DD5715" w:rsidP="00B62909">
    <w:pPr>
      <w:pStyle w:val="Header"/>
      <w:pBdr>
        <w:bottom w:val="none" w:sz="0" w:space="0" w:color="auto"/>
      </w:pBdr>
    </w:pPr>
    <w:r>
      <w:rPr>
        <w:b w:val="0"/>
        <w:color w:val="6A7177"/>
        <w:lang w:eastAsia="en-AU"/>
      </w:rPr>
      <w:drawing>
        <wp:inline distT="0" distB="0" distL="0" distR="0" wp14:anchorId="43722889" wp14:editId="1CFE7636">
          <wp:extent cx="615600" cy="123731"/>
          <wp:effectExtent l="0" t="0" r="0" b="0"/>
          <wp:docPr id="36" name="Picture 36" descr="Decorative">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a:extLst>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615600" cy="123731"/>
                  </a:xfrm>
                  <a:prstGeom prst="rect">
                    <a:avLst/>
                  </a:prstGeom>
                </pic:spPr>
              </pic:pic>
            </a:graphicData>
          </a:graphic>
        </wp:inline>
      </w:drawing>
    </w:r>
    <w:r w:rsidRPr="000D5B52">
      <w:rPr>
        <w:b w:val="0"/>
        <w:color w:val="6A7177"/>
        <w:lang w:eastAsia="en-AU"/>
      </w:rPr>
      <mc:AlternateContent>
        <mc:Choice Requires="wps">
          <w:drawing>
            <wp:anchor distT="45720" distB="45720" distL="114300" distR="114300" simplePos="0" relativeHeight="251657216" behindDoc="1" locked="1" layoutInCell="1" allowOverlap="1" wp14:anchorId="7D610806" wp14:editId="3AE8A89C">
              <wp:simplePos x="0" y="0"/>
              <wp:positionH relativeFrom="margin">
                <wp:align>right</wp:align>
              </wp:positionH>
              <wp:positionV relativeFrom="page">
                <wp:posOffset>253365</wp:posOffset>
              </wp:positionV>
              <wp:extent cx="2638425" cy="647700"/>
              <wp:effectExtent l="0" t="0" r="9525" b="0"/>
              <wp:wrapNone/>
              <wp:docPr id="3" name="Text Box 2">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8425" cy="647700"/>
                      </a:xfrm>
                      <a:prstGeom prst="rect">
                        <a:avLst/>
                      </a:prstGeom>
                      <a:solidFill>
                        <a:srgbClr val="FFFFFF"/>
                      </a:solidFill>
                      <a:ln w="9525">
                        <a:noFill/>
                        <a:miter lim="800000"/>
                        <a:headEnd/>
                        <a:tailEnd/>
                      </a:ln>
                    </wps:spPr>
                    <wps:txbx>
                      <w:txbxContent>
                        <w:sdt>
                          <w:sdtPr>
                            <w:rPr>
                              <w:rFonts w:ascii="Open Sans Light" w:hAnsi="Open Sans Light" w:cs="Open Sans Light"/>
                              <w:sz w:val="18"/>
                              <w:szCs w:val="18"/>
                            </w:rPr>
                            <w:alias w:val="Document Status"/>
                            <w:tag w:val="Document Status"/>
                            <w:id w:val="-87318925"/>
                            <w:dropDownList>
                              <w:listItem w:value="Choose document status:"/>
                              <w:listItem w:displayText="Draft" w:value="Draft"/>
                              <w:listItem w:displayText="Final" w:value="Final"/>
                              <w:listItem w:displayText=" " w:value="  "/>
                              <w:listItem w:displayText="Draft | Confidential" w:value="Draft | Confidential"/>
                              <w:listItem w:displayText="Final | Confidential" w:value="Final | Confidential"/>
                              <w:listItem w:displayText="Confidential" w:value="Confidential"/>
                            </w:dropDownList>
                          </w:sdtPr>
                          <w:sdtEndPr/>
                          <w:sdtContent>
                            <w:p w14:paraId="70FF7E36" w14:textId="77777777" w:rsidR="00DD5715" w:rsidRPr="00122CA4" w:rsidRDefault="00DD5715" w:rsidP="000D5B52">
                              <w:pPr>
                                <w:jc w:val="right"/>
                                <w:rPr>
                                  <w:rFonts w:ascii="Open Sans Light" w:hAnsi="Open Sans Light" w:cs="Open Sans Light"/>
                                  <w:sz w:val="18"/>
                                  <w:szCs w:val="18"/>
                                </w:rPr>
                              </w:pPr>
                              <w:r>
                                <w:rPr>
                                  <w:rFonts w:ascii="Open Sans Light" w:hAnsi="Open Sans Light" w:cs="Open Sans Light"/>
                                  <w:sz w:val="18"/>
                                  <w:szCs w:val="18"/>
                                </w:rPr>
                                <w:t>Final</w:t>
                              </w:r>
                            </w:p>
                          </w:sdtContent>
                        </w:sdt>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D610806" id="_x0000_t202" coordsize="21600,21600" o:spt="202" path="m,l,21600r21600,l21600,xe">
              <v:stroke joinstyle="miter"/>
              <v:path gradientshapeok="t" o:connecttype="rect"/>
            </v:shapetype>
            <v:shape id="Text Box 2" o:spid="_x0000_s1026" type="#_x0000_t202" style="position:absolute;left:0;text-align:left;margin-left:156.55pt;margin-top:19.95pt;width:207.75pt;height:51pt;z-index:-251659264;visibility:visible;mso-wrap-style:square;mso-width-percent:0;mso-height-percent:0;mso-wrap-distance-left:9pt;mso-wrap-distance-top:3.6pt;mso-wrap-distance-right:9pt;mso-wrap-distance-bottom:3.6pt;mso-position-horizontal:righ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" stroked="f">
              <v:textbox inset="0,0,0,0">
                <w:txbxContent>
                  <w:sdt>
                    <w:sdtPr>
                      <w:rPr>
                        <w:rFonts w:ascii="Open Sans Light" w:hAnsi="Open Sans Light" w:cs="Open Sans Light"/>
                        <w:sz w:val="18"/>
                        <w:szCs w:val="18"/>
                      </w:rPr>
                      <w:alias w:val="Document Status"/>
                      <w:tag w:val="Document Status"/>
                      <w:id w:val="-87318925"/>
                      <w:dropDownList>
                        <w:listItem w:value="Choose document status:"/>
                        <w:listItem w:displayText="Draft" w:value="Draft"/>
                        <w:listItem w:displayText="Final" w:value="Final"/>
                        <w:listItem w:displayText=" " w:value="  "/>
                        <w:listItem w:displayText="Draft | Confidential" w:value="Draft | Confidential"/>
                        <w:listItem w:displayText="Final | Confidential" w:value="Final | Confidential"/>
                        <w:listItem w:displayText="Confidential" w:value="Confidential"/>
                      </w:dropDownList>
                    </w:sdtPr>
                    <w:sdtEndPr/>
                    <w:sdtContent>
                      <w:p w14:paraId="70FF7E36" w14:textId="77777777" w:rsidR="00DD5715" w:rsidRPr="00122CA4" w:rsidRDefault="00DD5715" w:rsidP="000D5B52">
                        <w:pPr>
                          <w:jc w:val="right"/>
                          <w:rPr>
                            <w:rFonts w:ascii="Open Sans Light" w:hAnsi="Open Sans Light" w:cs="Open Sans Light"/>
                            <w:sz w:val="18"/>
                            <w:szCs w:val="18"/>
                          </w:rPr>
                        </w:pPr>
                        <w:r>
                          <w:rPr>
                            <w:rFonts w:ascii="Open Sans Light" w:hAnsi="Open Sans Light" w:cs="Open Sans Light"/>
                            <w:sz w:val="18"/>
                            <w:szCs w:val="18"/>
                          </w:rPr>
                          <w:t>Final</w:t>
                        </w:r>
                      </w:p>
                    </w:sdtContent>
                  </w:sdt>
                </w:txbxContent>
              </v:textbox>
              <w10:wrap anchorx="margin" anchory="page"/>
              <w10:anchorlock/>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B4427F" w14:textId="77777777" w:rsidR="00DD5715" w:rsidRDefault="00DD5715" w:rsidP="003F2F16">
    <w:pPr>
      <w:pStyle w:val="Header"/>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F17752" w14:textId="77777777" w:rsidR="00DD5715" w:rsidRPr="00122CA4" w:rsidRDefault="00DD5715" w:rsidP="005D5386">
    <w:pPr>
      <w:pStyle w:val="Header"/>
      <w:pBdr>
        <w:bottom w:val="none" w:sz="0" w:space="0" w:color="auto"/>
      </w:pBdr>
      <w:rPr>
        <w:rFonts w:ascii="Open Sans Light" w:hAnsi="Open Sans Light" w:cs="Open Sans Light"/>
        <w:b w:val="0"/>
        <w:bCs/>
      </w:rPr>
    </w:pPr>
    <w:r w:rsidRPr="00122CA4">
      <w:rPr>
        <w:rFonts w:ascii="Open Sans Light" w:hAnsi="Open Sans Light" w:cs="Open Sans Light"/>
        <w:b w:val="0"/>
        <w:bCs/>
        <w:color w:val="6A7177"/>
        <w:lang w:eastAsia="en-AU"/>
      </w:rPr>
      <mc:AlternateContent>
        <mc:Choice Requires="wps">
          <w:drawing>
            <wp:anchor distT="45720" distB="45720" distL="114300" distR="114300" simplePos="0" relativeHeight="251662336" behindDoc="1" locked="1" layoutInCell="1" allowOverlap="1" wp14:anchorId="19684CCD" wp14:editId="567BE1F9">
              <wp:simplePos x="0" y="0"/>
              <wp:positionH relativeFrom="margin">
                <wp:align>right</wp:align>
              </wp:positionH>
              <wp:positionV relativeFrom="page">
                <wp:posOffset>252095</wp:posOffset>
              </wp:positionV>
              <wp:extent cx="2638800" cy="648000"/>
              <wp:effectExtent l="0" t="0" r="9525" b="0"/>
              <wp:wrapNone/>
              <wp:docPr id="48" name="Text Box 2">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8800" cy="648000"/>
                      </a:xfrm>
                      <a:prstGeom prst="rect">
                        <a:avLst/>
                      </a:prstGeom>
                      <a:solidFill>
                        <a:srgbClr val="FFFFFF"/>
                      </a:solidFill>
                      <a:ln w="9525">
                        <a:noFill/>
                        <a:miter lim="800000"/>
                        <a:headEnd/>
                        <a:tailEnd/>
                      </a:ln>
                    </wps:spPr>
                    <wps:txbx>
                      <w:txbxContent>
                        <w:sdt>
                          <w:sdtPr>
                            <w:rPr>
                              <w:rFonts w:ascii="Open Sans Light" w:hAnsi="Open Sans Light" w:cs="Open Sans Light"/>
                              <w:sz w:val="18"/>
                              <w:szCs w:val="18"/>
                            </w:rPr>
                            <w:alias w:val="Document Status"/>
                            <w:tag w:val="Document Status"/>
                            <w:id w:val="422687020"/>
                            <w:dropDownList>
                              <w:listItem w:value="Choose document status:"/>
                              <w:listItem w:displayText="Draft" w:value="Draft"/>
                              <w:listItem w:displayText="Final" w:value="Final"/>
                              <w:listItem w:displayText=" " w:value="  "/>
                              <w:listItem w:displayText="Draft | Confidential" w:value="Draft | Confidential"/>
                              <w:listItem w:displayText="Final | Confidential" w:value="Final | Confidential"/>
                              <w:listItem w:displayText="Confidential" w:value="Confidential"/>
                            </w:dropDownList>
                          </w:sdtPr>
                          <w:sdtEndPr/>
                          <w:sdtContent>
                            <w:p w14:paraId="5314B2F4" w14:textId="77777777" w:rsidR="00DD5715" w:rsidRPr="009E16F7" w:rsidRDefault="00DD5715" w:rsidP="00D7786A">
                              <w:pPr>
                                <w:jc w:val="right"/>
                                <w:rPr>
                                  <w:sz w:val="18"/>
                                  <w:szCs w:val="18"/>
                                </w:rPr>
                              </w:pPr>
                              <w:r>
                                <w:rPr>
                                  <w:rFonts w:ascii="Open Sans Light" w:hAnsi="Open Sans Light" w:cs="Open Sans Light"/>
                                  <w:sz w:val="18"/>
                                  <w:szCs w:val="18"/>
                                </w:rPr>
                                <w:t>Final</w:t>
                              </w:r>
                            </w:p>
                          </w:sdtContent>
                        </w:sdt>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9684CCD" id="_x0000_t202" coordsize="21600,21600" o:spt="202" path="m,l,21600r21600,l21600,xe">
              <v:stroke joinstyle="miter"/>
              <v:path gradientshapeok="t" o:connecttype="rect"/>
            </v:shapetype>
            <v:shape id="_x0000_s1027" type="#_x0000_t202" style="position:absolute;left:0;text-align:left;margin-left:156.6pt;margin-top:19.85pt;width:207.8pt;height:51pt;z-index:-251654144;visibility:visible;mso-wrap-style:square;mso-width-percent:0;mso-height-percent:0;mso-wrap-distance-left:9pt;mso-wrap-distance-top:3.6pt;mso-wrap-distance-right:9pt;mso-wrap-distance-bottom:3.6pt;mso-position-horizontal:righ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" stroked="f">
              <v:textbox inset="0,0,0,0">
                <w:txbxContent>
                  <w:sdt>
                    <w:sdtPr>
                      <w:rPr>
                        <w:rFonts w:ascii="Open Sans Light" w:hAnsi="Open Sans Light" w:cs="Open Sans Light"/>
                        <w:sz w:val="18"/>
                        <w:szCs w:val="18"/>
                      </w:rPr>
                      <w:alias w:val="Document Status"/>
                      <w:tag w:val="Document Status"/>
                      <w:id w:val="422687020"/>
                      <w:dropDownList>
                        <w:listItem w:value="Choose document status:"/>
                        <w:listItem w:displayText="Draft" w:value="Draft"/>
                        <w:listItem w:displayText="Final" w:value="Final"/>
                        <w:listItem w:displayText=" " w:value="  "/>
                        <w:listItem w:displayText="Draft | Confidential" w:value="Draft | Confidential"/>
                        <w:listItem w:displayText="Final | Confidential" w:value="Final | Confidential"/>
                        <w:listItem w:displayText="Confidential" w:value="Confidential"/>
                      </w:dropDownList>
                    </w:sdtPr>
                    <w:sdtEndPr/>
                    <w:sdtContent>
                      <w:p w14:paraId="5314B2F4" w14:textId="77777777" w:rsidR="00DD5715" w:rsidRPr="009E16F7" w:rsidRDefault="00DD5715" w:rsidP="00D7786A">
                        <w:pPr>
                          <w:jc w:val="right"/>
                          <w:rPr>
                            <w:sz w:val="18"/>
                            <w:szCs w:val="18"/>
                          </w:rPr>
                        </w:pPr>
                        <w:r>
                          <w:rPr>
                            <w:rFonts w:ascii="Open Sans Light" w:hAnsi="Open Sans Light" w:cs="Open Sans Light"/>
                            <w:sz w:val="18"/>
                            <w:szCs w:val="18"/>
                          </w:rPr>
                          <w:t>Final</w:t>
                        </w:r>
                      </w:p>
                    </w:sdtContent>
                  </w:sdt>
                </w:txbxContent>
              </v:textbox>
              <w10:wrap anchorx="margin" anchory="page"/>
              <w10:anchorlock/>
            </v:shape>
          </w:pict>
        </mc:Fallback>
      </mc:AlternateContent>
    </w:r>
    <w:sdt>
      <w:sdtPr>
        <w:rPr>
          <w:rFonts w:ascii="Open Sans Light" w:hAnsi="Open Sans Light" w:cs="Open Sans Light"/>
          <w:b w:val="0"/>
          <w:bCs/>
        </w:rPr>
        <w:alias w:val="Report Title"/>
        <w:tag w:val="ReportTitle"/>
        <w:id w:val="-1515145130"/>
        <w:placeholder>
          <w:docPart w:val="50486F1EB7F94464804E1F4ECA23650C"/>
        </w:placeholder>
        <w:dataBinding w:xpath="/root[1]/ReportTitle[1]" w:storeItemID="{8A6671F6-5EF9-4802-9226-F59F66B71F67}"/>
        <w:text/>
      </w:sdtPr>
      <w:sdtEndPr/>
      <w:sdtContent>
        <w:r>
          <w:rPr>
            <w:rFonts w:ascii="Open Sans Light" w:hAnsi="Open Sans Light" w:cs="Open Sans Light"/>
            <w:b w:val="0"/>
            <w:bCs/>
          </w:rPr>
          <w:t>The economic impact of new NBN investments on business</w:t>
        </w:r>
      </w:sdtContent>
    </w:sdt>
  </w:p>
  <w:p w14:paraId="547B48E6" w14:textId="77777777" w:rsidR="00DD5715" w:rsidRPr="00424108" w:rsidRDefault="00DD5715" w:rsidP="005D5386">
    <w:pPr>
      <w:pStyle w:val="Header"/>
      <w:pBdr>
        <w:bottom w:val="none" w:sz="0" w:space="0" w:color="auto"/>
      </w:pBdr>
    </w:pPr>
    <w:r>
      <w:rPr>
        <w:lang w:eastAsia="en-AU"/>
      </w:rPr>
      <w:drawing>
        <wp:inline distT="0" distB="0" distL="0" distR="0" wp14:anchorId="13A4DDC5" wp14:editId="290D0712">
          <wp:extent cx="615997" cy="123825"/>
          <wp:effectExtent l="0" t="0" r="0" b="0"/>
          <wp:docPr id="37" name="Graphic 24" descr="Decorative">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Graphic 24">
                    <a:extLst>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615997" cy="123825"/>
                  </a:xfrm>
                  <a:prstGeom prst="rect">
                    <a:avLst/>
                  </a:prstGeom>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E9C1FF" w14:textId="77777777" w:rsidR="00DD5715" w:rsidRPr="00122CA4" w:rsidRDefault="00DD5715" w:rsidP="005D5386">
    <w:pPr>
      <w:pStyle w:val="Header"/>
      <w:pBdr>
        <w:bottom w:val="none" w:sz="0" w:space="0" w:color="auto"/>
      </w:pBdr>
      <w:rPr>
        <w:rFonts w:ascii="Open Sans Light" w:hAnsi="Open Sans Light" w:cs="Open Sans Light"/>
        <w:b w:val="0"/>
        <w:bCs/>
      </w:rPr>
    </w:pPr>
    <w:r w:rsidRPr="00122CA4">
      <w:rPr>
        <w:rFonts w:ascii="Open Sans Light" w:hAnsi="Open Sans Light" w:cs="Open Sans Light"/>
        <w:b w:val="0"/>
        <w:bCs/>
        <w:color w:val="6A7177"/>
        <w:lang w:eastAsia="en-AU"/>
      </w:rPr>
      <mc:AlternateContent>
        <mc:Choice Requires="wps">
          <w:drawing>
            <wp:anchor distT="45720" distB="45720" distL="114300" distR="114300" simplePos="0" relativeHeight="251652096" behindDoc="1" locked="1" layoutInCell="1" allowOverlap="1" wp14:anchorId="468979BE" wp14:editId="6998ECB0">
              <wp:simplePos x="0" y="0"/>
              <wp:positionH relativeFrom="margin">
                <wp:align>right</wp:align>
              </wp:positionH>
              <wp:positionV relativeFrom="page">
                <wp:posOffset>252095</wp:posOffset>
              </wp:positionV>
              <wp:extent cx="2638800" cy="648000"/>
              <wp:effectExtent l="0" t="0" r="9525" b="0"/>
              <wp:wrapNone/>
              <wp:docPr id="6" name="Text Box 2">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8800" cy="648000"/>
                      </a:xfrm>
                      <a:prstGeom prst="rect">
                        <a:avLst/>
                      </a:prstGeom>
                      <a:solidFill>
                        <a:srgbClr val="FFFFFF"/>
                      </a:solidFill>
                      <a:ln w="9525">
                        <a:noFill/>
                        <a:miter lim="800000"/>
                        <a:headEnd/>
                        <a:tailEnd/>
                      </a:ln>
                    </wps:spPr>
                    <wps:txbx>
                      <w:txbxContent>
                        <w:sdt>
                          <w:sdtPr>
                            <w:rPr>
                              <w:rFonts w:ascii="Open Sans Light" w:hAnsi="Open Sans Light" w:cs="Open Sans Light"/>
                              <w:sz w:val="18"/>
                              <w:szCs w:val="18"/>
                            </w:rPr>
                            <w:alias w:val="Document Status"/>
                            <w:tag w:val="Document Status"/>
                            <w:id w:val="-1844316142"/>
                            <w:dropDownList>
                              <w:listItem w:value="Choose document status:"/>
                              <w:listItem w:displayText="Draft" w:value="Draft"/>
                              <w:listItem w:displayText="Final" w:value="Final"/>
                              <w:listItem w:displayText=" " w:value="  "/>
                              <w:listItem w:displayText="Draft | Confidential" w:value="Draft | Confidential"/>
                              <w:listItem w:displayText="Final | Confidential" w:value="Final | Confidential"/>
                              <w:listItem w:displayText="Confidential" w:value="Confidential"/>
                            </w:dropDownList>
                          </w:sdtPr>
                          <w:sdtEndPr/>
                          <w:sdtContent>
                            <w:p w14:paraId="256102DD" w14:textId="77777777" w:rsidR="00DD5715" w:rsidRPr="009E16F7" w:rsidRDefault="00DD5715" w:rsidP="00D7786A">
                              <w:pPr>
                                <w:jc w:val="right"/>
                                <w:rPr>
                                  <w:sz w:val="18"/>
                                  <w:szCs w:val="18"/>
                                </w:rPr>
                              </w:pPr>
                              <w:r>
                                <w:rPr>
                                  <w:rFonts w:ascii="Open Sans Light" w:hAnsi="Open Sans Light" w:cs="Open Sans Light"/>
                                  <w:sz w:val="18"/>
                                  <w:szCs w:val="18"/>
                                </w:rPr>
                                <w:t>Final</w:t>
                              </w:r>
                            </w:p>
                          </w:sdtContent>
                        </w:sdt>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68979BE" id="_x0000_t202" coordsize="21600,21600" o:spt="202" path="m,l,21600r21600,l21600,xe">
              <v:stroke joinstyle="miter"/>
              <v:path gradientshapeok="t" o:connecttype="rect"/>
            </v:shapetype>
            <v:shape id="_x0000_s1028" type="#_x0000_t202" style="position:absolute;left:0;text-align:left;margin-left:156.6pt;margin-top:19.85pt;width:207.8pt;height:51pt;z-index:-251664384;visibility:visible;mso-wrap-style:square;mso-width-percent:0;mso-height-percent:0;mso-wrap-distance-left:9pt;mso-wrap-distance-top:3.6pt;mso-wrap-distance-right:9pt;mso-wrap-distance-bottom:3.6pt;mso-position-horizontal:righ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" stroked="f">
              <v:textbox inset="0,0,0,0">
                <w:txbxContent>
                  <w:sdt>
                    <w:sdtPr>
                      <w:rPr>
                        <w:rFonts w:ascii="Open Sans Light" w:hAnsi="Open Sans Light" w:cs="Open Sans Light"/>
                        <w:sz w:val="18"/>
                        <w:szCs w:val="18"/>
                      </w:rPr>
                      <w:alias w:val="Document Status"/>
                      <w:tag w:val="Document Status"/>
                      <w:id w:val="-1844316142"/>
                      <w:dropDownList>
                        <w:listItem w:value="Choose document status:"/>
                        <w:listItem w:displayText="Draft" w:value="Draft"/>
                        <w:listItem w:displayText="Final" w:value="Final"/>
                        <w:listItem w:displayText=" " w:value="  "/>
                        <w:listItem w:displayText="Draft | Confidential" w:value="Draft | Confidential"/>
                        <w:listItem w:displayText="Final | Confidential" w:value="Final | Confidential"/>
                        <w:listItem w:displayText="Confidential" w:value="Confidential"/>
                      </w:dropDownList>
                    </w:sdtPr>
                    <w:sdtEndPr/>
                    <w:sdtContent>
                      <w:p w14:paraId="256102DD" w14:textId="77777777" w:rsidR="00DD5715" w:rsidRPr="009E16F7" w:rsidRDefault="00DD5715" w:rsidP="00D7786A">
                        <w:pPr>
                          <w:jc w:val="right"/>
                          <w:rPr>
                            <w:sz w:val="18"/>
                            <w:szCs w:val="18"/>
                          </w:rPr>
                        </w:pPr>
                        <w:r>
                          <w:rPr>
                            <w:rFonts w:ascii="Open Sans Light" w:hAnsi="Open Sans Light" w:cs="Open Sans Light"/>
                            <w:sz w:val="18"/>
                            <w:szCs w:val="18"/>
                          </w:rPr>
                          <w:t>Final</w:t>
                        </w:r>
                      </w:p>
                    </w:sdtContent>
                  </w:sdt>
                </w:txbxContent>
              </v:textbox>
              <w10:wrap anchorx="margin" anchory="page"/>
              <w10:anchorlock/>
            </v:shape>
          </w:pict>
        </mc:Fallback>
      </mc:AlternateContent>
    </w:r>
    <w:sdt>
      <w:sdtPr>
        <w:rPr>
          <w:rFonts w:ascii="Open Sans Light" w:hAnsi="Open Sans Light" w:cs="Open Sans Light"/>
          <w:b w:val="0"/>
          <w:bCs/>
        </w:rPr>
        <w:alias w:val="Report Title"/>
        <w:tag w:val="ReportTitle"/>
        <w:id w:val="-1536035873"/>
        <w:dataBinding w:xpath="/root[1]/ReportTitle[1]" w:storeItemID="{8A6671F6-5EF9-4802-9226-F59F66B71F67}"/>
        <w:text/>
      </w:sdtPr>
      <w:sdtEndPr/>
      <w:sdtContent>
        <w:r>
          <w:rPr>
            <w:rFonts w:ascii="Open Sans Light" w:hAnsi="Open Sans Light" w:cs="Open Sans Light"/>
            <w:b w:val="0"/>
            <w:bCs/>
          </w:rPr>
          <w:t>The economic impact of new NBN investments on business</w:t>
        </w:r>
      </w:sdtContent>
    </w:sdt>
  </w:p>
  <w:p w14:paraId="2CC401F2" w14:textId="77777777" w:rsidR="00DD5715" w:rsidRPr="00424108" w:rsidRDefault="00DD5715" w:rsidP="005D5386">
    <w:pPr>
      <w:pStyle w:val="Header"/>
      <w:pBdr>
        <w:bottom w:val="none" w:sz="0" w:space="0" w:color="auto"/>
      </w:pBdr>
    </w:pPr>
    <w:r>
      <w:rPr>
        <w:lang w:eastAsia="en-AU"/>
      </w:rPr>
      <w:drawing>
        <wp:inline distT="0" distB="0" distL="0" distR="0" wp14:anchorId="434B5354" wp14:editId="2B0AD4D4">
          <wp:extent cx="615997" cy="123825"/>
          <wp:effectExtent l="0" t="0" r="0" b="0"/>
          <wp:docPr id="39" name="Graphic 24" descr="Decorative">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Graphic 24">
                    <a:extLst>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615997" cy="123825"/>
                  </a:xfrm>
                  <a:prstGeom prst="rect">
                    <a:avLst/>
                  </a:prstGeom>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387F7E" w14:textId="77777777" w:rsidR="00DD5715" w:rsidRDefault="00DD5715" w:rsidP="00C8408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25B288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9D90111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25CB2B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898F8B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2C5E612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0D420B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19EB13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ABCDCB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1408CF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C369B0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65F0E2A"/>
    <w:multiLevelType w:val="multilevel"/>
    <w:tmpl w:val="5568FF78"/>
    <w:lvl w:ilvl="0">
      <w:start w:val="1"/>
      <w:numFmt w:val="decimal"/>
      <w:pStyle w:val="CalloutBoxcaption"/>
      <w:suff w:val="nothing"/>
      <w:lvlText w:val="Box %1"/>
      <w:lvlJc w:val="left"/>
      <w:pPr>
        <w:ind w:left="0" w:firstLine="0"/>
      </w:pPr>
      <w:rPr>
        <w:rFonts w:ascii="Open Sans" w:hAnsi="Open Sans" w:cs="Open Sans"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1" w15:restartNumberingAfterBreak="0">
    <w:nsid w:val="08793B9D"/>
    <w:multiLevelType w:val="hybridMultilevel"/>
    <w:tmpl w:val="7BE453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CC46CED"/>
    <w:multiLevelType w:val="multilevel"/>
    <w:tmpl w:val="0C09001D"/>
    <w:name w:val="AppHeadList"/>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119A7907"/>
    <w:multiLevelType w:val="hybridMultilevel"/>
    <w:tmpl w:val="3D6E1B54"/>
    <w:lvl w:ilvl="0" w:tplc="B55E7BC2">
      <w:start w:val="1"/>
      <w:numFmt w:val="lowerRoman"/>
      <w:lvlText w:val="(%1)"/>
      <w:lvlJc w:val="left"/>
      <w:pPr>
        <w:ind w:left="1364" w:hanging="720"/>
      </w:pPr>
      <w:rPr>
        <w:rFonts w:hint="default"/>
      </w:rPr>
    </w:lvl>
    <w:lvl w:ilvl="1" w:tplc="0C090019" w:tentative="1">
      <w:start w:val="1"/>
      <w:numFmt w:val="lowerLetter"/>
      <w:lvlText w:val="%2."/>
      <w:lvlJc w:val="left"/>
      <w:pPr>
        <w:ind w:left="1724" w:hanging="360"/>
      </w:pPr>
    </w:lvl>
    <w:lvl w:ilvl="2" w:tplc="0C09001B" w:tentative="1">
      <w:start w:val="1"/>
      <w:numFmt w:val="lowerRoman"/>
      <w:lvlText w:val="%3."/>
      <w:lvlJc w:val="right"/>
      <w:pPr>
        <w:ind w:left="2444" w:hanging="180"/>
      </w:pPr>
    </w:lvl>
    <w:lvl w:ilvl="3" w:tplc="0C09000F" w:tentative="1">
      <w:start w:val="1"/>
      <w:numFmt w:val="decimal"/>
      <w:lvlText w:val="%4."/>
      <w:lvlJc w:val="left"/>
      <w:pPr>
        <w:ind w:left="3164" w:hanging="360"/>
      </w:pPr>
    </w:lvl>
    <w:lvl w:ilvl="4" w:tplc="0C090019" w:tentative="1">
      <w:start w:val="1"/>
      <w:numFmt w:val="lowerLetter"/>
      <w:lvlText w:val="%5."/>
      <w:lvlJc w:val="left"/>
      <w:pPr>
        <w:ind w:left="3884" w:hanging="360"/>
      </w:pPr>
    </w:lvl>
    <w:lvl w:ilvl="5" w:tplc="0C09001B" w:tentative="1">
      <w:start w:val="1"/>
      <w:numFmt w:val="lowerRoman"/>
      <w:lvlText w:val="%6."/>
      <w:lvlJc w:val="right"/>
      <w:pPr>
        <w:ind w:left="4604" w:hanging="180"/>
      </w:pPr>
    </w:lvl>
    <w:lvl w:ilvl="6" w:tplc="0C09000F" w:tentative="1">
      <w:start w:val="1"/>
      <w:numFmt w:val="decimal"/>
      <w:lvlText w:val="%7."/>
      <w:lvlJc w:val="left"/>
      <w:pPr>
        <w:ind w:left="5324" w:hanging="360"/>
      </w:pPr>
    </w:lvl>
    <w:lvl w:ilvl="7" w:tplc="0C090019" w:tentative="1">
      <w:start w:val="1"/>
      <w:numFmt w:val="lowerLetter"/>
      <w:lvlText w:val="%8."/>
      <w:lvlJc w:val="left"/>
      <w:pPr>
        <w:ind w:left="6044" w:hanging="360"/>
      </w:pPr>
    </w:lvl>
    <w:lvl w:ilvl="8" w:tplc="0C09001B" w:tentative="1">
      <w:start w:val="1"/>
      <w:numFmt w:val="lowerRoman"/>
      <w:lvlText w:val="%9."/>
      <w:lvlJc w:val="right"/>
      <w:pPr>
        <w:ind w:left="6764" w:hanging="180"/>
      </w:pPr>
    </w:lvl>
  </w:abstractNum>
  <w:abstractNum w:abstractNumId="14" w15:restartNumberingAfterBreak="0">
    <w:nsid w:val="1FB10A31"/>
    <w:multiLevelType w:val="multilevel"/>
    <w:tmpl w:val="0C09001D"/>
    <w:name w:val="AppHeadList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22457C7C"/>
    <w:multiLevelType w:val="hybridMultilevel"/>
    <w:tmpl w:val="BA32B36E"/>
    <w:lvl w:ilvl="0" w:tplc="7EFE6BAA">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25170E70"/>
    <w:multiLevelType w:val="hybridMultilevel"/>
    <w:tmpl w:val="0E3EDC84"/>
    <w:lvl w:ilvl="0" w:tplc="DC1A7D44">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28E75202"/>
    <w:multiLevelType w:val="hybridMultilevel"/>
    <w:tmpl w:val="B8CABF2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8" w15:restartNumberingAfterBreak="0">
    <w:nsid w:val="2AFB104A"/>
    <w:multiLevelType w:val="hybridMultilevel"/>
    <w:tmpl w:val="188C3074"/>
    <w:lvl w:ilvl="0" w:tplc="E8F4949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2E4B4247"/>
    <w:multiLevelType w:val="hybridMultilevel"/>
    <w:tmpl w:val="5290C784"/>
    <w:lvl w:ilvl="0" w:tplc="124C5938">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2EC61158"/>
    <w:multiLevelType w:val="hybridMultilevel"/>
    <w:tmpl w:val="C42204E8"/>
    <w:lvl w:ilvl="0" w:tplc="B3541FA8">
      <w:start w:val="1"/>
      <w:numFmt w:val="lowerLetter"/>
      <w:lvlText w:val="(%1)"/>
      <w:lvlJc w:val="left"/>
      <w:pPr>
        <w:ind w:left="644" w:hanging="360"/>
      </w:pPr>
      <w:rPr>
        <w:rFonts w:hint="default"/>
      </w:rPr>
    </w:lvl>
    <w:lvl w:ilvl="1" w:tplc="0C090019" w:tentative="1">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21" w15:restartNumberingAfterBreak="0">
    <w:nsid w:val="31B80FB4"/>
    <w:multiLevelType w:val="multilevel"/>
    <w:tmpl w:val="8C88B2F2"/>
    <w:styleLink w:val="Numberedparagraph"/>
    <w:lvl w:ilvl="0">
      <w:start w:val="1"/>
      <w:numFmt w:val="decimal"/>
      <w:lvlText w:val="%1."/>
      <w:lvlJc w:val="left"/>
      <w:pPr>
        <w:tabs>
          <w:tab w:val="num" w:pos="851"/>
        </w:tabs>
        <w:ind w:left="851" w:hanging="851"/>
      </w:pPr>
      <w:rPr>
        <w:rFonts w:hint="default"/>
        <w:color w:val="808080" w:themeColor="background1" w:themeShade="80"/>
        <w:sz w:val="20"/>
      </w:rPr>
    </w:lvl>
    <w:lvl w:ilvl="1">
      <w:start w:val="1"/>
      <w:numFmt w:val="lowerLetter"/>
      <w:lvlText w:val="%2"/>
      <w:lvlJc w:val="left"/>
      <w:pPr>
        <w:tabs>
          <w:tab w:val="num" w:pos="1134"/>
        </w:tabs>
        <w:ind w:left="1134" w:hanging="283"/>
      </w:pPr>
      <w:rPr>
        <w:rFonts w:ascii="Open Sans" w:hAnsi="Open Sans" w:hint="default"/>
        <w:color w:val="374249" w:themeColor="text2"/>
      </w:rPr>
    </w:lvl>
    <w:lvl w:ilvl="2">
      <w:start w:val="1"/>
      <w:numFmt w:val="lowerRoman"/>
      <w:lvlText w:val="%3"/>
      <w:lvlJc w:val="left"/>
      <w:pPr>
        <w:tabs>
          <w:tab w:val="num" w:pos="1418"/>
        </w:tabs>
        <w:ind w:left="1418" w:hanging="284"/>
      </w:pPr>
      <w:rPr>
        <w:rFonts w:ascii="Open Sans" w:hAnsi="Open Sans" w:hint="default"/>
        <w:color w:val="374249" w:themeColor="text2"/>
      </w:rPr>
    </w:lvl>
    <w:lvl w:ilvl="3">
      <w:start w:val="1"/>
      <w:numFmt w:val="bullet"/>
      <w:lvlText w:val=""/>
      <w:lvlJc w:val="left"/>
      <w:pPr>
        <w:tabs>
          <w:tab w:val="num" w:pos="1701"/>
        </w:tabs>
        <w:ind w:left="1701" w:hanging="283"/>
      </w:pPr>
      <w:rPr>
        <w:rFonts w:ascii="Wingdings" w:hAnsi="Wingdings" w:hint="default"/>
      </w:rPr>
    </w:lvl>
    <w:lvl w:ilvl="4">
      <w:start w:val="1"/>
      <w:numFmt w:val="decimal"/>
      <w:lvlText w:val="%5."/>
      <w:lvlJc w:val="left"/>
      <w:pPr>
        <w:tabs>
          <w:tab w:val="num" w:pos="1134"/>
        </w:tabs>
        <w:ind w:left="1134" w:hanging="283"/>
      </w:pPr>
      <w:rPr>
        <w:rFonts w:hint="default"/>
      </w:rPr>
    </w:lvl>
    <w:lvl w:ilvl="5">
      <w:start w:val="1"/>
      <w:numFmt w:val="lowerLetter"/>
      <w:lvlText w:val="%6."/>
      <w:lvlJc w:val="left"/>
      <w:pPr>
        <w:tabs>
          <w:tab w:val="num" w:pos="1418"/>
        </w:tabs>
        <w:ind w:left="1418" w:hanging="284"/>
      </w:pPr>
      <w:rPr>
        <w:rFonts w:hint="default"/>
      </w:rPr>
    </w:lvl>
    <w:lvl w:ilvl="6">
      <w:start w:val="1"/>
      <w:numFmt w:val="lowerRoman"/>
      <w:lvlText w:val="%7."/>
      <w:lvlJc w:val="left"/>
      <w:pPr>
        <w:tabs>
          <w:tab w:val="num" w:pos="1701"/>
        </w:tabs>
        <w:ind w:left="1701" w:hanging="283"/>
      </w:pPr>
      <w:rPr>
        <w:rFonts w:hint="default"/>
      </w:rPr>
    </w:lvl>
    <w:lvl w:ilvl="7">
      <w:start w:val="1"/>
      <w:numFmt w:val="decimal"/>
      <w:lvlText w:val="%1.%2.%3.%4.%5.%6.%7.%8."/>
      <w:lvlJc w:val="left"/>
      <w:pPr>
        <w:tabs>
          <w:tab w:val="num" w:pos="2328"/>
        </w:tabs>
        <w:ind w:left="2272" w:hanging="284"/>
      </w:pPr>
      <w:rPr>
        <w:rFonts w:hint="default"/>
      </w:rPr>
    </w:lvl>
    <w:lvl w:ilvl="8">
      <w:start w:val="1"/>
      <w:numFmt w:val="decimal"/>
      <w:lvlText w:val="%1.%2.%3.%4.%5.%6.%7.%8.%9."/>
      <w:lvlJc w:val="left"/>
      <w:pPr>
        <w:tabs>
          <w:tab w:val="num" w:pos="2612"/>
        </w:tabs>
        <w:ind w:left="2556" w:hanging="284"/>
      </w:pPr>
      <w:rPr>
        <w:rFonts w:hint="default"/>
      </w:rPr>
    </w:lvl>
  </w:abstractNum>
  <w:abstractNum w:abstractNumId="22" w15:restartNumberingAfterBreak="0">
    <w:nsid w:val="330A4103"/>
    <w:multiLevelType w:val="hybridMultilevel"/>
    <w:tmpl w:val="9EF6C77C"/>
    <w:lvl w:ilvl="0" w:tplc="62B880C6">
      <w:start w:val="1"/>
      <w:numFmt w:val="lowerRoman"/>
      <w:lvlText w:val="(%1)"/>
      <w:lvlJc w:val="left"/>
      <w:pPr>
        <w:ind w:left="1004" w:hanging="720"/>
      </w:pPr>
      <w:rPr>
        <w:rFonts w:hint="default"/>
      </w:rPr>
    </w:lvl>
    <w:lvl w:ilvl="1" w:tplc="0C090019" w:tentative="1">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23" w15:restartNumberingAfterBreak="0">
    <w:nsid w:val="35E67AB2"/>
    <w:multiLevelType w:val="multilevel"/>
    <w:tmpl w:val="A0102696"/>
    <w:styleLink w:val="ListNumStyle"/>
    <w:lvl w:ilvl="0">
      <w:start w:val="1"/>
      <w:numFmt w:val="decimal"/>
      <w:lvlText w:val="%1."/>
      <w:lvlJc w:val="left"/>
      <w:pPr>
        <w:tabs>
          <w:tab w:val="num" w:pos="340"/>
        </w:tabs>
        <w:ind w:left="340" w:hanging="340"/>
      </w:pPr>
      <w:rPr>
        <w:rFonts w:hint="default"/>
        <w:color w:val="37424A" w:themeColor="text1"/>
      </w:rPr>
    </w:lvl>
    <w:lvl w:ilvl="1">
      <w:start w:val="1"/>
      <w:numFmt w:val="lowerLetter"/>
      <w:lvlText w:val="%2."/>
      <w:lvlJc w:val="left"/>
      <w:pPr>
        <w:tabs>
          <w:tab w:val="num" w:pos="680"/>
        </w:tabs>
        <w:ind w:left="680" w:hanging="340"/>
      </w:pPr>
      <w:rPr>
        <w:rFonts w:hint="default"/>
        <w:color w:val="37424A" w:themeColor="text1"/>
      </w:rPr>
    </w:lvl>
    <w:lvl w:ilvl="2">
      <w:start w:val="1"/>
      <w:numFmt w:val="lowerRoman"/>
      <w:lvlText w:val="%3."/>
      <w:lvlJc w:val="left"/>
      <w:pPr>
        <w:tabs>
          <w:tab w:val="num" w:pos="1021"/>
        </w:tabs>
        <w:ind w:left="1021" w:hanging="341"/>
      </w:pPr>
      <w:rPr>
        <w:rFonts w:hint="default"/>
        <w:color w:val="37424A" w:themeColor="text1"/>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4" w15:restartNumberingAfterBreak="0">
    <w:nsid w:val="3ECB2D54"/>
    <w:multiLevelType w:val="multilevel"/>
    <w:tmpl w:val="B950C590"/>
    <w:lvl w:ilvl="0">
      <w:start w:val="1"/>
      <w:numFmt w:val="bullet"/>
      <w:pStyle w:val="TableBullet"/>
      <w:lvlText w:val=""/>
      <w:lvlJc w:val="left"/>
      <w:pPr>
        <w:ind w:left="284" w:hanging="284"/>
      </w:pPr>
      <w:rPr>
        <w:rFonts w:ascii="Symbol" w:hAnsi="Symbol" w:hint="default"/>
      </w:rPr>
    </w:lvl>
    <w:lvl w:ilvl="1">
      <w:start w:val="1"/>
      <w:numFmt w:val="bullet"/>
      <w:lvlText w:val="o"/>
      <w:lvlJc w:val="left"/>
      <w:pPr>
        <w:ind w:left="568" w:hanging="284"/>
      </w:pPr>
      <w:rPr>
        <w:rFonts w:ascii="Courier New" w:hAnsi="Courier New" w:cs="Courier New" w:hint="default"/>
      </w:rPr>
    </w:lvl>
    <w:lvl w:ilvl="2">
      <w:start w:val="1"/>
      <w:numFmt w:val="bullet"/>
      <w:lvlText w:val=""/>
      <w:lvlJc w:val="left"/>
      <w:pPr>
        <w:ind w:left="852" w:hanging="284"/>
      </w:pPr>
      <w:rPr>
        <w:rFonts w:ascii="Wingdings" w:hAnsi="Wingdings" w:hint="default"/>
      </w:rPr>
    </w:lvl>
    <w:lvl w:ilvl="3">
      <w:start w:val="1"/>
      <w:numFmt w:val="bullet"/>
      <w:lvlText w:val=""/>
      <w:lvlJc w:val="left"/>
      <w:pPr>
        <w:ind w:left="1136" w:hanging="284"/>
      </w:pPr>
      <w:rPr>
        <w:rFonts w:ascii="Symbol" w:hAnsi="Symbol" w:hint="default"/>
      </w:rPr>
    </w:lvl>
    <w:lvl w:ilvl="4">
      <w:start w:val="1"/>
      <w:numFmt w:val="bullet"/>
      <w:lvlText w:val="o"/>
      <w:lvlJc w:val="left"/>
      <w:pPr>
        <w:ind w:left="1420" w:hanging="284"/>
      </w:pPr>
      <w:rPr>
        <w:rFonts w:ascii="Courier New" w:hAnsi="Courier New" w:cs="Courier New" w:hint="default"/>
      </w:rPr>
    </w:lvl>
    <w:lvl w:ilvl="5">
      <w:start w:val="1"/>
      <w:numFmt w:val="bullet"/>
      <w:lvlText w:val=""/>
      <w:lvlJc w:val="left"/>
      <w:pPr>
        <w:ind w:left="1704" w:hanging="284"/>
      </w:pPr>
      <w:rPr>
        <w:rFonts w:ascii="Wingdings" w:hAnsi="Wingdings" w:hint="default"/>
      </w:rPr>
    </w:lvl>
    <w:lvl w:ilvl="6">
      <w:start w:val="1"/>
      <w:numFmt w:val="bullet"/>
      <w:lvlText w:val=""/>
      <w:lvlJc w:val="left"/>
      <w:pPr>
        <w:ind w:left="1988" w:hanging="284"/>
      </w:pPr>
      <w:rPr>
        <w:rFonts w:ascii="Symbol" w:hAnsi="Symbol" w:hint="default"/>
      </w:rPr>
    </w:lvl>
    <w:lvl w:ilvl="7">
      <w:start w:val="1"/>
      <w:numFmt w:val="bullet"/>
      <w:lvlText w:val="o"/>
      <w:lvlJc w:val="left"/>
      <w:pPr>
        <w:ind w:left="2272" w:hanging="284"/>
      </w:pPr>
      <w:rPr>
        <w:rFonts w:ascii="Courier New" w:hAnsi="Courier New" w:cs="Courier New" w:hint="default"/>
      </w:rPr>
    </w:lvl>
    <w:lvl w:ilvl="8">
      <w:start w:val="1"/>
      <w:numFmt w:val="bullet"/>
      <w:lvlText w:val=""/>
      <w:lvlJc w:val="left"/>
      <w:pPr>
        <w:ind w:left="2556" w:hanging="284"/>
      </w:pPr>
      <w:rPr>
        <w:rFonts w:ascii="Wingdings" w:hAnsi="Wingdings" w:hint="default"/>
      </w:rPr>
    </w:lvl>
  </w:abstractNum>
  <w:abstractNum w:abstractNumId="25" w15:restartNumberingAfterBreak="0">
    <w:nsid w:val="40263FFA"/>
    <w:multiLevelType w:val="multilevel"/>
    <w:tmpl w:val="0C09001D"/>
    <w:styleLink w:val="FEBulletList"/>
    <w:lvl w:ilvl="0">
      <w:start w:val="1"/>
      <w:numFmt w:val="bullet"/>
      <w:lvlText w:val="●"/>
      <w:lvlJc w:val="left"/>
      <w:pPr>
        <w:ind w:left="360" w:hanging="360"/>
      </w:pPr>
      <w:rPr>
        <w:rFonts w:ascii="Garamond" w:hAnsi="Garamond" w:hint="default"/>
        <w:color w:val="374249" w:themeColor="text2"/>
      </w:rPr>
    </w:lvl>
    <w:lvl w:ilvl="1">
      <w:start w:val="1"/>
      <w:numFmt w:val="bullet"/>
      <w:lvlText w:val=""/>
      <w:lvlJc w:val="left"/>
      <w:pPr>
        <w:ind w:left="720" w:hanging="360"/>
      </w:pPr>
      <w:rPr>
        <w:rFonts w:ascii="Wingdings" w:hAnsi="Wingdings" w:hint="default"/>
        <w:color w:val="374249" w:themeColor="text2"/>
        <w:sz w:val="12"/>
      </w:rPr>
    </w:lvl>
    <w:lvl w:ilvl="2">
      <w:start w:val="1"/>
      <w:numFmt w:val="bullet"/>
      <w:lvlText w:val=""/>
      <w:lvlJc w:val="left"/>
      <w:pPr>
        <w:ind w:left="1080" w:hanging="360"/>
      </w:pPr>
      <w:rPr>
        <w:rFonts w:ascii="Symbol" w:hAnsi="Symbol" w:hint="default"/>
        <w:color w:val="374249" w:themeColor="text2"/>
      </w:rPr>
    </w:lvl>
    <w:lvl w:ilvl="3">
      <w:start w:val="1"/>
      <w:numFmt w:val="bullet"/>
      <w:lvlText w:val=""/>
      <w:lvlJc w:val="left"/>
      <w:pPr>
        <w:ind w:left="1440" w:hanging="360"/>
      </w:pPr>
      <w:rPr>
        <w:rFonts w:ascii="Symbol" w:hAnsi="Symbol" w:hint="default"/>
        <w:color w:val="374249" w:themeColor="text2"/>
      </w:rPr>
    </w:lvl>
    <w:lvl w:ilvl="4">
      <w:start w:val="1"/>
      <w:numFmt w:val="bullet"/>
      <w:lvlText w:val=""/>
      <w:lvlJc w:val="left"/>
      <w:pPr>
        <w:ind w:left="1800" w:hanging="360"/>
      </w:pPr>
      <w:rPr>
        <w:rFonts w:ascii="Symbol" w:hAnsi="Symbol" w:hint="default"/>
        <w:color w:val="374249" w:themeColor="text2"/>
      </w:rPr>
    </w:lvl>
    <w:lvl w:ilvl="5">
      <w:start w:val="1"/>
      <w:numFmt w:val="bullet"/>
      <w:lvlText w:val=""/>
      <w:lvlJc w:val="left"/>
      <w:pPr>
        <w:ind w:left="2160" w:hanging="360"/>
      </w:pPr>
      <w:rPr>
        <w:rFonts w:ascii="Symbol" w:hAnsi="Symbol" w:hint="default"/>
        <w:color w:val="374249" w:themeColor="text2"/>
      </w:rPr>
    </w:lvl>
    <w:lvl w:ilvl="6">
      <w:start w:val="1"/>
      <w:numFmt w:val="bullet"/>
      <w:lvlText w:val=""/>
      <w:lvlJc w:val="left"/>
      <w:pPr>
        <w:ind w:left="2520" w:hanging="360"/>
      </w:pPr>
      <w:rPr>
        <w:rFonts w:ascii="Symbol" w:hAnsi="Symbol" w:hint="default"/>
        <w:color w:val="374249" w:themeColor="text2"/>
      </w:rPr>
    </w:lvl>
    <w:lvl w:ilvl="7">
      <w:start w:val="1"/>
      <w:numFmt w:val="bullet"/>
      <w:lvlText w:val=""/>
      <w:lvlJc w:val="left"/>
      <w:pPr>
        <w:ind w:left="2880" w:hanging="360"/>
      </w:pPr>
      <w:rPr>
        <w:rFonts w:ascii="Symbol" w:hAnsi="Symbol" w:hint="default"/>
        <w:color w:val="374249" w:themeColor="text2"/>
      </w:rPr>
    </w:lvl>
    <w:lvl w:ilvl="8">
      <w:start w:val="1"/>
      <w:numFmt w:val="bullet"/>
      <w:lvlText w:val=""/>
      <w:lvlJc w:val="left"/>
      <w:pPr>
        <w:ind w:left="3240" w:hanging="360"/>
      </w:pPr>
      <w:rPr>
        <w:rFonts w:ascii="Symbol" w:hAnsi="Symbol" w:hint="default"/>
        <w:color w:val="374249" w:themeColor="text2"/>
      </w:rPr>
    </w:lvl>
  </w:abstractNum>
  <w:abstractNum w:abstractNumId="26" w15:restartNumberingAfterBreak="0">
    <w:nsid w:val="4A0744BE"/>
    <w:multiLevelType w:val="multilevel"/>
    <w:tmpl w:val="72C8F064"/>
    <w:name w:val="ParaBulletList"/>
    <w:lvl w:ilvl="0">
      <w:start w:val="1"/>
      <w:numFmt w:val="bullet"/>
      <w:pStyle w:val="ParaBullet1"/>
      <w:lvlText w:val=""/>
      <w:lvlJc w:val="left"/>
      <w:pPr>
        <w:tabs>
          <w:tab w:val="num" w:pos="340"/>
        </w:tabs>
        <w:ind w:left="284" w:hanging="284"/>
      </w:pPr>
      <w:rPr>
        <w:rFonts w:ascii="Symbol" w:hAnsi="Symbol" w:hint="default"/>
        <w:color w:val="37424A" w:themeColor="text1"/>
        <w:sz w:val="24"/>
      </w:rPr>
    </w:lvl>
    <w:lvl w:ilvl="1">
      <w:start w:val="1"/>
      <w:numFmt w:val="bullet"/>
      <w:pStyle w:val="ParaBullet2"/>
      <w:lvlText w:val="o"/>
      <w:lvlJc w:val="left"/>
      <w:pPr>
        <w:tabs>
          <w:tab w:val="num" w:pos="624"/>
        </w:tabs>
        <w:ind w:left="568" w:hanging="284"/>
      </w:pPr>
      <w:rPr>
        <w:rFonts w:ascii="Courier New" w:hAnsi="Courier New" w:hint="default"/>
        <w:color w:val="37424A" w:themeColor="text1"/>
        <w:sz w:val="18"/>
      </w:rPr>
    </w:lvl>
    <w:lvl w:ilvl="2">
      <w:start w:val="1"/>
      <w:numFmt w:val="bullet"/>
      <w:pStyle w:val="ParaBullet3"/>
      <w:lvlText w:val=""/>
      <w:lvlJc w:val="left"/>
      <w:pPr>
        <w:tabs>
          <w:tab w:val="num" w:pos="908"/>
        </w:tabs>
        <w:ind w:left="852" w:hanging="284"/>
      </w:pPr>
      <w:rPr>
        <w:rFonts w:ascii="Wingdings 2" w:hAnsi="Wingdings 2" w:hint="default"/>
        <w:color w:val="37424A" w:themeColor="text1"/>
      </w:rPr>
    </w:lvl>
    <w:lvl w:ilvl="3">
      <w:start w:val="1"/>
      <w:numFmt w:val="bullet"/>
      <w:lvlText w:val=""/>
      <w:lvlJc w:val="left"/>
      <w:pPr>
        <w:tabs>
          <w:tab w:val="num" w:pos="1192"/>
        </w:tabs>
        <w:ind w:left="1136" w:hanging="284"/>
      </w:pPr>
      <w:rPr>
        <w:rFonts w:ascii="Symbol" w:hAnsi="Symbol" w:hint="default"/>
      </w:rPr>
    </w:lvl>
    <w:lvl w:ilvl="4">
      <w:start w:val="1"/>
      <w:numFmt w:val="bullet"/>
      <w:lvlText w:val="o"/>
      <w:lvlJc w:val="left"/>
      <w:pPr>
        <w:tabs>
          <w:tab w:val="num" w:pos="1476"/>
        </w:tabs>
        <w:ind w:left="1420" w:hanging="284"/>
      </w:pPr>
      <w:rPr>
        <w:rFonts w:ascii="Courier New" w:hAnsi="Courier New" w:hint="default"/>
      </w:rPr>
    </w:lvl>
    <w:lvl w:ilvl="5">
      <w:start w:val="1"/>
      <w:numFmt w:val="bullet"/>
      <w:lvlText w:val=""/>
      <w:lvlJc w:val="left"/>
      <w:pPr>
        <w:tabs>
          <w:tab w:val="num" w:pos="1760"/>
        </w:tabs>
        <w:ind w:left="1704" w:hanging="284"/>
      </w:pPr>
      <w:rPr>
        <w:rFonts w:ascii="Wingdings" w:hAnsi="Wingdings" w:hint="default"/>
      </w:rPr>
    </w:lvl>
    <w:lvl w:ilvl="6">
      <w:start w:val="1"/>
      <w:numFmt w:val="bullet"/>
      <w:lvlText w:val=""/>
      <w:lvlJc w:val="left"/>
      <w:pPr>
        <w:tabs>
          <w:tab w:val="num" w:pos="2044"/>
        </w:tabs>
        <w:ind w:left="1988" w:hanging="284"/>
      </w:pPr>
      <w:rPr>
        <w:rFonts w:ascii="Symbol" w:hAnsi="Symbol" w:hint="default"/>
      </w:rPr>
    </w:lvl>
    <w:lvl w:ilvl="7">
      <w:start w:val="1"/>
      <w:numFmt w:val="bullet"/>
      <w:lvlText w:val="o"/>
      <w:lvlJc w:val="left"/>
      <w:pPr>
        <w:tabs>
          <w:tab w:val="num" w:pos="2328"/>
        </w:tabs>
        <w:ind w:left="2272" w:hanging="284"/>
      </w:pPr>
      <w:rPr>
        <w:rFonts w:ascii="Courier New" w:hAnsi="Courier New" w:cs="Courier New" w:hint="default"/>
      </w:rPr>
    </w:lvl>
    <w:lvl w:ilvl="8">
      <w:start w:val="1"/>
      <w:numFmt w:val="bullet"/>
      <w:lvlText w:val=""/>
      <w:lvlJc w:val="left"/>
      <w:pPr>
        <w:tabs>
          <w:tab w:val="num" w:pos="2612"/>
        </w:tabs>
        <w:ind w:left="2556" w:hanging="284"/>
      </w:pPr>
      <w:rPr>
        <w:rFonts w:ascii="Wingdings" w:hAnsi="Wingdings" w:hint="default"/>
      </w:rPr>
    </w:lvl>
  </w:abstractNum>
  <w:abstractNum w:abstractNumId="27" w15:restartNumberingAfterBreak="0">
    <w:nsid w:val="4B42576D"/>
    <w:multiLevelType w:val="multilevel"/>
    <w:tmpl w:val="885EE5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13C3E2F"/>
    <w:multiLevelType w:val="multilevel"/>
    <w:tmpl w:val="7ECA8450"/>
    <w:lvl w:ilvl="0">
      <w:start w:val="1"/>
      <w:numFmt w:val="upperLetter"/>
      <w:lvlRestart w:val="0"/>
      <w:pStyle w:val="AppendixHead"/>
      <w:lvlText w:val=" %1"/>
      <w:lvlJc w:val="left"/>
      <w:pPr>
        <w:tabs>
          <w:tab w:val="num" w:pos="2552"/>
        </w:tabs>
        <w:ind w:left="1134" w:hanging="1134"/>
      </w:pPr>
      <w:rPr>
        <w:rFonts w:ascii="Open Sans Light" w:hAnsi="Open Sans Light" w:cs="Arial" w:hint="default"/>
        <w:b w:val="0"/>
        <w:bCs/>
        <w:i w:val="0"/>
        <w:color w:val="207BA1"/>
        <w:sz w:val="40"/>
      </w:rPr>
    </w:lvl>
    <w:lvl w:ilvl="1">
      <w:start w:val="1"/>
      <w:numFmt w:val="decimal"/>
      <w:suff w:val="nothing"/>
      <w:lvlText w:val=""/>
      <w:lvlJc w:val="left"/>
      <w:pPr>
        <w:ind w:left="1418" w:hanging="1134"/>
      </w:pPr>
      <w:rPr>
        <w:rFonts w:ascii="Arial" w:hAnsi="Arial" w:cs="Arial" w:hint="default"/>
        <w:b w:val="0"/>
        <w:i w:val="0"/>
        <w:color w:val="E83F35" w:themeColor="accent1"/>
        <w:sz w:val="36"/>
      </w:rPr>
    </w:lvl>
    <w:lvl w:ilvl="2">
      <w:start w:val="1"/>
      <w:numFmt w:val="decimal"/>
      <w:suff w:val="nothing"/>
      <w:lvlText w:val=""/>
      <w:lvlJc w:val="left"/>
      <w:pPr>
        <w:ind w:left="1418" w:hanging="1134"/>
      </w:pPr>
      <w:rPr>
        <w:rFonts w:ascii="Arial" w:hAnsi="Arial" w:cs="Arial" w:hint="default"/>
        <w:b w:val="0"/>
        <w:i w:val="0"/>
        <w:color w:val="E83F35" w:themeColor="accent1"/>
        <w:sz w:val="30"/>
      </w:rPr>
    </w:lvl>
    <w:lvl w:ilvl="3">
      <w:start w:val="1"/>
      <w:numFmt w:val="none"/>
      <w:suff w:val="nothing"/>
      <w:lvlText w:val=""/>
      <w:lvlJc w:val="left"/>
      <w:pPr>
        <w:ind w:left="1418" w:hanging="1134"/>
      </w:pPr>
      <w:rPr>
        <w:rFonts w:hint="default"/>
      </w:rPr>
    </w:lvl>
    <w:lvl w:ilvl="4">
      <w:start w:val="1"/>
      <w:numFmt w:val="none"/>
      <w:suff w:val="nothing"/>
      <w:lvlText w:val=""/>
      <w:lvlJc w:val="left"/>
      <w:pPr>
        <w:ind w:left="1418" w:hanging="1134"/>
      </w:pPr>
      <w:rPr>
        <w:rFonts w:hint="default"/>
      </w:rPr>
    </w:lvl>
    <w:lvl w:ilvl="5">
      <w:start w:val="1"/>
      <w:numFmt w:val="none"/>
      <w:suff w:val="nothing"/>
      <w:lvlText w:val=""/>
      <w:lvlJc w:val="left"/>
      <w:pPr>
        <w:ind w:left="1418" w:hanging="1134"/>
      </w:pPr>
      <w:rPr>
        <w:rFonts w:hint="default"/>
      </w:rPr>
    </w:lvl>
    <w:lvl w:ilvl="6">
      <w:start w:val="1"/>
      <w:numFmt w:val="none"/>
      <w:suff w:val="nothing"/>
      <w:lvlText w:val=""/>
      <w:lvlJc w:val="left"/>
      <w:pPr>
        <w:ind w:left="1418" w:hanging="1134"/>
      </w:pPr>
      <w:rPr>
        <w:rFonts w:hint="default"/>
      </w:rPr>
    </w:lvl>
    <w:lvl w:ilvl="7">
      <w:start w:val="1"/>
      <w:numFmt w:val="none"/>
      <w:suff w:val="nothing"/>
      <w:lvlText w:val=""/>
      <w:lvlJc w:val="left"/>
      <w:pPr>
        <w:ind w:left="1418" w:hanging="1134"/>
      </w:pPr>
      <w:rPr>
        <w:rFonts w:hint="default"/>
      </w:rPr>
    </w:lvl>
    <w:lvl w:ilvl="8">
      <w:start w:val="1"/>
      <w:numFmt w:val="none"/>
      <w:suff w:val="nothing"/>
      <w:lvlText w:val=""/>
      <w:lvlJc w:val="left"/>
      <w:pPr>
        <w:ind w:left="1418" w:hanging="1134"/>
      </w:pPr>
      <w:rPr>
        <w:rFonts w:hint="default"/>
      </w:rPr>
    </w:lvl>
  </w:abstractNum>
  <w:abstractNum w:abstractNumId="29" w15:restartNumberingAfterBreak="0">
    <w:nsid w:val="54406D5B"/>
    <w:multiLevelType w:val="hybridMultilevel"/>
    <w:tmpl w:val="3D6E1B54"/>
    <w:lvl w:ilvl="0" w:tplc="B55E7BC2">
      <w:start w:val="1"/>
      <w:numFmt w:val="lowerRoman"/>
      <w:lvlText w:val="(%1)"/>
      <w:lvlJc w:val="left"/>
      <w:pPr>
        <w:ind w:left="1364" w:hanging="720"/>
      </w:pPr>
      <w:rPr>
        <w:rFonts w:hint="default"/>
      </w:rPr>
    </w:lvl>
    <w:lvl w:ilvl="1" w:tplc="0C090019" w:tentative="1">
      <w:start w:val="1"/>
      <w:numFmt w:val="lowerLetter"/>
      <w:lvlText w:val="%2."/>
      <w:lvlJc w:val="left"/>
      <w:pPr>
        <w:ind w:left="1724" w:hanging="360"/>
      </w:pPr>
    </w:lvl>
    <w:lvl w:ilvl="2" w:tplc="0C09001B" w:tentative="1">
      <w:start w:val="1"/>
      <w:numFmt w:val="lowerRoman"/>
      <w:lvlText w:val="%3."/>
      <w:lvlJc w:val="right"/>
      <w:pPr>
        <w:ind w:left="2444" w:hanging="180"/>
      </w:pPr>
    </w:lvl>
    <w:lvl w:ilvl="3" w:tplc="0C09000F" w:tentative="1">
      <w:start w:val="1"/>
      <w:numFmt w:val="decimal"/>
      <w:lvlText w:val="%4."/>
      <w:lvlJc w:val="left"/>
      <w:pPr>
        <w:ind w:left="3164" w:hanging="360"/>
      </w:pPr>
    </w:lvl>
    <w:lvl w:ilvl="4" w:tplc="0C090019" w:tentative="1">
      <w:start w:val="1"/>
      <w:numFmt w:val="lowerLetter"/>
      <w:lvlText w:val="%5."/>
      <w:lvlJc w:val="left"/>
      <w:pPr>
        <w:ind w:left="3884" w:hanging="360"/>
      </w:pPr>
    </w:lvl>
    <w:lvl w:ilvl="5" w:tplc="0C09001B" w:tentative="1">
      <w:start w:val="1"/>
      <w:numFmt w:val="lowerRoman"/>
      <w:lvlText w:val="%6."/>
      <w:lvlJc w:val="right"/>
      <w:pPr>
        <w:ind w:left="4604" w:hanging="180"/>
      </w:pPr>
    </w:lvl>
    <w:lvl w:ilvl="6" w:tplc="0C09000F" w:tentative="1">
      <w:start w:val="1"/>
      <w:numFmt w:val="decimal"/>
      <w:lvlText w:val="%7."/>
      <w:lvlJc w:val="left"/>
      <w:pPr>
        <w:ind w:left="5324" w:hanging="360"/>
      </w:pPr>
    </w:lvl>
    <w:lvl w:ilvl="7" w:tplc="0C090019" w:tentative="1">
      <w:start w:val="1"/>
      <w:numFmt w:val="lowerLetter"/>
      <w:lvlText w:val="%8."/>
      <w:lvlJc w:val="left"/>
      <w:pPr>
        <w:ind w:left="6044" w:hanging="360"/>
      </w:pPr>
    </w:lvl>
    <w:lvl w:ilvl="8" w:tplc="0C09001B" w:tentative="1">
      <w:start w:val="1"/>
      <w:numFmt w:val="lowerRoman"/>
      <w:lvlText w:val="%9."/>
      <w:lvlJc w:val="right"/>
      <w:pPr>
        <w:ind w:left="6764" w:hanging="180"/>
      </w:pPr>
    </w:lvl>
  </w:abstractNum>
  <w:abstractNum w:abstractNumId="30" w15:restartNumberingAfterBreak="0">
    <w:nsid w:val="54F215E6"/>
    <w:multiLevelType w:val="multilevel"/>
    <w:tmpl w:val="AD3E9362"/>
    <w:lvl w:ilvl="0">
      <w:start w:val="1"/>
      <w:numFmt w:val="decimal"/>
      <w:pStyle w:val="ListNumber1"/>
      <w:lvlText w:val="%1."/>
      <w:lvlJc w:val="left"/>
      <w:pPr>
        <w:tabs>
          <w:tab w:val="num" w:pos="284"/>
        </w:tabs>
        <w:ind w:left="284" w:hanging="284"/>
      </w:pPr>
      <w:rPr>
        <w:rFonts w:hint="default"/>
        <w:color w:val="37424A" w:themeColor="text1"/>
      </w:rPr>
    </w:lvl>
    <w:lvl w:ilvl="1">
      <w:start w:val="1"/>
      <w:numFmt w:val="lowerLetter"/>
      <w:pStyle w:val="ListNumber2"/>
      <w:lvlText w:val="%2."/>
      <w:lvlJc w:val="left"/>
      <w:pPr>
        <w:tabs>
          <w:tab w:val="num" w:pos="568"/>
        </w:tabs>
        <w:ind w:left="568" w:hanging="284"/>
      </w:pPr>
      <w:rPr>
        <w:rFonts w:hint="default"/>
        <w:color w:val="37424A" w:themeColor="text1"/>
      </w:rPr>
    </w:lvl>
    <w:lvl w:ilvl="2">
      <w:start w:val="1"/>
      <w:numFmt w:val="lowerRoman"/>
      <w:pStyle w:val="ListNumber3"/>
      <w:lvlText w:val="%3."/>
      <w:lvlJc w:val="left"/>
      <w:pPr>
        <w:tabs>
          <w:tab w:val="num" w:pos="852"/>
        </w:tabs>
        <w:ind w:left="852" w:hanging="284"/>
      </w:pPr>
      <w:rPr>
        <w:rFonts w:hint="default"/>
        <w:color w:val="37424A" w:themeColor="text1"/>
      </w:rPr>
    </w:lvl>
    <w:lvl w:ilvl="3">
      <w:start w:val="1"/>
      <w:numFmt w:val="none"/>
      <w:lvlText w:val=""/>
      <w:lvlJc w:val="left"/>
      <w:pPr>
        <w:tabs>
          <w:tab w:val="num" w:pos="1136"/>
        </w:tabs>
        <w:ind w:left="1136" w:hanging="284"/>
      </w:pPr>
      <w:rPr>
        <w:rFonts w:hint="default"/>
      </w:rPr>
    </w:lvl>
    <w:lvl w:ilvl="4">
      <w:start w:val="1"/>
      <w:numFmt w:val="none"/>
      <w:lvlText w:val=""/>
      <w:lvlJc w:val="left"/>
      <w:pPr>
        <w:tabs>
          <w:tab w:val="num" w:pos="1420"/>
        </w:tabs>
        <w:ind w:left="1420" w:hanging="284"/>
      </w:pPr>
      <w:rPr>
        <w:rFonts w:hint="default"/>
      </w:rPr>
    </w:lvl>
    <w:lvl w:ilvl="5">
      <w:start w:val="1"/>
      <w:numFmt w:val="none"/>
      <w:lvlText w:val=""/>
      <w:lvlJc w:val="left"/>
      <w:pPr>
        <w:tabs>
          <w:tab w:val="num" w:pos="1704"/>
        </w:tabs>
        <w:ind w:left="1704" w:hanging="284"/>
      </w:pPr>
      <w:rPr>
        <w:rFonts w:hint="default"/>
      </w:rPr>
    </w:lvl>
    <w:lvl w:ilvl="6">
      <w:start w:val="1"/>
      <w:numFmt w:val="none"/>
      <w:lvlText w:val=""/>
      <w:lvlJc w:val="left"/>
      <w:pPr>
        <w:tabs>
          <w:tab w:val="num" w:pos="1988"/>
        </w:tabs>
        <w:ind w:left="1988" w:hanging="284"/>
      </w:pPr>
      <w:rPr>
        <w:rFonts w:hint="default"/>
      </w:rPr>
    </w:lvl>
    <w:lvl w:ilvl="7">
      <w:start w:val="1"/>
      <w:numFmt w:val="none"/>
      <w:lvlText w:val=""/>
      <w:lvlJc w:val="left"/>
      <w:pPr>
        <w:tabs>
          <w:tab w:val="num" w:pos="2272"/>
        </w:tabs>
        <w:ind w:left="2272" w:hanging="284"/>
      </w:pPr>
      <w:rPr>
        <w:rFonts w:hint="default"/>
      </w:rPr>
    </w:lvl>
    <w:lvl w:ilvl="8">
      <w:start w:val="1"/>
      <w:numFmt w:val="none"/>
      <w:lvlText w:val=""/>
      <w:lvlJc w:val="left"/>
      <w:pPr>
        <w:tabs>
          <w:tab w:val="num" w:pos="2556"/>
        </w:tabs>
        <w:ind w:left="2556" w:hanging="284"/>
      </w:pPr>
      <w:rPr>
        <w:rFonts w:hint="default"/>
      </w:rPr>
    </w:lvl>
  </w:abstractNum>
  <w:abstractNum w:abstractNumId="31" w15:restartNumberingAfterBreak="0">
    <w:nsid w:val="577331C1"/>
    <w:multiLevelType w:val="hybridMultilevel"/>
    <w:tmpl w:val="81D8D9B8"/>
    <w:lvl w:ilvl="0" w:tplc="E656F46C">
      <w:start w:val="1"/>
      <w:numFmt w:val="bullet"/>
      <w:lvlText w:val="-"/>
      <w:lvlJc w:val="left"/>
      <w:pPr>
        <w:ind w:left="720" w:hanging="360"/>
      </w:pPr>
      <w:rPr>
        <w:rFonts w:ascii="Open Sans" w:eastAsiaTheme="minorHAnsi" w:hAnsi="Open Sans" w:cs="Open San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AAE7D9D"/>
    <w:multiLevelType w:val="hybridMultilevel"/>
    <w:tmpl w:val="60D8B2E2"/>
    <w:lvl w:ilvl="0" w:tplc="F80EB2D0">
      <w:start w:val="1"/>
      <w:numFmt w:val="lowerLetter"/>
      <w:lvlText w:val="(%1)"/>
      <w:lvlJc w:val="left"/>
      <w:pPr>
        <w:ind w:left="644" w:hanging="360"/>
      </w:pPr>
      <w:rPr>
        <w:rFonts w:hint="default"/>
      </w:rPr>
    </w:lvl>
    <w:lvl w:ilvl="1" w:tplc="0C090019" w:tentative="1">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33" w15:restartNumberingAfterBreak="0">
    <w:nsid w:val="5CE63CC0"/>
    <w:multiLevelType w:val="multilevel"/>
    <w:tmpl w:val="0EB0E888"/>
    <w:lvl w:ilvl="0">
      <w:start w:val="1"/>
      <w:numFmt w:val="decimal"/>
      <w:pStyle w:val="Heading1numbered"/>
      <w:lvlText w:val="%1"/>
      <w:lvlJc w:val="left"/>
      <w:pPr>
        <w:ind w:left="0" w:firstLine="0"/>
      </w:pPr>
      <w:rPr>
        <w:rFonts w:ascii="Open Sans Light" w:hAnsi="Open Sans Light" w:hint="default"/>
        <w:b w:val="0"/>
        <w:i w:val="0"/>
        <w:color w:val="207BA1"/>
        <w:sz w:val="52"/>
      </w:rPr>
    </w:lvl>
    <w:lvl w:ilvl="1">
      <w:start w:val="1"/>
      <w:numFmt w:val="decimal"/>
      <w:pStyle w:val="Heading2numbered"/>
      <w:lvlText w:val="%1.%2"/>
      <w:lvlJc w:val="left"/>
      <w:pPr>
        <w:tabs>
          <w:tab w:val="num" w:pos="851"/>
        </w:tabs>
        <w:ind w:left="851" w:hanging="851"/>
      </w:pPr>
      <w:rPr>
        <w:rFonts w:hint="default"/>
      </w:rPr>
    </w:lvl>
    <w:lvl w:ilvl="2">
      <w:start w:val="1"/>
      <w:numFmt w:val="decimal"/>
      <w:pStyle w:val="Heading3numbered"/>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4" w15:restartNumberingAfterBreak="0">
    <w:nsid w:val="5DA312A8"/>
    <w:multiLevelType w:val="hybridMultilevel"/>
    <w:tmpl w:val="2512AE72"/>
    <w:lvl w:ilvl="0" w:tplc="0CF462A0">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5FB742C8"/>
    <w:multiLevelType w:val="hybridMultilevel"/>
    <w:tmpl w:val="3D6E1B54"/>
    <w:lvl w:ilvl="0" w:tplc="B55E7BC2">
      <w:start w:val="1"/>
      <w:numFmt w:val="lowerRoman"/>
      <w:lvlText w:val="(%1)"/>
      <w:lvlJc w:val="left"/>
      <w:pPr>
        <w:ind w:left="1364" w:hanging="720"/>
      </w:pPr>
      <w:rPr>
        <w:rFonts w:hint="default"/>
      </w:rPr>
    </w:lvl>
    <w:lvl w:ilvl="1" w:tplc="0C090019" w:tentative="1">
      <w:start w:val="1"/>
      <w:numFmt w:val="lowerLetter"/>
      <w:lvlText w:val="%2."/>
      <w:lvlJc w:val="left"/>
      <w:pPr>
        <w:ind w:left="1724" w:hanging="360"/>
      </w:pPr>
    </w:lvl>
    <w:lvl w:ilvl="2" w:tplc="0C09001B" w:tentative="1">
      <w:start w:val="1"/>
      <w:numFmt w:val="lowerRoman"/>
      <w:lvlText w:val="%3."/>
      <w:lvlJc w:val="right"/>
      <w:pPr>
        <w:ind w:left="2444" w:hanging="180"/>
      </w:pPr>
    </w:lvl>
    <w:lvl w:ilvl="3" w:tplc="0C09000F" w:tentative="1">
      <w:start w:val="1"/>
      <w:numFmt w:val="decimal"/>
      <w:lvlText w:val="%4."/>
      <w:lvlJc w:val="left"/>
      <w:pPr>
        <w:ind w:left="3164" w:hanging="360"/>
      </w:pPr>
    </w:lvl>
    <w:lvl w:ilvl="4" w:tplc="0C090019" w:tentative="1">
      <w:start w:val="1"/>
      <w:numFmt w:val="lowerLetter"/>
      <w:lvlText w:val="%5."/>
      <w:lvlJc w:val="left"/>
      <w:pPr>
        <w:ind w:left="3884" w:hanging="360"/>
      </w:pPr>
    </w:lvl>
    <w:lvl w:ilvl="5" w:tplc="0C09001B" w:tentative="1">
      <w:start w:val="1"/>
      <w:numFmt w:val="lowerRoman"/>
      <w:lvlText w:val="%6."/>
      <w:lvlJc w:val="right"/>
      <w:pPr>
        <w:ind w:left="4604" w:hanging="180"/>
      </w:pPr>
    </w:lvl>
    <w:lvl w:ilvl="6" w:tplc="0C09000F" w:tentative="1">
      <w:start w:val="1"/>
      <w:numFmt w:val="decimal"/>
      <w:lvlText w:val="%7."/>
      <w:lvlJc w:val="left"/>
      <w:pPr>
        <w:ind w:left="5324" w:hanging="360"/>
      </w:pPr>
    </w:lvl>
    <w:lvl w:ilvl="7" w:tplc="0C090019" w:tentative="1">
      <w:start w:val="1"/>
      <w:numFmt w:val="lowerLetter"/>
      <w:lvlText w:val="%8."/>
      <w:lvlJc w:val="left"/>
      <w:pPr>
        <w:ind w:left="6044" w:hanging="360"/>
      </w:pPr>
    </w:lvl>
    <w:lvl w:ilvl="8" w:tplc="0C09001B" w:tentative="1">
      <w:start w:val="1"/>
      <w:numFmt w:val="lowerRoman"/>
      <w:lvlText w:val="%9."/>
      <w:lvlJc w:val="right"/>
      <w:pPr>
        <w:ind w:left="6764" w:hanging="180"/>
      </w:pPr>
    </w:lvl>
  </w:abstractNum>
  <w:abstractNum w:abstractNumId="36" w15:restartNumberingAfterBreak="0">
    <w:nsid w:val="644C7F05"/>
    <w:multiLevelType w:val="multilevel"/>
    <w:tmpl w:val="E74CEBAA"/>
    <w:lvl w:ilvl="0">
      <w:start w:val="1"/>
      <w:numFmt w:val="decimal"/>
      <w:pStyle w:val="TableNumbering"/>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666B702A"/>
    <w:multiLevelType w:val="hybridMultilevel"/>
    <w:tmpl w:val="8252178A"/>
    <w:lvl w:ilvl="0" w:tplc="D6FE5424">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66E10DF0"/>
    <w:multiLevelType w:val="multilevel"/>
    <w:tmpl w:val="0C09001D"/>
    <w:name w:val="ParaNumBulletList3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9" w15:restartNumberingAfterBreak="0">
    <w:nsid w:val="6E1B3E02"/>
    <w:multiLevelType w:val="multilevel"/>
    <w:tmpl w:val="D80855C2"/>
    <w:lvl w:ilvl="0">
      <w:start w:val="1"/>
      <w:numFmt w:val="bullet"/>
      <w:pStyle w:val="ListParagraph"/>
      <w:lvlText w:val=""/>
      <w:lvlJc w:val="left"/>
      <w:pPr>
        <w:ind w:left="284" w:hanging="284"/>
      </w:pPr>
      <w:rPr>
        <w:rFonts w:ascii="Symbol" w:hAnsi="Symbol" w:hint="default"/>
        <w:color w:val="37424A"/>
      </w:rPr>
    </w:lvl>
    <w:lvl w:ilvl="1">
      <w:start w:val="1"/>
      <w:numFmt w:val="bullet"/>
      <w:lvlText w:val="o"/>
      <w:lvlJc w:val="left"/>
      <w:pPr>
        <w:ind w:left="568" w:hanging="284"/>
      </w:pPr>
      <w:rPr>
        <w:rFonts w:ascii="Courier New" w:hAnsi="Courier New" w:cs="Courier New" w:hint="default"/>
      </w:rPr>
    </w:lvl>
    <w:lvl w:ilvl="2">
      <w:start w:val="1"/>
      <w:numFmt w:val="bullet"/>
      <w:lvlText w:val=""/>
      <w:lvlJc w:val="left"/>
      <w:pPr>
        <w:ind w:left="852" w:hanging="284"/>
      </w:pPr>
      <w:rPr>
        <w:rFonts w:ascii="Wingdings" w:hAnsi="Wingdings" w:hint="default"/>
      </w:rPr>
    </w:lvl>
    <w:lvl w:ilvl="3">
      <w:start w:val="1"/>
      <w:numFmt w:val="bullet"/>
      <w:lvlText w:val=""/>
      <w:lvlJc w:val="left"/>
      <w:pPr>
        <w:ind w:left="1136" w:hanging="284"/>
      </w:pPr>
      <w:rPr>
        <w:rFonts w:ascii="Symbol" w:hAnsi="Symbol" w:hint="default"/>
      </w:rPr>
    </w:lvl>
    <w:lvl w:ilvl="4">
      <w:start w:val="1"/>
      <w:numFmt w:val="bullet"/>
      <w:lvlText w:val="o"/>
      <w:lvlJc w:val="left"/>
      <w:pPr>
        <w:ind w:left="1420" w:hanging="284"/>
      </w:pPr>
      <w:rPr>
        <w:rFonts w:ascii="Courier New" w:hAnsi="Courier New" w:cs="Courier New" w:hint="default"/>
      </w:rPr>
    </w:lvl>
    <w:lvl w:ilvl="5">
      <w:start w:val="1"/>
      <w:numFmt w:val="bullet"/>
      <w:lvlText w:val=""/>
      <w:lvlJc w:val="left"/>
      <w:pPr>
        <w:ind w:left="1704" w:hanging="284"/>
      </w:pPr>
      <w:rPr>
        <w:rFonts w:ascii="Wingdings" w:hAnsi="Wingdings" w:hint="default"/>
      </w:rPr>
    </w:lvl>
    <w:lvl w:ilvl="6">
      <w:start w:val="1"/>
      <w:numFmt w:val="bullet"/>
      <w:lvlText w:val=""/>
      <w:lvlJc w:val="left"/>
      <w:pPr>
        <w:ind w:left="1988" w:hanging="284"/>
      </w:pPr>
      <w:rPr>
        <w:rFonts w:ascii="Symbol" w:hAnsi="Symbol" w:hint="default"/>
      </w:rPr>
    </w:lvl>
    <w:lvl w:ilvl="7">
      <w:start w:val="1"/>
      <w:numFmt w:val="bullet"/>
      <w:lvlText w:val="o"/>
      <w:lvlJc w:val="left"/>
      <w:pPr>
        <w:ind w:left="2272" w:hanging="284"/>
      </w:pPr>
      <w:rPr>
        <w:rFonts w:ascii="Courier New" w:hAnsi="Courier New" w:cs="Courier New" w:hint="default"/>
      </w:rPr>
    </w:lvl>
    <w:lvl w:ilvl="8">
      <w:start w:val="1"/>
      <w:numFmt w:val="bullet"/>
      <w:lvlText w:val=""/>
      <w:lvlJc w:val="left"/>
      <w:pPr>
        <w:ind w:left="2556" w:hanging="284"/>
      </w:pPr>
      <w:rPr>
        <w:rFonts w:ascii="Wingdings" w:hAnsi="Wingdings" w:hint="default"/>
      </w:rPr>
    </w:lvl>
  </w:abstractNum>
  <w:abstractNum w:abstractNumId="40" w15:restartNumberingAfterBreak="0">
    <w:nsid w:val="72F623E7"/>
    <w:multiLevelType w:val="multilevel"/>
    <w:tmpl w:val="BF943C9E"/>
    <w:name w:val="ParaBulletList2"/>
    <w:styleLink w:val="BulletLevel1"/>
    <w:lvl w:ilvl="0">
      <w:start w:val="1"/>
      <w:numFmt w:val="bullet"/>
      <w:lvlText w:val=""/>
      <w:lvlJc w:val="left"/>
      <w:pPr>
        <w:tabs>
          <w:tab w:val="num" w:pos="360"/>
        </w:tabs>
        <w:ind w:left="360" w:hanging="360"/>
      </w:pPr>
      <w:rPr>
        <w:rFonts w:ascii="Symbol" w:hAnsi="Symbol"/>
        <w:color w:val="37424A"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735C6C05"/>
    <w:multiLevelType w:val="hybridMultilevel"/>
    <w:tmpl w:val="74BA76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75A16AE3"/>
    <w:multiLevelType w:val="hybridMultilevel"/>
    <w:tmpl w:val="33A21C34"/>
    <w:lvl w:ilvl="0" w:tplc="18F4C5AE">
      <w:start w:val="1"/>
      <w:numFmt w:val="lowerLetter"/>
      <w:lvlText w:val="(%1)"/>
      <w:lvlJc w:val="left"/>
      <w:pPr>
        <w:ind w:left="644" w:hanging="360"/>
      </w:pPr>
      <w:rPr>
        <w:rFonts w:hint="default"/>
      </w:rPr>
    </w:lvl>
    <w:lvl w:ilvl="1" w:tplc="0C090019" w:tentative="1">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43" w15:restartNumberingAfterBreak="0">
    <w:nsid w:val="7780431B"/>
    <w:multiLevelType w:val="multilevel"/>
    <w:tmpl w:val="AD3E9362"/>
    <w:lvl w:ilvl="0">
      <w:start w:val="1"/>
      <w:numFmt w:val="decimal"/>
      <w:lvlText w:val="%1."/>
      <w:lvlJc w:val="left"/>
      <w:pPr>
        <w:tabs>
          <w:tab w:val="num" w:pos="284"/>
        </w:tabs>
        <w:ind w:left="284" w:hanging="284"/>
      </w:pPr>
      <w:rPr>
        <w:rFonts w:hint="default"/>
        <w:color w:val="37424A" w:themeColor="text1"/>
      </w:rPr>
    </w:lvl>
    <w:lvl w:ilvl="1">
      <w:start w:val="1"/>
      <w:numFmt w:val="lowerLetter"/>
      <w:lvlText w:val="%2."/>
      <w:lvlJc w:val="left"/>
      <w:pPr>
        <w:tabs>
          <w:tab w:val="num" w:pos="568"/>
        </w:tabs>
        <w:ind w:left="568" w:hanging="284"/>
      </w:pPr>
      <w:rPr>
        <w:rFonts w:hint="default"/>
        <w:color w:val="37424A" w:themeColor="text1"/>
      </w:rPr>
    </w:lvl>
    <w:lvl w:ilvl="2">
      <w:start w:val="1"/>
      <w:numFmt w:val="lowerRoman"/>
      <w:lvlText w:val="%3."/>
      <w:lvlJc w:val="left"/>
      <w:pPr>
        <w:tabs>
          <w:tab w:val="num" w:pos="852"/>
        </w:tabs>
        <w:ind w:left="852" w:hanging="284"/>
      </w:pPr>
      <w:rPr>
        <w:rFonts w:hint="default"/>
        <w:color w:val="37424A" w:themeColor="text1"/>
      </w:rPr>
    </w:lvl>
    <w:lvl w:ilvl="3">
      <w:start w:val="1"/>
      <w:numFmt w:val="none"/>
      <w:lvlText w:val=""/>
      <w:lvlJc w:val="left"/>
      <w:pPr>
        <w:tabs>
          <w:tab w:val="num" w:pos="1136"/>
        </w:tabs>
        <w:ind w:left="1136" w:hanging="284"/>
      </w:pPr>
      <w:rPr>
        <w:rFonts w:hint="default"/>
      </w:rPr>
    </w:lvl>
    <w:lvl w:ilvl="4">
      <w:start w:val="1"/>
      <w:numFmt w:val="none"/>
      <w:lvlText w:val=""/>
      <w:lvlJc w:val="left"/>
      <w:pPr>
        <w:tabs>
          <w:tab w:val="num" w:pos="1420"/>
        </w:tabs>
        <w:ind w:left="1420" w:hanging="284"/>
      </w:pPr>
      <w:rPr>
        <w:rFonts w:hint="default"/>
      </w:rPr>
    </w:lvl>
    <w:lvl w:ilvl="5">
      <w:start w:val="1"/>
      <w:numFmt w:val="none"/>
      <w:lvlText w:val=""/>
      <w:lvlJc w:val="left"/>
      <w:pPr>
        <w:tabs>
          <w:tab w:val="num" w:pos="1704"/>
        </w:tabs>
        <w:ind w:left="1704" w:hanging="284"/>
      </w:pPr>
      <w:rPr>
        <w:rFonts w:hint="default"/>
      </w:rPr>
    </w:lvl>
    <w:lvl w:ilvl="6">
      <w:start w:val="1"/>
      <w:numFmt w:val="none"/>
      <w:lvlText w:val=""/>
      <w:lvlJc w:val="left"/>
      <w:pPr>
        <w:tabs>
          <w:tab w:val="num" w:pos="1988"/>
        </w:tabs>
        <w:ind w:left="1988" w:hanging="284"/>
      </w:pPr>
      <w:rPr>
        <w:rFonts w:hint="default"/>
      </w:rPr>
    </w:lvl>
    <w:lvl w:ilvl="7">
      <w:start w:val="1"/>
      <w:numFmt w:val="none"/>
      <w:lvlText w:val=""/>
      <w:lvlJc w:val="left"/>
      <w:pPr>
        <w:tabs>
          <w:tab w:val="num" w:pos="2272"/>
        </w:tabs>
        <w:ind w:left="2272" w:hanging="284"/>
      </w:pPr>
      <w:rPr>
        <w:rFonts w:hint="default"/>
      </w:rPr>
    </w:lvl>
    <w:lvl w:ilvl="8">
      <w:start w:val="1"/>
      <w:numFmt w:val="none"/>
      <w:lvlText w:val=""/>
      <w:lvlJc w:val="left"/>
      <w:pPr>
        <w:tabs>
          <w:tab w:val="num" w:pos="2556"/>
        </w:tabs>
        <w:ind w:left="2556" w:hanging="284"/>
      </w:pPr>
      <w:rPr>
        <w:rFonts w:hint="default"/>
      </w:rPr>
    </w:lvl>
  </w:abstractNum>
  <w:abstractNum w:abstractNumId="44" w15:restartNumberingAfterBreak="0">
    <w:nsid w:val="784F4468"/>
    <w:multiLevelType w:val="multilevel"/>
    <w:tmpl w:val="BF943C9E"/>
    <w:name w:val="ParaBulletList2"/>
    <w:numStyleLink w:val="BulletLevel1"/>
  </w:abstractNum>
  <w:abstractNum w:abstractNumId="45" w15:restartNumberingAfterBreak="0">
    <w:nsid w:val="7D822B55"/>
    <w:multiLevelType w:val="hybridMultilevel"/>
    <w:tmpl w:val="A366FFA0"/>
    <w:lvl w:ilvl="0" w:tplc="72580AFC">
      <w:numFmt w:val="bullet"/>
      <w:lvlText w:val="-"/>
      <w:lvlJc w:val="left"/>
      <w:pPr>
        <w:ind w:left="720" w:hanging="360"/>
      </w:pPr>
      <w:rPr>
        <w:rFonts w:ascii="Arial" w:eastAsiaTheme="minorEastAsia"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7DB0234B"/>
    <w:multiLevelType w:val="multilevel"/>
    <w:tmpl w:val="0C09001D"/>
    <w:numStyleLink w:val="FEBulletList"/>
  </w:abstractNum>
  <w:abstractNum w:abstractNumId="47" w15:restartNumberingAfterBreak="0">
    <w:nsid w:val="7F412206"/>
    <w:multiLevelType w:val="multilevel"/>
    <w:tmpl w:val="8C08B24E"/>
    <w:name w:val="ParaNumBulletList3"/>
    <w:lvl w:ilvl="0">
      <w:start w:val="1"/>
      <w:numFmt w:val="decimal"/>
      <w:pStyle w:val="ParaNumber1"/>
      <w:lvlText w:val="%1."/>
      <w:lvlJc w:val="left"/>
      <w:pPr>
        <w:tabs>
          <w:tab w:val="num" w:pos="1418"/>
        </w:tabs>
        <w:ind w:left="0" w:hanging="567"/>
      </w:pPr>
      <w:rPr>
        <w:rFonts w:ascii="Open Sans" w:hAnsi="Open Sans" w:hint="default"/>
        <w:color w:val="37424A" w:themeColor="text1"/>
        <w:sz w:val="20"/>
      </w:rPr>
    </w:lvl>
    <w:lvl w:ilvl="1">
      <w:start w:val="1"/>
      <w:numFmt w:val="lowerLetter"/>
      <w:pStyle w:val="ParaNumber2"/>
      <w:lvlText w:val="%2"/>
      <w:lvlJc w:val="left"/>
      <w:pPr>
        <w:tabs>
          <w:tab w:val="num" w:pos="1701"/>
        </w:tabs>
        <w:ind w:left="851" w:hanging="284"/>
      </w:pPr>
      <w:rPr>
        <w:rFonts w:ascii="Open Sans" w:hAnsi="Open Sans" w:hint="default"/>
        <w:color w:val="37424A" w:themeColor="text1"/>
      </w:rPr>
    </w:lvl>
    <w:lvl w:ilvl="2">
      <w:start w:val="1"/>
      <w:numFmt w:val="lowerRoman"/>
      <w:pStyle w:val="ParaNumber3"/>
      <w:lvlText w:val="%3"/>
      <w:lvlJc w:val="left"/>
      <w:pPr>
        <w:tabs>
          <w:tab w:val="num" w:pos="1985"/>
        </w:tabs>
        <w:ind w:left="1418" w:hanging="284"/>
      </w:pPr>
      <w:rPr>
        <w:rFonts w:ascii="Open Sans" w:hAnsi="Open Sans" w:hint="default"/>
        <w:color w:val="374249" w:themeColor="text2"/>
      </w:rPr>
    </w:lvl>
    <w:lvl w:ilvl="3">
      <w:start w:val="1"/>
      <w:numFmt w:val="bullet"/>
      <w:lvlText w:val=""/>
      <w:lvlJc w:val="left"/>
      <w:pPr>
        <w:tabs>
          <w:tab w:val="num" w:pos="2268"/>
        </w:tabs>
        <w:ind w:left="2268" w:hanging="283"/>
      </w:pPr>
      <w:rPr>
        <w:rFonts w:ascii="Wingdings" w:hAnsi="Wingdings" w:hint="default"/>
      </w:rPr>
    </w:lvl>
    <w:lvl w:ilvl="4">
      <w:start w:val="1"/>
      <w:numFmt w:val="decimal"/>
      <w:lvlText w:val="%5."/>
      <w:lvlJc w:val="left"/>
      <w:pPr>
        <w:tabs>
          <w:tab w:val="num" w:pos="1701"/>
        </w:tabs>
        <w:ind w:left="1701" w:hanging="283"/>
      </w:pPr>
      <w:rPr>
        <w:rFonts w:hint="default"/>
      </w:rPr>
    </w:lvl>
    <w:lvl w:ilvl="5">
      <w:start w:val="1"/>
      <w:numFmt w:val="lowerLetter"/>
      <w:lvlText w:val="%6."/>
      <w:lvlJc w:val="left"/>
      <w:pPr>
        <w:tabs>
          <w:tab w:val="num" w:pos="1985"/>
        </w:tabs>
        <w:ind w:left="1985" w:hanging="284"/>
      </w:pPr>
      <w:rPr>
        <w:rFonts w:hint="default"/>
      </w:rPr>
    </w:lvl>
    <w:lvl w:ilvl="6">
      <w:start w:val="1"/>
      <w:numFmt w:val="lowerRoman"/>
      <w:lvlText w:val="%7."/>
      <w:lvlJc w:val="left"/>
      <w:pPr>
        <w:tabs>
          <w:tab w:val="num" w:pos="2268"/>
        </w:tabs>
        <w:ind w:left="2268" w:hanging="283"/>
      </w:pPr>
      <w:rPr>
        <w:rFonts w:hint="default"/>
      </w:rPr>
    </w:lvl>
    <w:lvl w:ilvl="7">
      <w:start w:val="1"/>
      <w:numFmt w:val="decimal"/>
      <w:lvlText w:val="%1.%2.%3.%4.%5.%6.%7.%8."/>
      <w:lvlJc w:val="left"/>
      <w:pPr>
        <w:tabs>
          <w:tab w:val="num" w:pos="2895"/>
        </w:tabs>
        <w:ind w:left="2839" w:hanging="284"/>
      </w:pPr>
      <w:rPr>
        <w:rFonts w:hint="default"/>
      </w:rPr>
    </w:lvl>
    <w:lvl w:ilvl="8">
      <w:start w:val="1"/>
      <w:numFmt w:val="decimal"/>
      <w:lvlText w:val="%1.%2.%3.%4.%5.%6.%7.%8.%9."/>
      <w:lvlJc w:val="left"/>
      <w:pPr>
        <w:tabs>
          <w:tab w:val="num" w:pos="3179"/>
        </w:tabs>
        <w:ind w:left="3123" w:hanging="284"/>
      </w:pPr>
      <w:rPr>
        <w:rFonts w:hint="default"/>
      </w:rPr>
    </w:lvl>
  </w:abstractNum>
  <w:num w:numId="1">
    <w:abstractNumId w:val="40"/>
  </w:num>
  <w:num w:numId="2">
    <w:abstractNumId w:val="10"/>
  </w:num>
  <w:num w:numId="3">
    <w:abstractNumId w:val="39"/>
  </w:num>
  <w:num w:numId="4">
    <w:abstractNumId w:val="24"/>
  </w:num>
  <w:num w:numId="5">
    <w:abstractNumId w:val="36"/>
  </w:num>
  <w:num w:numId="6">
    <w:abstractNumId w:val="47"/>
  </w:num>
  <w:num w:numId="7">
    <w:abstractNumId w:val="23"/>
  </w:num>
  <w:num w:numId="8">
    <w:abstractNumId w:val="26"/>
  </w:num>
  <w:num w:numId="9">
    <w:abstractNumId w:val="33"/>
  </w:num>
  <w:num w:numId="10">
    <w:abstractNumId w:val="28"/>
  </w:num>
  <w:num w:numId="11">
    <w:abstractNumId w:val="30"/>
  </w:num>
  <w:num w:numId="12">
    <w:abstractNumId w:val="21"/>
  </w:num>
  <w:num w:numId="13">
    <w:abstractNumId w:val="25"/>
  </w:num>
  <w:num w:numId="14">
    <w:abstractNumId w:val="46"/>
  </w:num>
  <w:num w:numId="15">
    <w:abstractNumId w:val="43"/>
  </w:num>
  <w:num w:numId="16">
    <w:abstractNumId w:val="18"/>
  </w:num>
  <w:num w:numId="17">
    <w:abstractNumId w:val="15"/>
  </w:num>
  <w:num w:numId="18">
    <w:abstractNumId w:val="45"/>
  </w:num>
  <w:num w:numId="19">
    <w:abstractNumId w:val="17"/>
  </w:num>
  <w:num w:numId="20">
    <w:abstractNumId w:val="8"/>
  </w:num>
  <w:num w:numId="21">
    <w:abstractNumId w:val="26"/>
  </w:num>
  <w:num w:numId="22">
    <w:abstractNumId w:val="27"/>
  </w:num>
  <w:num w:numId="23">
    <w:abstractNumId w:val="11"/>
  </w:num>
  <w:num w:numId="24">
    <w:abstractNumId w:val="42"/>
  </w:num>
  <w:num w:numId="25">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5"/>
  </w:num>
  <w:num w:numId="27">
    <w:abstractNumId w:val="29"/>
  </w:num>
  <w:num w:numId="28">
    <w:abstractNumId w:val="13"/>
  </w:num>
  <w:num w:numId="29">
    <w:abstractNumId w:val="22"/>
  </w:num>
  <w:num w:numId="30">
    <w:abstractNumId w:val="16"/>
  </w:num>
  <w:num w:numId="31">
    <w:abstractNumId w:val="20"/>
  </w:num>
  <w:num w:numId="32">
    <w:abstractNumId w:val="32"/>
  </w:num>
  <w:num w:numId="33">
    <w:abstractNumId w:val="41"/>
  </w:num>
  <w:num w:numId="34">
    <w:abstractNumId w:val="26"/>
  </w:num>
  <w:num w:numId="35">
    <w:abstractNumId w:val="37"/>
  </w:num>
  <w:num w:numId="36">
    <w:abstractNumId w:val="34"/>
  </w:num>
  <w:num w:numId="37">
    <w:abstractNumId w:val="19"/>
  </w:num>
  <w:num w:numId="38">
    <w:abstractNumId w:val="26"/>
  </w:num>
  <w:num w:numId="39">
    <w:abstractNumId w:val="9"/>
  </w:num>
  <w:num w:numId="40">
    <w:abstractNumId w:val="7"/>
  </w:num>
  <w:num w:numId="41">
    <w:abstractNumId w:val="6"/>
  </w:num>
  <w:num w:numId="42">
    <w:abstractNumId w:val="5"/>
  </w:num>
  <w:num w:numId="43">
    <w:abstractNumId w:val="4"/>
  </w:num>
  <w:num w:numId="44">
    <w:abstractNumId w:val="3"/>
  </w:num>
  <w:num w:numId="45">
    <w:abstractNumId w:val="2"/>
  </w:num>
  <w:num w:numId="46">
    <w:abstractNumId w:val="1"/>
  </w:num>
  <w:num w:numId="47">
    <w:abstractNumId w:val="0"/>
  </w:num>
  <w:num w:numId="48">
    <w:abstractNumId w:val="31"/>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embedTrueTypeFonts/>
  <w:activeWritingStyle w:appName="MSWord" w:lang="en-AU" w:vendorID="64" w:dllVersion="0" w:nlCheck="1" w:checkStyle="0"/>
  <w:activeWritingStyle w:appName="MSWord" w:lang="en-GB" w:vendorID="64" w:dllVersion="0" w:nlCheck="1" w:checkStyle="0"/>
  <w:activeWritingStyle w:appName="MSWord" w:lang="en-US" w:vendorID="64" w:dllVersion="0" w:nlCheck="1" w:checkStyle="0"/>
  <w:activeWritingStyle w:appName="MSWord" w:lang="en-SG" w:vendorID="64" w:dllVersion="0" w:nlCheck="1" w:checkStyle="0"/>
  <w:activeWritingStyle w:appName="MSWord" w:lang="en-AU" w:vendorID="64" w:dllVersion="6" w:nlCheck="1" w:checkStyle="1"/>
  <w:activeWritingStyle w:appName="MSWord" w:lang="en-GB" w:vendorID="64" w:dllVersion="6" w:nlCheck="1" w:checkStyle="1"/>
  <w:activeWritingStyle w:appName="MSWord" w:lang="en-US" w:vendorID="64" w:dllVersion="6" w:nlCheck="1" w:checkStyle="1"/>
  <w:activeWritingStyle w:appName="MSWord" w:lang="en-SG" w:vendorID="64" w:dllVersion="6" w:nlCheck="1" w:checkStyle="1"/>
  <w:activeWritingStyle w:appName="MSWord" w:lang="en-AU" w:vendorID="64" w:dllVersion="131078" w:nlCheck="1" w:checkStyle="1"/>
  <w:activeWritingStyle w:appName="MSWord" w:lang="en-GB" w:vendorID="64" w:dllVersion="131078" w:nlCheck="1" w:checkStyle="1"/>
  <w:activeWritingStyle w:appName="MSWord" w:lang="en-US" w:vendorID="64" w:dllVersion="131078" w:nlCheck="1" w:checkStyle="1"/>
  <w:activeWritingStyle w:appName="MSWord" w:lang="en-SG" w:vendorID="64" w:dllVersion="131078" w:nlCheck="1" w:checkStyle="1"/>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ocumentProtection w:edit="forms" w:enforcement="0"/>
  <w:defaultTabStop w:val="720"/>
  <w:characterSpacingControl w:val="doNotCompress"/>
  <w:hdrShapeDefaults>
    <o:shapedefaults v:ext="edit" spidmax="2457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17BE"/>
    <w:rsid w:val="00000073"/>
    <w:rsid w:val="00000161"/>
    <w:rsid w:val="00000B99"/>
    <w:rsid w:val="0000187D"/>
    <w:rsid w:val="00001CC4"/>
    <w:rsid w:val="00001CCB"/>
    <w:rsid w:val="00002451"/>
    <w:rsid w:val="00002C63"/>
    <w:rsid w:val="00002E67"/>
    <w:rsid w:val="00003503"/>
    <w:rsid w:val="000038C2"/>
    <w:rsid w:val="000043AB"/>
    <w:rsid w:val="0000443E"/>
    <w:rsid w:val="000057C1"/>
    <w:rsid w:val="00005B1B"/>
    <w:rsid w:val="00007214"/>
    <w:rsid w:val="0000756C"/>
    <w:rsid w:val="00010948"/>
    <w:rsid w:val="000110E9"/>
    <w:rsid w:val="00011158"/>
    <w:rsid w:val="000123F7"/>
    <w:rsid w:val="00013A64"/>
    <w:rsid w:val="00014871"/>
    <w:rsid w:val="00014FB9"/>
    <w:rsid w:val="0001658E"/>
    <w:rsid w:val="000169C5"/>
    <w:rsid w:val="0001710F"/>
    <w:rsid w:val="00020613"/>
    <w:rsid w:val="00021599"/>
    <w:rsid w:val="00021BE8"/>
    <w:rsid w:val="00021E38"/>
    <w:rsid w:val="000231DA"/>
    <w:rsid w:val="0002320B"/>
    <w:rsid w:val="00023CCD"/>
    <w:rsid w:val="00023DA2"/>
    <w:rsid w:val="000243B0"/>
    <w:rsid w:val="0002506D"/>
    <w:rsid w:val="000259F4"/>
    <w:rsid w:val="00025D4C"/>
    <w:rsid w:val="00025F49"/>
    <w:rsid w:val="00026387"/>
    <w:rsid w:val="000267E7"/>
    <w:rsid w:val="00026EE2"/>
    <w:rsid w:val="00027A8D"/>
    <w:rsid w:val="00030C65"/>
    <w:rsid w:val="00030E62"/>
    <w:rsid w:val="00031922"/>
    <w:rsid w:val="00031D5F"/>
    <w:rsid w:val="00031E9A"/>
    <w:rsid w:val="000320F5"/>
    <w:rsid w:val="00033069"/>
    <w:rsid w:val="000349F4"/>
    <w:rsid w:val="00036FD8"/>
    <w:rsid w:val="0003726B"/>
    <w:rsid w:val="0004013D"/>
    <w:rsid w:val="00042343"/>
    <w:rsid w:val="00042F2D"/>
    <w:rsid w:val="000437DF"/>
    <w:rsid w:val="00043AF9"/>
    <w:rsid w:val="00043F90"/>
    <w:rsid w:val="00044007"/>
    <w:rsid w:val="000440AF"/>
    <w:rsid w:val="0004412F"/>
    <w:rsid w:val="000441EE"/>
    <w:rsid w:val="0004503C"/>
    <w:rsid w:val="00045247"/>
    <w:rsid w:val="000453FF"/>
    <w:rsid w:val="00047287"/>
    <w:rsid w:val="0004784A"/>
    <w:rsid w:val="00047FCB"/>
    <w:rsid w:val="00050369"/>
    <w:rsid w:val="00050F3C"/>
    <w:rsid w:val="00051F28"/>
    <w:rsid w:val="00052777"/>
    <w:rsid w:val="00052EEE"/>
    <w:rsid w:val="000557F5"/>
    <w:rsid w:val="0005596B"/>
    <w:rsid w:val="00055CBF"/>
    <w:rsid w:val="0005652D"/>
    <w:rsid w:val="00056909"/>
    <w:rsid w:val="000569C2"/>
    <w:rsid w:val="00056DE0"/>
    <w:rsid w:val="000570C4"/>
    <w:rsid w:val="000572E4"/>
    <w:rsid w:val="000579A6"/>
    <w:rsid w:val="00057CFD"/>
    <w:rsid w:val="00060207"/>
    <w:rsid w:val="00060220"/>
    <w:rsid w:val="00060346"/>
    <w:rsid w:val="000608E4"/>
    <w:rsid w:val="00060BB0"/>
    <w:rsid w:val="0006106F"/>
    <w:rsid w:val="0006145F"/>
    <w:rsid w:val="00062A58"/>
    <w:rsid w:val="00062E1E"/>
    <w:rsid w:val="000638A7"/>
    <w:rsid w:val="00063DC2"/>
    <w:rsid w:val="000649C2"/>
    <w:rsid w:val="000650F2"/>
    <w:rsid w:val="000660D8"/>
    <w:rsid w:val="000665FA"/>
    <w:rsid w:val="00066D2E"/>
    <w:rsid w:val="0006737B"/>
    <w:rsid w:val="00070983"/>
    <w:rsid w:val="00071740"/>
    <w:rsid w:val="00072288"/>
    <w:rsid w:val="00072496"/>
    <w:rsid w:val="00072AD6"/>
    <w:rsid w:val="00072AFD"/>
    <w:rsid w:val="00072E68"/>
    <w:rsid w:val="00073A96"/>
    <w:rsid w:val="00073BBD"/>
    <w:rsid w:val="00073CDE"/>
    <w:rsid w:val="00074DDE"/>
    <w:rsid w:val="00075048"/>
    <w:rsid w:val="00075545"/>
    <w:rsid w:val="00075A39"/>
    <w:rsid w:val="00076077"/>
    <w:rsid w:val="00076563"/>
    <w:rsid w:val="0007663A"/>
    <w:rsid w:val="000766F5"/>
    <w:rsid w:val="00076AD0"/>
    <w:rsid w:val="000770F8"/>
    <w:rsid w:val="00077577"/>
    <w:rsid w:val="00077CE4"/>
    <w:rsid w:val="00081535"/>
    <w:rsid w:val="00081916"/>
    <w:rsid w:val="00081A39"/>
    <w:rsid w:val="0008253A"/>
    <w:rsid w:val="0008356C"/>
    <w:rsid w:val="000838BE"/>
    <w:rsid w:val="00085D7B"/>
    <w:rsid w:val="00085F1F"/>
    <w:rsid w:val="00086121"/>
    <w:rsid w:val="0008637E"/>
    <w:rsid w:val="0008667D"/>
    <w:rsid w:val="0008674F"/>
    <w:rsid w:val="000868FC"/>
    <w:rsid w:val="000869FD"/>
    <w:rsid w:val="0008766C"/>
    <w:rsid w:val="000877E4"/>
    <w:rsid w:val="00090E5C"/>
    <w:rsid w:val="000911E3"/>
    <w:rsid w:val="0009186A"/>
    <w:rsid w:val="000923AC"/>
    <w:rsid w:val="000937EF"/>
    <w:rsid w:val="0009418B"/>
    <w:rsid w:val="00094F5F"/>
    <w:rsid w:val="00095CFA"/>
    <w:rsid w:val="00096595"/>
    <w:rsid w:val="00096B1D"/>
    <w:rsid w:val="00096D1A"/>
    <w:rsid w:val="00097004"/>
    <w:rsid w:val="000974DC"/>
    <w:rsid w:val="00097529"/>
    <w:rsid w:val="0009761A"/>
    <w:rsid w:val="00097A5B"/>
    <w:rsid w:val="00097E0F"/>
    <w:rsid w:val="000A24D5"/>
    <w:rsid w:val="000A2AAE"/>
    <w:rsid w:val="000A2CC9"/>
    <w:rsid w:val="000A2E56"/>
    <w:rsid w:val="000A385A"/>
    <w:rsid w:val="000A38C0"/>
    <w:rsid w:val="000A3D53"/>
    <w:rsid w:val="000A4891"/>
    <w:rsid w:val="000A4C52"/>
    <w:rsid w:val="000A62AE"/>
    <w:rsid w:val="000A66FF"/>
    <w:rsid w:val="000A67EF"/>
    <w:rsid w:val="000A7A53"/>
    <w:rsid w:val="000A7E4B"/>
    <w:rsid w:val="000A7F60"/>
    <w:rsid w:val="000B0979"/>
    <w:rsid w:val="000B16C5"/>
    <w:rsid w:val="000B17F1"/>
    <w:rsid w:val="000B3056"/>
    <w:rsid w:val="000B3091"/>
    <w:rsid w:val="000B3778"/>
    <w:rsid w:val="000B3E6F"/>
    <w:rsid w:val="000B40C9"/>
    <w:rsid w:val="000B4A8F"/>
    <w:rsid w:val="000B4BC6"/>
    <w:rsid w:val="000B4E55"/>
    <w:rsid w:val="000B4F77"/>
    <w:rsid w:val="000B6899"/>
    <w:rsid w:val="000B692D"/>
    <w:rsid w:val="000B71C1"/>
    <w:rsid w:val="000B76C5"/>
    <w:rsid w:val="000C0213"/>
    <w:rsid w:val="000C02BA"/>
    <w:rsid w:val="000C03E7"/>
    <w:rsid w:val="000C0ED6"/>
    <w:rsid w:val="000C14DC"/>
    <w:rsid w:val="000C1B19"/>
    <w:rsid w:val="000C214A"/>
    <w:rsid w:val="000C3756"/>
    <w:rsid w:val="000C4652"/>
    <w:rsid w:val="000C5011"/>
    <w:rsid w:val="000C63D0"/>
    <w:rsid w:val="000C6BCD"/>
    <w:rsid w:val="000D0178"/>
    <w:rsid w:val="000D03EE"/>
    <w:rsid w:val="000D1EAC"/>
    <w:rsid w:val="000D22D7"/>
    <w:rsid w:val="000D28D8"/>
    <w:rsid w:val="000D3310"/>
    <w:rsid w:val="000D584E"/>
    <w:rsid w:val="000D5B52"/>
    <w:rsid w:val="000D5FB1"/>
    <w:rsid w:val="000D62EB"/>
    <w:rsid w:val="000D775E"/>
    <w:rsid w:val="000D7EF9"/>
    <w:rsid w:val="000E18C7"/>
    <w:rsid w:val="000E1DC8"/>
    <w:rsid w:val="000E2134"/>
    <w:rsid w:val="000E36BE"/>
    <w:rsid w:val="000E3792"/>
    <w:rsid w:val="000E3AF3"/>
    <w:rsid w:val="000E3CF9"/>
    <w:rsid w:val="000E3F38"/>
    <w:rsid w:val="000E481D"/>
    <w:rsid w:val="000E60D9"/>
    <w:rsid w:val="000E630D"/>
    <w:rsid w:val="000E68B9"/>
    <w:rsid w:val="000E6A3A"/>
    <w:rsid w:val="000E7113"/>
    <w:rsid w:val="000E7258"/>
    <w:rsid w:val="000E7AC9"/>
    <w:rsid w:val="000F003F"/>
    <w:rsid w:val="000F109E"/>
    <w:rsid w:val="000F17BC"/>
    <w:rsid w:val="000F2B1F"/>
    <w:rsid w:val="000F2CF2"/>
    <w:rsid w:val="000F3485"/>
    <w:rsid w:val="000F3CE8"/>
    <w:rsid w:val="000F4CD9"/>
    <w:rsid w:val="000F4D16"/>
    <w:rsid w:val="000F521A"/>
    <w:rsid w:val="000F55AF"/>
    <w:rsid w:val="000F656B"/>
    <w:rsid w:val="000F6B83"/>
    <w:rsid w:val="00100264"/>
    <w:rsid w:val="001003C6"/>
    <w:rsid w:val="00100989"/>
    <w:rsid w:val="00100B1E"/>
    <w:rsid w:val="00101E8C"/>
    <w:rsid w:val="00102964"/>
    <w:rsid w:val="00102AF7"/>
    <w:rsid w:val="00103294"/>
    <w:rsid w:val="001033B5"/>
    <w:rsid w:val="001035C6"/>
    <w:rsid w:val="00103E0E"/>
    <w:rsid w:val="001040C7"/>
    <w:rsid w:val="00104365"/>
    <w:rsid w:val="00104B51"/>
    <w:rsid w:val="00106E3C"/>
    <w:rsid w:val="001100C3"/>
    <w:rsid w:val="0011067F"/>
    <w:rsid w:val="0011072B"/>
    <w:rsid w:val="00111352"/>
    <w:rsid w:val="001114F3"/>
    <w:rsid w:val="00111664"/>
    <w:rsid w:val="00111CB3"/>
    <w:rsid w:val="00112419"/>
    <w:rsid w:val="001136E3"/>
    <w:rsid w:val="00113E41"/>
    <w:rsid w:val="0011409D"/>
    <w:rsid w:val="001148C7"/>
    <w:rsid w:val="001150E7"/>
    <w:rsid w:val="00115754"/>
    <w:rsid w:val="00115E23"/>
    <w:rsid w:val="00116756"/>
    <w:rsid w:val="00116EB5"/>
    <w:rsid w:val="001174DC"/>
    <w:rsid w:val="0012022A"/>
    <w:rsid w:val="00120C27"/>
    <w:rsid w:val="00120E44"/>
    <w:rsid w:val="00121518"/>
    <w:rsid w:val="0012193E"/>
    <w:rsid w:val="00122419"/>
    <w:rsid w:val="00122C9E"/>
    <w:rsid w:val="00122CA4"/>
    <w:rsid w:val="001233F8"/>
    <w:rsid w:val="00123408"/>
    <w:rsid w:val="001245F8"/>
    <w:rsid w:val="001248A9"/>
    <w:rsid w:val="00125956"/>
    <w:rsid w:val="00125FD6"/>
    <w:rsid w:val="00126884"/>
    <w:rsid w:val="00126DA2"/>
    <w:rsid w:val="00127A9E"/>
    <w:rsid w:val="001304AF"/>
    <w:rsid w:val="00130764"/>
    <w:rsid w:val="00130A9B"/>
    <w:rsid w:val="00130BCB"/>
    <w:rsid w:val="0013159A"/>
    <w:rsid w:val="00132324"/>
    <w:rsid w:val="00132444"/>
    <w:rsid w:val="00132DA3"/>
    <w:rsid w:val="001346DD"/>
    <w:rsid w:val="001351C5"/>
    <w:rsid w:val="001351F8"/>
    <w:rsid w:val="0013662A"/>
    <w:rsid w:val="00136BDA"/>
    <w:rsid w:val="00137033"/>
    <w:rsid w:val="00137742"/>
    <w:rsid w:val="00137A0B"/>
    <w:rsid w:val="00137F7E"/>
    <w:rsid w:val="0014024D"/>
    <w:rsid w:val="00140D6B"/>
    <w:rsid w:val="00141867"/>
    <w:rsid w:val="00141E4D"/>
    <w:rsid w:val="001423AF"/>
    <w:rsid w:val="00143610"/>
    <w:rsid w:val="00144A16"/>
    <w:rsid w:val="00144B57"/>
    <w:rsid w:val="001469B7"/>
    <w:rsid w:val="00146D68"/>
    <w:rsid w:val="001473E1"/>
    <w:rsid w:val="0015065D"/>
    <w:rsid w:val="00151121"/>
    <w:rsid w:val="00151359"/>
    <w:rsid w:val="001518D3"/>
    <w:rsid w:val="001519AB"/>
    <w:rsid w:val="00151B9D"/>
    <w:rsid w:val="00151BC9"/>
    <w:rsid w:val="00152A3D"/>
    <w:rsid w:val="00153052"/>
    <w:rsid w:val="001532E5"/>
    <w:rsid w:val="00153663"/>
    <w:rsid w:val="00154693"/>
    <w:rsid w:val="00155734"/>
    <w:rsid w:val="00155A1B"/>
    <w:rsid w:val="0015608C"/>
    <w:rsid w:val="001563E5"/>
    <w:rsid w:val="00156761"/>
    <w:rsid w:val="0015757A"/>
    <w:rsid w:val="0015763E"/>
    <w:rsid w:val="00157C42"/>
    <w:rsid w:val="00161BB6"/>
    <w:rsid w:val="00163C3F"/>
    <w:rsid w:val="00163FE0"/>
    <w:rsid w:val="00164411"/>
    <w:rsid w:val="00165B64"/>
    <w:rsid w:val="00165F0E"/>
    <w:rsid w:val="00166595"/>
    <w:rsid w:val="001666ED"/>
    <w:rsid w:val="00166857"/>
    <w:rsid w:val="00166EEA"/>
    <w:rsid w:val="001679A3"/>
    <w:rsid w:val="0017000C"/>
    <w:rsid w:val="00170786"/>
    <w:rsid w:val="0017087F"/>
    <w:rsid w:val="00170FF9"/>
    <w:rsid w:val="00171012"/>
    <w:rsid w:val="001717D3"/>
    <w:rsid w:val="001717DF"/>
    <w:rsid w:val="00173718"/>
    <w:rsid w:val="0017394A"/>
    <w:rsid w:val="00173F06"/>
    <w:rsid w:val="001743C0"/>
    <w:rsid w:val="0017469A"/>
    <w:rsid w:val="00174FA2"/>
    <w:rsid w:val="00175246"/>
    <w:rsid w:val="0017586A"/>
    <w:rsid w:val="00175B6A"/>
    <w:rsid w:val="00175CCD"/>
    <w:rsid w:val="00176A56"/>
    <w:rsid w:val="00176EBF"/>
    <w:rsid w:val="0017703B"/>
    <w:rsid w:val="0018126B"/>
    <w:rsid w:val="001812BB"/>
    <w:rsid w:val="00181A0F"/>
    <w:rsid w:val="001827EC"/>
    <w:rsid w:val="00183239"/>
    <w:rsid w:val="001851BD"/>
    <w:rsid w:val="00185645"/>
    <w:rsid w:val="00186681"/>
    <w:rsid w:val="00187305"/>
    <w:rsid w:val="00187897"/>
    <w:rsid w:val="00187BB9"/>
    <w:rsid w:val="00187C23"/>
    <w:rsid w:val="0019072F"/>
    <w:rsid w:val="00190D56"/>
    <w:rsid w:val="00190E72"/>
    <w:rsid w:val="00191095"/>
    <w:rsid w:val="001910D3"/>
    <w:rsid w:val="00191663"/>
    <w:rsid w:val="0019237B"/>
    <w:rsid w:val="0019438A"/>
    <w:rsid w:val="00194919"/>
    <w:rsid w:val="00194E64"/>
    <w:rsid w:val="001953DB"/>
    <w:rsid w:val="00195532"/>
    <w:rsid w:val="001957D7"/>
    <w:rsid w:val="00195F51"/>
    <w:rsid w:val="00196095"/>
    <w:rsid w:val="00196383"/>
    <w:rsid w:val="00196A13"/>
    <w:rsid w:val="00197236"/>
    <w:rsid w:val="001978BF"/>
    <w:rsid w:val="00197A35"/>
    <w:rsid w:val="001A0895"/>
    <w:rsid w:val="001A297F"/>
    <w:rsid w:val="001A2C88"/>
    <w:rsid w:val="001A45E3"/>
    <w:rsid w:val="001A52B7"/>
    <w:rsid w:val="001A5CDE"/>
    <w:rsid w:val="001A5FB8"/>
    <w:rsid w:val="001A6E03"/>
    <w:rsid w:val="001A7251"/>
    <w:rsid w:val="001B0BB2"/>
    <w:rsid w:val="001B15C3"/>
    <w:rsid w:val="001B2392"/>
    <w:rsid w:val="001B3CCC"/>
    <w:rsid w:val="001B3F47"/>
    <w:rsid w:val="001B4873"/>
    <w:rsid w:val="001B4AF3"/>
    <w:rsid w:val="001B4F53"/>
    <w:rsid w:val="001B5B6F"/>
    <w:rsid w:val="001B6EBB"/>
    <w:rsid w:val="001B76FE"/>
    <w:rsid w:val="001B7752"/>
    <w:rsid w:val="001B78DD"/>
    <w:rsid w:val="001B7991"/>
    <w:rsid w:val="001C0324"/>
    <w:rsid w:val="001C0AFF"/>
    <w:rsid w:val="001C0FE1"/>
    <w:rsid w:val="001C13DF"/>
    <w:rsid w:val="001C14C2"/>
    <w:rsid w:val="001C1FC6"/>
    <w:rsid w:val="001C396E"/>
    <w:rsid w:val="001C4E59"/>
    <w:rsid w:val="001C519A"/>
    <w:rsid w:val="001C5F6E"/>
    <w:rsid w:val="001C5FB0"/>
    <w:rsid w:val="001C625B"/>
    <w:rsid w:val="001C6EE0"/>
    <w:rsid w:val="001D0B1A"/>
    <w:rsid w:val="001D116D"/>
    <w:rsid w:val="001D11CD"/>
    <w:rsid w:val="001D12B4"/>
    <w:rsid w:val="001D1381"/>
    <w:rsid w:val="001D15C8"/>
    <w:rsid w:val="001D22B3"/>
    <w:rsid w:val="001D22F3"/>
    <w:rsid w:val="001D25D7"/>
    <w:rsid w:val="001D28D7"/>
    <w:rsid w:val="001D2BBE"/>
    <w:rsid w:val="001D2D74"/>
    <w:rsid w:val="001D3EAE"/>
    <w:rsid w:val="001D4056"/>
    <w:rsid w:val="001D457F"/>
    <w:rsid w:val="001D4797"/>
    <w:rsid w:val="001D4A87"/>
    <w:rsid w:val="001D4AEE"/>
    <w:rsid w:val="001D4FF8"/>
    <w:rsid w:val="001D5DE7"/>
    <w:rsid w:val="001D6262"/>
    <w:rsid w:val="001D7781"/>
    <w:rsid w:val="001D790D"/>
    <w:rsid w:val="001E06D5"/>
    <w:rsid w:val="001E16C2"/>
    <w:rsid w:val="001E3258"/>
    <w:rsid w:val="001E32EC"/>
    <w:rsid w:val="001E3588"/>
    <w:rsid w:val="001E447A"/>
    <w:rsid w:val="001E52F9"/>
    <w:rsid w:val="001E58D6"/>
    <w:rsid w:val="001E58E1"/>
    <w:rsid w:val="001E59D7"/>
    <w:rsid w:val="001E5E1B"/>
    <w:rsid w:val="001E6AB1"/>
    <w:rsid w:val="001E6C0A"/>
    <w:rsid w:val="001E6C17"/>
    <w:rsid w:val="001E7124"/>
    <w:rsid w:val="001E720E"/>
    <w:rsid w:val="001E7ECA"/>
    <w:rsid w:val="001E7F0C"/>
    <w:rsid w:val="001F1262"/>
    <w:rsid w:val="001F1C36"/>
    <w:rsid w:val="001F24C8"/>
    <w:rsid w:val="001F2EF2"/>
    <w:rsid w:val="001F3571"/>
    <w:rsid w:val="001F3C1F"/>
    <w:rsid w:val="001F4022"/>
    <w:rsid w:val="001F481B"/>
    <w:rsid w:val="001F4942"/>
    <w:rsid w:val="001F49A3"/>
    <w:rsid w:val="001F4FD9"/>
    <w:rsid w:val="001F616E"/>
    <w:rsid w:val="001F6445"/>
    <w:rsid w:val="001F67F9"/>
    <w:rsid w:val="001F7EFE"/>
    <w:rsid w:val="0020053F"/>
    <w:rsid w:val="0020114A"/>
    <w:rsid w:val="00201288"/>
    <w:rsid w:val="002012F5"/>
    <w:rsid w:val="00202F17"/>
    <w:rsid w:val="00203487"/>
    <w:rsid w:val="0020388B"/>
    <w:rsid w:val="00203991"/>
    <w:rsid w:val="00204618"/>
    <w:rsid w:val="002046B5"/>
    <w:rsid w:val="00204F8A"/>
    <w:rsid w:val="002050B6"/>
    <w:rsid w:val="00205CB7"/>
    <w:rsid w:val="0020604C"/>
    <w:rsid w:val="00206761"/>
    <w:rsid w:val="00207250"/>
    <w:rsid w:val="002076B3"/>
    <w:rsid w:val="00207765"/>
    <w:rsid w:val="00207E22"/>
    <w:rsid w:val="00210F59"/>
    <w:rsid w:val="00211C5D"/>
    <w:rsid w:val="00211EFE"/>
    <w:rsid w:val="00212361"/>
    <w:rsid w:val="00212D06"/>
    <w:rsid w:val="00213363"/>
    <w:rsid w:val="00213727"/>
    <w:rsid w:val="0021389E"/>
    <w:rsid w:val="00213A7E"/>
    <w:rsid w:val="00213ED7"/>
    <w:rsid w:val="002155D9"/>
    <w:rsid w:val="00215858"/>
    <w:rsid w:val="00215B09"/>
    <w:rsid w:val="00215D6F"/>
    <w:rsid w:val="00216DF6"/>
    <w:rsid w:val="002170E2"/>
    <w:rsid w:val="002173E6"/>
    <w:rsid w:val="00217C51"/>
    <w:rsid w:val="00217D55"/>
    <w:rsid w:val="00220DEB"/>
    <w:rsid w:val="002211FF"/>
    <w:rsid w:val="00221BFD"/>
    <w:rsid w:val="00221E0A"/>
    <w:rsid w:val="00221F60"/>
    <w:rsid w:val="0022234E"/>
    <w:rsid w:val="00222386"/>
    <w:rsid w:val="002228C2"/>
    <w:rsid w:val="00222FEC"/>
    <w:rsid w:val="00223862"/>
    <w:rsid w:val="00223CCB"/>
    <w:rsid w:val="00224590"/>
    <w:rsid w:val="002250B6"/>
    <w:rsid w:val="00226707"/>
    <w:rsid w:val="00227091"/>
    <w:rsid w:val="0022728D"/>
    <w:rsid w:val="002275B2"/>
    <w:rsid w:val="00227EBC"/>
    <w:rsid w:val="0023016F"/>
    <w:rsid w:val="00230D4B"/>
    <w:rsid w:val="002311E0"/>
    <w:rsid w:val="00231775"/>
    <w:rsid w:val="00231CBE"/>
    <w:rsid w:val="0023229A"/>
    <w:rsid w:val="00232595"/>
    <w:rsid w:val="002330FE"/>
    <w:rsid w:val="0023387C"/>
    <w:rsid w:val="00233E36"/>
    <w:rsid w:val="0023423E"/>
    <w:rsid w:val="0023489D"/>
    <w:rsid w:val="002368C9"/>
    <w:rsid w:val="0023708E"/>
    <w:rsid w:val="002374CD"/>
    <w:rsid w:val="002376DB"/>
    <w:rsid w:val="00237E01"/>
    <w:rsid w:val="00237E5A"/>
    <w:rsid w:val="00237E66"/>
    <w:rsid w:val="00237F0A"/>
    <w:rsid w:val="00237F92"/>
    <w:rsid w:val="00240014"/>
    <w:rsid w:val="00240AF1"/>
    <w:rsid w:val="00240D4B"/>
    <w:rsid w:val="002413E7"/>
    <w:rsid w:val="00241973"/>
    <w:rsid w:val="00241A14"/>
    <w:rsid w:val="00242BBA"/>
    <w:rsid w:val="00243223"/>
    <w:rsid w:val="0024329D"/>
    <w:rsid w:val="00243446"/>
    <w:rsid w:val="00243E78"/>
    <w:rsid w:val="00244A9B"/>
    <w:rsid w:val="00244EBA"/>
    <w:rsid w:val="00245350"/>
    <w:rsid w:val="00246865"/>
    <w:rsid w:val="002468B1"/>
    <w:rsid w:val="002469AA"/>
    <w:rsid w:val="002470F3"/>
    <w:rsid w:val="002479DA"/>
    <w:rsid w:val="00250A31"/>
    <w:rsid w:val="00250B7C"/>
    <w:rsid w:val="00250C9E"/>
    <w:rsid w:val="00250FAC"/>
    <w:rsid w:val="00251A85"/>
    <w:rsid w:val="0025232B"/>
    <w:rsid w:val="00252BAE"/>
    <w:rsid w:val="0025302C"/>
    <w:rsid w:val="0025350D"/>
    <w:rsid w:val="0025373D"/>
    <w:rsid w:val="00253B4C"/>
    <w:rsid w:val="00253CF8"/>
    <w:rsid w:val="00254300"/>
    <w:rsid w:val="002545F1"/>
    <w:rsid w:val="00255847"/>
    <w:rsid w:val="00255B14"/>
    <w:rsid w:val="002561E9"/>
    <w:rsid w:val="0025728C"/>
    <w:rsid w:val="00257351"/>
    <w:rsid w:val="00257A85"/>
    <w:rsid w:val="00257D2B"/>
    <w:rsid w:val="0026004B"/>
    <w:rsid w:val="00260564"/>
    <w:rsid w:val="0026076E"/>
    <w:rsid w:val="00261337"/>
    <w:rsid w:val="002613D5"/>
    <w:rsid w:val="0026202A"/>
    <w:rsid w:val="00262AD5"/>
    <w:rsid w:val="00262D76"/>
    <w:rsid w:val="002633C7"/>
    <w:rsid w:val="00263D58"/>
    <w:rsid w:val="00264270"/>
    <w:rsid w:val="00264F04"/>
    <w:rsid w:val="00265405"/>
    <w:rsid w:val="00266121"/>
    <w:rsid w:val="002665A0"/>
    <w:rsid w:val="002669B0"/>
    <w:rsid w:val="0026728B"/>
    <w:rsid w:val="002674AD"/>
    <w:rsid w:val="00267FE7"/>
    <w:rsid w:val="00270D51"/>
    <w:rsid w:val="002716C3"/>
    <w:rsid w:val="00272F6D"/>
    <w:rsid w:val="002732EB"/>
    <w:rsid w:val="00275336"/>
    <w:rsid w:val="002755CD"/>
    <w:rsid w:val="002769D7"/>
    <w:rsid w:val="002803F6"/>
    <w:rsid w:val="00280E7E"/>
    <w:rsid w:val="00281363"/>
    <w:rsid w:val="002817C8"/>
    <w:rsid w:val="0028186F"/>
    <w:rsid w:val="002819CF"/>
    <w:rsid w:val="00281C21"/>
    <w:rsid w:val="00282335"/>
    <w:rsid w:val="002824F4"/>
    <w:rsid w:val="00282F7A"/>
    <w:rsid w:val="002830AB"/>
    <w:rsid w:val="00283726"/>
    <w:rsid w:val="00283B7F"/>
    <w:rsid w:val="00283DB2"/>
    <w:rsid w:val="002840CB"/>
    <w:rsid w:val="0028428C"/>
    <w:rsid w:val="00284624"/>
    <w:rsid w:val="00284984"/>
    <w:rsid w:val="002851BA"/>
    <w:rsid w:val="00285CD3"/>
    <w:rsid w:val="00286469"/>
    <w:rsid w:val="00286722"/>
    <w:rsid w:val="002870D0"/>
    <w:rsid w:val="002872D1"/>
    <w:rsid w:val="0029052F"/>
    <w:rsid w:val="00291452"/>
    <w:rsid w:val="00291882"/>
    <w:rsid w:val="00291ED4"/>
    <w:rsid w:val="00292BB3"/>
    <w:rsid w:val="00292E06"/>
    <w:rsid w:val="0029310E"/>
    <w:rsid w:val="002932B2"/>
    <w:rsid w:val="00293332"/>
    <w:rsid w:val="002945EE"/>
    <w:rsid w:val="00294B72"/>
    <w:rsid w:val="00294BA7"/>
    <w:rsid w:val="002955FF"/>
    <w:rsid w:val="00295776"/>
    <w:rsid w:val="00295C34"/>
    <w:rsid w:val="00296008"/>
    <w:rsid w:val="00296146"/>
    <w:rsid w:val="00296CD1"/>
    <w:rsid w:val="00297038"/>
    <w:rsid w:val="00297060"/>
    <w:rsid w:val="002974DA"/>
    <w:rsid w:val="002978C9"/>
    <w:rsid w:val="00297C1B"/>
    <w:rsid w:val="002A0598"/>
    <w:rsid w:val="002A06FF"/>
    <w:rsid w:val="002A0BD9"/>
    <w:rsid w:val="002A0F63"/>
    <w:rsid w:val="002A2093"/>
    <w:rsid w:val="002A221F"/>
    <w:rsid w:val="002A28A1"/>
    <w:rsid w:val="002A2C3E"/>
    <w:rsid w:val="002A2D4A"/>
    <w:rsid w:val="002A35D8"/>
    <w:rsid w:val="002A4DA2"/>
    <w:rsid w:val="002A5013"/>
    <w:rsid w:val="002A5693"/>
    <w:rsid w:val="002A5B4D"/>
    <w:rsid w:val="002A6EFB"/>
    <w:rsid w:val="002A71D7"/>
    <w:rsid w:val="002A77BA"/>
    <w:rsid w:val="002A78E5"/>
    <w:rsid w:val="002B0950"/>
    <w:rsid w:val="002B1995"/>
    <w:rsid w:val="002B2028"/>
    <w:rsid w:val="002B22BB"/>
    <w:rsid w:val="002B324B"/>
    <w:rsid w:val="002B401D"/>
    <w:rsid w:val="002B45AA"/>
    <w:rsid w:val="002B49BB"/>
    <w:rsid w:val="002B545E"/>
    <w:rsid w:val="002B7245"/>
    <w:rsid w:val="002B74AB"/>
    <w:rsid w:val="002B7CAC"/>
    <w:rsid w:val="002C08E7"/>
    <w:rsid w:val="002C11D6"/>
    <w:rsid w:val="002C1EA9"/>
    <w:rsid w:val="002C2117"/>
    <w:rsid w:val="002C2DF3"/>
    <w:rsid w:val="002C2F63"/>
    <w:rsid w:val="002C2FC2"/>
    <w:rsid w:val="002C3C10"/>
    <w:rsid w:val="002C5B36"/>
    <w:rsid w:val="002C66B2"/>
    <w:rsid w:val="002C6928"/>
    <w:rsid w:val="002C6C02"/>
    <w:rsid w:val="002C7019"/>
    <w:rsid w:val="002C73B7"/>
    <w:rsid w:val="002D06D5"/>
    <w:rsid w:val="002D0BCB"/>
    <w:rsid w:val="002D0C6D"/>
    <w:rsid w:val="002D1CDF"/>
    <w:rsid w:val="002D2DA7"/>
    <w:rsid w:val="002D3548"/>
    <w:rsid w:val="002D3DE4"/>
    <w:rsid w:val="002D42E8"/>
    <w:rsid w:val="002D4542"/>
    <w:rsid w:val="002D47EF"/>
    <w:rsid w:val="002D55C2"/>
    <w:rsid w:val="002D5A52"/>
    <w:rsid w:val="002D5A94"/>
    <w:rsid w:val="002D5DB6"/>
    <w:rsid w:val="002D6760"/>
    <w:rsid w:val="002D6C0B"/>
    <w:rsid w:val="002D6FFD"/>
    <w:rsid w:val="002D7129"/>
    <w:rsid w:val="002D7654"/>
    <w:rsid w:val="002D7D13"/>
    <w:rsid w:val="002E06C1"/>
    <w:rsid w:val="002E092B"/>
    <w:rsid w:val="002E0B38"/>
    <w:rsid w:val="002E0F89"/>
    <w:rsid w:val="002E11D9"/>
    <w:rsid w:val="002E14B6"/>
    <w:rsid w:val="002E1A1F"/>
    <w:rsid w:val="002E2E7F"/>
    <w:rsid w:val="002E2E93"/>
    <w:rsid w:val="002E3859"/>
    <w:rsid w:val="002E3FFA"/>
    <w:rsid w:val="002E4E3C"/>
    <w:rsid w:val="002E618E"/>
    <w:rsid w:val="002E64E5"/>
    <w:rsid w:val="002E6769"/>
    <w:rsid w:val="002E6BB5"/>
    <w:rsid w:val="002E71D3"/>
    <w:rsid w:val="002F00A8"/>
    <w:rsid w:val="002F0176"/>
    <w:rsid w:val="002F029D"/>
    <w:rsid w:val="002F03EC"/>
    <w:rsid w:val="002F054B"/>
    <w:rsid w:val="002F07EF"/>
    <w:rsid w:val="002F0D94"/>
    <w:rsid w:val="002F11F0"/>
    <w:rsid w:val="002F1AF0"/>
    <w:rsid w:val="002F2134"/>
    <w:rsid w:val="002F26A4"/>
    <w:rsid w:val="002F2F6B"/>
    <w:rsid w:val="002F3507"/>
    <w:rsid w:val="002F39D8"/>
    <w:rsid w:val="002F48FD"/>
    <w:rsid w:val="002F4BA8"/>
    <w:rsid w:val="002F5283"/>
    <w:rsid w:val="002F6F20"/>
    <w:rsid w:val="002F6FE4"/>
    <w:rsid w:val="002F7BCD"/>
    <w:rsid w:val="00300329"/>
    <w:rsid w:val="0030235D"/>
    <w:rsid w:val="0030341C"/>
    <w:rsid w:val="00303F0E"/>
    <w:rsid w:val="00304E7C"/>
    <w:rsid w:val="0030504C"/>
    <w:rsid w:val="00306929"/>
    <w:rsid w:val="00306C65"/>
    <w:rsid w:val="00306E62"/>
    <w:rsid w:val="00306F37"/>
    <w:rsid w:val="003070CF"/>
    <w:rsid w:val="00307930"/>
    <w:rsid w:val="00307C38"/>
    <w:rsid w:val="00312372"/>
    <w:rsid w:val="00312EA3"/>
    <w:rsid w:val="0031429D"/>
    <w:rsid w:val="00314F6B"/>
    <w:rsid w:val="00315226"/>
    <w:rsid w:val="003152D9"/>
    <w:rsid w:val="00315349"/>
    <w:rsid w:val="00315433"/>
    <w:rsid w:val="00315AAF"/>
    <w:rsid w:val="0031648D"/>
    <w:rsid w:val="00316E07"/>
    <w:rsid w:val="0031713B"/>
    <w:rsid w:val="00317795"/>
    <w:rsid w:val="003207B2"/>
    <w:rsid w:val="003218AF"/>
    <w:rsid w:val="00321E70"/>
    <w:rsid w:val="00322939"/>
    <w:rsid w:val="00323B42"/>
    <w:rsid w:val="003250C8"/>
    <w:rsid w:val="003253C0"/>
    <w:rsid w:val="003257B2"/>
    <w:rsid w:val="00325925"/>
    <w:rsid w:val="00325F76"/>
    <w:rsid w:val="00326083"/>
    <w:rsid w:val="003260CF"/>
    <w:rsid w:val="00326A3C"/>
    <w:rsid w:val="00326FAD"/>
    <w:rsid w:val="00327F51"/>
    <w:rsid w:val="003310C6"/>
    <w:rsid w:val="003311A4"/>
    <w:rsid w:val="00331E67"/>
    <w:rsid w:val="00331F34"/>
    <w:rsid w:val="00332EBA"/>
    <w:rsid w:val="0033321F"/>
    <w:rsid w:val="003335D6"/>
    <w:rsid w:val="00333CB1"/>
    <w:rsid w:val="003355F7"/>
    <w:rsid w:val="00336284"/>
    <w:rsid w:val="00336995"/>
    <w:rsid w:val="00340252"/>
    <w:rsid w:val="003406CC"/>
    <w:rsid w:val="00340A8B"/>
    <w:rsid w:val="00341CA7"/>
    <w:rsid w:val="00341F94"/>
    <w:rsid w:val="0034200A"/>
    <w:rsid w:val="003420A8"/>
    <w:rsid w:val="003423ED"/>
    <w:rsid w:val="00342BAB"/>
    <w:rsid w:val="00342E63"/>
    <w:rsid w:val="0034314C"/>
    <w:rsid w:val="00343518"/>
    <w:rsid w:val="003435EF"/>
    <w:rsid w:val="0034384D"/>
    <w:rsid w:val="00343C35"/>
    <w:rsid w:val="0034485F"/>
    <w:rsid w:val="00344974"/>
    <w:rsid w:val="003450CB"/>
    <w:rsid w:val="0034565D"/>
    <w:rsid w:val="003463D5"/>
    <w:rsid w:val="003476EF"/>
    <w:rsid w:val="00347E46"/>
    <w:rsid w:val="00350419"/>
    <w:rsid w:val="003507BA"/>
    <w:rsid w:val="003507C3"/>
    <w:rsid w:val="00351418"/>
    <w:rsid w:val="00352A36"/>
    <w:rsid w:val="00353F87"/>
    <w:rsid w:val="0035448E"/>
    <w:rsid w:val="003549AD"/>
    <w:rsid w:val="003556C8"/>
    <w:rsid w:val="00355977"/>
    <w:rsid w:val="00355AFD"/>
    <w:rsid w:val="00356010"/>
    <w:rsid w:val="0035618C"/>
    <w:rsid w:val="0035786E"/>
    <w:rsid w:val="003607F9"/>
    <w:rsid w:val="00360AA2"/>
    <w:rsid w:val="00361B28"/>
    <w:rsid w:val="00361DE6"/>
    <w:rsid w:val="0036268C"/>
    <w:rsid w:val="00362798"/>
    <w:rsid w:val="00363C7B"/>
    <w:rsid w:val="00363F67"/>
    <w:rsid w:val="00364E49"/>
    <w:rsid w:val="00364E5F"/>
    <w:rsid w:val="0036511D"/>
    <w:rsid w:val="003651AE"/>
    <w:rsid w:val="0036590D"/>
    <w:rsid w:val="00366179"/>
    <w:rsid w:val="0036648D"/>
    <w:rsid w:val="00366C39"/>
    <w:rsid w:val="00367840"/>
    <w:rsid w:val="00370ACC"/>
    <w:rsid w:val="00370B54"/>
    <w:rsid w:val="003710F0"/>
    <w:rsid w:val="0037119B"/>
    <w:rsid w:val="00371D37"/>
    <w:rsid w:val="00371ED0"/>
    <w:rsid w:val="00372AC5"/>
    <w:rsid w:val="00372BB1"/>
    <w:rsid w:val="00375036"/>
    <w:rsid w:val="003758AD"/>
    <w:rsid w:val="003759F4"/>
    <w:rsid w:val="003763D7"/>
    <w:rsid w:val="0037658D"/>
    <w:rsid w:val="00376D85"/>
    <w:rsid w:val="003773D1"/>
    <w:rsid w:val="00377730"/>
    <w:rsid w:val="00377B0F"/>
    <w:rsid w:val="00377D19"/>
    <w:rsid w:val="00377EFC"/>
    <w:rsid w:val="00377FBA"/>
    <w:rsid w:val="00380FF4"/>
    <w:rsid w:val="0038127D"/>
    <w:rsid w:val="003826FD"/>
    <w:rsid w:val="003829C4"/>
    <w:rsid w:val="00382C82"/>
    <w:rsid w:val="00382E5C"/>
    <w:rsid w:val="003836A7"/>
    <w:rsid w:val="00384395"/>
    <w:rsid w:val="00384B71"/>
    <w:rsid w:val="00384BC1"/>
    <w:rsid w:val="00385C12"/>
    <w:rsid w:val="00386999"/>
    <w:rsid w:val="00386FB5"/>
    <w:rsid w:val="0038735E"/>
    <w:rsid w:val="00387A2C"/>
    <w:rsid w:val="00387CC5"/>
    <w:rsid w:val="00390B46"/>
    <w:rsid w:val="003910B3"/>
    <w:rsid w:val="00391E45"/>
    <w:rsid w:val="003921F6"/>
    <w:rsid w:val="003924B3"/>
    <w:rsid w:val="00392EC7"/>
    <w:rsid w:val="0039331B"/>
    <w:rsid w:val="003935AA"/>
    <w:rsid w:val="00393ADF"/>
    <w:rsid w:val="00394AF7"/>
    <w:rsid w:val="0039511F"/>
    <w:rsid w:val="003952D4"/>
    <w:rsid w:val="0039587E"/>
    <w:rsid w:val="00395DEE"/>
    <w:rsid w:val="00396395"/>
    <w:rsid w:val="00397CA1"/>
    <w:rsid w:val="003A0385"/>
    <w:rsid w:val="003A0619"/>
    <w:rsid w:val="003A0DF6"/>
    <w:rsid w:val="003A1575"/>
    <w:rsid w:val="003A1834"/>
    <w:rsid w:val="003A188D"/>
    <w:rsid w:val="003A1BA8"/>
    <w:rsid w:val="003A226F"/>
    <w:rsid w:val="003A2B2E"/>
    <w:rsid w:val="003A33EA"/>
    <w:rsid w:val="003A3593"/>
    <w:rsid w:val="003A3A16"/>
    <w:rsid w:val="003A3D8F"/>
    <w:rsid w:val="003A4191"/>
    <w:rsid w:val="003A4871"/>
    <w:rsid w:val="003A5A29"/>
    <w:rsid w:val="003A5ACB"/>
    <w:rsid w:val="003A7DF9"/>
    <w:rsid w:val="003B0469"/>
    <w:rsid w:val="003B0921"/>
    <w:rsid w:val="003B0B63"/>
    <w:rsid w:val="003B0E0D"/>
    <w:rsid w:val="003B1405"/>
    <w:rsid w:val="003B1512"/>
    <w:rsid w:val="003B186C"/>
    <w:rsid w:val="003B2E70"/>
    <w:rsid w:val="003B399C"/>
    <w:rsid w:val="003B49F1"/>
    <w:rsid w:val="003B5451"/>
    <w:rsid w:val="003B5BAE"/>
    <w:rsid w:val="003B5D79"/>
    <w:rsid w:val="003B60F8"/>
    <w:rsid w:val="003B66B5"/>
    <w:rsid w:val="003B7A26"/>
    <w:rsid w:val="003C09B5"/>
    <w:rsid w:val="003C0A10"/>
    <w:rsid w:val="003C0AFE"/>
    <w:rsid w:val="003C16C6"/>
    <w:rsid w:val="003C1F28"/>
    <w:rsid w:val="003C2743"/>
    <w:rsid w:val="003C2E81"/>
    <w:rsid w:val="003C2EB8"/>
    <w:rsid w:val="003C345A"/>
    <w:rsid w:val="003C3661"/>
    <w:rsid w:val="003C3F9F"/>
    <w:rsid w:val="003C4D07"/>
    <w:rsid w:val="003C587C"/>
    <w:rsid w:val="003C62D1"/>
    <w:rsid w:val="003C6FB9"/>
    <w:rsid w:val="003C7391"/>
    <w:rsid w:val="003C7DCB"/>
    <w:rsid w:val="003D04EC"/>
    <w:rsid w:val="003D16E9"/>
    <w:rsid w:val="003D1D6B"/>
    <w:rsid w:val="003D1FAF"/>
    <w:rsid w:val="003D25A0"/>
    <w:rsid w:val="003D27C5"/>
    <w:rsid w:val="003D344F"/>
    <w:rsid w:val="003D3A16"/>
    <w:rsid w:val="003D3DAA"/>
    <w:rsid w:val="003D448D"/>
    <w:rsid w:val="003D489A"/>
    <w:rsid w:val="003D4E06"/>
    <w:rsid w:val="003D547E"/>
    <w:rsid w:val="003D682E"/>
    <w:rsid w:val="003D6C19"/>
    <w:rsid w:val="003E0F44"/>
    <w:rsid w:val="003E18D2"/>
    <w:rsid w:val="003E198D"/>
    <w:rsid w:val="003E1A3E"/>
    <w:rsid w:val="003E2CE9"/>
    <w:rsid w:val="003E3005"/>
    <w:rsid w:val="003E3772"/>
    <w:rsid w:val="003E42AA"/>
    <w:rsid w:val="003E44D1"/>
    <w:rsid w:val="003E4E13"/>
    <w:rsid w:val="003E4EDA"/>
    <w:rsid w:val="003E56BD"/>
    <w:rsid w:val="003E5C7A"/>
    <w:rsid w:val="003E6229"/>
    <w:rsid w:val="003E6408"/>
    <w:rsid w:val="003E6526"/>
    <w:rsid w:val="003E6600"/>
    <w:rsid w:val="003E7112"/>
    <w:rsid w:val="003E7A74"/>
    <w:rsid w:val="003E7DCC"/>
    <w:rsid w:val="003F16D2"/>
    <w:rsid w:val="003F182D"/>
    <w:rsid w:val="003F1F15"/>
    <w:rsid w:val="003F233F"/>
    <w:rsid w:val="003F2C5C"/>
    <w:rsid w:val="003F2D0E"/>
    <w:rsid w:val="003F2F16"/>
    <w:rsid w:val="003F31F7"/>
    <w:rsid w:val="003F3549"/>
    <w:rsid w:val="003F4256"/>
    <w:rsid w:val="003F474B"/>
    <w:rsid w:val="003F4764"/>
    <w:rsid w:val="003F513D"/>
    <w:rsid w:val="003F582F"/>
    <w:rsid w:val="003F6271"/>
    <w:rsid w:val="003F6A18"/>
    <w:rsid w:val="003F6BE0"/>
    <w:rsid w:val="00400088"/>
    <w:rsid w:val="00401113"/>
    <w:rsid w:val="00402486"/>
    <w:rsid w:val="00402501"/>
    <w:rsid w:val="004031C9"/>
    <w:rsid w:val="00403B64"/>
    <w:rsid w:val="00403D77"/>
    <w:rsid w:val="00404906"/>
    <w:rsid w:val="00405D1A"/>
    <w:rsid w:val="00405EC5"/>
    <w:rsid w:val="00406117"/>
    <w:rsid w:val="00407151"/>
    <w:rsid w:val="004072F8"/>
    <w:rsid w:val="0040799D"/>
    <w:rsid w:val="00410158"/>
    <w:rsid w:val="00410C20"/>
    <w:rsid w:val="00410C94"/>
    <w:rsid w:val="00410D26"/>
    <w:rsid w:val="004120A5"/>
    <w:rsid w:val="0041246A"/>
    <w:rsid w:val="00412861"/>
    <w:rsid w:val="00413B0F"/>
    <w:rsid w:val="00414C6A"/>
    <w:rsid w:val="00415A2E"/>
    <w:rsid w:val="00416309"/>
    <w:rsid w:val="00416A35"/>
    <w:rsid w:val="004179A1"/>
    <w:rsid w:val="0042048D"/>
    <w:rsid w:val="00421189"/>
    <w:rsid w:val="00421204"/>
    <w:rsid w:val="0042145C"/>
    <w:rsid w:val="0042256B"/>
    <w:rsid w:val="00422F4D"/>
    <w:rsid w:val="0042317C"/>
    <w:rsid w:val="004234F4"/>
    <w:rsid w:val="00424108"/>
    <w:rsid w:val="0042442E"/>
    <w:rsid w:val="00424CD2"/>
    <w:rsid w:val="00424DCE"/>
    <w:rsid w:val="00427AF4"/>
    <w:rsid w:val="00430765"/>
    <w:rsid w:val="004308C8"/>
    <w:rsid w:val="00430C5C"/>
    <w:rsid w:val="0043103A"/>
    <w:rsid w:val="0043114C"/>
    <w:rsid w:val="004312D8"/>
    <w:rsid w:val="00431519"/>
    <w:rsid w:val="004316EC"/>
    <w:rsid w:val="00431904"/>
    <w:rsid w:val="00432026"/>
    <w:rsid w:val="00432035"/>
    <w:rsid w:val="0043243D"/>
    <w:rsid w:val="00432978"/>
    <w:rsid w:val="0043327D"/>
    <w:rsid w:val="004335C7"/>
    <w:rsid w:val="004337E1"/>
    <w:rsid w:val="0043465F"/>
    <w:rsid w:val="00434B8B"/>
    <w:rsid w:val="00435BF9"/>
    <w:rsid w:val="00436424"/>
    <w:rsid w:val="00436ACF"/>
    <w:rsid w:val="00436F79"/>
    <w:rsid w:val="004378FA"/>
    <w:rsid w:val="00437910"/>
    <w:rsid w:val="00437D9A"/>
    <w:rsid w:val="004402ED"/>
    <w:rsid w:val="004403B4"/>
    <w:rsid w:val="00441472"/>
    <w:rsid w:val="00441DFD"/>
    <w:rsid w:val="0044228C"/>
    <w:rsid w:val="00442610"/>
    <w:rsid w:val="00442AD0"/>
    <w:rsid w:val="00443782"/>
    <w:rsid w:val="0044380A"/>
    <w:rsid w:val="0044389E"/>
    <w:rsid w:val="00443DFD"/>
    <w:rsid w:val="004443CD"/>
    <w:rsid w:val="00444556"/>
    <w:rsid w:val="00444B6C"/>
    <w:rsid w:val="0044500C"/>
    <w:rsid w:val="0044529F"/>
    <w:rsid w:val="004454B3"/>
    <w:rsid w:val="0044582E"/>
    <w:rsid w:val="00445882"/>
    <w:rsid w:val="00445AEF"/>
    <w:rsid w:val="00445D6D"/>
    <w:rsid w:val="004462CD"/>
    <w:rsid w:val="0044641B"/>
    <w:rsid w:val="00446C20"/>
    <w:rsid w:val="004476B6"/>
    <w:rsid w:val="00450422"/>
    <w:rsid w:val="00450651"/>
    <w:rsid w:val="00450CA2"/>
    <w:rsid w:val="004515B4"/>
    <w:rsid w:val="004522C6"/>
    <w:rsid w:val="0045297D"/>
    <w:rsid w:val="004537BF"/>
    <w:rsid w:val="00454B52"/>
    <w:rsid w:val="00454D32"/>
    <w:rsid w:val="00454DF1"/>
    <w:rsid w:val="00454EE9"/>
    <w:rsid w:val="004551E2"/>
    <w:rsid w:val="00455EC6"/>
    <w:rsid w:val="004570BC"/>
    <w:rsid w:val="00457533"/>
    <w:rsid w:val="00457BAF"/>
    <w:rsid w:val="00457C9E"/>
    <w:rsid w:val="004612F2"/>
    <w:rsid w:val="00461438"/>
    <w:rsid w:val="004615C7"/>
    <w:rsid w:val="00461BCD"/>
    <w:rsid w:val="00462708"/>
    <w:rsid w:val="004627C3"/>
    <w:rsid w:val="004641BE"/>
    <w:rsid w:val="00464607"/>
    <w:rsid w:val="00464773"/>
    <w:rsid w:val="00464D02"/>
    <w:rsid w:val="00464E3F"/>
    <w:rsid w:val="00465215"/>
    <w:rsid w:val="00465C2B"/>
    <w:rsid w:val="00465E13"/>
    <w:rsid w:val="00465E6D"/>
    <w:rsid w:val="004661AD"/>
    <w:rsid w:val="00466313"/>
    <w:rsid w:val="00466F1D"/>
    <w:rsid w:val="00467BDE"/>
    <w:rsid w:val="004700E1"/>
    <w:rsid w:val="0047057D"/>
    <w:rsid w:val="004719B7"/>
    <w:rsid w:val="00471B14"/>
    <w:rsid w:val="00471CB5"/>
    <w:rsid w:val="0047232A"/>
    <w:rsid w:val="004724A0"/>
    <w:rsid w:val="0047327B"/>
    <w:rsid w:val="00473364"/>
    <w:rsid w:val="00473972"/>
    <w:rsid w:val="00474B25"/>
    <w:rsid w:val="00474EC0"/>
    <w:rsid w:val="0047544F"/>
    <w:rsid w:val="00476391"/>
    <w:rsid w:val="004763D8"/>
    <w:rsid w:val="00476588"/>
    <w:rsid w:val="004765F6"/>
    <w:rsid w:val="004767A8"/>
    <w:rsid w:val="00477B34"/>
    <w:rsid w:val="004807A4"/>
    <w:rsid w:val="00481B17"/>
    <w:rsid w:val="00481D40"/>
    <w:rsid w:val="004825A4"/>
    <w:rsid w:val="00482668"/>
    <w:rsid w:val="00483169"/>
    <w:rsid w:val="0048489F"/>
    <w:rsid w:val="00484C4F"/>
    <w:rsid w:val="004852EF"/>
    <w:rsid w:val="004856E4"/>
    <w:rsid w:val="00486177"/>
    <w:rsid w:val="00486718"/>
    <w:rsid w:val="0048680D"/>
    <w:rsid w:val="00487107"/>
    <w:rsid w:val="00487AB6"/>
    <w:rsid w:val="00490447"/>
    <w:rsid w:val="004904CC"/>
    <w:rsid w:val="00490864"/>
    <w:rsid w:val="00491292"/>
    <w:rsid w:val="0049140B"/>
    <w:rsid w:val="00491B4E"/>
    <w:rsid w:val="00491E2B"/>
    <w:rsid w:val="00492135"/>
    <w:rsid w:val="004927A0"/>
    <w:rsid w:val="00492B2C"/>
    <w:rsid w:val="00492D91"/>
    <w:rsid w:val="00493075"/>
    <w:rsid w:val="0049399B"/>
    <w:rsid w:val="00493AC7"/>
    <w:rsid w:val="00493F16"/>
    <w:rsid w:val="00493FEC"/>
    <w:rsid w:val="00494BB3"/>
    <w:rsid w:val="0049590D"/>
    <w:rsid w:val="00495C93"/>
    <w:rsid w:val="004967D0"/>
    <w:rsid w:val="00496AEE"/>
    <w:rsid w:val="00496ED1"/>
    <w:rsid w:val="004975FE"/>
    <w:rsid w:val="00497AA4"/>
    <w:rsid w:val="004A0E78"/>
    <w:rsid w:val="004A14A9"/>
    <w:rsid w:val="004A1FEA"/>
    <w:rsid w:val="004A24B1"/>
    <w:rsid w:val="004A3531"/>
    <w:rsid w:val="004A3D82"/>
    <w:rsid w:val="004A464E"/>
    <w:rsid w:val="004A4AC8"/>
    <w:rsid w:val="004A4FBD"/>
    <w:rsid w:val="004A64CB"/>
    <w:rsid w:val="004A6B2C"/>
    <w:rsid w:val="004A71E9"/>
    <w:rsid w:val="004A7EF8"/>
    <w:rsid w:val="004B03CD"/>
    <w:rsid w:val="004B0AA3"/>
    <w:rsid w:val="004B0E1A"/>
    <w:rsid w:val="004B12B4"/>
    <w:rsid w:val="004B1A50"/>
    <w:rsid w:val="004B29BD"/>
    <w:rsid w:val="004B4B02"/>
    <w:rsid w:val="004B4E2A"/>
    <w:rsid w:val="004B5034"/>
    <w:rsid w:val="004B56AF"/>
    <w:rsid w:val="004B6BB6"/>
    <w:rsid w:val="004B7015"/>
    <w:rsid w:val="004B7521"/>
    <w:rsid w:val="004C00FC"/>
    <w:rsid w:val="004C08CE"/>
    <w:rsid w:val="004C0994"/>
    <w:rsid w:val="004C0B7D"/>
    <w:rsid w:val="004C0F26"/>
    <w:rsid w:val="004C0FA1"/>
    <w:rsid w:val="004C10CD"/>
    <w:rsid w:val="004C1A25"/>
    <w:rsid w:val="004C1D4E"/>
    <w:rsid w:val="004C1FA1"/>
    <w:rsid w:val="004C225C"/>
    <w:rsid w:val="004C4597"/>
    <w:rsid w:val="004C4E76"/>
    <w:rsid w:val="004C5A5A"/>
    <w:rsid w:val="004C68E5"/>
    <w:rsid w:val="004C6CD6"/>
    <w:rsid w:val="004C7511"/>
    <w:rsid w:val="004C7554"/>
    <w:rsid w:val="004D0505"/>
    <w:rsid w:val="004D11E6"/>
    <w:rsid w:val="004D1B9E"/>
    <w:rsid w:val="004D32FC"/>
    <w:rsid w:val="004D3678"/>
    <w:rsid w:val="004D3A0D"/>
    <w:rsid w:val="004D4465"/>
    <w:rsid w:val="004D4705"/>
    <w:rsid w:val="004D4837"/>
    <w:rsid w:val="004D51E5"/>
    <w:rsid w:val="004D5D6F"/>
    <w:rsid w:val="004D628E"/>
    <w:rsid w:val="004D648F"/>
    <w:rsid w:val="004D66D5"/>
    <w:rsid w:val="004D6844"/>
    <w:rsid w:val="004D6DB7"/>
    <w:rsid w:val="004E02C8"/>
    <w:rsid w:val="004E0CCA"/>
    <w:rsid w:val="004E1441"/>
    <w:rsid w:val="004E1C8F"/>
    <w:rsid w:val="004E1E4C"/>
    <w:rsid w:val="004E274F"/>
    <w:rsid w:val="004E29C7"/>
    <w:rsid w:val="004E2B57"/>
    <w:rsid w:val="004E419E"/>
    <w:rsid w:val="004E4C10"/>
    <w:rsid w:val="004E5072"/>
    <w:rsid w:val="004E5754"/>
    <w:rsid w:val="004E60CF"/>
    <w:rsid w:val="004E6592"/>
    <w:rsid w:val="004E6C95"/>
    <w:rsid w:val="004E6E48"/>
    <w:rsid w:val="004E6E9A"/>
    <w:rsid w:val="004E7743"/>
    <w:rsid w:val="004E7AAD"/>
    <w:rsid w:val="004E7E7F"/>
    <w:rsid w:val="004F0718"/>
    <w:rsid w:val="004F0AF3"/>
    <w:rsid w:val="004F1048"/>
    <w:rsid w:val="004F1255"/>
    <w:rsid w:val="004F16D0"/>
    <w:rsid w:val="004F1C3B"/>
    <w:rsid w:val="004F2505"/>
    <w:rsid w:val="004F3065"/>
    <w:rsid w:val="004F32AC"/>
    <w:rsid w:val="004F3854"/>
    <w:rsid w:val="004F3C25"/>
    <w:rsid w:val="004F517E"/>
    <w:rsid w:val="004F51A3"/>
    <w:rsid w:val="004F5B9C"/>
    <w:rsid w:val="004F5D0D"/>
    <w:rsid w:val="004F6775"/>
    <w:rsid w:val="004F6C5B"/>
    <w:rsid w:val="004F71A1"/>
    <w:rsid w:val="004F75B3"/>
    <w:rsid w:val="004F7BBB"/>
    <w:rsid w:val="00500016"/>
    <w:rsid w:val="0050018D"/>
    <w:rsid w:val="005017E8"/>
    <w:rsid w:val="00501993"/>
    <w:rsid w:val="00501B09"/>
    <w:rsid w:val="00502941"/>
    <w:rsid w:val="00502B4C"/>
    <w:rsid w:val="00503ACB"/>
    <w:rsid w:val="00503D8F"/>
    <w:rsid w:val="00504268"/>
    <w:rsid w:val="0050428F"/>
    <w:rsid w:val="00504573"/>
    <w:rsid w:val="00505B52"/>
    <w:rsid w:val="00505B8B"/>
    <w:rsid w:val="005063C8"/>
    <w:rsid w:val="00506F0B"/>
    <w:rsid w:val="00507652"/>
    <w:rsid w:val="00507FFA"/>
    <w:rsid w:val="005102FD"/>
    <w:rsid w:val="005103A4"/>
    <w:rsid w:val="005104E7"/>
    <w:rsid w:val="0051146D"/>
    <w:rsid w:val="00511731"/>
    <w:rsid w:val="00511BEB"/>
    <w:rsid w:val="005129E3"/>
    <w:rsid w:val="00513B40"/>
    <w:rsid w:val="005140DF"/>
    <w:rsid w:val="005143DC"/>
    <w:rsid w:val="00514D65"/>
    <w:rsid w:val="0051514A"/>
    <w:rsid w:val="00515618"/>
    <w:rsid w:val="00516038"/>
    <w:rsid w:val="00516CEB"/>
    <w:rsid w:val="00516DAA"/>
    <w:rsid w:val="00516EE3"/>
    <w:rsid w:val="005171EC"/>
    <w:rsid w:val="00517966"/>
    <w:rsid w:val="00520766"/>
    <w:rsid w:val="005225D0"/>
    <w:rsid w:val="005225FF"/>
    <w:rsid w:val="005232A4"/>
    <w:rsid w:val="00523680"/>
    <w:rsid w:val="00523799"/>
    <w:rsid w:val="0052399F"/>
    <w:rsid w:val="0052451B"/>
    <w:rsid w:val="00524612"/>
    <w:rsid w:val="005247EC"/>
    <w:rsid w:val="00525053"/>
    <w:rsid w:val="005250BC"/>
    <w:rsid w:val="005254AA"/>
    <w:rsid w:val="00526E51"/>
    <w:rsid w:val="005271B3"/>
    <w:rsid w:val="00527578"/>
    <w:rsid w:val="00530A97"/>
    <w:rsid w:val="00531009"/>
    <w:rsid w:val="00532935"/>
    <w:rsid w:val="005333EE"/>
    <w:rsid w:val="00533822"/>
    <w:rsid w:val="00533848"/>
    <w:rsid w:val="00534086"/>
    <w:rsid w:val="00534102"/>
    <w:rsid w:val="005342FE"/>
    <w:rsid w:val="005344F2"/>
    <w:rsid w:val="00534581"/>
    <w:rsid w:val="0053486E"/>
    <w:rsid w:val="0053558F"/>
    <w:rsid w:val="00536CF6"/>
    <w:rsid w:val="00537195"/>
    <w:rsid w:val="005373EC"/>
    <w:rsid w:val="005377EE"/>
    <w:rsid w:val="005379F4"/>
    <w:rsid w:val="0054005A"/>
    <w:rsid w:val="005401B0"/>
    <w:rsid w:val="005404C3"/>
    <w:rsid w:val="00540690"/>
    <w:rsid w:val="00540794"/>
    <w:rsid w:val="00540998"/>
    <w:rsid w:val="00541496"/>
    <w:rsid w:val="00541513"/>
    <w:rsid w:val="0054179F"/>
    <w:rsid w:val="005419FE"/>
    <w:rsid w:val="00541CCD"/>
    <w:rsid w:val="00542207"/>
    <w:rsid w:val="0054238C"/>
    <w:rsid w:val="0054275F"/>
    <w:rsid w:val="00542783"/>
    <w:rsid w:val="005427A1"/>
    <w:rsid w:val="00542A24"/>
    <w:rsid w:val="00543E6A"/>
    <w:rsid w:val="00546566"/>
    <w:rsid w:val="005468B4"/>
    <w:rsid w:val="00546D21"/>
    <w:rsid w:val="00547247"/>
    <w:rsid w:val="00547A10"/>
    <w:rsid w:val="00547BC8"/>
    <w:rsid w:val="00547E69"/>
    <w:rsid w:val="00550EC8"/>
    <w:rsid w:val="005515DC"/>
    <w:rsid w:val="005525E3"/>
    <w:rsid w:val="00553358"/>
    <w:rsid w:val="00553476"/>
    <w:rsid w:val="0055347A"/>
    <w:rsid w:val="0055501F"/>
    <w:rsid w:val="00555DC5"/>
    <w:rsid w:val="00555DD6"/>
    <w:rsid w:val="00556AC2"/>
    <w:rsid w:val="00556B17"/>
    <w:rsid w:val="005576D9"/>
    <w:rsid w:val="00557AD9"/>
    <w:rsid w:val="005620A9"/>
    <w:rsid w:val="0056214D"/>
    <w:rsid w:val="00562251"/>
    <w:rsid w:val="00562826"/>
    <w:rsid w:val="00562B83"/>
    <w:rsid w:val="00563514"/>
    <w:rsid w:val="00564110"/>
    <w:rsid w:val="0056445B"/>
    <w:rsid w:val="00564946"/>
    <w:rsid w:val="0056543F"/>
    <w:rsid w:val="0056642F"/>
    <w:rsid w:val="00566A54"/>
    <w:rsid w:val="00566DCF"/>
    <w:rsid w:val="00566ED6"/>
    <w:rsid w:val="005674C6"/>
    <w:rsid w:val="005674FA"/>
    <w:rsid w:val="005677DB"/>
    <w:rsid w:val="00567954"/>
    <w:rsid w:val="00570935"/>
    <w:rsid w:val="005717AF"/>
    <w:rsid w:val="005721F7"/>
    <w:rsid w:val="005722F1"/>
    <w:rsid w:val="00572C52"/>
    <w:rsid w:val="0057386C"/>
    <w:rsid w:val="00574311"/>
    <w:rsid w:val="0057458E"/>
    <w:rsid w:val="0057462C"/>
    <w:rsid w:val="00574CCF"/>
    <w:rsid w:val="00574F3A"/>
    <w:rsid w:val="0057538F"/>
    <w:rsid w:val="00575933"/>
    <w:rsid w:val="00575AEC"/>
    <w:rsid w:val="005763CE"/>
    <w:rsid w:val="00576531"/>
    <w:rsid w:val="005768D6"/>
    <w:rsid w:val="005771D1"/>
    <w:rsid w:val="00577B94"/>
    <w:rsid w:val="005801B6"/>
    <w:rsid w:val="0058022F"/>
    <w:rsid w:val="00580C02"/>
    <w:rsid w:val="005814E9"/>
    <w:rsid w:val="00581785"/>
    <w:rsid w:val="00581FA2"/>
    <w:rsid w:val="005833E2"/>
    <w:rsid w:val="00583499"/>
    <w:rsid w:val="00585174"/>
    <w:rsid w:val="0058545F"/>
    <w:rsid w:val="005859FA"/>
    <w:rsid w:val="00585E99"/>
    <w:rsid w:val="00585FD9"/>
    <w:rsid w:val="00586012"/>
    <w:rsid w:val="005862F3"/>
    <w:rsid w:val="00587003"/>
    <w:rsid w:val="00592D30"/>
    <w:rsid w:val="00593E68"/>
    <w:rsid w:val="00594663"/>
    <w:rsid w:val="00594820"/>
    <w:rsid w:val="00594AF0"/>
    <w:rsid w:val="00594EC1"/>
    <w:rsid w:val="005956A7"/>
    <w:rsid w:val="0059617B"/>
    <w:rsid w:val="0059662C"/>
    <w:rsid w:val="0059677E"/>
    <w:rsid w:val="00596C16"/>
    <w:rsid w:val="00597652"/>
    <w:rsid w:val="005979EB"/>
    <w:rsid w:val="00597EDA"/>
    <w:rsid w:val="005A03EE"/>
    <w:rsid w:val="005A044F"/>
    <w:rsid w:val="005A15A0"/>
    <w:rsid w:val="005A2558"/>
    <w:rsid w:val="005A31D5"/>
    <w:rsid w:val="005A32CF"/>
    <w:rsid w:val="005A34E0"/>
    <w:rsid w:val="005A370A"/>
    <w:rsid w:val="005A4AFA"/>
    <w:rsid w:val="005A4B34"/>
    <w:rsid w:val="005A4E94"/>
    <w:rsid w:val="005A5E34"/>
    <w:rsid w:val="005A6221"/>
    <w:rsid w:val="005A6D40"/>
    <w:rsid w:val="005B0A32"/>
    <w:rsid w:val="005B111D"/>
    <w:rsid w:val="005B1573"/>
    <w:rsid w:val="005B1BF5"/>
    <w:rsid w:val="005B3932"/>
    <w:rsid w:val="005B3C66"/>
    <w:rsid w:val="005B3FA6"/>
    <w:rsid w:val="005B3FC7"/>
    <w:rsid w:val="005B435B"/>
    <w:rsid w:val="005B4380"/>
    <w:rsid w:val="005B599F"/>
    <w:rsid w:val="005B652C"/>
    <w:rsid w:val="005B7A9C"/>
    <w:rsid w:val="005B7B29"/>
    <w:rsid w:val="005C0632"/>
    <w:rsid w:val="005C1092"/>
    <w:rsid w:val="005C12A1"/>
    <w:rsid w:val="005C16D6"/>
    <w:rsid w:val="005C19C7"/>
    <w:rsid w:val="005C1BD2"/>
    <w:rsid w:val="005C2AD7"/>
    <w:rsid w:val="005C2B1A"/>
    <w:rsid w:val="005C2F9C"/>
    <w:rsid w:val="005C3D41"/>
    <w:rsid w:val="005C42D5"/>
    <w:rsid w:val="005C442D"/>
    <w:rsid w:val="005C44D8"/>
    <w:rsid w:val="005C4AA0"/>
    <w:rsid w:val="005C4C15"/>
    <w:rsid w:val="005C52F2"/>
    <w:rsid w:val="005C57E7"/>
    <w:rsid w:val="005C5EC4"/>
    <w:rsid w:val="005C65AB"/>
    <w:rsid w:val="005C66A3"/>
    <w:rsid w:val="005C6BC9"/>
    <w:rsid w:val="005C7340"/>
    <w:rsid w:val="005C781B"/>
    <w:rsid w:val="005D0181"/>
    <w:rsid w:val="005D080D"/>
    <w:rsid w:val="005D0C86"/>
    <w:rsid w:val="005D0D99"/>
    <w:rsid w:val="005D1092"/>
    <w:rsid w:val="005D1207"/>
    <w:rsid w:val="005D1E64"/>
    <w:rsid w:val="005D2499"/>
    <w:rsid w:val="005D2EBC"/>
    <w:rsid w:val="005D2FF8"/>
    <w:rsid w:val="005D4B8A"/>
    <w:rsid w:val="005D4D5A"/>
    <w:rsid w:val="005D51EF"/>
    <w:rsid w:val="005D5386"/>
    <w:rsid w:val="005D5395"/>
    <w:rsid w:val="005D5DD4"/>
    <w:rsid w:val="005D645C"/>
    <w:rsid w:val="005D66E1"/>
    <w:rsid w:val="005D68B4"/>
    <w:rsid w:val="005D7BF2"/>
    <w:rsid w:val="005D7D3D"/>
    <w:rsid w:val="005D7FD5"/>
    <w:rsid w:val="005E024A"/>
    <w:rsid w:val="005E0A21"/>
    <w:rsid w:val="005E1220"/>
    <w:rsid w:val="005E1F73"/>
    <w:rsid w:val="005E2275"/>
    <w:rsid w:val="005E232F"/>
    <w:rsid w:val="005E2621"/>
    <w:rsid w:val="005E33A9"/>
    <w:rsid w:val="005E34D7"/>
    <w:rsid w:val="005E3E3F"/>
    <w:rsid w:val="005E42A9"/>
    <w:rsid w:val="005E4344"/>
    <w:rsid w:val="005E51A5"/>
    <w:rsid w:val="005E5D42"/>
    <w:rsid w:val="005E7C70"/>
    <w:rsid w:val="005F0023"/>
    <w:rsid w:val="005F03B9"/>
    <w:rsid w:val="005F0681"/>
    <w:rsid w:val="005F2D61"/>
    <w:rsid w:val="005F2F9C"/>
    <w:rsid w:val="005F368C"/>
    <w:rsid w:val="005F4D00"/>
    <w:rsid w:val="005F4E2B"/>
    <w:rsid w:val="005F4EB7"/>
    <w:rsid w:val="005F4EDB"/>
    <w:rsid w:val="005F5CA8"/>
    <w:rsid w:val="005F6130"/>
    <w:rsid w:val="005F6513"/>
    <w:rsid w:val="005F6B5B"/>
    <w:rsid w:val="005F6FCC"/>
    <w:rsid w:val="005F6FFE"/>
    <w:rsid w:val="005F7982"/>
    <w:rsid w:val="005F7A47"/>
    <w:rsid w:val="006011A6"/>
    <w:rsid w:val="006025CA"/>
    <w:rsid w:val="0060387D"/>
    <w:rsid w:val="00603BC1"/>
    <w:rsid w:val="0060417D"/>
    <w:rsid w:val="00604914"/>
    <w:rsid w:val="006053E0"/>
    <w:rsid w:val="006057BC"/>
    <w:rsid w:val="00605A34"/>
    <w:rsid w:val="0060601B"/>
    <w:rsid w:val="006062EF"/>
    <w:rsid w:val="00606683"/>
    <w:rsid w:val="00606B6B"/>
    <w:rsid w:val="00607B01"/>
    <w:rsid w:val="00607DD1"/>
    <w:rsid w:val="006100E1"/>
    <w:rsid w:val="0061101E"/>
    <w:rsid w:val="00611037"/>
    <w:rsid w:val="00611EEE"/>
    <w:rsid w:val="00612A45"/>
    <w:rsid w:val="00613357"/>
    <w:rsid w:val="006138DD"/>
    <w:rsid w:val="00615015"/>
    <w:rsid w:val="00615417"/>
    <w:rsid w:val="00615DC3"/>
    <w:rsid w:val="006161B0"/>
    <w:rsid w:val="006167C5"/>
    <w:rsid w:val="00616ECD"/>
    <w:rsid w:val="00617C04"/>
    <w:rsid w:val="0062118D"/>
    <w:rsid w:val="00621D45"/>
    <w:rsid w:val="00621E68"/>
    <w:rsid w:val="00622C86"/>
    <w:rsid w:val="0062320B"/>
    <w:rsid w:val="00624110"/>
    <w:rsid w:val="0062522B"/>
    <w:rsid w:val="00625296"/>
    <w:rsid w:val="006254B1"/>
    <w:rsid w:val="0062626A"/>
    <w:rsid w:val="00626563"/>
    <w:rsid w:val="006268E7"/>
    <w:rsid w:val="00626C6A"/>
    <w:rsid w:val="00627388"/>
    <w:rsid w:val="00627E58"/>
    <w:rsid w:val="00630082"/>
    <w:rsid w:val="00630AEB"/>
    <w:rsid w:val="0063126E"/>
    <w:rsid w:val="00631421"/>
    <w:rsid w:val="0063147B"/>
    <w:rsid w:val="00631A1A"/>
    <w:rsid w:val="00631A33"/>
    <w:rsid w:val="00631A7E"/>
    <w:rsid w:val="00631E58"/>
    <w:rsid w:val="00632BA6"/>
    <w:rsid w:val="00632C32"/>
    <w:rsid w:val="00632CA4"/>
    <w:rsid w:val="00632CF3"/>
    <w:rsid w:val="00633558"/>
    <w:rsid w:val="00633694"/>
    <w:rsid w:val="00633FDD"/>
    <w:rsid w:val="00634442"/>
    <w:rsid w:val="00634B38"/>
    <w:rsid w:val="0063573A"/>
    <w:rsid w:val="00636094"/>
    <w:rsid w:val="0063646B"/>
    <w:rsid w:val="00637033"/>
    <w:rsid w:val="0063762A"/>
    <w:rsid w:val="00637A81"/>
    <w:rsid w:val="00637AFB"/>
    <w:rsid w:val="00640036"/>
    <w:rsid w:val="00640536"/>
    <w:rsid w:val="0064053F"/>
    <w:rsid w:val="00640FC1"/>
    <w:rsid w:val="00641D25"/>
    <w:rsid w:val="00642280"/>
    <w:rsid w:val="00642C76"/>
    <w:rsid w:val="00644841"/>
    <w:rsid w:val="00645277"/>
    <w:rsid w:val="00645550"/>
    <w:rsid w:val="00645EF0"/>
    <w:rsid w:val="00646BE7"/>
    <w:rsid w:val="00646ED8"/>
    <w:rsid w:val="00647603"/>
    <w:rsid w:val="006476C5"/>
    <w:rsid w:val="0064779B"/>
    <w:rsid w:val="00647969"/>
    <w:rsid w:val="00647A60"/>
    <w:rsid w:val="006504C3"/>
    <w:rsid w:val="00650632"/>
    <w:rsid w:val="006514B8"/>
    <w:rsid w:val="00651675"/>
    <w:rsid w:val="00651782"/>
    <w:rsid w:val="0065183B"/>
    <w:rsid w:val="00651D89"/>
    <w:rsid w:val="00651FA8"/>
    <w:rsid w:val="00651FC3"/>
    <w:rsid w:val="006520E5"/>
    <w:rsid w:val="006524A8"/>
    <w:rsid w:val="00652A9E"/>
    <w:rsid w:val="00652BDF"/>
    <w:rsid w:val="00653D41"/>
    <w:rsid w:val="0065494A"/>
    <w:rsid w:val="0065570D"/>
    <w:rsid w:val="00655F90"/>
    <w:rsid w:val="006562A4"/>
    <w:rsid w:val="00656462"/>
    <w:rsid w:val="00656B59"/>
    <w:rsid w:val="00656B62"/>
    <w:rsid w:val="00657B24"/>
    <w:rsid w:val="006600D1"/>
    <w:rsid w:val="0066059F"/>
    <w:rsid w:val="0066071D"/>
    <w:rsid w:val="00660CE8"/>
    <w:rsid w:val="00660D4C"/>
    <w:rsid w:val="00660D51"/>
    <w:rsid w:val="00660EA8"/>
    <w:rsid w:val="00660EE5"/>
    <w:rsid w:val="00661ACF"/>
    <w:rsid w:val="006628AF"/>
    <w:rsid w:val="006629C3"/>
    <w:rsid w:val="00662E2C"/>
    <w:rsid w:val="00662E96"/>
    <w:rsid w:val="00663791"/>
    <w:rsid w:val="00663847"/>
    <w:rsid w:val="00664CAC"/>
    <w:rsid w:val="006662BC"/>
    <w:rsid w:val="00666A8A"/>
    <w:rsid w:val="0066708A"/>
    <w:rsid w:val="00667C13"/>
    <w:rsid w:val="00667C6A"/>
    <w:rsid w:val="0067017D"/>
    <w:rsid w:val="006705BD"/>
    <w:rsid w:val="0067084D"/>
    <w:rsid w:val="00670A52"/>
    <w:rsid w:val="0067106D"/>
    <w:rsid w:val="00672D2D"/>
    <w:rsid w:val="00672F13"/>
    <w:rsid w:val="006745B5"/>
    <w:rsid w:val="00674F09"/>
    <w:rsid w:val="00675172"/>
    <w:rsid w:val="00676EFF"/>
    <w:rsid w:val="006777D9"/>
    <w:rsid w:val="0068118F"/>
    <w:rsid w:val="00682403"/>
    <w:rsid w:val="00683D5B"/>
    <w:rsid w:val="006850E9"/>
    <w:rsid w:val="006864F3"/>
    <w:rsid w:val="00686A4D"/>
    <w:rsid w:val="0068740C"/>
    <w:rsid w:val="00687F3D"/>
    <w:rsid w:val="006903E9"/>
    <w:rsid w:val="00690ED9"/>
    <w:rsid w:val="006919E0"/>
    <w:rsid w:val="006941E0"/>
    <w:rsid w:val="00694202"/>
    <w:rsid w:val="00694C6D"/>
    <w:rsid w:val="00695285"/>
    <w:rsid w:val="006957D1"/>
    <w:rsid w:val="00695BF9"/>
    <w:rsid w:val="00695FEC"/>
    <w:rsid w:val="00696C0C"/>
    <w:rsid w:val="00696E52"/>
    <w:rsid w:val="00697D64"/>
    <w:rsid w:val="006A12A2"/>
    <w:rsid w:val="006A1DC3"/>
    <w:rsid w:val="006A33DC"/>
    <w:rsid w:val="006A3631"/>
    <w:rsid w:val="006A3B35"/>
    <w:rsid w:val="006A3D2C"/>
    <w:rsid w:val="006A494B"/>
    <w:rsid w:val="006A5292"/>
    <w:rsid w:val="006A75A7"/>
    <w:rsid w:val="006A7E4A"/>
    <w:rsid w:val="006A7F9C"/>
    <w:rsid w:val="006B06E5"/>
    <w:rsid w:val="006B0ADC"/>
    <w:rsid w:val="006B1880"/>
    <w:rsid w:val="006B19F1"/>
    <w:rsid w:val="006B248E"/>
    <w:rsid w:val="006B2A65"/>
    <w:rsid w:val="006B3D48"/>
    <w:rsid w:val="006B44B6"/>
    <w:rsid w:val="006B457B"/>
    <w:rsid w:val="006B498E"/>
    <w:rsid w:val="006B5474"/>
    <w:rsid w:val="006B5633"/>
    <w:rsid w:val="006B599E"/>
    <w:rsid w:val="006B5AE9"/>
    <w:rsid w:val="006B61E6"/>
    <w:rsid w:val="006B663C"/>
    <w:rsid w:val="006B6A36"/>
    <w:rsid w:val="006B6E7D"/>
    <w:rsid w:val="006B6E84"/>
    <w:rsid w:val="006B764A"/>
    <w:rsid w:val="006B7A1B"/>
    <w:rsid w:val="006B7DA8"/>
    <w:rsid w:val="006C0701"/>
    <w:rsid w:val="006C070B"/>
    <w:rsid w:val="006C0745"/>
    <w:rsid w:val="006C1246"/>
    <w:rsid w:val="006C12B2"/>
    <w:rsid w:val="006C1665"/>
    <w:rsid w:val="006C258F"/>
    <w:rsid w:val="006C3124"/>
    <w:rsid w:val="006C450B"/>
    <w:rsid w:val="006C5BE6"/>
    <w:rsid w:val="006C5D6E"/>
    <w:rsid w:val="006C5DE5"/>
    <w:rsid w:val="006C5EE6"/>
    <w:rsid w:val="006C6C4E"/>
    <w:rsid w:val="006C6D1E"/>
    <w:rsid w:val="006C7CA9"/>
    <w:rsid w:val="006D089D"/>
    <w:rsid w:val="006D0F76"/>
    <w:rsid w:val="006D15DB"/>
    <w:rsid w:val="006D2156"/>
    <w:rsid w:val="006D31EB"/>
    <w:rsid w:val="006D3257"/>
    <w:rsid w:val="006D3303"/>
    <w:rsid w:val="006D4497"/>
    <w:rsid w:val="006D452F"/>
    <w:rsid w:val="006D4ABD"/>
    <w:rsid w:val="006D5AB3"/>
    <w:rsid w:val="006D5E70"/>
    <w:rsid w:val="006D66CD"/>
    <w:rsid w:val="006D69D1"/>
    <w:rsid w:val="006D7342"/>
    <w:rsid w:val="006D7439"/>
    <w:rsid w:val="006D775C"/>
    <w:rsid w:val="006D77AD"/>
    <w:rsid w:val="006E043D"/>
    <w:rsid w:val="006E1014"/>
    <w:rsid w:val="006E1319"/>
    <w:rsid w:val="006E24EC"/>
    <w:rsid w:val="006E2B1D"/>
    <w:rsid w:val="006E3D40"/>
    <w:rsid w:val="006E41B7"/>
    <w:rsid w:val="006E481E"/>
    <w:rsid w:val="006E64FF"/>
    <w:rsid w:val="006E7325"/>
    <w:rsid w:val="006E785D"/>
    <w:rsid w:val="006E7ACD"/>
    <w:rsid w:val="006F0B69"/>
    <w:rsid w:val="006F15E1"/>
    <w:rsid w:val="006F1A3F"/>
    <w:rsid w:val="006F1B51"/>
    <w:rsid w:val="006F1B77"/>
    <w:rsid w:val="006F2E4F"/>
    <w:rsid w:val="006F3069"/>
    <w:rsid w:val="006F3934"/>
    <w:rsid w:val="006F5E8C"/>
    <w:rsid w:val="006F63C3"/>
    <w:rsid w:val="006F647A"/>
    <w:rsid w:val="006F67D2"/>
    <w:rsid w:val="006F6D82"/>
    <w:rsid w:val="006F7246"/>
    <w:rsid w:val="006F7379"/>
    <w:rsid w:val="006F7A65"/>
    <w:rsid w:val="00700A2C"/>
    <w:rsid w:val="00700C83"/>
    <w:rsid w:val="00700CE6"/>
    <w:rsid w:val="00700E15"/>
    <w:rsid w:val="00700EC0"/>
    <w:rsid w:val="00701C34"/>
    <w:rsid w:val="00701F71"/>
    <w:rsid w:val="00702112"/>
    <w:rsid w:val="007023E1"/>
    <w:rsid w:val="007026C4"/>
    <w:rsid w:val="00702BE8"/>
    <w:rsid w:val="00703719"/>
    <w:rsid w:val="00703F00"/>
    <w:rsid w:val="0070425D"/>
    <w:rsid w:val="00704320"/>
    <w:rsid w:val="00704424"/>
    <w:rsid w:val="0070509A"/>
    <w:rsid w:val="007051DA"/>
    <w:rsid w:val="00705C35"/>
    <w:rsid w:val="00706779"/>
    <w:rsid w:val="007071F4"/>
    <w:rsid w:val="00707614"/>
    <w:rsid w:val="00707B8F"/>
    <w:rsid w:val="00707E11"/>
    <w:rsid w:val="00711134"/>
    <w:rsid w:val="00711369"/>
    <w:rsid w:val="00711953"/>
    <w:rsid w:val="00711A2D"/>
    <w:rsid w:val="00712A00"/>
    <w:rsid w:val="00712E4B"/>
    <w:rsid w:val="00713452"/>
    <w:rsid w:val="00713B6E"/>
    <w:rsid w:val="00713C79"/>
    <w:rsid w:val="00714281"/>
    <w:rsid w:val="00714595"/>
    <w:rsid w:val="00715ACC"/>
    <w:rsid w:val="007166C4"/>
    <w:rsid w:val="00716FAC"/>
    <w:rsid w:val="00717AA6"/>
    <w:rsid w:val="00720F53"/>
    <w:rsid w:val="007210DE"/>
    <w:rsid w:val="00721259"/>
    <w:rsid w:val="00721570"/>
    <w:rsid w:val="00721D58"/>
    <w:rsid w:val="00722875"/>
    <w:rsid w:val="00723007"/>
    <w:rsid w:val="007232CA"/>
    <w:rsid w:val="0072386C"/>
    <w:rsid w:val="007238B7"/>
    <w:rsid w:val="00723AE6"/>
    <w:rsid w:val="00723E42"/>
    <w:rsid w:val="0072490B"/>
    <w:rsid w:val="00725220"/>
    <w:rsid w:val="0072529A"/>
    <w:rsid w:val="007263A0"/>
    <w:rsid w:val="0072683E"/>
    <w:rsid w:val="00727012"/>
    <w:rsid w:val="007275CD"/>
    <w:rsid w:val="00727BBD"/>
    <w:rsid w:val="00727EDF"/>
    <w:rsid w:val="00730E86"/>
    <w:rsid w:val="00730FE7"/>
    <w:rsid w:val="00731118"/>
    <w:rsid w:val="00731232"/>
    <w:rsid w:val="007313FA"/>
    <w:rsid w:val="0073161F"/>
    <w:rsid w:val="00731FE2"/>
    <w:rsid w:val="0073344C"/>
    <w:rsid w:val="00734474"/>
    <w:rsid w:val="007345CA"/>
    <w:rsid w:val="00734951"/>
    <w:rsid w:val="00734A2F"/>
    <w:rsid w:val="0073661E"/>
    <w:rsid w:val="007372D1"/>
    <w:rsid w:val="0074051F"/>
    <w:rsid w:val="00740CCD"/>
    <w:rsid w:val="00740D9F"/>
    <w:rsid w:val="007429FE"/>
    <w:rsid w:val="00743A97"/>
    <w:rsid w:val="00743ACC"/>
    <w:rsid w:val="00743CBC"/>
    <w:rsid w:val="00743DE0"/>
    <w:rsid w:val="00743E56"/>
    <w:rsid w:val="00743E6D"/>
    <w:rsid w:val="00743EFB"/>
    <w:rsid w:val="00745370"/>
    <w:rsid w:val="007456DE"/>
    <w:rsid w:val="007457EE"/>
    <w:rsid w:val="007459C5"/>
    <w:rsid w:val="00745E82"/>
    <w:rsid w:val="00745E98"/>
    <w:rsid w:val="00745F52"/>
    <w:rsid w:val="00746451"/>
    <w:rsid w:val="00746C01"/>
    <w:rsid w:val="00746C84"/>
    <w:rsid w:val="00747629"/>
    <w:rsid w:val="00747A5D"/>
    <w:rsid w:val="00747EC7"/>
    <w:rsid w:val="00750F0D"/>
    <w:rsid w:val="0075138E"/>
    <w:rsid w:val="00752290"/>
    <w:rsid w:val="007525FF"/>
    <w:rsid w:val="00752E92"/>
    <w:rsid w:val="00753491"/>
    <w:rsid w:val="00753A30"/>
    <w:rsid w:val="00753C65"/>
    <w:rsid w:val="00754572"/>
    <w:rsid w:val="007553C1"/>
    <w:rsid w:val="007554B8"/>
    <w:rsid w:val="00755687"/>
    <w:rsid w:val="00756255"/>
    <w:rsid w:val="00756F4B"/>
    <w:rsid w:val="00757EDB"/>
    <w:rsid w:val="007601A9"/>
    <w:rsid w:val="007607B0"/>
    <w:rsid w:val="007609D3"/>
    <w:rsid w:val="00761CCA"/>
    <w:rsid w:val="00762411"/>
    <w:rsid w:val="007624C0"/>
    <w:rsid w:val="00762A7C"/>
    <w:rsid w:val="00762E0E"/>
    <w:rsid w:val="00762F8C"/>
    <w:rsid w:val="007633E7"/>
    <w:rsid w:val="0076358A"/>
    <w:rsid w:val="00763CF9"/>
    <w:rsid w:val="00764A61"/>
    <w:rsid w:val="00765559"/>
    <w:rsid w:val="00766479"/>
    <w:rsid w:val="00766798"/>
    <w:rsid w:val="00767856"/>
    <w:rsid w:val="0077016E"/>
    <w:rsid w:val="00770A5B"/>
    <w:rsid w:val="007710DE"/>
    <w:rsid w:val="0077150B"/>
    <w:rsid w:val="00772698"/>
    <w:rsid w:val="0077289B"/>
    <w:rsid w:val="007728BD"/>
    <w:rsid w:val="00772B87"/>
    <w:rsid w:val="00773223"/>
    <w:rsid w:val="00774506"/>
    <w:rsid w:val="00774D05"/>
    <w:rsid w:val="007754F0"/>
    <w:rsid w:val="007762D9"/>
    <w:rsid w:val="0077665C"/>
    <w:rsid w:val="00776930"/>
    <w:rsid w:val="0077727C"/>
    <w:rsid w:val="00777BCA"/>
    <w:rsid w:val="007812BD"/>
    <w:rsid w:val="0078130E"/>
    <w:rsid w:val="0078293A"/>
    <w:rsid w:val="00783071"/>
    <w:rsid w:val="007831D3"/>
    <w:rsid w:val="00783221"/>
    <w:rsid w:val="0078420F"/>
    <w:rsid w:val="0078433E"/>
    <w:rsid w:val="00784562"/>
    <w:rsid w:val="0078461F"/>
    <w:rsid w:val="00784FD6"/>
    <w:rsid w:val="00784FFF"/>
    <w:rsid w:val="0078514F"/>
    <w:rsid w:val="00786A13"/>
    <w:rsid w:val="0078782F"/>
    <w:rsid w:val="00787BA2"/>
    <w:rsid w:val="00787FD9"/>
    <w:rsid w:val="007902E0"/>
    <w:rsid w:val="0079034A"/>
    <w:rsid w:val="00790854"/>
    <w:rsid w:val="00791591"/>
    <w:rsid w:val="007919E0"/>
    <w:rsid w:val="007919F9"/>
    <w:rsid w:val="00791AEA"/>
    <w:rsid w:val="0079248B"/>
    <w:rsid w:val="00792935"/>
    <w:rsid w:val="00792CE4"/>
    <w:rsid w:val="0079354C"/>
    <w:rsid w:val="00794115"/>
    <w:rsid w:val="00794A29"/>
    <w:rsid w:val="00794C3E"/>
    <w:rsid w:val="00794DDD"/>
    <w:rsid w:val="00794F83"/>
    <w:rsid w:val="007959B8"/>
    <w:rsid w:val="00795A6B"/>
    <w:rsid w:val="00795C10"/>
    <w:rsid w:val="00796E1E"/>
    <w:rsid w:val="007974BE"/>
    <w:rsid w:val="007A0131"/>
    <w:rsid w:val="007A1E0A"/>
    <w:rsid w:val="007A2115"/>
    <w:rsid w:val="007A24BB"/>
    <w:rsid w:val="007A26FD"/>
    <w:rsid w:val="007A2890"/>
    <w:rsid w:val="007A28AF"/>
    <w:rsid w:val="007A29C7"/>
    <w:rsid w:val="007A321E"/>
    <w:rsid w:val="007A40B6"/>
    <w:rsid w:val="007A4884"/>
    <w:rsid w:val="007A4A67"/>
    <w:rsid w:val="007A5BCD"/>
    <w:rsid w:val="007A5BD6"/>
    <w:rsid w:val="007A5FE9"/>
    <w:rsid w:val="007A638A"/>
    <w:rsid w:val="007A6BD9"/>
    <w:rsid w:val="007A730C"/>
    <w:rsid w:val="007A740B"/>
    <w:rsid w:val="007A7528"/>
    <w:rsid w:val="007A787B"/>
    <w:rsid w:val="007A7B1C"/>
    <w:rsid w:val="007B08DD"/>
    <w:rsid w:val="007B1044"/>
    <w:rsid w:val="007B1570"/>
    <w:rsid w:val="007B15A2"/>
    <w:rsid w:val="007B2644"/>
    <w:rsid w:val="007B2B88"/>
    <w:rsid w:val="007B330A"/>
    <w:rsid w:val="007B3312"/>
    <w:rsid w:val="007B3424"/>
    <w:rsid w:val="007B4969"/>
    <w:rsid w:val="007B4D25"/>
    <w:rsid w:val="007B4D65"/>
    <w:rsid w:val="007B4F04"/>
    <w:rsid w:val="007B5DB4"/>
    <w:rsid w:val="007B700C"/>
    <w:rsid w:val="007C00BB"/>
    <w:rsid w:val="007C0554"/>
    <w:rsid w:val="007C0950"/>
    <w:rsid w:val="007C211D"/>
    <w:rsid w:val="007C27BB"/>
    <w:rsid w:val="007C41AF"/>
    <w:rsid w:val="007C43FA"/>
    <w:rsid w:val="007C4480"/>
    <w:rsid w:val="007C505F"/>
    <w:rsid w:val="007C5D2E"/>
    <w:rsid w:val="007C6133"/>
    <w:rsid w:val="007C616B"/>
    <w:rsid w:val="007C673D"/>
    <w:rsid w:val="007C6848"/>
    <w:rsid w:val="007C68E1"/>
    <w:rsid w:val="007C7113"/>
    <w:rsid w:val="007C73DB"/>
    <w:rsid w:val="007C7F9C"/>
    <w:rsid w:val="007D0AB4"/>
    <w:rsid w:val="007D0B78"/>
    <w:rsid w:val="007D0F85"/>
    <w:rsid w:val="007D13E7"/>
    <w:rsid w:val="007D1BF1"/>
    <w:rsid w:val="007D2C78"/>
    <w:rsid w:val="007D2DC9"/>
    <w:rsid w:val="007D31EE"/>
    <w:rsid w:val="007D3A94"/>
    <w:rsid w:val="007D44B2"/>
    <w:rsid w:val="007D46A6"/>
    <w:rsid w:val="007D4F79"/>
    <w:rsid w:val="007D59DD"/>
    <w:rsid w:val="007D5EA6"/>
    <w:rsid w:val="007D78FA"/>
    <w:rsid w:val="007E1DF5"/>
    <w:rsid w:val="007E29AC"/>
    <w:rsid w:val="007E2F27"/>
    <w:rsid w:val="007E3A88"/>
    <w:rsid w:val="007E3DBC"/>
    <w:rsid w:val="007E4C28"/>
    <w:rsid w:val="007E5837"/>
    <w:rsid w:val="007E5B28"/>
    <w:rsid w:val="007E6688"/>
    <w:rsid w:val="007E6D11"/>
    <w:rsid w:val="007E7098"/>
    <w:rsid w:val="007E7B03"/>
    <w:rsid w:val="007F0B02"/>
    <w:rsid w:val="007F14CB"/>
    <w:rsid w:val="007F1870"/>
    <w:rsid w:val="007F25FA"/>
    <w:rsid w:val="007F2FF6"/>
    <w:rsid w:val="007F31BB"/>
    <w:rsid w:val="007F3337"/>
    <w:rsid w:val="007F452F"/>
    <w:rsid w:val="007F5294"/>
    <w:rsid w:val="007F555F"/>
    <w:rsid w:val="007F57E4"/>
    <w:rsid w:val="007F5C79"/>
    <w:rsid w:val="007F6B7B"/>
    <w:rsid w:val="007F71ED"/>
    <w:rsid w:val="007F7578"/>
    <w:rsid w:val="007F7CE5"/>
    <w:rsid w:val="00800B13"/>
    <w:rsid w:val="00800FFE"/>
    <w:rsid w:val="00802977"/>
    <w:rsid w:val="0080387E"/>
    <w:rsid w:val="00803D66"/>
    <w:rsid w:val="008041B4"/>
    <w:rsid w:val="008047A7"/>
    <w:rsid w:val="00804892"/>
    <w:rsid w:val="00804A1F"/>
    <w:rsid w:val="00804AEE"/>
    <w:rsid w:val="00804CEC"/>
    <w:rsid w:val="00805192"/>
    <w:rsid w:val="00805B34"/>
    <w:rsid w:val="008063B6"/>
    <w:rsid w:val="00806909"/>
    <w:rsid w:val="00806AFB"/>
    <w:rsid w:val="00807003"/>
    <w:rsid w:val="008104A7"/>
    <w:rsid w:val="008105CC"/>
    <w:rsid w:val="00810C3A"/>
    <w:rsid w:val="00811E33"/>
    <w:rsid w:val="00812239"/>
    <w:rsid w:val="008129A6"/>
    <w:rsid w:val="00812FB3"/>
    <w:rsid w:val="008146C3"/>
    <w:rsid w:val="008148B5"/>
    <w:rsid w:val="0081668E"/>
    <w:rsid w:val="008204D2"/>
    <w:rsid w:val="008214FB"/>
    <w:rsid w:val="00821EFF"/>
    <w:rsid w:val="008247BE"/>
    <w:rsid w:val="00824902"/>
    <w:rsid w:val="008255CF"/>
    <w:rsid w:val="008256AE"/>
    <w:rsid w:val="00825B8C"/>
    <w:rsid w:val="00825DEB"/>
    <w:rsid w:val="00826906"/>
    <w:rsid w:val="00830058"/>
    <w:rsid w:val="008302AC"/>
    <w:rsid w:val="008303DA"/>
    <w:rsid w:val="00830D16"/>
    <w:rsid w:val="00830DC9"/>
    <w:rsid w:val="00830DE3"/>
    <w:rsid w:val="00830F2E"/>
    <w:rsid w:val="00831ECD"/>
    <w:rsid w:val="00831F4F"/>
    <w:rsid w:val="00832776"/>
    <w:rsid w:val="00833882"/>
    <w:rsid w:val="00835369"/>
    <w:rsid w:val="00835646"/>
    <w:rsid w:val="00835859"/>
    <w:rsid w:val="0083590D"/>
    <w:rsid w:val="00835D8F"/>
    <w:rsid w:val="0083602A"/>
    <w:rsid w:val="00836854"/>
    <w:rsid w:val="0083685C"/>
    <w:rsid w:val="0084057F"/>
    <w:rsid w:val="00841105"/>
    <w:rsid w:val="0084127A"/>
    <w:rsid w:val="00841526"/>
    <w:rsid w:val="00841881"/>
    <w:rsid w:val="00841E87"/>
    <w:rsid w:val="008421D2"/>
    <w:rsid w:val="00842849"/>
    <w:rsid w:val="00843993"/>
    <w:rsid w:val="00844849"/>
    <w:rsid w:val="00845977"/>
    <w:rsid w:val="00845BFB"/>
    <w:rsid w:val="00846E51"/>
    <w:rsid w:val="008476D4"/>
    <w:rsid w:val="00850489"/>
    <w:rsid w:val="00850495"/>
    <w:rsid w:val="00850702"/>
    <w:rsid w:val="00850B68"/>
    <w:rsid w:val="00850C91"/>
    <w:rsid w:val="00851865"/>
    <w:rsid w:val="00852897"/>
    <w:rsid w:val="00852FCB"/>
    <w:rsid w:val="0085305F"/>
    <w:rsid w:val="00854611"/>
    <w:rsid w:val="00856688"/>
    <w:rsid w:val="00856A45"/>
    <w:rsid w:val="00856BC3"/>
    <w:rsid w:val="00856D2B"/>
    <w:rsid w:val="00856DC1"/>
    <w:rsid w:val="00860DFA"/>
    <w:rsid w:val="008638B3"/>
    <w:rsid w:val="008645C1"/>
    <w:rsid w:val="00864B3A"/>
    <w:rsid w:val="0086623B"/>
    <w:rsid w:val="008662F2"/>
    <w:rsid w:val="00866906"/>
    <w:rsid w:val="00866C2D"/>
    <w:rsid w:val="00867114"/>
    <w:rsid w:val="0087053D"/>
    <w:rsid w:val="008705CF"/>
    <w:rsid w:val="008719A2"/>
    <w:rsid w:val="00872DCF"/>
    <w:rsid w:val="00873AEC"/>
    <w:rsid w:val="008742A0"/>
    <w:rsid w:val="008745B9"/>
    <w:rsid w:val="00875A43"/>
    <w:rsid w:val="00876AFE"/>
    <w:rsid w:val="00876C86"/>
    <w:rsid w:val="00876CAA"/>
    <w:rsid w:val="00877C70"/>
    <w:rsid w:val="00877CCE"/>
    <w:rsid w:val="00877CF9"/>
    <w:rsid w:val="00877CFF"/>
    <w:rsid w:val="00880672"/>
    <w:rsid w:val="008812EE"/>
    <w:rsid w:val="008814ED"/>
    <w:rsid w:val="00881CBD"/>
    <w:rsid w:val="0088366A"/>
    <w:rsid w:val="00883E48"/>
    <w:rsid w:val="00884A98"/>
    <w:rsid w:val="00885100"/>
    <w:rsid w:val="00885B0A"/>
    <w:rsid w:val="00885BAD"/>
    <w:rsid w:val="00885E12"/>
    <w:rsid w:val="008860F4"/>
    <w:rsid w:val="008860F7"/>
    <w:rsid w:val="0088625C"/>
    <w:rsid w:val="0088657D"/>
    <w:rsid w:val="008866F3"/>
    <w:rsid w:val="008868F5"/>
    <w:rsid w:val="008871D6"/>
    <w:rsid w:val="008873C2"/>
    <w:rsid w:val="00887587"/>
    <w:rsid w:val="00887DEF"/>
    <w:rsid w:val="008902FA"/>
    <w:rsid w:val="008905FC"/>
    <w:rsid w:val="00890B01"/>
    <w:rsid w:val="00890EC2"/>
    <w:rsid w:val="00891819"/>
    <w:rsid w:val="008918B8"/>
    <w:rsid w:val="0089212F"/>
    <w:rsid w:val="008923E1"/>
    <w:rsid w:val="0089352E"/>
    <w:rsid w:val="00894A44"/>
    <w:rsid w:val="00894BA8"/>
    <w:rsid w:val="00895E35"/>
    <w:rsid w:val="00895FED"/>
    <w:rsid w:val="0089762E"/>
    <w:rsid w:val="008A00BF"/>
    <w:rsid w:val="008A0162"/>
    <w:rsid w:val="008A0C70"/>
    <w:rsid w:val="008A10D4"/>
    <w:rsid w:val="008A2860"/>
    <w:rsid w:val="008A2B70"/>
    <w:rsid w:val="008A2F03"/>
    <w:rsid w:val="008A30B2"/>
    <w:rsid w:val="008A3B61"/>
    <w:rsid w:val="008A403D"/>
    <w:rsid w:val="008A4ADD"/>
    <w:rsid w:val="008A526A"/>
    <w:rsid w:val="008A56E2"/>
    <w:rsid w:val="008A6008"/>
    <w:rsid w:val="008A7526"/>
    <w:rsid w:val="008A766F"/>
    <w:rsid w:val="008A79EE"/>
    <w:rsid w:val="008A7C86"/>
    <w:rsid w:val="008B0C63"/>
    <w:rsid w:val="008B0D35"/>
    <w:rsid w:val="008B12AE"/>
    <w:rsid w:val="008B1E2D"/>
    <w:rsid w:val="008B1E7C"/>
    <w:rsid w:val="008B207F"/>
    <w:rsid w:val="008B24AA"/>
    <w:rsid w:val="008B33B0"/>
    <w:rsid w:val="008B371C"/>
    <w:rsid w:val="008B376B"/>
    <w:rsid w:val="008B3AEE"/>
    <w:rsid w:val="008B4041"/>
    <w:rsid w:val="008B43D2"/>
    <w:rsid w:val="008B46D7"/>
    <w:rsid w:val="008B4744"/>
    <w:rsid w:val="008B4C98"/>
    <w:rsid w:val="008B5B58"/>
    <w:rsid w:val="008B666E"/>
    <w:rsid w:val="008B6B96"/>
    <w:rsid w:val="008C0550"/>
    <w:rsid w:val="008C08B3"/>
    <w:rsid w:val="008C0904"/>
    <w:rsid w:val="008C1473"/>
    <w:rsid w:val="008C1E79"/>
    <w:rsid w:val="008C2A64"/>
    <w:rsid w:val="008C3D36"/>
    <w:rsid w:val="008C4E78"/>
    <w:rsid w:val="008C4F62"/>
    <w:rsid w:val="008C5335"/>
    <w:rsid w:val="008C5FEA"/>
    <w:rsid w:val="008C63E5"/>
    <w:rsid w:val="008C655A"/>
    <w:rsid w:val="008C7064"/>
    <w:rsid w:val="008C746F"/>
    <w:rsid w:val="008C7661"/>
    <w:rsid w:val="008C7A5E"/>
    <w:rsid w:val="008D00F1"/>
    <w:rsid w:val="008D08F1"/>
    <w:rsid w:val="008D2001"/>
    <w:rsid w:val="008D28E6"/>
    <w:rsid w:val="008D3325"/>
    <w:rsid w:val="008D4432"/>
    <w:rsid w:val="008D4AB4"/>
    <w:rsid w:val="008D5122"/>
    <w:rsid w:val="008D556B"/>
    <w:rsid w:val="008D5CF9"/>
    <w:rsid w:val="008D5ECD"/>
    <w:rsid w:val="008D6AD0"/>
    <w:rsid w:val="008D75B1"/>
    <w:rsid w:val="008E12A4"/>
    <w:rsid w:val="008E1E22"/>
    <w:rsid w:val="008E3270"/>
    <w:rsid w:val="008E33D6"/>
    <w:rsid w:val="008E37B3"/>
    <w:rsid w:val="008E3B95"/>
    <w:rsid w:val="008E3D0D"/>
    <w:rsid w:val="008E3E3B"/>
    <w:rsid w:val="008E4422"/>
    <w:rsid w:val="008E5091"/>
    <w:rsid w:val="008E5230"/>
    <w:rsid w:val="008E542E"/>
    <w:rsid w:val="008E58D5"/>
    <w:rsid w:val="008E63D6"/>
    <w:rsid w:val="008E704D"/>
    <w:rsid w:val="008E71A2"/>
    <w:rsid w:val="008E726F"/>
    <w:rsid w:val="008F084B"/>
    <w:rsid w:val="008F11EF"/>
    <w:rsid w:val="008F150A"/>
    <w:rsid w:val="008F1991"/>
    <w:rsid w:val="008F3385"/>
    <w:rsid w:val="008F363D"/>
    <w:rsid w:val="008F4352"/>
    <w:rsid w:val="008F48A4"/>
    <w:rsid w:val="008F4A27"/>
    <w:rsid w:val="008F4DFA"/>
    <w:rsid w:val="008F535C"/>
    <w:rsid w:val="008F5C86"/>
    <w:rsid w:val="008F6221"/>
    <w:rsid w:val="008F6487"/>
    <w:rsid w:val="008F648F"/>
    <w:rsid w:val="008F7053"/>
    <w:rsid w:val="00900D2F"/>
    <w:rsid w:val="009010BA"/>
    <w:rsid w:val="00901FA1"/>
    <w:rsid w:val="00902DFA"/>
    <w:rsid w:val="00902E0F"/>
    <w:rsid w:val="00902F91"/>
    <w:rsid w:val="0090359A"/>
    <w:rsid w:val="00904C21"/>
    <w:rsid w:val="00905611"/>
    <w:rsid w:val="009058A0"/>
    <w:rsid w:val="009060EB"/>
    <w:rsid w:val="00906337"/>
    <w:rsid w:val="0090667C"/>
    <w:rsid w:val="009067A1"/>
    <w:rsid w:val="00907711"/>
    <w:rsid w:val="0091034F"/>
    <w:rsid w:val="0091127E"/>
    <w:rsid w:val="009112B9"/>
    <w:rsid w:val="00912543"/>
    <w:rsid w:val="00912C27"/>
    <w:rsid w:val="009133EF"/>
    <w:rsid w:val="009134E7"/>
    <w:rsid w:val="0091379D"/>
    <w:rsid w:val="00915028"/>
    <w:rsid w:val="00915579"/>
    <w:rsid w:val="009157A4"/>
    <w:rsid w:val="009164D0"/>
    <w:rsid w:val="00917606"/>
    <w:rsid w:val="00920A6F"/>
    <w:rsid w:val="00921EE0"/>
    <w:rsid w:val="00921F3C"/>
    <w:rsid w:val="00922DAE"/>
    <w:rsid w:val="009230AE"/>
    <w:rsid w:val="0092375E"/>
    <w:rsid w:val="0092385B"/>
    <w:rsid w:val="00923C12"/>
    <w:rsid w:val="00924020"/>
    <w:rsid w:val="00924CA9"/>
    <w:rsid w:val="0092515E"/>
    <w:rsid w:val="009254F7"/>
    <w:rsid w:val="00925B70"/>
    <w:rsid w:val="00925D58"/>
    <w:rsid w:val="00925ECF"/>
    <w:rsid w:val="00926605"/>
    <w:rsid w:val="0092670C"/>
    <w:rsid w:val="00926B37"/>
    <w:rsid w:val="009270E0"/>
    <w:rsid w:val="00927BCC"/>
    <w:rsid w:val="0093030F"/>
    <w:rsid w:val="0093060A"/>
    <w:rsid w:val="00930694"/>
    <w:rsid w:val="009313A2"/>
    <w:rsid w:val="00931464"/>
    <w:rsid w:val="00932547"/>
    <w:rsid w:val="00932765"/>
    <w:rsid w:val="00933B8A"/>
    <w:rsid w:val="00933F49"/>
    <w:rsid w:val="00934EE9"/>
    <w:rsid w:val="00935080"/>
    <w:rsid w:val="00935E68"/>
    <w:rsid w:val="009367A5"/>
    <w:rsid w:val="0093761C"/>
    <w:rsid w:val="0093774B"/>
    <w:rsid w:val="00937A42"/>
    <w:rsid w:val="00940115"/>
    <w:rsid w:val="00940676"/>
    <w:rsid w:val="00941F40"/>
    <w:rsid w:val="009429DD"/>
    <w:rsid w:val="00942A46"/>
    <w:rsid w:val="0094364B"/>
    <w:rsid w:val="00944934"/>
    <w:rsid w:val="009451C4"/>
    <w:rsid w:val="00947B2E"/>
    <w:rsid w:val="00947BA7"/>
    <w:rsid w:val="0095086B"/>
    <w:rsid w:val="00950DF0"/>
    <w:rsid w:val="00950E76"/>
    <w:rsid w:val="00950F78"/>
    <w:rsid w:val="00951264"/>
    <w:rsid w:val="00953BA1"/>
    <w:rsid w:val="0095481B"/>
    <w:rsid w:val="00954E5C"/>
    <w:rsid w:val="00955213"/>
    <w:rsid w:val="009552CB"/>
    <w:rsid w:val="00955D34"/>
    <w:rsid w:val="00956771"/>
    <w:rsid w:val="009609B4"/>
    <w:rsid w:val="00960B8A"/>
    <w:rsid w:val="009614C1"/>
    <w:rsid w:val="009628EE"/>
    <w:rsid w:val="00962D8F"/>
    <w:rsid w:val="009632BB"/>
    <w:rsid w:val="00963D4F"/>
    <w:rsid w:val="00963F13"/>
    <w:rsid w:val="00963F35"/>
    <w:rsid w:val="009642FE"/>
    <w:rsid w:val="009644CB"/>
    <w:rsid w:val="009645AD"/>
    <w:rsid w:val="009648D0"/>
    <w:rsid w:val="00964CD4"/>
    <w:rsid w:val="00965393"/>
    <w:rsid w:val="00965562"/>
    <w:rsid w:val="009659C5"/>
    <w:rsid w:val="00965ECA"/>
    <w:rsid w:val="0096663D"/>
    <w:rsid w:val="00966C1F"/>
    <w:rsid w:val="00966C9F"/>
    <w:rsid w:val="00971652"/>
    <w:rsid w:val="009718FF"/>
    <w:rsid w:val="009719EE"/>
    <w:rsid w:val="00971D47"/>
    <w:rsid w:val="00972171"/>
    <w:rsid w:val="0097330E"/>
    <w:rsid w:val="00975F42"/>
    <w:rsid w:val="00977962"/>
    <w:rsid w:val="0098077D"/>
    <w:rsid w:val="00980F15"/>
    <w:rsid w:val="00981B21"/>
    <w:rsid w:val="00983226"/>
    <w:rsid w:val="009846E7"/>
    <w:rsid w:val="0098512D"/>
    <w:rsid w:val="00985768"/>
    <w:rsid w:val="00986253"/>
    <w:rsid w:val="00987524"/>
    <w:rsid w:val="00987C2C"/>
    <w:rsid w:val="00987EB0"/>
    <w:rsid w:val="00990025"/>
    <w:rsid w:val="0099005B"/>
    <w:rsid w:val="0099062F"/>
    <w:rsid w:val="009906F9"/>
    <w:rsid w:val="00990D37"/>
    <w:rsid w:val="0099161A"/>
    <w:rsid w:val="00992066"/>
    <w:rsid w:val="00992678"/>
    <w:rsid w:val="00992719"/>
    <w:rsid w:val="00992746"/>
    <w:rsid w:val="00992B1D"/>
    <w:rsid w:val="00993038"/>
    <w:rsid w:val="009937E9"/>
    <w:rsid w:val="009944D8"/>
    <w:rsid w:val="0099456E"/>
    <w:rsid w:val="009948AC"/>
    <w:rsid w:val="0099555C"/>
    <w:rsid w:val="00995BC7"/>
    <w:rsid w:val="009965EE"/>
    <w:rsid w:val="00996FA7"/>
    <w:rsid w:val="00997B15"/>
    <w:rsid w:val="00997FA7"/>
    <w:rsid w:val="00997FF4"/>
    <w:rsid w:val="009A00CA"/>
    <w:rsid w:val="009A0D03"/>
    <w:rsid w:val="009A1432"/>
    <w:rsid w:val="009A188E"/>
    <w:rsid w:val="009A19F5"/>
    <w:rsid w:val="009A21DD"/>
    <w:rsid w:val="009A26E3"/>
    <w:rsid w:val="009A289F"/>
    <w:rsid w:val="009A2EE4"/>
    <w:rsid w:val="009A363D"/>
    <w:rsid w:val="009A39B0"/>
    <w:rsid w:val="009A3A30"/>
    <w:rsid w:val="009A3DE6"/>
    <w:rsid w:val="009A571D"/>
    <w:rsid w:val="009A57AA"/>
    <w:rsid w:val="009A5BC3"/>
    <w:rsid w:val="009A60F2"/>
    <w:rsid w:val="009A7A98"/>
    <w:rsid w:val="009A7CF9"/>
    <w:rsid w:val="009B077A"/>
    <w:rsid w:val="009B0D75"/>
    <w:rsid w:val="009B1430"/>
    <w:rsid w:val="009B1CB4"/>
    <w:rsid w:val="009B2345"/>
    <w:rsid w:val="009B268F"/>
    <w:rsid w:val="009B26F1"/>
    <w:rsid w:val="009B2E09"/>
    <w:rsid w:val="009B3305"/>
    <w:rsid w:val="009B38C4"/>
    <w:rsid w:val="009B391B"/>
    <w:rsid w:val="009B3EF2"/>
    <w:rsid w:val="009B4B91"/>
    <w:rsid w:val="009B5A4C"/>
    <w:rsid w:val="009B6045"/>
    <w:rsid w:val="009B6317"/>
    <w:rsid w:val="009B7798"/>
    <w:rsid w:val="009B79C6"/>
    <w:rsid w:val="009B7D8B"/>
    <w:rsid w:val="009C001D"/>
    <w:rsid w:val="009C0244"/>
    <w:rsid w:val="009C11AE"/>
    <w:rsid w:val="009C12ED"/>
    <w:rsid w:val="009C1A67"/>
    <w:rsid w:val="009C2988"/>
    <w:rsid w:val="009C2D43"/>
    <w:rsid w:val="009C2D58"/>
    <w:rsid w:val="009C2F48"/>
    <w:rsid w:val="009C2FF3"/>
    <w:rsid w:val="009C30E1"/>
    <w:rsid w:val="009C3828"/>
    <w:rsid w:val="009C3D0A"/>
    <w:rsid w:val="009C4670"/>
    <w:rsid w:val="009C4BF1"/>
    <w:rsid w:val="009C4EAA"/>
    <w:rsid w:val="009C5037"/>
    <w:rsid w:val="009C5153"/>
    <w:rsid w:val="009C5A59"/>
    <w:rsid w:val="009C6A1F"/>
    <w:rsid w:val="009C6F71"/>
    <w:rsid w:val="009C7136"/>
    <w:rsid w:val="009C736F"/>
    <w:rsid w:val="009C751C"/>
    <w:rsid w:val="009C7AC5"/>
    <w:rsid w:val="009C7C44"/>
    <w:rsid w:val="009C7CE8"/>
    <w:rsid w:val="009D0005"/>
    <w:rsid w:val="009D0369"/>
    <w:rsid w:val="009D075A"/>
    <w:rsid w:val="009D0945"/>
    <w:rsid w:val="009D0978"/>
    <w:rsid w:val="009D0BB3"/>
    <w:rsid w:val="009D0C14"/>
    <w:rsid w:val="009D0E8D"/>
    <w:rsid w:val="009D0E98"/>
    <w:rsid w:val="009D162A"/>
    <w:rsid w:val="009D1E6E"/>
    <w:rsid w:val="009D205F"/>
    <w:rsid w:val="009D2409"/>
    <w:rsid w:val="009D2700"/>
    <w:rsid w:val="009D2869"/>
    <w:rsid w:val="009D28D3"/>
    <w:rsid w:val="009D2EEA"/>
    <w:rsid w:val="009D31F1"/>
    <w:rsid w:val="009D320B"/>
    <w:rsid w:val="009D32CC"/>
    <w:rsid w:val="009D33C9"/>
    <w:rsid w:val="009D342C"/>
    <w:rsid w:val="009D36DC"/>
    <w:rsid w:val="009D3D2D"/>
    <w:rsid w:val="009D4026"/>
    <w:rsid w:val="009D4AE5"/>
    <w:rsid w:val="009D5896"/>
    <w:rsid w:val="009D6FC1"/>
    <w:rsid w:val="009D7615"/>
    <w:rsid w:val="009E028C"/>
    <w:rsid w:val="009E16F7"/>
    <w:rsid w:val="009E2AFA"/>
    <w:rsid w:val="009E2C34"/>
    <w:rsid w:val="009E3864"/>
    <w:rsid w:val="009E3E0C"/>
    <w:rsid w:val="009E4390"/>
    <w:rsid w:val="009E4918"/>
    <w:rsid w:val="009E4A8C"/>
    <w:rsid w:val="009E4DD7"/>
    <w:rsid w:val="009E56FE"/>
    <w:rsid w:val="009E5A58"/>
    <w:rsid w:val="009E66E4"/>
    <w:rsid w:val="009E687D"/>
    <w:rsid w:val="009E6C80"/>
    <w:rsid w:val="009E72EB"/>
    <w:rsid w:val="009F022A"/>
    <w:rsid w:val="009F07FB"/>
    <w:rsid w:val="009F138C"/>
    <w:rsid w:val="009F1C3B"/>
    <w:rsid w:val="009F22FA"/>
    <w:rsid w:val="009F2500"/>
    <w:rsid w:val="009F2C69"/>
    <w:rsid w:val="009F3570"/>
    <w:rsid w:val="009F38DD"/>
    <w:rsid w:val="009F5D06"/>
    <w:rsid w:val="009F5EE8"/>
    <w:rsid w:val="009F655F"/>
    <w:rsid w:val="009F6B2E"/>
    <w:rsid w:val="009F6FD6"/>
    <w:rsid w:val="009F6FE2"/>
    <w:rsid w:val="009F749D"/>
    <w:rsid w:val="00A00578"/>
    <w:rsid w:val="00A01E1D"/>
    <w:rsid w:val="00A0255D"/>
    <w:rsid w:val="00A02DBB"/>
    <w:rsid w:val="00A02F61"/>
    <w:rsid w:val="00A036B0"/>
    <w:rsid w:val="00A039DE"/>
    <w:rsid w:val="00A03D54"/>
    <w:rsid w:val="00A03E5B"/>
    <w:rsid w:val="00A042E9"/>
    <w:rsid w:val="00A04894"/>
    <w:rsid w:val="00A04BCF"/>
    <w:rsid w:val="00A04E68"/>
    <w:rsid w:val="00A04F52"/>
    <w:rsid w:val="00A060F4"/>
    <w:rsid w:val="00A06191"/>
    <w:rsid w:val="00A065BA"/>
    <w:rsid w:val="00A0676F"/>
    <w:rsid w:val="00A0689C"/>
    <w:rsid w:val="00A06D04"/>
    <w:rsid w:val="00A075E3"/>
    <w:rsid w:val="00A1035C"/>
    <w:rsid w:val="00A10426"/>
    <w:rsid w:val="00A106E3"/>
    <w:rsid w:val="00A10794"/>
    <w:rsid w:val="00A10970"/>
    <w:rsid w:val="00A10E4E"/>
    <w:rsid w:val="00A10ED8"/>
    <w:rsid w:val="00A1160D"/>
    <w:rsid w:val="00A11C8D"/>
    <w:rsid w:val="00A12180"/>
    <w:rsid w:val="00A127C9"/>
    <w:rsid w:val="00A128B0"/>
    <w:rsid w:val="00A132D4"/>
    <w:rsid w:val="00A135FE"/>
    <w:rsid w:val="00A13E89"/>
    <w:rsid w:val="00A14B25"/>
    <w:rsid w:val="00A15A1D"/>
    <w:rsid w:val="00A16654"/>
    <w:rsid w:val="00A168C9"/>
    <w:rsid w:val="00A16AF9"/>
    <w:rsid w:val="00A16D66"/>
    <w:rsid w:val="00A17563"/>
    <w:rsid w:val="00A17AB1"/>
    <w:rsid w:val="00A20117"/>
    <w:rsid w:val="00A20681"/>
    <w:rsid w:val="00A20751"/>
    <w:rsid w:val="00A20ADC"/>
    <w:rsid w:val="00A20E18"/>
    <w:rsid w:val="00A230EE"/>
    <w:rsid w:val="00A2367F"/>
    <w:rsid w:val="00A23C26"/>
    <w:rsid w:val="00A24A31"/>
    <w:rsid w:val="00A25FDB"/>
    <w:rsid w:val="00A26A00"/>
    <w:rsid w:val="00A26EC9"/>
    <w:rsid w:val="00A30AA0"/>
    <w:rsid w:val="00A318A4"/>
    <w:rsid w:val="00A3205E"/>
    <w:rsid w:val="00A323E3"/>
    <w:rsid w:val="00A336C7"/>
    <w:rsid w:val="00A3419F"/>
    <w:rsid w:val="00A344D6"/>
    <w:rsid w:val="00A34E1C"/>
    <w:rsid w:val="00A357D2"/>
    <w:rsid w:val="00A35937"/>
    <w:rsid w:val="00A35C2B"/>
    <w:rsid w:val="00A36820"/>
    <w:rsid w:val="00A37B6E"/>
    <w:rsid w:val="00A40919"/>
    <w:rsid w:val="00A40CB0"/>
    <w:rsid w:val="00A41322"/>
    <w:rsid w:val="00A4362A"/>
    <w:rsid w:val="00A43AAE"/>
    <w:rsid w:val="00A43CF5"/>
    <w:rsid w:val="00A43DD3"/>
    <w:rsid w:val="00A44161"/>
    <w:rsid w:val="00A456BC"/>
    <w:rsid w:val="00A4593E"/>
    <w:rsid w:val="00A45ABD"/>
    <w:rsid w:val="00A45DD6"/>
    <w:rsid w:val="00A4722F"/>
    <w:rsid w:val="00A47C3E"/>
    <w:rsid w:val="00A5184D"/>
    <w:rsid w:val="00A523F2"/>
    <w:rsid w:val="00A52DA8"/>
    <w:rsid w:val="00A553FA"/>
    <w:rsid w:val="00A55874"/>
    <w:rsid w:val="00A55B17"/>
    <w:rsid w:val="00A55E61"/>
    <w:rsid w:val="00A56246"/>
    <w:rsid w:val="00A56C05"/>
    <w:rsid w:val="00A56D07"/>
    <w:rsid w:val="00A60085"/>
    <w:rsid w:val="00A610C3"/>
    <w:rsid w:val="00A614E4"/>
    <w:rsid w:val="00A6242A"/>
    <w:rsid w:val="00A63352"/>
    <w:rsid w:val="00A635CF"/>
    <w:rsid w:val="00A63A4B"/>
    <w:rsid w:val="00A64492"/>
    <w:rsid w:val="00A64E54"/>
    <w:rsid w:val="00A64FCD"/>
    <w:rsid w:val="00A64FF0"/>
    <w:rsid w:val="00A65FE7"/>
    <w:rsid w:val="00A66154"/>
    <w:rsid w:val="00A670A1"/>
    <w:rsid w:val="00A673E1"/>
    <w:rsid w:val="00A67863"/>
    <w:rsid w:val="00A70341"/>
    <w:rsid w:val="00A7051D"/>
    <w:rsid w:val="00A70571"/>
    <w:rsid w:val="00A70E8A"/>
    <w:rsid w:val="00A713D6"/>
    <w:rsid w:val="00A722F6"/>
    <w:rsid w:val="00A72AB9"/>
    <w:rsid w:val="00A72D58"/>
    <w:rsid w:val="00A72E24"/>
    <w:rsid w:val="00A730E4"/>
    <w:rsid w:val="00A7412C"/>
    <w:rsid w:val="00A744D6"/>
    <w:rsid w:val="00A74607"/>
    <w:rsid w:val="00A75324"/>
    <w:rsid w:val="00A758DA"/>
    <w:rsid w:val="00A77B7F"/>
    <w:rsid w:val="00A77C39"/>
    <w:rsid w:val="00A803F9"/>
    <w:rsid w:val="00A80882"/>
    <w:rsid w:val="00A80FE8"/>
    <w:rsid w:val="00A81FA7"/>
    <w:rsid w:val="00A830CE"/>
    <w:rsid w:val="00A839B6"/>
    <w:rsid w:val="00A843E9"/>
    <w:rsid w:val="00A8565C"/>
    <w:rsid w:val="00A85B5C"/>
    <w:rsid w:val="00A85DCA"/>
    <w:rsid w:val="00A85FF1"/>
    <w:rsid w:val="00A87535"/>
    <w:rsid w:val="00A879EC"/>
    <w:rsid w:val="00A87BAF"/>
    <w:rsid w:val="00A87F8D"/>
    <w:rsid w:val="00A9094F"/>
    <w:rsid w:val="00A91058"/>
    <w:rsid w:val="00A91108"/>
    <w:rsid w:val="00A9126B"/>
    <w:rsid w:val="00A920F5"/>
    <w:rsid w:val="00A9277C"/>
    <w:rsid w:val="00A92B61"/>
    <w:rsid w:val="00A92C52"/>
    <w:rsid w:val="00A93185"/>
    <w:rsid w:val="00A9339E"/>
    <w:rsid w:val="00A94662"/>
    <w:rsid w:val="00A94750"/>
    <w:rsid w:val="00A94A5C"/>
    <w:rsid w:val="00A94D41"/>
    <w:rsid w:val="00A94EEA"/>
    <w:rsid w:val="00A950EB"/>
    <w:rsid w:val="00A95736"/>
    <w:rsid w:val="00A96159"/>
    <w:rsid w:val="00A96F78"/>
    <w:rsid w:val="00A979CC"/>
    <w:rsid w:val="00AA0450"/>
    <w:rsid w:val="00AA0EFB"/>
    <w:rsid w:val="00AA156B"/>
    <w:rsid w:val="00AA1AAA"/>
    <w:rsid w:val="00AA24BC"/>
    <w:rsid w:val="00AA25E7"/>
    <w:rsid w:val="00AA41C9"/>
    <w:rsid w:val="00AA49D4"/>
    <w:rsid w:val="00AA51F8"/>
    <w:rsid w:val="00AA5EFF"/>
    <w:rsid w:val="00AA6CFE"/>
    <w:rsid w:val="00AA7F0C"/>
    <w:rsid w:val="00AB073E"/>
    <w:rsid w:val="00AB0A95"/>
    <w:rsid w:val="00AB0B6D"/>
    <w:rsid w:val="00AB1079"/>
    <w:rsid w:val="00AB137D"/>
    <w:rsid w:val="00AB2257"/>
    <w:rsid w:val="00AB3C20"/>
    <w:rsid w:val="00AB3E59"/>
    <w:rsid w:val="00AB3F65"/>
    <w:rsid w:val="00AB4795"/>
    <w:rsid w:val="00AB56D1"/>
    <w:rsid w:val="00AB596F"/>
    <w:rsid w:val="00AB59F6"/>
    <w:rsid w:val="00AB5AFF"/>
    <w:rsid w:val="00AB6986"/>
    <w:rsid w:val="00AB69DC"/>
    <w:rsid w:val="00AB7E0A"/>
    <w:rsid w:val="00AB7EF3"/>
    <w:rsid w:val="00AC0018"/>
    <w:rsid w:val="00AC093F"/>
    <w:rsid w:val="00AC1919"/>
    <w:rsid w:val="00AC19C1"/>
    <w:rsid w:val="00AC1BE7"/>
    <w:rsid w:val="00AC224C"/>
    <w:rsid w:val="00AC26B4"/>
    <w:rsid w:val="00AC37B9"/>
    <w:rsid w:val="00AC41E9"/>
    <w:rsid w:val="00AC4F93"/>
    <w:rsid w:val="00AC5422"/>
    <w:rsid w:val="00AC57CD"/>
    <w:rsid w:val="00AC5F04"/>
    <w:rsid w:val="00AC6EBA"/>
    <w:rsid w:val="00AC7607"/>
    <w:rsid w:val="00AC76AF"/>
    <w:rsid w:val="00AC7969"/>
    <w:rsid w:val="00AC7D3B"/>
    <w:rsid w:val="00AD0B20"/>
    <w:rsid w:val="00AD0C64"/>
    <w:rsid w:val="00AD0F02"/>
    <w:rsid w:val="00AD2C0D"/>
    <w:rsid w:val="00AD3141"/>
    <w:rsid w:val="00AD38F7"/>
    <w:rsid w:val="00AD3BDF"/>
    <w:rsid w:val="00AD4162"/>
    <w:rsid w:val="00AD549E"/>
    <w:rsid w:val="00AD57A5"/>
    <w:rsid w:val="00AD5E42"/>
    <w:rsid w:val="00AD627A"/>
    <w:rsid w:val="00AD671B"/>
    <w:rsid w:val="00AD6AD6"/>
    <w:rsid w:val="00AD6BD5"/>
    <w:rsid w:val="00AD79EB"/>
    <w:rsid w:val="00AE1634"/>
    <w:rsid w:val="00AE178B"/>
    <w:rsid w:val="00AE1F6F"/>
    <w:rsid w:val="00AE2396"/>
    <w:rsid w:val="00AE24FA"/>
    <w:rsid w:val="00AE251C"/>
    <w:rsid w:val="00AE2F91"/>
    <w:rsid w:val="00AE31D5"/>
    <w:rsid w:val="00AE3B7E"/>
    <w:rsid w:val="00AE4794"/>
    <w:rsid w:val="00AE4A94"/>
    <w:rsid w:val="00AE4DDB"/>
    <w:rsid w:val="00AE4EEA"/>
    <w:rsid w:val="00AE5DF2"/>
    <w:rsid w:val="00AE5DFC"/>
    <w:rsid w:val="00AE6F04"/>
    <w:rsid w:val="00AF08AE"/>
    <w:rsid w:val="00AF142B"/>
    <w:rsid w:val="00AF2B4A"/>
    <w:rsid w:val="00AF4802"/>
    <w:rsid w:val="00AF5016"/>
    <w:rsid w:val="00AF5A8C"/>
    <w:rsid w:val="00AF5C58"/>
    <w:rsid w:val="00AF6A1C"/>
    <w:rsid w:val="00AF732B"/>
    <w:rsid w:val="00AF796E"/>
    <w:rsid w:val="00AF7B1D"/>
    <w:rsid w:val="00B0024C"/>
    <w:rsid w:val="00B00274"/>
    <w:rsid w:val="00B0097A"/>
    <w:rsid w:val="00B00DD7"/>
    <w:rsid w:val="00B0111C"/>
    <w:rsid w:val="00B03286"/>
    <w:rsid w:val="00B04BDC"/>
    <w:rsid w:val="00B0501B"/>
    <w:rsid w:val="00B05698"/>
    <w:rsid w:val="00B05D0E"/>
    <w:rsid w:val="00B06921"/>
    <w:rsid w:val="00B079F0"/>
    <w:rsid w:val="00B116C4"/>
    <w:rsid w:val="00B117BE"/>
    <w:rsid w:val="00B11842"/>
    <w:rsid w:val="00B11986"/>
    <w:rsid w:val="00B11C98"/>
    <w:rsid w:val="00B128BE"/>
    <w:rsid w:val="00B12F78"/>
    <w:rsid w:val="00B13227"/>
    <w:rsid w:val="00B132BD"/>
    <w:rsid w:val="00B1349A"/>
    <w:rsid w:val="00B15334"/>
    <w:rsid w:val="00B15DCA"/>
    <w:rsid w:val="00B15FE4"/>
    <w:rsid w:val="00B165DC"/>
    <w:rsid w:val="00B16A64"/>
    <w:rsid w:val="00B16C91"/>
    <w:rsid w:val="00B1786B"/>
    <w:rsid w:val="00B17FDA"/>
    <w:rsid w:val="00B2078E"/>
    <w:rsid w:val="00B21D66"/>
    <w:rsid w:val="00B235D8"/>
    <w:rsid w:val="00B23AD0"/>
    <w:rsid w:val="00B24717"/>
    <w:rsid w:val="00B25E61"/>
    <w:rsid w:val="00B26173"/>
    <w:rsid w:val="00B26D4C"/>
    <w:rsid w:val="00B27630"/>
    <w:rsid w:val="00B277A6"/>
    <w:rsid w:val="00B27A1C"/>
    <w:rsid w:val="00B306CB"/>
    <w:rsid w:val="00B31DAF"/>
    <w:rsid w:val="00B321F4"/>
    <w:rsid w:val="00B322D5"/>
    <w:rsid w:val="00B3250E"/>
    <w:rsid w:val="00B329C1"/>
    <w:rsid w:val="00B33461"/>
    <w:rsid w:val="00B338F2"/>
    <w:rsid w:val="00B33957"/>
    <w:rsid w:val="00B34403"/>
    <w:rsid w:val="00B3465B"/>
    <w:rsid w:val="00B34E68"/>
    <w:rsid w:val="00B3580F"/>
    <w:rsid w:val="00B36447"/>
    <w:rsid w:val="00B36DE4"/>
    <w:rsid w:val="00B36E8E"/>
    <w:rsid w:val="00B376C7"/>
    <w:rsid w:val="00B4033B"/>
    <w:rsid w:val="00B40C03"/>
    <w:rsid w:val="00B40E4B"/>
    <w:rsid w:val="00B42064"/>
    <w:rsid w:val="00B420C1"/>
    <w:rsid w:val="00B4274D"/>
    <w:rsid w:val="00B42B74"/>
    <w:rsid w:val="00B430C3"/>
    <w:rsid w:val="00B431EB"/>
    <w:rsid w:val="00B43516"/>
    <w:rsid w:val="00B437CC"/>
    <w:rsid w:val="00B44DAC"/>
    <w:rsid w:val="00B45820"/>
    <w:rsid w:val="00B468C6"/>
    <w:rsid w:val="00B46BB9"/>
    <w:rsid w:val="00B46DB5"/>
    <w:rsid w:val="00B4743A"/>
    <w:rsid w:val="00B47C05"/>
    <w:rsid w:val="00B5009D"/>
    <w:rsid w:val="00B50252"/>
    <w:rsid w:val="00B502D0"/>
    <w:rsid w:val="00B50377"/>
    <w:rsid w:val="00B5090B"/>
    <w:rsid w:val="00B50E06"/>
    <w:rsid w:val="00B511EA"/>
    <w:rsid w:val="00B528F1"/>
    <w:rsid w:val="00B52B0E"/>
    <w:rsid w:val="00B52DFF"/>
    <w:rsid w:val="00B54165"/>
    <w:rsid w:val="00B54612"/>
    <w:rsid w:val="00B549A8"/>
    <w:rsid w:val="00B549AD"/>
    <w:rsid w:val="00B54ADE"/>
    <w:rsid w:val="00B5532A"/>
    <w:rsid w:val="00B558A8"/>
    <w:rsid w:val="00B55C44"/>
    <w:rsid w:val="00B56607"/>
    <w:rsid w:val="00B569A5"/>
    <w:rsid w:val="00B56C5C"/>
    <w:rsid w:val="00B57076"/>
    <w:rsid w:val="00B570D0"/>
    <w:rsid w:val="00B572E6"/>
    <w:rsid w:val="00B57473"/>
    <w:rsid w:val="00B600ED"/>
    <w:rsid w:val="00B601D1"/>
    <w:rsid w:val="00B608A5"/>
    <w:rsid w:val="00B615D2"/>
    <w:rsid w:val="00B619DC"/>
    <w:rsid w:val="00B61C28"/>
    <w:rsid w:val="00B61D21"/>
    <w:rsid w:val="00B61FA7"/>
    <w:rsid w:val="00B623A3"/>
    <w:rsid w:val="00B627C2"/>
    <w:rsid w:val="00B62909"/>
    <w:rsid w:val="00B6307F"/>
    <w:rsid w:val="00B632E9"/>
    <w:rsid w:val="00B63766"/>
    <w:rsid w:val="00B63C40"/>
    <w:rsid w:val="00B64656"/>
    <w:rsid w:val="00B64CEE"/>
    <w:rsid w:val="00B64D3F"/>
    <w:rsid w:val="00B65887"/>
    <w:rsid w:val="00B66001"/>
    <w:rsid w:val="00B6601F"/>
    <w:rsid w:val="00B66EDE"/>
    <w:rsid w:val="00B6717A"/>
    <w:rsid w:val="00B6720D"/>
    <w:rsid w:val="00B70086"/>
    <w:rsid w:val="00B70B0D"/>
    <w:rsid w:val="00B71048"/>
    <w:rsid w:val="00B7124D"/>
    <w:rsid w:val="00B71625"/>
    <w:rsid w:val="00B72187"/>
    <w:rsid w:val="00B72A33"/>
    <w:rsid w:val="00B72BE7"/>
    <w:rsid w:val="00B72C4B"/>
    <w:rsid w:val="00B72FE0"/>
    <w:rsid w:val="00B73909"/>
    <w:rsid w:val="00B74753"/>
    <w:rsid w:val="00B756AC"/>
    <w:rsid w:val="00B76592"/>
    <w:rsid w:val="00B76A8B"/>
    <w:rsid w:val="00B76CA0"/>
    <w:rsid w:val="00B775AB"/>
    <w:rsid w:val="00B77D5A"/>
    <w:rsid w:val="00B77FE9"/>
    <w:rsid w:val="00B802A2"/>
    <w:rsid w:val="00B81C1E"/>
    <w:rsid w:val="00B82388"/>
    <w:rsid w:val="00B82589"/>
    <w:rsid w:val="00B82AA4"/>
    <w:rsid w:val="00B832A9"/>
    <w:rsid w:val="00B83A51"/>
    <w:rsid w:val="00B844B6"/>
    <w:rsid w:val="00B8474F"/>
    <w:rsid w:val="00B85478"/>
    <w:rsid w:val="00B855DD"/>
    <w:rsid w:val="00B85C0B"/>
    <w:rsid w:val="00B85EE9"/>
    <w:rsid w:val="00B860CC"/>
    <w:rsid w:val="00B86551"/>
    <w:rsid w:val="00B879ED"/>
    <w:rsid w:val="00B87C70"/>
    <w:rsid w:val="00B900A5"/>
    <w:rsid w:val="00B91D10"/>
    <w:rsid w:val="00B92C60"/>
    <w:rsid w:val="00B94544"/>
    <w:rsid w:val="00B9496F"/>
    <w:rsid w:val="00B95097"/>
    <w:rsid w:val="00B95698"/>
    <w:rsid w:val="00B95910"/>
    <w:rsid w:val="00B963F8"/>
    <w:rsid w:val="00B96EB1"/>
    <w:rsid w:val="00B97534"/>
    <w:rsid w:val="00B97E98"/>
    <w:rsid w:val="00BA01CF"/>
    <w:rsid w:val="00BA0539"/>
    <w:rsid w:val="00BA1045"/>
    <w:rsid w:val="00BA1270"/>
    <w:rsid w:val="00BA1279"/>
    <w:rsid w:val="00BA151E"/>
    <w:rsid w:val="00BA15F2"/>
    <w:rsid w:val="00BA15FE"/>
    <w:rsid w:val="00BA29AB"/>
    <w:rsid w:val="00BA2B60"/>
    <w:rsid w:val="00BA450D"/>
    <w:rsid w:val="00BA48F8"/>
    <w:rsid w:val="00BA4CF5"/>
    <w:rsid w:val="00BA591F"/>
    <w:rsid w:val="00BA6F3B"/>
    <w:rsid w:val="00BA6FB2"/>
    <w:rsid w:val="00BA7A7E"/>
    <w:rsid w:val="00BB0253"/>
    <w:rsid w:val="00BB03FC"/>
    <w:rsid w:val="00BB05B9"/>
    <w:rsid w:val="00BB111D"/>
    <w:rsid w:val="00BB14BA"/>
    <w:rsid w:val="00BB175F"/>
    <w:rsid w:val="00BB23D5"/>
    <w:rsid w:val="00BB28D4"/>
    <w:rsid w:val="00BB311A"/>
    <w:rsid w:val="00BB3350"/>
    <w:rsid w:val="00BB3D61"/>
    <w:rsid w:val="00BB3EF5"/>
    <w:rsid w:val="00BB449A"/>
    <w:rsid w:val="00BB48E9"/>
    <w:rsid w:val="00BB55EC"/>
    <w:rsid w:val="00BB7A4B"/>
    <w:rsid w:val="00BC0087"/>
    <w:rsid w:val="00BC0CE1"/>
    <w:rsid w:val="00BC0F34"/>
    <w:rsid w:val="00BC114E"/>
    <w:rsid w:val="00BC1863"/>
    <w:rsid w:val="00BC26BC"/>
    <w:rsid w:val="00BC291E"/>
    <w:rsid w:val="00BC2D96"/>
    <w:rsid w:val="00BC3D8F"/>
    <w:rsid w:val="00BC3EED"/>
    <w:rsid w:val="00BC529B"/>
    <w:rsid w:val="00BC5412"/>
    <w:rsid w:val="00BC544F"/>
    <w:rsid w:val="00BC5CF4"/>
    <w:rsid w:val="00BC61F1"/>
    <w:rsid w:val="00BC6BA6"/>
    <w:rsid w:val="00BC6D05"/>
    <w:rsid w:val="00BC7306"/>
    <w:rsid w:val="00BC74DB"/>
    <w:rsid w:val="00BC77BA"/>
    <w:rsid w:val="00BC7876"/>
    <w:rsid w:val="00BC7B30"/>
    <w:rsid w:val="00BC7F03"/>
    <w:rsid w:val="00BD1481"/>
    <w:rsid w:val="00BD172D"/>
    <w:rsid w:val="00BD178E"/>
    <w:rsid w:val="00BD2675"/>
    <w:rsid w:val="00BD292C"/>
    <w:rsid w:val="00BD2F4A"/>
    <w:rsid w:val="00BD47E9"/>
    <w:rsid w:val="00BD4B08"/>
    <w:rsid w:val="00BD6272"/>
    <w:rsid w:val="00BD63FC"/>
    <w:rsid w:val="00BD64E4"/>
    <w:rsid w:val="00BD7D91"/>
    <w:rsid w:val="00BE0514"/>
    <w:rsid w:val="00BE0690"/>
    <w:rsid w:val="00BE0E35"/>
    <w:rsid w:val="00BE11DE"/>
    <w:rsid w:val="00BE2525"/>
    <w:rsid w:val="00BE32B0"/>
    <w:rsid w:val="00BE469D"/>
    <w:rsid w:val="00BE496A"/>
    <w:rsid w:val="00BE4BFC"/>
    <w:rsid w:val="00BE56B8"/>
    <w:rsid w:val="00BE5B96"/>
    <w:rsid w:val="00BE5CEE"/>
    <w:rsid w:val="00BE6859"/>
    <w:rsid w:val="00BE6CE3"/>
    <w:rsid w:val="00BE7A34"/>
    <w:rsid w:val="00BE7E6F"/>
    <w:rsid w:val="00BF02BD"/>
    <w:rsid w:val="00BF30B9"/>
    <w:rsid w:val="00BF3147"/>
    <w:rsid w:val="00BF335E"/>
    <w:rsid w:val="00BF342D"/>
    <w:rsid w:val="00BF3B2B"/>
    <w:rsid w:val="00BF4522"/>
    <w:rsid w:val="00BF477B"/>
    <w:rsid w:val="00BF4966"/>
    <w:rsid w:val="00BF51B1"/>
    <w:rsid w:val="00BF55E9"/>
    <w:rsid w:val="00BF5D4A"/>
    <w:rsid w:val="00BF5D80"/>
    <w:rsid w:val="00BF6979"/>
    <w:rsid w:val="00BF7556"/>
    <w:rsid w:val="00BF76BE"/>
    <w:rsid w:val="00BF7A3D"/>
    <w:rsid w:val="00BF7E37"/>
    <w:rsid w:val="00C002EC"/>
    <w:rsid w:val="00C00F43"/>
    <w:rsid w:val="00C00FE9"/>
    <w:rsid w:val="00C0167B"/>
    <w:rsid w:val="00C01CB6"/>
    <w:rsid w:val="00C02423"/>
    <w:rsid w:val="00C02440"/>
    <w:rsid w:val="00C02752"/>
    <w:rsid w:val="00C0354C"/>
    <w:rsid w:val="00C0387F"/>
    <w:rsid w:val="00C04604"/>
    <w:rsid w:val="00C0471D"/>
    <w:rsid w:val="00C054D6"/>
    <w:rsid w:val="00C05996"/>
    <w:rsid w:val="00C06B25"/>
    <w:rsid w:val="00C06C98"/>
    <w:rsid w:val="00C10BA4"/>
    <w:rsid w:val="00C1153E"/>
    <w:rsid w:val="00C1191E"/>
    <w:rsid w:val="00C11B94"/>
    <w:rsid w:val="00C12063"/>
    <w:rsid w:val="00C123C0"/>
    <w:rsid w:val="00C12D24"/>
    <w:rsid w:val="00C130F0"/>
    <w:rsid w:val="00C1327D"/>
    <w:rsid w:val="00C132CA"/>
    <w:rsid w:val="00C13415"/>
    <w:rsid w:val="00C14B5D"/>
    <w:rsid w:val="00C150F1"/>
    <w:rsid w:val="00C1545D"/>
    <w:rsid w:val="00C1580A"/>
    <w:rsid w:val="00C16190"/>
    <w:rsid w:val="00C178BF"/>
    <w:rsid w:val="00C2017E"/>
    <w:rsid w:val="00C20517"/>
    <w:rsid w:val="00C2078F"/>
    <w:rsid w:val="00C2105A"/>
    <w:rsid w:val="00C2131D"/>
    <w:rsid w:val="00C21462"/>
    <w:rsid w:val="00C21BD7"/>
    <w:rsid w:val="00C22002"/>
    <w:rsid w:val="00C22275"/>
    <w:rsid w:val="00C22516"/>
    <w:rsid w:val="00C22888"/>
    <w:rsid w:val="00C2383A"/>
    <w:rsid w:val="00C23975"/>
    <w:rsid w:val="00C23A3E"/>
    <w:rsid w:val="00C24A21"/>
    <w:rsid w:val="00C24AC7"/>
    <w:rsid w:val="00C24D5F"/>
    <w:rsid w:val="00C2621D"/>
    <w:rsid w:val="00C265C3"/>
    <w:rsid w:val="00C2700F"/>
    <w:rsid w:val="00C271B7"/>
    <w:rsid w:val="00C27D3F"/>
    <w:rsid w:val="00C308BB"/>
    <w:rsid w:val="00C312CE"/>
    <w:rsid w:val="00C3131D"/>
    <w:rsid w:val="00C3244C"/>
    <w:rsid w:val="00C32DE7"/>
    <w:rsid w:val="00C3349D"/>
    <w:rsid w:val="00C3386B"/>
    <w:rsid w:val="00C340E7"/>
    <w:rsid w:val="00C357E5"/>
    <w:rsid w:val="00C3585A"/>
    <w:rsid w:val="00C36464"/>
    <w:rsid w:val="00C364FF"/>
    <w:rsid w:val="00C368AC"/>
    <w:rsid w:val="00C3717E"/>
    <w:rsid w:val="00C4069E"/>
    <w:rsid w:val="00C4165B"/>
    <w:rsid w:val="00C41E19"/>
    <w:rsid w:val="00C41EEA"/>
    <w:rsid w:val="00C42DDC"/>
    <w:rsid w:val="00C42E3C"/>
    <w:rsid w:val="00C43077"/>
    <w:rsid w:val="00C43317"/>
    <w:rsid w:val="00C43F13"/>
    <w:rsid w:val="00C43F89"/>
    <w:rsid w:val="00C44979"/>
    <w:rsid w:val="00C45669"/>
    <w:rsid w:val="00C45855"/>
    <w:rsid w:val="00C459F8"/>
    <w:rsid w:val="00C45C86"/>
    <w:rsid w:val="00C46771"/>
    <w:rsid w:val="00C46778"/>
    <w:rsid w:val="00C472BE"/>
    <w:rsid w:val="00C47852"/>
    <w:rsid w:val="00C479CE"/>
    <w:rsid w:val="00C47C35"/>
    <w:rsid w:val="00C50A99"/>
    <w:rsid w:val="00C510FE"/>
    <w:rsid w:val="00C52D7E"/>
    <w:rsid w:val="00C530B0"/>
    <w:rsid w:val="00C53526"/>
    <w:rsid w:val="00C5379B"/>
    <w:rsid w:val="00C53913"/>
    <w:rsid w:val="00C53ABA"/>
    <w:rsid w:val="00C53D66"/>
    <w:rsid w:val="00C54308"/>
    <w:rsid w:val="00C5438A"/>
    <w:rsid w:val="00C54C86"/>
    <w:rsid w:val="00C54DB4"/>
    <w:rsid w:val="00C55545"/>
    <w:rsid w:val="00C55679"/>
    <w:rsid w:val="00C557A1"/>
    <w:rsid w:val="00C5722A"/>
    <w:rsid w:val="00C57A53"/>
    <w:rsid w:val="00C57F42"/>
    <w:rsid w:val="00C60386"/>
    <w:rsid w:val="00C6055C"/>
    <w:rsid w:val="00C60842"/>
    <w:rsid w:val="00C61C18"/>
    <w:rsid w:val="00C61C88"/>
    <w:rsid w:val="00C61EAA"/>
    <w:rsid w:val="00C62509"/>
    <w:rsid w:val="00C62D2D"/>
    <w:rsid w:val="00C637D4"/>
    <w:rsid w:val="00C63AC4"/>
    <w:rsid w:val="00C63B31"/>
    <w:rsid w:val="00C64115"/>
    <w:rsid w:val="00C6414D"/>
    <w:rsid w:val="00C64382"/>
    <w:rsid w:val="00C6444F"/>
    <w:rsid w:val="00C6492A"/>
    <w:rsid w:val="00C64B00"/>
    <w:rsid w:val="00C66B42"/>
    <w:rsid w:val="00C66DD3"/>
    <w:rsid w:val="00C677F9"/>
    <w:rsid w:val="00C67C8A"/>
    <w:rsid w:val="00C67D97"/>
    <w:rsid w:val="00C67E2E"/>
    <w:rsid w:val="00C70D20"/>
    <w:rsid w:val="00C71383"/>
    <w:rsid w:val="00C7219C"/>
    <w:rsid w:val="00C72E37"/>
    <w:rsid w:val="00C72EAC"/>
    <w:rsid w:val="00C731F2"/>
    <w:rsid w:val="00C74573"/>
    <w:rsid w:val="00C74E75"/>
    <w:rsid w:val="00C750B9"/>
    <w:rsid w:val="00C751A3"/>
    <w:rsid w:val="00C75BEE"/>
    <w:rsid w:val="00C76A0B"/>
    <w:rsid w:val="00C76C00"/>
    <w:rsid w:val="00C76C9E"/>
    <w:rsid w:val="00C776A0"/>
    <w:rsid w:val="00C77870"/>
    <w:rsid w:val="00C77A06"/>
    <w:rsid w:val="00C77B09"/>
    <w:rsid w:val="00C77E11"/>
    <w:rsid w:val="00C77E59"/>
    <w:rsid w:val="00C77E8B"/>
    <w:rsid w:val="00C77EED"/>
    <w:rsid w:val="00C80AB5"/>
    <w:rsid w:val="00C80B93"/>
    <w:rsid w:val="00C80CD0"/>
    <w:rsid w:val="00C8100C"/>
    <w:rsid w:val="00C81FAC"/>
    <w:rsid w:val="00C827E7"/>
    <w:rsid w:val="00C83493"/>
    <w:rsid w:val="00C839C1"/>
    <w:rsid w:val="00C84082"/>
    <w:rsid w:val="00C84663"/>
    <w:rsid w:val="00C84729"/>
    <w:rsid w:val="00C84E15"/>
    <w:rsid w:val="00C92CD4"/>
    <w:rsid w:val="00C92ED6"/>
    <w:rsid w:val="00C93553"/>
    <w:rsid w:val="00C93B64"/>
    <w:rsid w:val="00C941CD"/>
    <w:rsid w:val="00C949C8"/>
    <w:rsid w:val="00C953FE"/>
    <w:rsid w:val="00C956A6"/>
    <w:rsid w:val="00C96278"/>
    <w:rsid w:val="00C96C89"/>
    <w:rsid w:val="00C9751B"/>
    <w:rsid w:val="00CA0813"/>
    <w:rsid w:val="00CA1507"/>
    <w:rsid w:val="00CA1AEC"/>
    <w:rsid w:val="00CA1FA2"/>
    <w:rsid w:val="00CA29A1"/>
    <w:rsid w:val="00CA345F"/>
    <w:rsid w:val="00CA3A0B"/>
    <w:rsid w:val="00CA41D3"/>
    <w:rsid w:val="00CA4E0C"/>
    <w:rsid w:val="00CA5EF3"/>
    <w:rsid w:val="00CA67CC"/>
    <w:rsid w:val="00CA70E9"/>
    <w:rsid w:val="00CA727D"/>
    <w:rsid w:val="00CA7D7B"/>
    <w:rsid w:val="00CB082D"/>
    <w:rsid w:val="00CB0E2D"/>
    <w:rsid w:val="00CB20ED"/>
    <w:rsid w:val="00CB211A"/>
    <w:rsid w:val="00CB2496"/>
    <w:rsid w:val="00CB2953"/>
    <w:rsid w:val="00CB2FB5"/>
    <w:rsid w:val="00CB30CE"/>
    <w:rsid w:val="00CB3B9D"/>
    <w:rsid w:val="00CB423F"/>
    <w:rsid w:val="00CB4BA7"/>
    <w:rsid w:val="00CB4BFB"/>
    <w:rsid w:val="00CB4E53"/>
    <w:rsid w:val="00CB61D3"/>
    <w:rsid w:val="00CB74A7"/>
    <w:rsid w:val="00CB7560"/>
    <w:rsid w:val="00CB7967"/>
    <w:rsid w:val="00CB7AEF"/>
    <w:rsid w:val="00CB7F36"/>
    <w:rsid w:val="00CC007A"/>
    <w:rsid w:val="00CC042D"/>
    <w:rsid w:val="00CC0BD5"/>
    <w:rsid w:val="00CC0C9C"/>
    <w:rsid w:val="00CC102F"/>
    <w:rsid w:val="00CC1391"/>
    <w:rsid w:val="00CC231F"/>
    <w:rsid w:val="00CC23C6"/>
    <w:rsid w:val="00CC25F5"/>
    <w:rsid w:val="00CC433B"/>
    <w:rsid w:val="00CC472C"/>
    <w:rsid w:val="00CC4976"/>
    <w:rsid w:val="00CC515F"/>
    <w:rsid w:val="00CC5567"/>
    <w:rsid w:val="00CC581D"/>
    <w:rsid w:val="00CC5A1F"/>
    <w:rsid w:val="00CC5C03"/>
    <w:rsid w:val="00CC6CFD"/>
    <w:rsid w:val="00CC70D9"/>
    <w:rsid w:val="00CC74AD"/>
    <w:rsid w:val="00CD031D"/>
    <w:rsid w:val="00CD0EC6"/>
    <w:rsid w:val="00CD1785"/>
    <w:rsid w:val="00CD1F34"/>
    <w:rsid w:val="00CD2209"/>
    <w:rsid w:val="00CD2C4E"/>
    <w:rsid w:val="00CD30D0"/>
    <w:rsid w:val="00CD3878"/>
    <w:rsid w:val="00CD3A10"/>
    <w:rsid w:val="00CD3CC4"/>
    <w:rsid w:val="00CD3DD3"/>
    <w:rsid w:val="00CD4278"/>
    <w:rsid w:val="00CD42E6"/>
    <w:rsid w:val="00CD43AA"/>
    <w:rsid w:val="00CD4646"/>
    <w:rsid w:val="00CD55C3"/>
    <w:rsid w:val="00CD62F8"/>
    <w:rsid w:val="00CD678D"/>
    <w:rsid w:val="00CD6932"/>
    <w:rsid w:val="00CE0147"/>
    <w:rsid w:val="00CE03B7"/>
    <w:rsid w:val="00CE0A27"/>
    <w:rsid w:val="00CE0D1A"/>
    <w:rsid w:val="00CE1B29"/>
    <w:rsid w:val="00CE2728"/>
    <w:rsid w:val="00CE27B1"/>
    <w:rsid w:val="00CE342A"/>
    <w:rsid w:val="00CE3607"/>
    <w:rsid w:val="00CE3799"/>
    <w:rsid w:val="00CE4CA5"/>
    <w:rsid w:val="00CE539A"/>
    <w:rsid w:val="00CE56E4"/>
    <w:rsid w:val="00CE5ECE"/>
    <w:rsid w:val="00CE643E"/>
    <w:rsid w:val="00CE7391"/>
    <w:rsid w:val="00CE780F"/>
    <w:rsid w:val="00CE7D97"/>
    <w:rsid w:val="00CF05DA"/>
    <w:rsid w:val="00CF18D2"/>
    <w:rsid w:val="00CF221A"/>
    <w:rsid w:val="00CF2AEA"/>
    <w:rsid w:val="00CF2B50"/>
    <w:rsid w:val="00CF2BE2"/>
    <w:rsid w:val="00CF4520"/>
    <w:rsid w:val="00CF5177"/>
    <w:rsid w:val="00CF5E03"/>
    <w:rsid w:val="00CF5ECD"/>
    <w:rsid w:val="00CF69D8"/>
    <w:rsid w:val="00CF707E"/>
    <w:rsid w:val="00D000B7"/>
    <w:rsid w:val="00D00A1E"/>
    <w:rsid w:val="00D00F4D"/>
    <w:rsid w:val="00D01334"/>
    <w:rsid w:val="00D0156F"/>
    <w:rsid w:val="00D016A7"/>
    <w:rsid w:val="00D019B9"/>
    <w:rsid w:val="00D021FD"/>
    <w:rsid w:val="00D025C0"/>
    <w:rsid w:val="00D02E97"/>
    <w:rsid w:val="00D03BCC"/>
    <w:rsid w:val="00D0490D"/>
    <w:rsid w:val="00D04D28"/>
    <w:rsid w:val="00D062AA"/>
    <w:rsid w:val="00D07411"/>
    <w:rsid w:val="00D07982"/>
    <w:rsid w:val="00D07DDA"/>
    <w:rsid w:val="00D10C54"/>
    <w:rsid w:val="00D10D67"/>
    <w:rsid w:val="00D111FA"/>
    <w:rsid w:val="00D12148"/>
    <w:rsid w:val="00D1224F"/>
    <w:rsid w:val="00D1288D"/>
    <w:rsid w:val="00D12F6A"/>
    <w:rsid w:val="00D130F6"/>
    <w:rsid w:val="00D13552"/>
    <w:rsid w:val="00D142B0"/>
    <w:rsid w:val="00D14306"/>
    <w:rsid w:val="00D14FF7"/>
    <w:rsid w:val="00D15166"/>
    <w:rsid w:val="00D16329"/>
    <w:rsid w:val="00D16653"/>
    <w:rsid w:val="00D16F46"/>
    <w:rsid w:val="00D17194"/>
    <w:rsid w:val="00D20F39"/>
    <w:rsid w:val="00D20FB9"/>
    <w:rsid w:val="00D24773"/>
    <w:rsid w:val="00D251CD"/>
    <w:rsid w:val="00D2584E"/>
    <w:rsid w:val="00D25AF3"/>
    <w:rsid w:val="00D25EA4"/>
    <w:rsid w:val="00D26312"/>
    <w:rsid w:val="00D26337"/>
    <w:rsid w:val="00D2637E"/>
    <w:rsid w:val="00D26D01"/>
    <w:rsid w:val="00D275CE"/>
    <w:rsid w:val="00D27E56"/>
    <w:rsid w:val="00D3013B"/>
    <w:rsid w:val="00D30660"/>
    <w:rsid w:val="00D30D59"/>
    <w:rsid w:val="00D314C5"/>
    <w:rsid w:val="00D31A67"/>
    <w:rsid w:val="00D31AC9"/>
    <w:rsid w:val="00D32319"/>
    <w:rsid w:val="00D327A0"/>
    <w:rsid w:val="00D329B4"/>
    <w:rsid w:val="00D33799"/>
    <w:rsid w:val="00D33B44"/>
    <w:rsid w:val="00D33B7A"/>
    <w:rsid w:val="00D33DBE"/>
    <w:rsid w:val="00D34F24"/>
    <w:rsid w:val="00D358F3"/>
    <w:rsid w:val="00D35EF6"/>
    <w:rsid w:val="00D37862"/>
    <w:rsid w:val="00D37B18"/>
    <w:rsid w:val="00D37C0A"/>
    <w:rsid w:val="00D41268"/>
    <w:rsid w:val="00D41420"/>
    <w:rsid w:val="00D41A56"/>
    <w:rsid w:val="00D41BC1"/>
    <w:rsid w:val="00D423F4"/>
    <w:rsid w:val="00D428DE"/>
    <w:rsid w:val="00D42C7E"/>
    <w:rsid w:val="00D430A8"/>
    <w:rsid w:val="00D44285"/>
    <w:rsid w:val="00D44D5D"/>
    <w:rsid w:val="00D45268"/>
    <w:rsid w:val="00D4576F"/>
    <w:rsid w:val="00D4650E"/>
    <w:rsid w:val="00D46A55"/>
    <w:rsid w:val="00D47ACC"/>
    <w:rsid w:val="00D47E12"/>
    <w:rsid w:val="00D509B0"/>
    <w:rsid w:val="00D5156B"/>
    <w:rsid w:val="00D5169A"/>
    <w:rsid w:val="00D51858"/>
    <w:rsid w:val="00D51C46"/>
    <w:rsid w:val="00D52619"/>
    <w:rsid w:val="00D52E3B"/>
    <w:rsid w:val="00D53773"/>
    <w:rsid w:val="00D53B4F"/>
    <w:rsid w:val="00D53B8A"/>
    <w:rsid w:val="00D554BD"/>
    <w:rsid w:val="00D56BFE"/>
    <w:rsid w:val="00D57318"/>
    <w:rsid w:val="00D57440"/>
    <w:rsid w:val="00D60803"/>
    <w:rsid w:val="00D614EC"/>
    <w:rsid w:val="00D61E00"/>
    <w:rsid w:val="00D62106"/>
    <w:rsid w:val="00D62615"/>
    <w:rsid w:val="00D62EA5"/>
    <w:rsid w:val="00D632DC"/>
    <w:rsid w:val="00D632F5"/>
    <w:rsid w:val="00D636B0"/>
    <w:rsid w:val="00D639A3"/>
    <w:rsid w:val="00D645C5"/>
    <w:rsid w:val="00D64B1E"/>
    <w:rsid w:val="00D65362"/>
    <w:rsid w:val="00D65637"/>
    <w:rsid w:val="00D65A27"/>
    <w:rsid w:val="00D6621C"/>
    <w:rsid w:val="00D663D2"/>
    <w:rsid w:val="00D66680"/>
    <w:rsid w:val="00D674C5"/>
    <w:rsid w:val="00D67625"/>
    <w:rsid w:val="00D700F2"/>
    <w:rsid w:val="00D7042A"/>
    <w:rsid w:val="00D70D03"/>
    <w:rsid w:val="00D71F05"/>
    <w:rsid w:val="00D72B67"/>
    <w:rsid w:val="00D72D13"/>
    <w:rsid w:val="00D7396E"/>
    <w:rsid w:val="00D73CEF"/>
    <w:rsid w:val="00D74161"/>
    <w:rsid w:val="00D75756"/>
    <w:rsid w:val="00D75D5B"/>
    <w:rsid w:val="00D76DEC"/>
    <w:rsid w:val="00D76EE7"/>
    <w:rsid w:val="00D76F01"/>
    <w:rsid w:val="00D7754F"/>
    <w:rsid w:val="00D77715"/>
    <w:rsid w:val="00D7786A"/>
    <w:rsid w:val="00D8091B"/>
    <w:rsid w:val="00D83376"/>
    <w:rsid w:val="00D83774"/>
    <w:rsid w:val="00D83C5C"/>
    <w:rsid w:val="00D83E4A"/>
    <w:rsid w:val="00D841D4"/>
    <w:rsid w:val="00D86978"/>
    <w:rsid w:val="00D86BBF"/>
    <w:rsid w:val="00D87515"/>
    <w:rsid w:val="00D87F47"/>
    <w:rsid w:val="00D90158"/>
    <w:rsid w:val="00D92617"/>
    <w:rsid w:val="00D93537"/>
    <w:rsid w:val="00D937C4"/>
    <w:rsid w:val="00D938FB"/>
    <w:rsid w:val="00D93E71"/>
    <w:rsid w:val="00D93F4E"/>
    <w:rsid w:val="00D95C6F"/>
    <w:rsid w:val="00D95E6F"/>
    <w:rsid w:val="00D9686A"/>
    <w:rsid w:val="00D96AEF"/>
    <w:rsid w:val="00D97A07"/>
    <w:rsid w:val="00D97B99"/>
    <w:rsid w:val="00D97DE5"/>
    <w:rsid w:val="00DA003E"/>
    <w:rsid w:val="00DA0F84"/>
    <w:rsid w:val="00DA1177"/>
    <w:rsid w:val="00DA18E0"/>
    <w:rsid w:val="00DA1AB0"/>
    <w:rsid w:val="00DA26A9"/>
    <w:rsid w:val="00DA3A25"/>
    <w:rsid w:val="00DA3D7C"/>
    <w:rsid w:val="00DA408E"/>
    <w:rsid w:val="00DA5FA0"/>
    <w:rsid w:val="00DA6E3A"/>
    <w:rsid w:val="00DB0217"/>
    <w:rsid w:val="00DB0579"/>
    <w:rsid w:val="00DB0DCC"/>
    <w:rsid w:val="00DB17E7"/>
    <w:rsid w:val="00DB1D90"/>
    <w:rsid w:val="00DB1F7B"/>
    <w:rsid w:val="00DB28CF"/>
    <w:rsid w:val="00DB32B7"/>
    <w:rsid w:val="00DB354C"/>
    <w:rsid w:val="00DB3850"/>
    <w:rsid w:val="00DB4015"/>
    <w:rsid w:val="00DB5151"/>
    <w:rsid w:val="00DB51AC"/>
    <w:rsid w:val="00DB5227"/>
    <w:rsid w:val="00DB5280"/>
    <w:rsid w:val="00DB664B"/>
    <w:rsid w:val="00DB672D"/>
    <w:rsid w:val="00DB67A6"/>
    <w:rsid w:val="00DB6C87"/>
    <w:rsid w:val="00DC009C"/>
    <w:rsid w:val="00DC1771"/>
    <w:rsid w:val="00DC19FE"/>
    <w:rsid w:val="00DC1B3D"/>
    <w:rsid w:val="00DC2631"/>
    <w:rsid w:val="00DC3824"/>
    <w:rsid w:val="00DC3CBB"/>
    <w:rsid w:val="00DC3CC3"/>
    <w:rsid w:val="00DC4869"/>
    <w:rsid w:val="00DC4AEA"/>
    <w:rsid w:val="00DC4F18"/>
    <w:rsid w:val="00DC58B0"/>
    <w:rsid w:val="00DC5FD4"/>
    <w:rsid w:val="00DC65E5"/>
    <w:rsid w:val="00DC672A"/>
    <w:rsid w:val="00DC7460"/>
    <w:rsid w:val="00DD0FC7"/>
    <w:rsid w:val="00DD23E1"/>
    <w:rsid w:val="00DD26FA"/>
    <w:rsid w:val="00DD273F"/>
    <w:rsid w:val="00DD2B23"/>
    <w:rsid w:val="00DD31C1"/>
    <w:rsid w:val="00DD38EB"/>
    <w:rsid w:val="00DD48FE"/>
    <w:rsid w:val="00DD4D8A"/>
    <w:rsid w:val="00DD4E4D"/>
    <w:rsid w:val="00DD5715"/>
    <w:rsid w:val="00DD6130"/>
    <w:rsid w:val="00DD6D31"/>
    <w:rsid w:val="00DD6D3C"/>
    <w:rsid w:val="00DD7036"/>
    <w:rsid w:val="00DD71B2"/>
    <w:rsid w:val="00DD7539"/>
    <w:rsid w:val="00DE0522"/>
    <w:rsid w:val="00DE0A54"/>
    <w:rsid w:val="00DE1588"/>
    <w:rsid w:val="00DE24E7"/>
    <w:rsid w:val="00DE3419"/>
    <w:rsid w:val="00DE3541"/>
    <w:rsid w:val="00DE35A6"/>
    <w:rsid w:val="00DE37B8"/>
    <w:rsid w:val="00DE45A8"/>
    <w:rsid w:val="00DE5508"/>
    <w:rsid w:val="00DE5A80"/>
    <w:rsid w:val="00DE5C8D"/>
    <w:rsid w:val="00DE5F00"/>
    <w:rsid w:val="00DE7FD3"/>
    <w:rsid w:val="00DF05D4"/>
    <w:rsid w:val="00DF07B2"/>
    <w:rsid w:val="00DF1AFB"/>
    <w:rsid w:val="00DF254B"/>
    <w:rsid w:val="00DF3529"/>
    <w:rsid w:val="00DF4012"/>
    <w:rsid w:val="00DF40F7"/>
    <w:rsid w:val="00DF426F"/>
    <w:rsid w:val="00DF51FE"/>
    <w:rsid w:val="00DF5DB7"/>
    <w:rsid w:val="00DF5F34"/>
    <w:rsid w:val="00DF6084"/>
    <w:rsid w:val="00DF6341"/>
    <w:rsid w:val="00DF7C85"/>
    <w:rsid w:val="00DF7F31"/>
    <w:rsid w:val="00E0091A"/>
    <w:rsid w:val="00E01BA1"/>
    <w:rsid w:val="00E031EF"/>
    <w:rsid w:val="00E038A0"/>
    <w:rsid w:val="00E04060"/>
    <w:rsid w:val="00E0614D"/>
    <w:rsid w:val="00E061C7"/>
    <w:rsid w:val="00E06B00"/>
    <w:rsid w:val="00E07ADA"/>
    <w:rsid w:val="00E1034D"/>
    <w:rsid w:val="00E10C27"/>
    <w:rsid w:val="00E11378"/>
    <w:rsid w:val="00E113B5"/>
    <w:rsid w:val="00E11E07"/>
    <w:rsid w:val="00E12405"/>
    <w:rsid w:val="00E1243D"/>
    <w:rsid w:val="00E125C3"/>
    <w:rsid w:val="00E12E75"/>
    <w:rsid w:val="00E13437"/>
    <w:rsid w:val="00E13B1F"/>
    <w:rsid w:val="00E13D34"/>
    <w:rsid w:val="00E13E6F"/>
    <w:rsid w:val="00E1415C"/>
    <w:rsid w:val="00E14269"/>
    <w:rsid w:val="00E1508A"/>
    <w:rsid w:val="00E154A1"/>
    <w:rsid w:val="00E1572E"/>
    <w:rsid w:val="00E157C8"/>
    <w:rsid w:val="00E16E4A"/>
    <w:rsid w:val="00E20592"/>
    <w:rsid w:val="00E20BD8"/>
    <w:rsid w:val="00E20E91"/>
    <w:rsid w:val="00E21C3B"/>
    <w:rsid w:val="00E21C7E"/>
    <w:rsid w:val="00E21D95"/>
    <w:rsid w:val="00E22AE5"/>
    <w:rsid w:val="00E23388"/>
    <w:rsid w:val="00E235B2"/>
    <w:rsid w:val="00E23834"/>
    <w:rsid w:val="00E245F1"/>
    <w:rsid w:val="00E25A2C"/>
    <w:rsid w:val="00E25F17"/>
    <w:rsid w:val="00E27775"/>
    <w:rsid w:val="00E27C63"/>
    <w:rsid w:val="00E3163C"/>
    <w:rsid w:val="00E3169D"/>
    <w:rsid w:val="00E3225E"/>
    <w:rsid w:val="00E32DB9"/>
    <w:rsid w:val="00E32F5C"/>
    <w:rsid w:val="00E337FA"/>
    <w:rsid w:val="00E33EF7"/>
    <w:rsid w:val="00E34220"/>
    <w:rsid w:val="00E34320"/>
    <w:rsid w:val="00E34C03"/>
    <w:rsid w:val="00E351E6"/>
    <w:rsid w:val="00E355FD"/>
    <w:rsid w:val="00E357AE"/>
    <w:rsid w:val="00E364BF"/>
    <w:rsid w:val="00E368BC"/>
    <w:rsid w:val="00E37899"/>
    <w:rsid w:val="00E37A3A"/>
    <w:rsid w:val="00E37BF3"/>
    <w:rsid w:val="00E40DE4"/>
    <w:rsid w:val="00E40F63"/>
    <w:rsid w:val="00E4198D"/>
    <w:rsid w:val="00E41DE5"/>
    <w:rsid w:val="00E42503"/>
    <w:rsid w:val="00E42A73"/>
    <w:rsid w:val="00E437BA"/>
    <w:rsid w:val="00E43B37"/>
    <w:rsid w:val="00E43FD8"/>
    <w:rsid w:val="00E451E9"/>
    <w:rsid w:val="00E457BA"/>
    <w:rsid w:val="00E459D3"/>
    <w:rsid w:val="00E46400"/>
    <w:rsid w:val="00E46D67"/>
    <w:rsid w:val="00E472EF"/>
    <w:rsid w:val="00E47B7D"/>
    <w:rsid w:val="00E47D9D"/>
    <w:rsid w:val="00E5171E"/>
    <w:rsid w:val="00E52546"/>
    <w:rsid w:val="00E52971"/>
    <w:rsid w:val="00E52AE3"/>
    <w:rsid w:val="00E533EE"/>
    <w:rsid w:val="00E53AA7"/>
    <w:rsid w:val="00E54686"/>
    <w:rsid w:val="00E54952"/>
    <w:rsid w:val="00E549EE"/>
    <w:rsid w:val="00E558D3"/>
    <w:rsid w:val="00E55F5F"/>
    <w:rsid w:val="00E56407"/>
    <w:rsid w:val="00E56B34"/>
    <w:rsid w:val="00E5733A"/>
    <w:rsid w:val="00E57764"/>
    <w:rsid w:val="00E57B03"/>
    <w:rsid w:val="00E6040E"/>
    <w:rsid w:val="00E6081D"/>
    <w:rsid w:val="00E61164"/>
    <w:rsid w:val="00E626A3"/>
    <w:rsid w:val="00E627C9"/>
    <w:rsid w:val="00E63A8D"/>
    <w:rsid w:val="00E63E1C"/>
    <w:rsid w:val="00E645E8"/>
    <w:rsid w:val="00E6483A"/>
    <w:rsid w:val="00E65D9E"/>
    <w:rsid w:val="00E65DA8"/>
    <w:rsid w:val="00E66FFC"/>
    <w:rsid w:val="00E709BA"/>
    <w:rsid w:val="00E711A5"/>
    <w:rsid w:val="00E7121F"/>
    <w:rsid w:val="00E713A5"/>
    <w:rsid w:val="00E72218"/>
    <w:rsid w:val="00E72670"/>
    <w:rsid w:val="00E73CFD"/>
    <w:rsid w:val="00E748E6"/>
    <w:rsid w:val="00E74947"/>
    <w:rsid w:val="00E759D9"/>
    <w:rsid w:val="00E76AF6"/>
    <w:rsid w:val="00E772AE"/>
    <w:rsid w:val="00E800E1"/>
    <w:rsid w:val="00E804AE"/>
    <w:rsid w:val="00E815F8"/>
    <w:rsid w:val="00E81840"/>
    <w:rsid w:val="00E8185F"/>
    <w:rsid w:val="00E818E6"/>
    <w:rsid w:val="00E822F3"/>
    <w:rsid w:val="00E828FB"/>
    <w:rsid w:val="00E82AB0"/>
    <w:rsid w:val="00E82ACC"/>
    <w:rsid w:val="00E82C0D"/>
    <w:rsid w:val="00E83046"/>
    <w:rsid w:val="00E83AC4"/>
    <w:rsid w:val="00E84A24"/>
    <w:rsid w:val="00E8549D"/>
    <w:rsid w:val="00E855CB"/>
    <w:rsid w:val="00E85779"/>
    <w:rsid w:val="00E85A07"/>
    <w:rsid w:val="00E860F7"/>
    <w:rsid w:val="00E86393"/>
    <w:rsid w:val="00E86D90"/>
    <w:rsid w:val="00E87C6A"/>
    <w:rsid w:val="00E900A1"/>
    <w:rsid w:val="00E9014C"/>
    <w:rsid w:val="00E9084D"/>
    <w:rsid w:val="00E9103D"/>
    <w:rsid w:val="00E91164"/>
    <w:rsid w:val="00E91C83"/>
    <w:rsid w:val="00E91D1F"/>
    <w:rsid w:val="00E930D7"/>
    <w:rsid w:val="00E93488"/>
    <w:rsid w:val="00E96169"/>
    <w:rsid w:val="00E9616F"/>
    <w:rsid w:val="00E9638B"/>
    <w:rsid w:val="00E96A1D"/>
    <w:rsid w:val="00E96B4D"/>
    <w:rsid w:val="00E96E57"/>
    <w:rsid w:val="00E96F2B"/>
    <w:rsid w:val="00E97484"/>
    <w:rsid w:val="00E97876"/>
    <w:rsid w:val="00EA0064"/>
    <w:rsid w:val="00EA0463"/>
    <w:rsid w:val="00EA0F79"/>
    <w:rsid w:val="00EA2AFA"/>
    <w:rsid w:val="00EA2D36"/>
    <w:rsid w:val="00EA3EBB"/>
    <w:rsid w:val="00EA3EE3"/>
    <w:rsid w:val="00EA5B02"/>
    <w:rsid w:val="00EA5B73"/>
    <w:rsid w:val="00EA6182"/>
    <w:rsid w:val="00EA6202"/>
    <w:rsid w:val="00EA66A1"/>
    <w:rsid w:val="00EA6CCB"/>
    <w:rsid w:val="00EA756D"/>
    <w:rsid w:val="00EA7914"/>
    <w:rsid w:val="00EB02CC"/>
    <w:rsid w:val="00EB096F"/>
    <w:rsid w:val="00EB0B3C"/>
    <w:rsid w:val="00EB168E"/>
    <w:rsid w:val="00EB1B4C"/>
    <w:rsid w:val="00EB4501"/>
    <w:rsid w:val="00EB4D62"/>
    <w:rsid w:val="00EB5293"/>
    <w:rsid w:val="00EB5709"/>
    <w:rsid w:val="00EB5E4B"/>
    <w:rsid w:val="00EB5F44"/>
    <w:rsid w:val="00EB60C4"/>
    <w:rsid w:val="00EB6103"/>
    <w:rsid w:val="00EB6990"/>
    <w:rsid w:val="00EB75EB"/>
    <w:rsid w:val="00EB7839"/>
    <w:rsid w:val="00EB7D95"/>
    <w:rsid w:val="00EC005E"/>
    <w:rsid w:val="00EC01E6"/>
    <w:rsid w:val="00EC032B"/>
    <w:rsid w:val="00EC11FF"/>
    <w:rsid w:val="00EC18CA"/>
    <w:rsid w:val="00EC1CE8"/>
    <w:rsid w:val="00EC1D00"/>
    <w:rsid w:val="00EC2536"/>
    <w:rsid w:val="00EC2C55"/>
    <w:rsid w:val="00EC2DEA"/>
    <w:rsid w:val="00EC2E77"/>
    <w:rsid w:val="00EC3036"/>
    <w:rsid w:val="00EC43C9"/>
    <w:rsid w:val="00EC56B3"/>
    <w:rsid w:val="00EC5E03"/>
    <w:rsid w:val="00EC64C8"/>
    <w:rsid w:val="00EC64EE"/>
    <w:rsid w:val="00EC6E2A"/>
    <w:rsid w:val="00ED00F0"/>
    <w:rsid w:val="00ED01BF"/>
    <w:rsid w:val="00ED02EE"/>
    <w:rsid w:val="00ED1211"/>
    <w:rsid w:val="00ED19ED"/>
    <w:rsid w:val="00ED202E"/>
    <w:rsid w:val="00ED3447"/>
    <w:rsid w:val="00ED3BDA"/>
    <w:rsid w:val="00ED40D8"/>
    <w:rsid w:val="00ED45F5"/>
    <w:rsid w:val="00ED4806"/>
    <w:rsid w:val="00ED4A30"/>
    <w:rsid w:val="00ED5134"/>
    <w:rsid w:val="00ED58EB"/>
    <w:rsid w:val="00ED5936"/>
    <w:rsid w:val="00ED6598"/>
    <w:rsid w:val="00ED66D1"/>
    <w:rsid w:val="00EE1392"/>
    <w:rsid w:val="00EE180E"/>
    <w:rsid w:val="00EE2180"/>
    <w:rsid w:val="00EE22B6"/>
    <w:rsid w:val="00EE27BB"/>
    <w:rsid w:val="00EE34C4"/>
    <w:rsid w:val="00EE3B6A"/>
    <w:rsid w:val="00EE4026"/>
    <w:rsid w:val="00EE4419"/>
    <w:rsid w:val="00EE5406"/>
    <w:rsid w:val="00EE5D8B"/>
    <w:rsid w:val="00EE76AA"/>
    <w:rsid w:val="00EF0424"/>
    <w:rsid w:val="00EF0667"/>
    <w:rsid w:val="00EF08A7"/>
    <w:rsid w:val="00EF1083"/>
    <w:rsid w:val="00EF1301"/>
    <w:rsid w:val="00EF1634"/>
    <w:rsid w:val="00EF1758"/>
    <w:rsid w:val="00EF1859"/>
    <w:rsid w:val="00EF1C64"/>
    <w:rsid w:val="00EF1C88"/>
    <w:rsid w:val="00EF270F"/>
    <w:rsid w:val="00EF3F49"/>
    <w:rsid w:val="00EF3F99"/>
    <w:rsid w:val="00EF4581"/>
    <w:rsid w:val="00EF48D9"/>
    <w:rsid w:val="00EF4E9C"/>
    <w:rsid w:val="00EF5368"/>
    <w:rsid w:val="00EF5A06"/>
    <w:rsid w:val="00EF5BAC"/>
    <w:rsid w:val="00EF62DD"/>
    <w:rsid w:val="00EF6F66"/>
    <w:rsid w:val="00EF74EA"/>
    <w:rsid w:val="00EF7BBD"/>
    <w:rsid w:val="00F00263"/>
    <w:rsid w:val="00F00C50"/>
    <w:rsid w:val="00F00F8A"/>
    <w:rsid w:val="00F01320"/>
    <w:rsid w:val="00F02D25"/>
    <w:rsid w:val="00F02E4C"/>
    <w:rsid w:val="00F030A5"/>
    <w:rsid w:val="00F031F0"/>
    <w:rsid w:val="00F0391B"/>
    <w:rsid w:val="00F03F8F"/>
    <w:rsid w:val="00F04FB0"/>
    <w:rsid w:val="00F05E91"/>
    <w:rsid w:val="00F0784B"/>
    <w:rsid w:val="00F07EED"/>
    <w:rsid w:val="00F1004A"/>
    <w:rsid w:val="00F101B5"/>
    <w:rsid w:val="00F10339"/>
    <w:rsid w:val="00F10F0B"/>
    <w:rsid w:val="00F1126A"/>
    <w:rsid w:val="00F1240D"/>
    <w:rsid w:val="00F12BDD"/>
    <w:rsid w:val="00F12BF4"/>
    <w:rsid w:val="00F13630"/>
    <w:rsid w:val="00F141B8"/>
    <w:rsid w:val="00F146DA"/>
    <w:rsid w:val="00F15D14"/>
    <w:rsid w:val="00F15EBE"/>
    <w:rsid w:val="00F16F5D"/>
    <w:rsid w:val="00F1743D"/>
    <w:rsid w:val="00F179B6"/>
    <w:rsid w:val="00F17A42"/>
    <w:rsid w:val="00F204C7"/>
    <w:rsid w:val="00F21120"/>
    <w:rsid w:val="00F2112D"/>
    <w:rsid w:val="00F211E1"/>
    <w:rsid w:val="00F21283"/>
    <w:rsid w:val="00F21350"/>
    <w:rsid w:val="00F2159A"/>
    <w:rsid w:val="00F22121"/>
    <w:rsid w:val="00F22354"/>
    <w:rsid w:val="00F22C75"/>
    <w:rsid w:val="00F23457"/>
    <w:rsid w:val="00F23BEA"/>
    <w:rsid w:val="00F23EC7"/>
    <w:rsid w:val="00F251E0"/>
    <w:rsid w:val="00F26EB6"/>
    <w:rsid w:val="00F270D7"/>
    <w:rsid w:val="00F27E13"/>
    <w:rsid w:val="00F314E2"/>
    <w:rsid w:val="00F315D1"/>
    <w:rsid w:val="00F341FD"/>
    <w:rsid w:val="00F34857"/>
    <w:rsid w:val="00F35FD3"/>
    <w:rsid w:val="00F369EF"/>
    <w:rsid w:val="00F36C5F"/>
    <w:rsid w:val="00F409C3"/>
    <w:rsid w:val="00F40B3B"/>
    <w:rsid w:val="00F4142C"/>
    <w:rsid w:val="00F41882"/>
    <w:rsid w:val="00F421C0"/>
    <w:rsid w:val="00F42788"/>
    <w:rsid w:val="00F43A9B"/>
    <w:rsid w:val="00F43D9A"/>
    <w:rsid w:val="00F43DD9"/>
    <w:rsid w:val="00F44740"/>
    <w:rsid w:val="00F448B6"/>
    <w:rsid w:val="00F44DE6"/>
    <w:rsid w:val="00F44E69"/>
    <w:rsid w:val="00F45331"/>
    <w:rsid w:val="00F45E5D"/>
    <w:rsid w:val="00F46102"/>
    <w:rsid w:val="00F464AB"/>
    <w:rsid w:val="00F47EF3"/>
    <w:rsid w:val="00F50F05"/>
    <w:rsid w:val="00F5199F"/>
    <w:rsid w:val="00F51A8B"/>
    <w:rsid w:val="00F52FB4"/>
    <w:rsid w:val="00F53C0C"/>
    <w:rsid w:val="00F53CF0"/>
    <w:rsid w:val="00F54132"/>
    <w:rsid w:val="00F551D1"/>
    <w:rsid w:val="00F5572C"/>
    <w:rsid w:val="00F55D72"/>
    <w:rsid w:val="00F5603F"/>
    <w:rsid w:val="00F56DED"/>
    <w:rsid w:val="00F56FA3"/>
    <w:rsid w:val="00F57A44"/>
    <w:rsid w:val="00F602A6"/>
    <w:rsid w:val="00F60D4E"/>
    <w:rsid w:val="00F61130"/>
    <w:rsid w:val="00F611FF"/>
    <w:rsid w:val="00F61293"/>
    <w:rsid w:val="00F61581"/>
    <w:rsid w:val="00F61C10"/>
    <w:rsid w:val="00F64059"/>
    <w:rsid w:val="00F64163"/>
    <w:rsid w:val="00F64641"/>
    <w:rsid w:val="00F64A7B"/>
    <w:rsid w:val="00F65245"/>
    <w:rsid w:val="00F65E4B"/>
    <w:rsid w:val="00F66EC6"/>
    <w:rsid w:val="00F673D0"/>
    <w:rsid w:val="00F700B0"/>
    <w:rsid w:val="00F70123"/>
    <w:rsid w:val="00F723E5"/>
    <w:rsid w:val="00F72677"/>
    <w:rsid w:val="00F732F0"/>
    <w:rsid w:val="00F73371"/>
    <w:rsid w:val="00F736F3"/>
    <w:rsid w:val="00F74037"/>
    <w:rsid w:val="00F7446C"/>
    <w:rsid w:val="00F74956"/>
    <w:rsid w:val="00F75717"/>
    <w:rsid w:val="00F767F3"/>
    <w:rsid w:val="00F76BDA"/>
    <w:rsid w:val="00F803C1"/>
    <w:rsid w:val="00F8081D"/>
    <w:rsid w:val="00F80E97"/>
    <w:rsid w:val="00F82255"/>
    <w:rsid w:val="00F82452"/>
    <w:rsid w:val="00F82904"/>
    <w:rsid w:val="00F82B24"/>
    <w:rsid w:val="00F82CB0"/>
    <w:rsid w:val="00F834A4"/>
    <w:rsid w:val="00F839D3"/>
    <w:rsid w:val="00F83E0C"/>
    <w:rsid w:val="00F847FF"/>
    <w:rsid w:val="00F84C9E"/>
    <w:rsid w:val="00F8583A"/>
    <w:rsid w:val="00F86056"/>
    <w:rsid w:val="00F86154"/>
    <w:rsid w:val="00F86C71"/>
    <w:rsid w:val="00F873A6"/>
    <w:rsid w:val="00F879A7"/>
    <w:rsid w:val="00F90E2B"/>
    <w:rsid w:val="00F9169D"/>
    <w:rsid w:val="00F92183"/>
    <w:rsid w:val="00F922DA"/>
    <w:rsid w:val="00F925DD"/>
    <w:rsid w:val="00F92AA7"/>
    <w:rsid w:val="00F937CF"/>
    <w:rsid w:val="00F93899"/>
    <w:rsid w:val="00F9459B"/>
    <w:rsid w:val="00F94D68"/>
    <w:rsid w:val="00F955C0"/>
    <w:rsid w:val="00F9590F"/>
    <w:rsid w:val="00F96D78"/>
    <w:rsid w:val="00F96D87"/>
    <w:rsid w:val="00F972BD"/>
    <w:rsid w:val="00F97563"/>
    <w:rsid w:val="00F978D7"/>
    <w:rsid w:val="00FA01FA"/>
    <w:rsid w:val="00FA0370"/>
    <w:rsid w:val="00FA11F6"/>
    <w:rsid w:val="00FA1373"/>
    <w:rsid w:val="00FA1641"/>
    <w:rsid w:val="00FA1985"/>
    <w:rsid w:val="00FA1BAD"/>
    <w:rsid w:val="00FA1CEA"/>
    <w:rsid w:val="00FA2ADD"/>
    <w:rsid w:val="00FA3533"/>
    <w:rsid w:val="00FA3FBB"/>
    <w:rsid w:val="00FA4AFC"/>
    <w:rsid w:val="00FA5D1E"/>
    <w:rsid w:val="00FA6B52"/>
    <w:rsid w:val="00FA7F96"/>
    <w:rsid w:val="00FB0690"/>
    <w:rsid w:val="00FB099B"/>
    <w:rsid w:val="00FB09D7"/>
    <w:rsid w:val="00FB15E5"/>
    <w:rsid w:val="00FB1AE0"/>
    <w:rsid w:val="00FB226E"/>
    <w:rsid w:val="00FB276C"/>
    <w:rsid w:val="00FB28E0"/>
    <w:rsid w:val="00FB3489"/>
    <w:rsid w:val="00FB3638"/>
    <w:rsid w:val="00FB3F27"/>
    <w:rsid w:val="00FB40B5"/>
    <w:rsid w:val="00FB4431"/>
    <w:rsid w:val="00FB4836"/>
    <w:rsid w:val="00FB4CE1"/>
    <w:rsid w:val="00FB4E11"/>
    <w:rsid w:val="00FB7626"/>
    <w:rsid w:val="00FB7E25"/>
    <w:rsid w:val="00FC0517"/>
    <w:rsid w:val="00FC1107"/>
    <w:rsid w:val="00FC1B80"/>
    <w:rsid w:val="00FC247E"/>
    <w:rsid w:val="00FC2AAD"/>
    <w:rsid w:val="00FC3221"/>
    <w:rsid w:val="00FC35A9"/>
    <w:rsid w:val="00FC3F43"/>
    <w:rsid w:val="00FC40E6"/>
    <w:rsid w:val="00FC4778"/>
    <w:rsid w:val="00FC4A75"/>
    <w:rsid w:val="00FC4CA4"/>
    <w:rsid w:val="00FC4E62"/>
    <w:rsid w:val="00FC516F"/>
    <w:rsid w:val="00FC5673"/>
    <w:rsid w:val="00FC67C8"/>
    <w:rsid w:val="00FC6823"/>
    <w:rsid w:val="00FC69BB"/>
    <w:rsid w:val="00FC760D"/>
    <w:rsid w:val="00FC7FBF"/>
    <w:rsid w:val="00FD0F20"/>
    <w:rsid w:val="00FD1559"/>
    <w:rsid w:val="00FD22D7"/>
    <w:rsid w:val="00FD2812"/>
    <w:rsid w:val="00FD2A9C"/>
    <w:rsid w:val="00FD2CCC"/>
    <w:rsid w:val="00FD5551"/>
    <w:rsid w:val="00FD5761"/>
    <w:rsid w:val="00FD60CC"/>
    <w:rsid w:val="00FD6481"/>
    <w:rsid w:val="00FD78E7"/>
    <w:rsid w:val="00FD7E22"/>
    <w:rsid w:val="00FE0075"/>
    <w:rsid w:val="00FE0619"/>
    <w:rsid w:val="00FE0FA6"/>
    <w:rsid w:val="00FE106E"/>
    <w:rsid w:val="00FE1A86"/>
    <w:rsid w:val="00FE1D72"/>
    <w:rsid w:val="00FE2055"/>
    <w:rsid w:val="00FE2474"/>
    <w:rsid w:val="00FE248F"/>
    <w:rsid w:val="00FE2B98"/>
    <w:rsid w:val="00FE324C"/>
    <w:rsid w:val="00FE38F7"/>
    <w:rsid w:val="00FE3A4A"/>
    <w:rsid w:val="00FE4336"/>
    <w:rsid w:val="00FE4697"/>
    <w:rsid w:val="00FE4D65"/>
    <w:rsid w:val="00FE563E"/>
    <w:rsid w:val="00FE5BE2"/>
    <w:rsid w:val="00FE61DF"/>
    <w:rsid w:val="00FE6396"/>
    <w:rsid w:val="00FE6E3A"/>
    <w:rsid w:val="00FE7156"/>
    <w:rsid w:val="00FE71B2"/>
    <w:rsid w:val="00FF036B"/>
    <w:rsid w:val="00FF1ECC"/>
    <w:rsid w:val="00FF2E24"/>
    <w:rsid w:val="00FF3099"/>
    <w:rsid w:val="00FF32BF"/>
    <w:rsid w:val="00FF4354"/>
    <w:rsid w:val="00FF44AC"/>
    <w:rsid w:val="00FF54E6"/>
    <w:rsid w:val="00FF5A25"/>
    <w:rsid w:val="00FF5FCF"/>
    <w:rsid w:val="00FF6765"/>
    <w:rsid w:val="00FF6954"/>
    <w:rsid w:val="00FF6BA2"/>
    <w:rsid w:val="00FF7A7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7F4B8728"/>
  <w15:docId w15:val="{DA1D908F-A5C2-4FC5-9423-A1D12EE3CC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 ESSENCE" w:eastAsiaTheme="minorHAnsi" w:hAnsi="AR ESSENCE" w:cstheme="minorBidi"/>
        <w:lang w:val="en-AU" w:eastAsia="en-US" w:bidi="ar-SA"/>
      </w:rPr>
    </w:rPrDefault>
    <w:pPrDefault/>
  </w:docDefaults>
  <w:latentStyles w:defLockedState="0" w:defUIPriority="99" w:defSemiHidden="0" w:defUnhideWhenUsed="0" w:defQFormat="0" w:count="371">
    <w:lsdException w:name="Normal" w:uiPriority="0"/>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uiPriority="4"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45"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9" w:unhideWhenUsed="1" w:qFormat="1"/>
    <w:lsdException w:name="Body Text 3" w:semiHidden="1" w:uiPriority="9" w:unhideWhenUsed="1" w:qFormat="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7"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 w:qFormat="1"/>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C12D24"/>
    <w:pPr>
      <w:spacing w:before="120" w:after="120" w:line="280" w:lineRule="atLeast"/>
      <w:jc w:val="both"/>
    </w:pPr>
    <w:rPr>
      <w:rFonts w:ascii="Open Sans" w:hAnsi="Open Sans"/>
      <w:color w:val="37424A" w:themeColor="text1"/>
    </w:rPr>
  </w:style>
  <w:style w:type="paragraph" w:styleId="Heading1">
    <w:name w:val="heading 1"/>
    <w:basedOn w:val="ReportTitle"/>
    <w:next w:val="BodyText"/>
    <w:link w:val="Heading1Char"/>
    <w:uiPriority w:val="2"/>
    <w:qFormat/>
    <w:rsid w:val="00557AD9"/>
    <w:pPr>
      <w:outlineLvl w:val="0"/>
    </w:pPr>
  </w:style>
  <w:style w:type="paragraph" w:styleId="Heading2">
    <w:name w:val="heading 2"/>
    <w:basedOn w:val="Normal"/>
    <w:next w:val="BodyText"/>
    <w:link w:val="Heading2Char"/>
    <w:uiPriority w:val="2"/>
    <w:qFormat/>
    <w:rsid w:val="00325F76"/>
    <w:pPr>
      <w:keepNext/>
      <w:keepLines/>
      <w:pageBreakBefore/>
      <w:spacing w:before="240" w:after="520" w:line="520" w:lineRule="atLeast"/>
      <w:jc w:val="left"/>
      <w:outlineLvl w:val="1"/>
    </w:pPr>
    <w:rPr>
      <w:rFonts w:ascii="Open Sans Light" w:hAnsi="Open Sans Light"/>
      <w:color w:val="207BA1" w:themeColor="accent2"/>
      <w:sz w:val="52"/>
    </w:rPr>
  </w:style>
  <w:style w:type="paragraph" w:styleId="Heading3">
    <w:name w:val="heading 3"/>
    <w:basedOn w:val="Normal"/>
    <w:next w:val="BodyText"/>
    <w:link w:val="Heading3Char"/>
    <w:uiPriority w:val="2"/>
    <w:qFormat/>
    <w:rsid w:val="00EC032B"/>
    <w:pPr>
      <w:spacing w:before="240" w:after="240" w:line="264" w:lineRule="auto"/>
      <w:outlineLvl w:val="2"/>
    </w:pPr>
    <w:rPr>
      <w:rFonts w:ascii="Open Sans SemiBold" w:hAnsi="Open Sans SemiBold"/>
      <w:color w:val="207BA1" w:themeColor="accent2"/>
      <w:sz w:val="28"/>
    </w:rPr>
  </w:style>
  <w:style w:type="paragraph" w:styleId="Heading4">
    <w:name w:val="heading 4"/>
    <w:basedOn w:val="Normal"/>
    <w:next w:val="BodyText"/>
    <w:link w:val="Heading4Char"/>
    <w:uiPriority w:val="2"/>
    <w:rsid w:val="00C12D24"/>
    <w:pPr>
      <w:keepNext/>
      <w:spacing w:before="240" w:line="264" w:lineRule="auto"/>
      <w:jc w:val="left"/>
      <w:outlineLvl w:val="3"/>
    </w:pPr>
    <w:rPr>
      <w:rFonts w:ascii="Open Sans SemiBold" w:hAnsi="Open Sans SemiBold"/>
      <w:color w:val="207BA1"/>
      <w:sz w:val="24"/>
    </w:rPr>
  </w:style>
  <w:style w:type="paragraph" w:styleId="Heading5">
    <w:name w:val="heading 5"/>
    <w:basedOn w:val="BodyText"/>
    <w:next w:val="BodyText"/>
    <w:link w:val="Heading5Char"/>
    <w:uiPriority w:val="3"/>
    <w:qFormat/>
    <w:rsid w:val="00C12D24"/>
    <w:pPr>
      <w:outlineLvl w:val="4"/>
    </w:pPr>
    <w:rPr>
      <w:rFonts w:ascii="Open Sans SemiBold" w:hAnsi="Open Sans SemiBold" w:cstheme="minorBidi"/>
      <w:color w:val="374249" w:themeColor="text2"/>
      <w:sz w:val="22"/>
      <w:szCs w:val="22"/>
    </w:rPr>
  </w:style>
  <w:style w:type="paragraph" w:styleId="Heading6">
    <w:name w:val="heading 6"/>
    <w:basedOn w:val="Heading5"/>
    <w:next w:val="BodyText"/>
    <w:link w:val="Heading6Char"/>
    <w:uiPriority w:val="9"/>
    <w:semiHidden/>
    <w:qFormat/>
    <w:rsid w:val="00185645"/>
    <w:pPr>
      <w:numPr>
        <w:ilvl w:val="5"/>
      </w:numPr>
      <w:spacing w:before="240"/>
      <w:outlineLvl w:val="5"/>
    </w:pPr>
    <w:rPr>
      <w:rFonts w:asciiTheme="minorHAnsi" w:hAnsiTheme="minorHAnsi"/>
      <w:b/>
      <w:i/>
      <w:color w:val="7F140E" w:themeColor="accent1" w:themeShade="7F"/>
    </w:rPr>
  </w:style>
  <w:style w:type="paragraph" w:styleId="Heading7">
    <w:name w:val="heading 7"/>
    <w:basedOn w:val="Heading6"/>
    <w:next w:val="BodyText"/>
    <w:link w:val="Heading7Char"/>
    <w:uiPriority w:val="9"/>
    <w:semiHidden/>
    <w:qFormat/>
    <w:rsid w:val="00185645"/>
    <w:pPr>
      <w:numPr>
        <w:ilvl w:val="6"/>
      </w:numPr>
      <w:outlineLvl w:val="6"/>
    </w:pPr>
    <w:rPr>
      <w:i w:val="0"/>
      <w:iCs/>
    </w:rPr>
  </w:style>
  <w:style w:type="paragraph" w:styleId="Heading8">
    <w:name w:val="heading 8"/>
    <w:basedOn w:val="Heading7"/>
    <w:next w:val="BodyText"/>
    <w:link w:val="Heading8Char"/>
    <w:uiPriority w:val="9"/>
    <w:semiHidden/>
    <w:qFormat/>
    <w:rsid w:val="00185645"/>
    <w:pPr>
      <w:numPr>
        <w:ilvl w:val="7"/>
      </w:numPr>
      <w:outlineLvl w:val="7"/>
    </w:pPr>
    <w:rPr>
      <w:color w:val="4F5F6B" w:themeColor="text1" w:themeTint="D8"/>
      <w:sz w:val="21"/>
      <w:szCs w:val="21"/>
    </w:rPr>
  </w:style>
  <w:style w:type="paragraph" w:styleId="Heading9">
    <w:name w:val="heading 9"/>
    <w:basedOn w:val="Heading8"/>
    <w:next w:val="BodyText"/>
    <w:link w:val="Heading9Char"/>
    <w:uiPriority w:val="9"/>
    <w:semiHidden/>
    <w:qFormat/>
    <w:rsid w:val="00185645"/>
    <w:pPr>
      <w:numPr>
        <w:ilvl w:val="8"/>
      </w:numPr>
      <w:outlineLvl w:val="8"/>
    </w:pPr>
    <w:rPr>
      <w:i/>
      <w:iCs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Text4">
    <w:name w:val="Body Text 4"/>
    <w:basedOn w:val="BodyText"/>
    <w:uiPriority w:val="9"/>
    <w:semiHidden/>
    <w:qFormat/>
    <w:rsid w:val="00185645"/>
    <w:pPr>
      <w:spacing w:line="264" w:lineRule="auto"/>
    </w:pPr>
  </w:style>
  <w:style w:type="paragraph" w:styleId="BodyText">
    <w:name w:val="Body Text"/>
    <w:basedOn w:val="Normal"/>
    <w:link w:val="BodyTextChar"/>
    <w:qFormat/>
    <w:rsid w:val="00C57A53"/>
    <w:pPr>
      <w:spacing w:before="160" w:line="240" w:lineRule="auto"/>
      <w:jc w:val="left"/>
    </w:pPr>
    <w:rPr>
      <w:rFonts w:cs="Open Sans"/>
    </w:rPr>
  </w:style>
  <w:style w:type="character" w:customStyle="1" w:styleId="BodyTextChar">
    <w:name w:val="Body Text Char"/>
    <w:basedOn w:val="DefaultParagraphFont"/>
    <w:link w:val="BodyText"/>
    <w:rsid w:val="00C57A53"/>
    <w:rPr>
      <w:rFonts w:ascii="Open Sans" w:hAnsi="Open Sans" w:cs="Open Sans"/>
      <w:color w:val="37424A" w:themeColor="text1"/>
    </w:rPr>
  </w:style>
  <w:style w:type="paragraph" w:customStyle="1" w:styleId="Appendix1">
    <w:name w:val="Appendix 1"/>
    <w:basedOn w:val="CVHeading"/>
    <w:next w:val="BodyText"/>
    <w:uiPriority w:val="19"/>
    <w:semiHidden/>
    <w:qFormat/>
    <w:rsid w:val="00B73909"/>
  </w:style>
  <w:style w:type="character" w:customStyle="1" w:styleId="Heading1Char">
    <w:name w:val="Heading 1 Char"/>
    <w:basedOn w:val="DefaultParagraphFont"/>
    <w:link w:val="Heading1"/>
    <w:uiPriority w:val="2"/>
    <w:rsid w:val="00557AD9"/>
    <w:rPr>
      <w:rFonts w:ascii="Open Sans" w:hAnsi="Open Sans"/>
      <w:color w:val="FFFFFF" w:themeColor="background1"/>
      <w:sz w:val="44"/>
      <w:szCs w:val="14"/>
    </w:rPr>
  </w:style>
  <w:style w:type="paragraph" w:customStyle="1" w:styleId="Headingmain">
    <w:name w:val="Heading (main)"/>
    <w:basedOn w:val="Normal"/>
    <w:next w:val="BodyText"/>
    <w:uiPriority w:val="19"/>
    <w:semiHidden/>
    <w:qFormat/>
    <w:rsid w:val="00185645"/>
    <w:pPr>
      <w:spacing w:before="240" w:after="500" w:line="264" w:lineRule="auto"/>
    </w:pPr>
    <w:rPr>
      <w:rFonts w:ascii="Calibri" w:hAnsi="Calibri"/>
      <w:color w:val="E64730"/>
      <w:sz w:val="60"/>
    </w:rPr>
  </w:style>
  <w:style w:type="paragraph" w:customStyle="1" w:styleId="Textbox-Heading">
    <w:name w:val="Textbox - Heading"/>
    <w:basedOn w:val="Normal"/>
    <w:next w:val="Textbox-Bodytext"/>
    <w:uiPriority w:val="14"/>
    <w:semiHidden/>
    <w:qFormat/>
    <w:rsid w:val="00185645"/>
    <w:pPr>
      <w:keepNext/>
      <w:spacing w:before="240" w:after="100" w:line="250" w:lineRule="exact"/>
    </w:pPr>
    <w:rPr>
      <w:rFonts w:ascii="Arial" w:hAnsi="Arial"/>
      <w:b/>
      <w:color w:val="767171"/>
      <w:sz w:val="24"/>
      <w:szCs w:val="24"/>
    </w:rPr>
  </w:style>
  <w:style w:type="paragraph" w:customStyle="1" w:styleId="Textbox-Bodytext">
    <w:name w:val="Textbox - Body text"/>
    <w:basedOn w:val="Normal"/>
    <w:uiPriority w:val="14"/>
    <w:semiHidden/>
    <w:qFormat/>
    <w:rsid w:val="00185645"/>
    <w:pPr>
      <w:spacing w:after="100" w:line="220" w:lineRule="exact"/>
    </w:pPr>
    <w:rPr>
      <w:rFonts w:ascii="Arial" w:hAnsi="Arial"/>
      <w:color w:val="767171"/>
      <w:sz w:val="17"/>
      <w:szCs w:val="17"/>
    </w:rPr>
  </w:style>
  <w:style w:type="character" w:customStyle="1" w:styleId="Heading6Char">
    <w:name w:val="Heading 6 Char"/>
    <w:basedOn w:val="DefaultParagraphFont"/>
    <w:link w:val="Heading6"/>
    <w:uiPriority w:val="9"/>
    <w:semiHidden/>
    <w:rsid w:val="00185645"/>
    <w:rPr>
      <w:rFonts w:asciiTheme="minorHAnsi" w:hAnsiTheme="minorHAnsi"/>
      <w:b/>
      <w:i/>
      <w:color w:val="7F140E" w:themeColor="accent1" w:themeShade="7F"/>
    </w:rPr>
  </w:style>
  <w:style w:type="character" w:customStyle="1" w:styleId="Heading5Char">
    <w:name w:val="Heading 5 Char"/>
    <w:basedOn w:val="DefaultParagraphFont"/>
    <w:link w:val="Heading5"/>
    <w:uiPriority w:val="3"/>
    <w:rsid w:val="00C12D24"/>
    <w:rPr>
      <w:rFonts w:ascii="Open Sans SemiBold" w:hAnsi="Open Sans SemiBold"/>
      <w:color w:val="374249" w:themeColor="text2"/>
      <w:sz w:val="22"/>
      <w:szCs w:val="22"/>
    </w:rPr>
  </w:style>
  <w:style w:type="character" w:customStyle="1" w:styleId="Heading7Char">
    <w:name w:val="Heading 7 Char"/>
    <w:basedOn w:val="DefaultParagraphFont"/>
    <w:link w:val="Heading7"/>
    <w:uiPriority w:val="9"/>
    <w:semiHidden/>
    <w:rsid w:val="00185645"/>
    <w:rPr>
      <w:rFonts w:asciiTheme="minorHAnsi" w:hAnsiTheme="minorHAnsi"/>
      <w:b/>
      <w:iCs/>
      <w:color w:val="7F140E" w:themeColor="accent1" w:themeShade="7F"/>
    </w:rPr>
  </w:style>
  <w:style w:type="character" w:customStyle="1" w:styleId="Heading8Char">
    <w:name w:val="Heading 8 Char"/>
    <w:basedOn w:val="DefaultParagraphFont"/>
    <w:link w:val="Heading8"/>
    <w:uiPriority w:val="9"/>
    <w:semiHidden/>
    <w:rsid w:val="00185645"/>
    <w:rPr>
      <w:rFonts w:asciiTheme="minorHAnsi" w:hAnsiTheme="minorHAnsi"/>
      <w:b/>
      <w:iCs/>
      <w:color w:val="4F5F6B" w:themeColor="text1" w:themeTint="D8"/>
      <w:sz w:val="21"/>
      <w:szCs w:val="21"/>
    </w:rPr>
  </w:style>
  <w:style w:type="character" w:customStyle="1" w:styleId="Heading9Char">
    <w:name w:val="Heading 9 Char"/>
    <w:basedOn w:val="DefaultParagraphFont"/>
    <w:link w:val="Heading9"/>
    <w:uiPriority w:val="9"/>
    <w:semiHidden/>
    <w:rsid w:val="00185645"/>
    <w:rPr>
      <w:rFonts w:asciiTheme="minorHAnsi" w:hAnsiTheme="minorHAnsi"/>
      <w:b/>
      <w:i/>
      <w:color w:val="4F5F6B" w:themeColor="text1" w:themeTint="D8"/>
      <w:sz w:val="21"/>
      <w:szCs w:val="21"/>
    </w:rPr>
  </w:style>
  <w:style w:type="paragraph" w:styleId="Title">
    <w:name w:val="Title"/>
    <w:basedOn w:val="Heading1"/>
    <w:next w:val="Normal"/>
    <w:link w:val="TitleChar"/>
    <w:semiHidden/>
    <w:qFormat/>
    <w:rsid w:val="00FB28E0"/>
  </w:style>
  <w:style w:type="character" w:customStyle="1" w:styleId="TitleChar">
    <w:name w:val="Title Char"/>
    <w:basedOn w:val="DefaultParagraphFont"/>
    <w:link w:val="Title"/>
    <w:semiHidden/>
    <w:rsid w:val="00464E3F"/>
    <w:rPr>
      <w:rFonts w:asciiTheme="majorHAnsi" w:eastAsiaTheme="majorEastAsia" w:hAnsiTheme="majorHAnsi" w:cstheme="majorBidi"/>
      <w:caps/>
      <w:color w:val="37424A"/>
      <w:sz w:val="52"/>
      <w:szCs w:val="52"/>
    </w:rPr>
  </w:style>
  <w:style w:type="paragraph" w:styleId="Subtitle">
    <w:name w:val="Subtitle"/>
    <w:basedOn w:val="Normal"/>
    <w:next w:val="Normal"/>
    <w:link w:val="SubtitleChar"/>
    <w:uiPriority w:val="45"/>
    <w:semiHidden/>
    <w:qFormat/>
    <w:rsid w:val="00185645"/>
    <w:pPr>
      <w:framePr w:hSpace="180" w:wrap="around" w:vAnchor="text" w:hAnchor="margin" w:x="137" w:y="8640"/>
      <w:numPr>
        <w:ilvl w:val="1"/>
      </w:numPr>
    </w:pPr>
    <w:rPr>
      <w:rFonts w:eastAsiaTheme="minorEastAsia"/>
      <w:sz w:val="24"/>
    </w:rPr>
  </w:style>
  <w:style w:type="character" w:customStyle="1" w:styleId="SubtitleChar">
    <w:name w:val="Subtitle Char"/>
    <w:basedOn w:val="DefaultParagraphFont"/>
    <w:link w:val="Subtitle"/>
    <w:uiPriority w:val="45"/>
    <w:semiHidden/>
    <w:rsid w:val="00A456BC"/>
    <w:rPr>
      <w:rFonts w:asciiTheme="minorHAnsi" w:eastAsiaTheme="minorEastAsia" w:hAnsiTheme="minorHAnsi"/>
      <w:color w:val="37424A" w:themeColor="text1"/>
      <w:sz w:val="24"/>
    </w:rPr>
  </w:style>
  <w:style w:type="paragraph" w:styleId="BodyText2">
    <w:name w:val="Body Text 2"/>
    <w:basedOn w:val="BodyText"/>
    <w:link w:val="BodyText2Char"/>
    <w:uiPriority w:val="9"/>
    <w:semiHidden/>
    <w:qFormat/>
    <w:rsid w:val="00185645"/>
    <w:pPr>
      <w:tabs>
        <w:tab w:val="num" w:pos="0"/>
      </w:tabs>
      <w:spacing w:line="264" w:lineRule="auto"/>
    </w:pPr>
  </w:style>
  <w:style w:type="character" w:customStyle="1" w:styleId="BodyText2Char">
    <w:name w:val="Body Text 2 Char"/>
    <w:basedOn w:val="DefaultParagraphFont"/>
    <w:link w:val="BodyText2"/>
    <w:uiPriority w:val="9"/>
    <w:semiHidden/>
    <w:rsid w:val="00185645"/>
    <w:rPr>
      <w:rFonts w:asciiTheme="minorHAnsi" w:hAnsiTheme="minorHAnsi"/>
    </w:rPr>
  </w:style>
  <w:style w:type="paragraph" w:styleId="BodyText3">
    <w:name w:val="Body Text 3"/>
    <w:basedOn w:val="BodyText"/>
    <w:link w:val="BodyText3Char"/>
    <w:uiPriority w:val="9"/>
    <w:semiHidden/>
    <w:qFormat/>
    <w:rsid w:val="00185645"/>
    <w:pPr>
      <w:tabs>
        <w:tab w:val="num" w:pos="0"/>
      </w:tabs>
      <w:spacing w:line="264" w:lineRule="auto"/>
    </w:pPr>
    <w:rPr>
      <w:szCs w:val="16"/>
    </w:rPr>
  </w:style>
  <w:style w:type="character" w:customStyle="1" w:styleId="BodyText3Char">
    <w:name w:val="Body Text 3 Char"/>
    <w:basedOn w:val="DefaultParagraphFont"/>
    <w:link w:val="BodyText3"/>
    <w:uiPriority w:val="9"/>
    <w:semiHidden/>
    <w:rsid w:val="00185645"/>
    <w:rPr>
      <w:rFonts w:asciiTheme="minorHAnsi" w:hAnsiTheme="minorHAnsi"/>
      <w:szCs w:val="16"/>
    </w:rPr>
  </w:style>
  <w:style w:type="paragraph" w:styleId="NoSpacing">
    <w:name w:val="No Spacing"/>
    <w:link w:val="NoSpacingChar"/>
    <w:uiPriority w:val="7"/>
    <w:qFormat/>
    <w:rsid w:val="007B4F04"/>
    <w:rPr>
      <w:rFonts w:ascii="Open Sans" w:hAnsi="Open Sans"/>
      <w:sz w:val="22"/>
    </w:rPr>
  </w:style>
  <w:style w:type="paragraph" w:styleId="TOCHeading">
    <w:name w:val="TOC Heading"/>
    <w:basedOn w:val="Heading1"/>
    <w:next w:val="Normal"/>
    <w:uiPriority w:val="39"/>
    <w:semiHidden/>
    <w:qFormat/>
    <w:rsid w:val="00DC1B3D"/>
    <w:pPr>
      <w:tabs>
        <w:tab w:val="left" w:pos="567"/>
        <w:tab w:val="left" w:pos="9639"/>
      </w:tabs>
    </w:pPr>
    <w:rPr>
      <w:b/>
      <w:color w:val="90BDCF" w:themeColor="accent3"/>
    </w:rPr>
  </w:style>
  <w:style w:type="paragraph" w:styleId="Header">
    <w:name w:val="header"/>
    <w:basedOn w:val="Normal"/>
    <w:link w:val="HeaderChar"/>
    <w:uiPriority w:val="99"/>
    <w:rsid w:val="00C84082"/>
    <w:pPr>
      <w:pBdr>
        <w:bottom w:val="single" w:sz="4" w:space="10" w:color="auto"/>
      </w:pBdr>
      <w:tabs>
        <w:tab w:val="left" w:pos="2075"/>
      </w:tabs>
      <w:spacing w:before="0" w:line="240" w:lineRule="auto"/>
    </w:pPr>
    <w:rPr>
      <w:b/>
      <w:noProof/>
      <w:sz w:val="18"/>
      <w:szCs w:val="18"/>
    </w:rPr>
  </w:style>
  <w:style w:type="character" w:customStyle="1" w:styleId="HeaderChar">
    <w:name w:val="Header Char"/>
    <w:basedOn w:val="DefaultParagraphFont"/>
    <w:link w:val="Header"/>
    <w:uiPriority w:val="99"/>
    <w:rsid w:val="00A456BC"/>
    <w:rPr>
      <w:rFonts w:asciiTheme="minorHAnsi" w:hAnsiTheme="minorHAnsi"/>
      <w:b/>
      <w:noProof/>
      <w:color w:val="37424A" w:themeColor="text1"/>
      <w:sz w:val="18"/>
      <w:szCs w:val="18"/>
    </w:rPr>
  </w:style>
  <w:style w:type="paragraph" w:styleId="Footer">
    <w:name w:val="footer"/>
    <w:link w:val="FooterChar"/>
    <w:uiPriority w:val="99"/>
    <w:rsid w:val="007B4F04"/>
    <w:pPr>
      <w:spacing w:before="120"/>
    </w:pPr>
    <w:rPr>
      <w:rFonts w:ascii="Open Sans" w:hAnsi="Open Sans"/>
      <w:color w:val="37424A" w:themeColor="text1"/>
    </w:rPr>
  </w:style>
  <w:style w:type="character" w:customStyle="1" w:styleId="FooterChar">
    <w:name w:val="Footer Char"/>
    <w:basedOn w:val="DefaultParagraphFont"/>
    <w:link w:val="Footer"/>
    <w:uiPriority w:val="99"/>
    <w:rsid w:val="007B4F04"/>
    <w:rPr>
      <w:rFonts w:ascii="Open Sans" w:hAnsi="Open Sans"/>
      <w:color w:val="37424A" w:themeColor="text1"/>
    </w:rPr>
  </w:style>
  <w:style w:type="character" w:customStyle="1" w:styleId="NoSpacingChar">
    <w:name w:val="No Spacing Char"/>
    <w:basedOn w:val="DefaultParagraphFont"/>
    <w:link w:val="NoSpacing"/>
    <w:uiPriority w:val="7"/>
    <w:rsid w:val="007B4F04"/>
    <w:rPr>
      <w:rFonts w:ascii="Open Sans" w:hAnsi="Open Sans"/>
      <w:sz w:val="22"/>
    </w:rPr>
  </w:style>
  <w:style w:type="character" w:styleId="PlaceholderText">
    <w:name w:val="Placeholder Text"/>
    <w:basedOn w:val="DefaultParagraphFont"/>
    <w:uiPriority w:val="99"/>
    <w:semiHidden/>
    <w:rsid w:val="00672D2D"/>
    <w:rPr>
      <w:color w:val="808080"/>
    </w:rPr>
  </w:style>
  <w:style w:type="paragraph" w:customStyle="1" w:styleId="ReportDate">
    <w:name w:val="Report Date"/>
    <w:basedOn w:val="ReportSubtitle"/>
    <w:rsid w:val="0083590D"/>
  </w:style>
  <w:style w:type="paragraph" w:styleId="Caption">
    <w:name w:val="caption"/>
    <w:basedOn w:val="Normal"/>
    <w:next w:val="Normal"/>
    <w:uiPriority w:val="35"/>
    <w:qFormat/>
    <w:rsid w:val="00C02752"/>
    <w:pPr>
      <w:keepNext/>
      <w:spacing w:before="360" w:after="240"/>
      <w:jc w:val="left"/>
    </w:pPr>
  </w:style>
  <w:style w:type="paragraph" w:customStyle="1" w:styleId="ReportTitle">
    <w:name w:val="Report Title"/>
    <w:basedOn w:val="Normal"/>
    <w:rsid w:val="001C0FE1"/>
    <w:pPr>
      <w:jc w:val="left"/>
    </w:pPr>
    <w:rPr>
      <w:color w:val="FFFFFF" w:themeColor="background1"/>
      <w:sz w:val="44"/>
      <w:szCs w:val="14"/>
    </w:rPr>
  </w:style>
  <w:style w:type="paragraph" w:customStyle="1" w:styleId="ReportSubtitle">
    <w:name w:val="Report Subtitle"/>
    <w:basedOn w:val="Normal"/>
    <w:rsid w:val="0083590D"/>
    <w:pPr>
      <w:jc w:val="left"/>
    </w:pPr>
    <w:rPr>
      <w:color w:val="FFFFFF" w:themeColor="background1"/>
      <w:sz w:val="22"/>
      <w:szCs w:val="28"/>
    </w:rPr>
  </w:style>
  <w:style w:type="character" w:styleId="CommentReference">
    <w:name w:val="annotation reference"/>
    <w:basedOn w:val="DefaultParagraphFont"/>
    <w:uiPriority w:val="99"/>
    <w:semiHidden/>
    <w:rsid w:val="004378FA"/>
    <w:rPr>
      <w:sz w:val="16"/>
      <w:szCs w:val="16"/>
    </w:rPr>
  </w:style>
  <w:style w:type="paragraph" w:styleId="CommentText">
    <w:name w:val="annotation text"/>
    <w:basedOn w:val="Normal"/>
    <w:link w:val="CommentTextChar"/>
    <w:uiPriority w:val="99"/>
    <w:semiHidden/>
    <w:rsid w:val="004378FA"/>
    <w:pPr>
      <w:widowControl w:val="0"/>
      <w:autoSpaceDE w:val="0"/>
      <w:autoSpaceDN w:val="0"/>
      <w:adjustRightInd w:val="0"/>
      <w:spacing w:line="240" w:lineRule="auto"/>
    </w:pPr>
    <w:rPr>
      <w:rFonts w:ascii="Arial" w:eastAsiaTheme="minorEastAsia" w:hAnsi="Arial" w:cs="Arial"/>
      <w:color w:val="374249"/>
      <w:lang w:eastAsia="en-AU"/>
    </w:rPr>
  </w:style>
  <w:style w:type="character" w:customStyle="1" w:styleId="CommentTextChar">
    <w:name w:val="Comment Text Char"/>
    <w:basedOn w:val="DefaultParagraphFont"/>
    <w:link w:val="CommentText"/>
    <w:uiPriority w:val="99"/>
    <w:semiHidden/>
    <w:rsid w:val="00464E3F"/>
    <w:rPr>
      <w:rFonts w:ascii="Arial" w:eastAsiaTheme="minorEastAsia" w:hAnsi="Arial" w:cs="Arial"/>
      <w:color w:val="374249"/>
      <w:lang w:eastAsia="en-AU"/>
    </w:rPr>
  </w:style>
  <w:style w:type="character" w:customStyle="1" w:styleId="Heading2Char">
    <w:name w:val="Heading 2 Char"/>
    <w:basedOn w:val="DefaultParagraphFont"/>
    <w:link w:val="Heading2"/>
    <w:uiPriority w:val="2"/>
    <w:rsid w:val="00325F76"/>
    <w:rPr>
      <w:rFonts w:ascii="Open Sans Light" w:hAnsi="Open Sans Light"/>
      <w:color w:val="207BA1" w:themeColor="accent2"/>
      <w:sz w:val="52"/>
    </w:rPr>
  </w:style>
  <w:style w:type="character" w:customStyle="1" w:styleId="Heading3Char">
    <w:name w:val="Heading 3 Char"/>
    <w:basedOn w:val="DefaultParagraphFont"/>
    <w:link w:val="Heading3"/>
    <w:uiPriority w:val="2"/>
    <w:rsid w:val="00EC032B"/>
    <w:rPr>
      <w:rFonts w:ascii="Open Sans SemiBold" w:hAnsi="Open Sans SemiBold"/>
      <w:color w:val="207BA1" w:themeColor="accent2"/>
      <w:sz w:val="28"/>
    </w:rPr>
  </w:style>
  <w:style w:type="character" w:customStyle="1" w:styleId="Heading4Char">
    <w:name w:val="Heading 4 Char"/>
    <w:basedOn w:val="DefaultParagraphFont"/>
    <w:link w:val="Heading4"/>
    <w:uiPriority w:val="2"/>
    <w:rsid w:val="00C12D24"/>
    <w:rPr>
      <w:rFonts w:ascii="Open Sans SemiBold" w:hAnsi="Open Sans SemiBold"/>
      <w:color w:val="207BA1"/>
      <w:sz w:val="24"/>
    </w:rPr>
  </w:style>
  <w:style w:type="paragraph" w:styleId="BalloonText">
    <w:name w:val="Balloon Text"/>
    <w:basedOn w:val="Normal"/>
    <w:link w:val="BalloonTextChar"/>
    <w:uiPriority w:val="99"/>
    <w:semiHidden/>
    <w:unhideWhenUsed/>
    <w:rsid w:val="00BA0539"/>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A0539"/>
    <w:rPr>
      <w:rFonts w:ascii="Segoe UI" w:hAnsi="Segoe UI" w:cs="Segoe UI"/>
      <w:sz w:val="18"/>
      <w:szCs w:val="18"/>
    </w:rPr>
  </w:style>
  <w:style w:type="paragraph" w:styleId="ListParagraph">
    <w:name w:val="List Paragraph"/>
    <w:aliases w:val="Body Text Numbered,List 1 Paragraph,Paragraph,Resume Title,Citation List,List Paragraph Char Char,List Paragraph1,b1,Number_1,SGLText List Paragraph,new,lp1,Normal Sentence,Colorful List - Accent 11,ListPar1,List Paragraph2,Bullet List,L"/>
    <w:basedOn w:val="Normal"/>
    <w:link w:val="ListParagraphChar"/>
    <w:uiPriority w:val="34"/>
    <w:qFormat/>
    <w:rsid w:val="006D4ABD"/>
    <w:pPr>
      <w:numPr>
        <w:numId w:val="3"/>
      </w:numPr>
    </w:pPr>
  </w:style>
  <w:style w:type="paragraph" w:customStyle="1" w:styleId="CVSubhead">
    <w:name w:val="CV Subhead"/>
    <w:uiPriority w:val="3"/>
    <w:qFormat/>
    <w:rsid w:val="001150E7"/>
    <w:pPr>
      <w:spacing w:before="240" w:after="40"/>
    </w:pPr>
    <w:rPr>
      <w:rFonts w:ascii="Open Sans" w:hAnsi="Open Sans"/>
      <w:color w:val="37424A"/>
      <w:sz w:val="28"/>
      <w:szCs w:val="28"/>
    </w:rPr>
  </w:style>
  <w:style w:type="numbering" w:customStyle="1" w:styleId="BulletLevel1">
    <w:name w:val="Bullet Level 1"/>
    <w:uiPriority w:val="99"/>
    <w:rsid w:val="00754572"/>
    <w:pPr>
      <w:numPr>
        <w:numId w:val="1"/>
      </w:numPr>
    </w:pPr>
  </w:style>
  <w:style w:type="table" w:styleId="TableGrid">
    <w:name w:val="Table Grid"/>
    <w:basedOn w:val="TableNormal"/>
    <w:uiPriority w:val="39"/>
    <w:rsid w:val="00792CE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lloutBoxcaption">
    <w:name w:val="Callout Box caption"/>
    <w:basedOn w:val="Normal"/>
    <w:uiPriority w:val="11"/>
    <w:rsid w:val="007C5D2E"/>
    <w:pPr>
      <w:numPr>
        <w:numId w:val="2"/>
      </w:numPr>
    </w:pPr>
  </w:style>
  <w:style w:type="paragraph" w:customStyle="1" w:styleId="Source">
    <w:name w:val="Source"/>
    <w:basedOn w:val="Normal"/>
    <w:next w:val="BodyText"/>
    <w:uiPriority w:val="9"/>
    <w:rsid w:val="00DD2B23"/>
    <w:pPr>
      <w:spacing w:after="240" w:line="240" w:lineRule="atLeast"/>
      <w:jc w:val="left"/>
    </w:pPr>
    <w:rPr>
      <w:i/>
      <w:szCs w:val="16"/>
    </w:rPr>
  </w:style>
  <w:style w:type="paragraph" w:customStyle="1" w:styleId="Heading1numbered">
    <w:name w:val="Heading 1 (numbered)"/>
    <w:basedOn w:val="Heading1"/>
    <w:next w:val="BodyText"/>
    <w:uiPriority w:val="1"/>
    <w:qFormat/>
    <w:rsid w:val="00A01E1D"/>
    <w:pPr>
      <w:numPr>
        <w:numId w:val="9"/>
      </w:numPr>
    </w:pPr>
  </w:style>
  <w:style w:type="paragraph" w:customStyle="1" w:styleId="Heading2numbered">
    <w:name w:val="Heading 2 (numbered)"/>
    <w:basedOn w:val="Heading1numbered"/>
    <w:next w:val="BodyText"/>
    <w:uiPriority w:val="1"/>
    <w:qFormat/>
    <w:rsid w:val="00C45855"/>
    <w:pPr>
      <w:numPr>
        <w:ilvl w:val="1"/>
      </w:numPr>
      <w:spacing w:after="240" w:line="264" w:lineRule="auto"/>
    </w:pPr>
    <w:rPr>
      <w:rFonts w:ascii="Open Sans SemiBold" w:hAnsi="Open Sans SemiBold" w:cs="Open Sans SemiBold"/>
      <w:bCs/>
      <w:color w:val="207BA1"/>
      <w:sz w:val="28"/>
    </w:rPr>
  </w:style>
  <w:style w:type="paragraph" w:customStyle="1" w:styleId="Heading3numbered">
    <w:name w:val="Heading 3 (numbered)"/>
    <w:basedOn w:val="Heading2numbered"/>
    <w:next w:val="BodyText"/>
    <w:uiPriority w:val="1"/>
    <w:qFormat/>
    <w:rsid w:val="003B0469"/>
    <w:pPr>
      <w:numPr>
        <w:ilvl w:val="2"/>
      </w:numPr>
    </w:pPr>
    <w:rPr>
      <w:sz w:val="24"/>
    </w:rPr>
  </w:style>
  <w:style w:type="paragraph" w:styleId="TOC1">
    <w:name w:val="toc 1"/>
    <w:basedOn w:val="Normal"/>
    <w:next w:val="Normal"/>
    <w:autoRedefine/>
    <w:uiPriority w:val="39"/>
    <w:rsid w:val="00E83AC4"/>
    <w:pPr>
      <w:pBdr>
        <w:between w:val="single" w:sz="4" w:space="5" w:color="F2F2F2" w:themeColor="background2"/>
      </w:pBdr>
      <w:tabs>
        <w:tab w:val="left" w:pos="851"/>
        <w:tab w:val="right" w:pos="9072"/>
      </w:tabs>
      <w:spacing w:after="100"/>
    </w:pPr>
    <w:rPr>
      <w:rFonts w:ascii="Open Sans SemiBold" w:hAnsi="Open Sans SemiBold"/>
      <w:noProof/>
      <w:color w:val="207BA1" w:themeColor="accent2"/>
      <w:sz w:val="24"/>
    </w:rPr>
  </w:style>
  <w:style w:type="paragraph" w:styleId="TOC2">
    <w:name w:val="toc 2"/>
    <w:basedOn w:val="Normal"/>
    <w:next w:val="Normal"/>
    <w:autoRedefine/>
    <w:uiPriority w:val="39"/>
    <w:rsid w:val="00E83AC4"/>
    <w:pPr>
      <w:pBdr>
        <w:bottom w:val="single" w:sz="4" w:space="10" w:color="D9D9D9" w:themeColor="background1" w:themeShade="D9"/>
      </w:pBdr>
      <w:tabs>
        <w:tab w:val="left" w:pos="851"/>
        <w:tab w:val="right" w:pos="9072"/>
      </w:tabs>
      <w:spacing w:after="100"/>
      <w:jc w:val="left"/>
    </w:pPr>
    <w:rPr>
      <w:noProof/>
      <w:sz w:val="24"/>
    </w:rPr>
  </w:style>
  <w:style w:type="paragraph" w:styleId="TOC3">
    <w:name w:val="toc 3"/>
    <w:basedOn w:val="Normal"/>
    <w:next w:val="Normal"/>
    <w:autoRedefine/>
    <w:uiPriority w:val="39"/>
    <w:rsid w:val="00C22516"/>
    <w:pPr>
      <w:keepNext/>
      <w:tabs>
        <w:tab w:val="right" w:pos="9923"/>
        <w:tab w:val="right" w:pos="9968"/>
      </w:tabs>
      <w:spacing w:after="100"/>
    </w:pPr>
    <w:rPr>
      <w:b/>
      <w:color w:val="207BA1"/>
      <w:sz w:val="24"/>
    </w:rPr>
  </w:style>
  <w:style w:type="paragraph" w:styleId="TableofFigures">
    <w:name w:val="table of figures"/>
    <w:basedOn w:val="Normal"/>
    <w:next w:val="Normal"/>
    <w:uiPriority w:val="99"/>
    <w:rsid w:val="00296CD1"/>
    <w:pPr>
      <w:tabs>
        <w:tab w:val="right" w:pos="9060"/>
      </w:tabs>
    </w:pPr>
    <w:rPr>
      <w:noProof/>
    </w:rPr>
  </w:style>
  <w:style w:type="paragraph" w:styleId="FootnoteText">
    <w:name w:val="footnote text"/>
    <w:aliases w:val="(NECG) Footnote Text,ALTS FOOTNOTE,Footnote Text Char Char Char,Footnote Text Char1 Char Char,Footnote Text Char Char Char Char Char,Footnote Text Char Char1 Char Char,Footnote Text Char Char1,f,Footnote Text1,Footnote Text2,ALTS FOOTNOTE2"/>
    <w:basedOn w:val="Normal"/>
    <w:link w:val="FootnoteTextChar"/>
    <w:uiPriority w:val="99"/>
    <w:qFormat/>
    <w:rsid w:val="008923E1"/>
    <w:pPr>
      <w:spacing w:before="0" w:line="240" w:lineRule="auto"/>
      <w:ind w:left="709" w:hanging="709"/>
      <w:mirrorIndents/>
      <w:jc w:val="left"/>
    </w:pPr>
    <w:rPr>
      <w:color w:val="374249" w:themeColor="text2"/>
      <w:sz w:val="16"/>
      <w:szCs w:val="16"/>
    </w:rPr>
  </w:style>
  <w:style w:type="character" w:customStyle="1" w:styleId="FootnoteTextChar">
    <w:name w:val="Footnote Text Char"/>
    <w:aliases w:val="(NECG) Footnote Text Char,ALTS FOOTNOTE Char,Footnote Text Char Char Char Char,Footnote Text Char1 Char Char Char,Footnote Text Char Char Char Char Char Char,Footnote Text Char Char1 Char Char Char,Footnote Text Char Char1 Char,f Char"/>
    <w:basedOn w:val="DefaultParagraphFont"/>
    <w:link w:val="FootnoteText"/>
    <w:uiPriority w:val="99"/>
    <w:rsid w:val="008923E1"/>
    <w:rPr>
      <w:rFonts w:ascii="Open Sans" w:hAnsi="Open Sans"/>
      <w:color w:val="374249" w:themeColor="text2"/>
      <w:sz w:val="16"/>
      <w:szCs w:val="16"/>
    </w:rPr>
  </w:style>
  <w:style w:type="character" w:styleId="FootnoteReference">
    <w:name w:val="footnote reference"/>
    <w:aliases w:val="Footnote reference,SFG_Footnote_Reference,(NECG) Footnote Reference,fr,o,Style 6,Style 20,(NECG) Footnote Reference1,(NECG) Footnote Reference2,(NECG) Footnote Reference3,(NECG) Footnote Reference4,(NECG) Footnote Reference5"/>
    <w:basedOn w:val="DefaultParagraphFont"/>
    <w:uiPriority w:val="99"/>
    <w:rsid w:val="00EC2E77"/>
    <w:rPr>
      <w:vertAlign w:val="superscript"/>
    </w:rPr>
  </w:style>
  <w:style w:type="paragraph" w:customStyle="1" w:styleId="TableHeading">
    <w:name w:val="Table Heading"/>
    <w:basedOn w:val="Normal"/>
    <w:uiPriority w:val="7"/>
    <w:qFormat/>
    <w:rsid w:val="00E472EF"/>
    <w:pPr>
      <w:spacing w:before="100" w:after="100" w:line="264" w:lineRule="auto"/>
      <w:jc w:val="left"/>
    </w:pPr>
    <w:rPr>
      <w:color w:val="FFFFFF" w:themeColor="background1"/>
    </w:rPr>
  </w:style>
  <w:style w:type="paragraph" w:customStyle="1" w:styleId="TableText">
    <w:name w:val="Table Text"/>
    <w:basedOn w:val="Normal"/>
    <w:uiPriority w:val="7"/>
    <w:qFormat/>
    <w:rsid w:val="00D937C4"/>
    <w:pPr>
      <w:spacing w:before="100" w:after="100" w:line="264" w:lineRule="auto"/>
      <w:jc w:val="left"/>
    </w:pPr>
  </w:style>
  <w:style w:type="table" w:customStyle="1" w:styleId="FETableStyle">
    <w:name w:val="FE Table Style"/>
    <w:basedOn w:val="TableNormal"/>
    <w:uiPriority w:val="99"/>
    <w:rsid w:val="00B13227"/>
    <w:pPr>
      <w:keepNext/>
      <w:spacing w:before="120" w:after="120"/>
    </w:pPr>
    <w:rPr>
      <w:rFonts w:ascii="Open Sans" w:hAnsi="Open Sans"/>
    </w:rPr>
    <w:tblPr>
      <w:tblStyleRowBandSize w:val="1"/>
      <w:tblStyleColBandSize w:val="1"/>
      <w:tblBorders>
        <w:bottom w:val="single" w:sz="4" w:space="0" w:color="207BA1" w:themeColor="accent2"/>
      </w:tblBorders>
    </w:tblPr>
    <w:trPr>
      <w:cantSplit/>
    </w:trPr>
    <w:tcPr>
      <w:shd w:val="clear" w:color="auto" w:fill="DADADA" w:themeFill="background2" w:themeFillShade="E6"/>
      <w:vAlign w:val="center"/>
    </w:tcPr>
    <w:tblStylePr w:type="firstRow">
      <w:pPr>
        <w:jc w:val="left"/>
      </w:pPr>
      <w:rPr>
        <w:rFonts w:ascii="Open Sans SemiBold" w:hAnsi="Open Sans SemiBold"/>
        <w:b w:val="0"/>
        <w:i w:val="0"/>
        <w:caps w:val="0"/>
        <w:smallCaps w:val="0"/>
        <w:strike w:val="0"/>
        <w:dstrike w:val="0"/>
        <w:vanish w:val="0"/>
        <w:color w:val="FFFFFF" w:themeColor="background1"/>
        <w:sz w:val="20"/>
        <w:vertAlign w:val="baseline"/>
      </w:rPr>
      <w:tblPr/>
      <w:tcPr>
        <w:shd w:val="clear" w:color="auto" w:fill="207BA1" w:themeFill="accent2"/>
      </w:tcPr>
    </w:tblStylePr>
    <w:tblStylePr w:type="lastRow">
      <w:pPr>
        <w:jc w:val="left"/>
      </w:pPr>
      <w:rPr>
        <w:rFonts w:ascii="Open Sans" w:hAnsi="Open Sans"/>
        <w:sz w:val="22"/>
      </w:rPr>
      <w:tblPr/>
      <w:tcPr>
        <w:tcBorders>
          <w:bottom w:val="single" w:sz="4" w:space="0" w:color="F2F2F2" w:themeColor="background2"/>
        </w:tcBorders>
        <w:shd w:val="clear" w:color="auto" w:fill="F2F2F2" w:themeFill="background2"/>
      </w:tcPr>
    </w:tblStylePr>
    <w:tblStylePr w:type="firstCol">
      <w:rPr>
        <w:rFonts w:asciiTheme="majorHAnsi" w:hAnsiTheme="majorHAnsi"/>
        <w:b/>
        <w:i w:val="0"/>
        <w:caps/>
        <w:smallCaps w:val="0"/>
        <w:color w:val="FFFFFF" w:themeColor="background1"/>
      </w:rPr>
    </w:tblStylePr>
    <w:tblStylePr w:type="band2Vert">
      <w:rPr>
        <w:color w:val="auto"/>
      </w:rPr>
    </w:tblStylePr>
    <w:tblStylePr w:type="band1Horz">
      <w:rPr>
        <w:rFonts w:ascii="Open Sans" w:hAnsi="Open Sans"/>
      </w:rPr>
      <w:tblPr/>
      <w:tcPr>
        <w:tcBorders>
          <w:top w:val="nil"/>
          <w:left w:val="nil"/>
          <w:bottom w:val="single" w:sz="4" w:space="0" w:color="F2F2F2" w:themeColor="background2"/>
          <w:right w:val="nil"/>
          <w:insideH w:val="nil"/>
          <w:insideV w:val="nil"/>
          <w:tl2br w:val="nil"/>
          <w:tr2bl w:val="nil"/>
        </w:tcBorders>
        <w:shd w:val="clear" w:color="auto" w:fill="FFFFFF" w:themeFill="background1"/>
      </w:tcPr>
    </w:tblStylePr>
    <w:tblStylePr w:type="band2Horz">
      <w:rPr>
        <w:rFonts w:ascii="Open Sans" w:hAnsi="Open Sans"/>
      </w:rPr>
      <w:tblPr/>
      <w:tcPr>
        <w:tcBorders>
          <w:bottom w:val="nil"/>
        </w:tcBorders>
        <w:shd w:val="clear" w:color="auto" w:fill="F2F2F2" w:themeFill="background2"/>
      </w:tcPr>
    </w:tblStylePr>
  </w:style>
  <w:style w:type="paragraph" w:customStyle="1" w:styleId="CVDetails">
    <w:name w:val="CV Details"/>
    <w:basedOn w:val="Normal"/>
    <w:uiPriority w:val="3"/>
    <w:rsid w:val="005D68B4"/>
    <w:pPr>
      <w:spacing w:before="0" w:after="60" w:line="264" w:lineRule="auto"/>
      <w:jc w:val="left"/>
    </w:pPr>
  </w:style>
  <w:style w:type="paragraph" w:customStyle="1" w:styleId="CVHeading">
    <w:name w:val="CV Heading"/>
    <w:basedOn w:val="Normal"/>
    <w:uiPriority w:val="3"/>
    <w:rsid w:val="00C45855"/>
    <w:pPr>
      <w:keepNext/>
      <w:keepLines/>
      <w:pageBreakBefore/>
      <w:spacing w:before="240" w:line="520" w:lineRule="exact"/>
      <w:jc w:val="left"/>
      <w:outlineLvl w:val="0"/>
    </w:pPr>
    <w:rPr>
      <w:rFonts w:ascii="Open Sans Light" w:eastAsiaTheme="majorEastAsia" w:hAnsi="Open Sans Light" w:cstheme="majorBidi"/>
      <w:b/>
      <w:color w:val="207BA1"/>
      <w:sz w:val="52"/>
      <w:szCs w:val="52"/>
    </w:rPr>
  </w:style>
  <w:style w:type="paragraph" w:customStyle="1" w:styleId="CVSubhead2">
    <w:name w:val="CV Subhead 2"/>
    <w:basedOn w:val="CVHeading"/>
    <w:uiPriority w:val="3"/>
    <w:rsid w:val="001150E7"/>
    <w:pPr>
      <w:spacing w:after="240"/>
    </w:pPr>
    <w:rPr>
      <w:sz w:val="28"/>
      <w:szCs w:val="28"/>
    </w:rPr>
  </w:style>
  <w:style w:type="paragraph" w:customStyle="1" w:styleId="Graphic">
    <w:name w:val="Graphic"/>
    <w:basedOn w:val="Normal"/>
    <w:uiPriority w:val="1"/>
    <w:semiHidden/>
    <w:rsid w:val="008C7661"/>
    <w:pPr>
      <w:keepNext/>
      <w:keepLines/>
      <w:pageBreakBefore/>
      <w:spacing w:after="720"/>
    </w:pPr>
    <w:rPr>
      <w:noProof/>
    </w:rPr>
  </w:style>
  <w:style w:type="paragraph" w:customStyle="1" w:styleId="TableBullet">
    <w:name w:val="Table Bullet"/>
    <w:basedOn w:val="TableText"/>
    <w:uiPriority w:val="7"/>
    <w:rsid w:val="00B4274D"/>
    <w:pPr>
      <w:numPr>
        <w:numId w:val="4"/>
      </w:numPr>
    </w:pPr>
  </w:style>
  <w:style w:type="paragraph" w:customStyle="1" w:styleId="TableNumbering">
    <w:name w:val="Table Numbering"/>
    <w:basedOn w:val="TableText"/>
    <w:uiPriority w:val="7"/>
    <w:rsid w:val="00F15EBE"/>
    <w:pPr>
      <w:numPr>
        <w:numId w:val="5"/>
      </w:numPr>
    </w:pPr>
  </w:style>
  <w:style w:type="table" w:styleId="TableGridLight">
    <w:name w:val="Grid Table Light"/>
    <w:basedOn w:val="TableNormal"/>
    <w:uiPriority w:val="40"/>
    <w:rsid w:val="00891819"/>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CVSubtitle">
    <w:name w:val="CV Subtitle"/>
    <w:uiPriority w:val="3"/>
    <w:rsid w:val="00C10BA4"/>
    <w:pPr>
      <w:spacing w:after="120"/>
    </w:pPr>
    <w:rPr>
      <w:rFonts w:asciiTheme="majorHAnsi" w:hAnsiTheme="majorHAnsi"/>
      <w:b/>
      <w:color w:val="207BA1"/>
      <w:sz w:val="22"/>
    </w:rPr>
  </w:style>
  <w:style w:type="character" w:styleId="Hyperlink">
    <w:name w:val="Hyperlink"/>
    <w:basedOn w:val="DefaultParagraphFont"/>
    <w:uiPriority w:val="99"/>
    <w:unhideWhenUsed/>
    <w:rsid w:val="003B0B63"/>
    <w:rPr>
      <w:color w:val="207BA1"/>
      <w:u w:val="single"/>
    </w:rPr>
  </w:style>
  <w:style w:type="table" w:customStyle="1" w:styleId="Style1">
    <w:name w:val="Style1"/>
    <w:basedOn w:val="TableNormal"/>
    <w:uiPriority w:val="99"/>
    <w:rsid w:val="00EB096F"/>
    <w:tblPr/>
    <w:tcPr>
      <w:vAlign w:val="center"/>
    </w:tcPr>
  </w:style>
  <w:style w:type="paragraph" w:customStyle="1" w:styleId="TableImage">
    <w:name w:val="TableImage"/>
    <w:basedOn w:val="Normal"/>
    <w:semiHidden/>
    <w:rsid w:val="00F732F0"/>
    <w:pPr>
      <w:spacing w:before="0" w:after="0" w:line="240" w:lineRule="auto"/>
    </w:pPr>
  </w:style>
  <w:style w:type="paragraph" w:customStyle="1" w:styleId="CaptionTable">
    <w:name w:val="Caption Table"/>
    <w:basedOn w:val="Caption"/>
    <w:uiPriority w:val="8"/>
    <w:rsid w:val="007B4F04"/>
    <w:pPr>
      <w:spacing w:before="0" w:line="240" w:lineRule="auto"/>
    </w:pPr>
    <w:rPr>
      <w:b/>
    </w:rPr>
  </w:style>
  <w:style w:type="paragraph" w:customStyle="1" w:styleId="CVName">
    <w:name w:val="CV Name"/>
    <w:basedOn w:val="Normal"/>
    <w:uiPriority w:val="3"/>
    <w:qFormat/>
    <w:rsid w:val="00830DE3"/>
    <w:pPr>
      <w:spacing w:before="0" w:after="140" w:line="240" w:lineRule="auto"/>
      <w:jc w:val="left"/>
    </w:pPr>
    <w:rPr>
      <w:b/>
      <w:color w:val="207BA1" w:themeColor="accent2"/>
      <w:sz w:val="28"/>
      <w:szCs w:val="28"/>
    </w:rPr>
  </w:style>
  <w:style w:type="paragraph" w:customStyle="1" w:styleId="ExecutiveSummaryHeading">
    <w:name w:val="Executive Summary Heading"/>
    <w:basedOn w:val="Heading1"/>
    <w:next w:val="BodyText"/>
    <w:uiPriority w:val="1"/>
    <w:rsid w:val="00366179"/>
  </w:style>
  <w:style w:type="paragraph" w:customStyle="1" w:styleId="ExecutiveSummarySubHeading">
    <w:name w:val="Executive Summary Sub Heading"/>
    <w:basedOn w:val="Heading2"/>
    <w:next w:val="BodyText"/>
    <w:uiPriority w:val="1"/>
    <w:rsid w:val="003A7DF9"/>
  </w:style>
  <w:style w:type="paragraph" w:customStyle="1" w:styleId="CVBullet">
    <w:name w:val="CV Bullet"/>
    <w:basedOn w:val="TableBullet"/>
    <w:uiPriority w:val="6"/>
    <w:qFormat/>
    <w:rsid w:val="009E3E0C"/>
  </w:style>
  <w:style w:type="paragraph" w:customStyle="1" w:styleId="AppendixHead">
    <w:name w:val="AppendixHead"/>
    <w:basedOn w:val="Heading2"/>
    <w:next w:val="AppendixSubHead"/>
    <w:uiPriority w:val="19"/>
    <w:rsid w:val="00077577"/>
    <w:pPr>
      <w:numPr>
        <w:numId w:val="10"/>
      </w:numPr>
    </w:pPr>
    <w:rPr>
      <w:rFonts w:cs="Open Sans Light"/>
      <w:sz w:val="40"/>
      <w:szCs w:val="40"/>
    </w:rPr>
  </w:style>
  <w:style w:type="paragraph" w:customStyle="1" w:styleId="AppendixSubHead">
    <w:name w:val="AppendixSubHead"/>
    <w:basedOn w:val="Heading3"/>
    <w:next w:val="AppendixMinorSubHead"/>
    <w:uiPriority w:val="19"/>
    <w:rsid w:val="006B6E7D"/>
  </w:style>
  <w:style w:type="paragraph" w:customStyle="1" w:styleId="AppendixMinorSubHead">
    <w:name w:val="AppendixMinorSubHead"/>
    <w:basedOn w:val="Heading3"/>
    <w:next w:val="BodyText"/>
    <w:uiPriority w:val="19"/>
    <w:rsid w:val="007B4F04"/>
    <w:rPr>
      <w:rFonts w:ascii="Open Sans" w:hAnsi="Open Sans"/>
    </w:rPr>
  </w:style>
  <w:style w:type="paragraph" w:customStyle="1" w:styleId="ParaNumber1">
    <w:name w:val="ParaNumber1"/>
    <w:basedOn w:val="Normal"/>
    <w:uiPriority w:val="6"/>
    <w:qFormat/>
    <w:rsid w:val="00B97E98"/>
    <w:pPr>
      <w:numPr>
        <w:numId w:val="6"/>
      </w:numPr>
      <w:spacing w:before="160" w:line="240" w:lineRule="auto"/>
      <w:jc w:val="left"/>
    </w:pPr>
    <w:rPr>
      <w:rFonts w:eastAsia="Calibri" w:cs="Arial"/>
      <w:szCs w:val="22"/>
      <w:lang w:val="en-GB"/>
    </w:rPr>
  </w:style>
  <w:style w:type="paragraph" w:customStyle="1" w:styleId="ListNumber1">
    <w:name w:val="ListNumber1"/>
    <w:basedOn w:val="Normal"/>
    <w:uiPriority w:val="6"/>
    <w:qFormat/>
    <w:rsid w:val="003B0469"/>
    <w:pPr>
      <w:numPr>
        <w:numId w:val="11"/>
      </w:numPr>
      <w:spacing w:line="240" w:lineRule="auto"/>
      <w:jc w:val="left"/>
    </w:pPr>
    <w:rPr>
      <w:rFonts w:cs="Arial"/>
      <w:szCs w:val="22"/>
      <w:lang w:val="en-GB"/>
    </w:rPr>
  </w:style>
  <w:style w:type="paragraph" w:customStyle="1" w:styleId="ListNumber2">
    <w:name w:val="ListNumber2"/>
    <w:basedOn w:val="ListNumber1"/>
    <w:uiPriority w:val="6"/>
    <w:qFormat/>
    <w:rsid w:val="00B97E98"/>
    <w:pPr>
      <w:numPr>
        <w:ilvl w:val="1"/>
      </w:numPr>
    </w:pPr>
  </w:style>
  <w:style w:type="paragraph" w:customStyle="1" w:styleId="ListNumber3">
    <w:name w:val="ListNumber3"/>
    <w:basedOn w:val="ListNumber2"/>
    <w:uiPriority w:val="6"/>
    <w:qFormat/>
    <w:rsid w:val="00B97E98"/>
    <w:pPr>
      <w:numPr>
        <w:ilvl w:val="2"/>
      </w:numPr>
      <w:ind w:left="851"/>
    </w:pPr>
  </w:style>
  <w:style w:type="numbering" w:customStyle="1" w:styleId="ListNumStyle">
    <w:name w:val="~ListNumStyle"/>
    <w:uiPriority w:val="99"/>
    <w:rsid w:val="003D25A0"/>
    <w:pPr>
      <w:numPr>
        <w:numId w:val="7"/>
      </w:numPr>
    </w:pPr>
  </w:style>
  <w:style w:type="paragraph" w:customStyle="1" w:styleId="ParaBullet1">
    <w:name w:val="ParaBullet1"/>
    <w:basedOn w:val="Normal"/>
    <w:uiPriority w:val="6"/>
    <w:rsid w:val="00B97E98"/>
    <w:pPr>
      <w:numPr>
        <w:numId w:val="8"/>
      </w:numPr>
      <w:spacing w:line="240" w:lineRule="auto"/>
      <w:jc w:val="left"/>
    </w:pPr>
    <w:rPr>
      <w:rFonts w:eastAsia="Calibri" w:cs="Arial"/>
      <w:szCs w:val="22"/>
      <w:lang w:val="en-GB"/>
    </w:rPr>
  </w:style>
  <w:style w:type="paragraph" w:customStyle="1" w:styleId="ParaBullet2">
    <w:name w:val="ParaBullet2"/>
    <w:basedOn w:val="ParaBullet1"/>
    <w:uiPriority w:val="6"/>
    <w:rsid w:val="00B97E98"/>
    <w:pPr>
      <w:numPr>
        <w:ilvl w:val="1"/>
      </w:numPr>
    </w:pPr>
  </w:style>
  <w:style w:type="paragraph" w:customStyle="1" w:styleId="ParaBullet3">
    <w:name w:val="ParaBullet3"/>
    <w:basedOn w:val="ParaBullet2"/>
    <w:uiPriority w:val="6"/>
    <w:rsid w:val="00B97E98"/>
    <w:pPr>
      <w:numPr>
        <w:ilvl w:val="2"/>
      </w:numPr>
      <w:ind w:left="851"/>
    </w:pPr>
  </w:style>
  <w:style w:type="paragraph" w:customStyle="1" w:styleId="ListBullet1">
    <w:name w:val="ListBullet1"/>
    <w:basedOn w:val="ParaBullet1"/>
    <w:uiPriority w:val="6"/>
    <w:qFormat/>
    <w:rsid w:val="00B97E98"/>
  </w:style>
  <w:style w:type="paragraph" w:customStyle="1" w:styleId="ListBullet2">
    <w:name w:val="ListBullet2"/>
    <w:basedOn w:val="ParaBullet2"/>
    <w:uiPriority w:val="6"/>
    <w:rsid w:val="00B97E98"/>
  </w:style>
  <w:style w:type="paragraph" w:customStyle="1" w:styleId="ListBullet3">
    <w:name w:val="ListBullet3"/>
    <w:basedOn w:val="ParaBullet3"/>
    <w:uiPriority w:val="6"/>
    <w:rsid w:val="00B97E98"/>
  </w:style>
  <w:style w:type="table" w:customStyle="1" w:styleId="FETablestyle4">
    <w:name w:val="FE Table style 4"/>
    <w:basedOn w:val="TableNormal"/>
    <w:uiPriority w:val="99"/>
    <w:rsid w:val="00F8583A"/>
    <w:tblPr/>
  </w:style>
  <w:style w:type="paragraph" w:customStyle="1" w:styleId="Image-Page2fullwidth">
    <w:name w:val="Image - Page 2 full width"/>
    <w:basedOn w:val="Normal"/>
    <w:uiPriority w:val="21"/>
    <w:semiHidden/>
    <w:qFormat/>
    <w:rsid w:val="00237E01"/>
    <w:pPr>
      <w:framePr w:w="9639" w:hSpace="340" w:wrap="around" w:vAnchor="text" w:hAnchor="text" w:y="1"/>
      <w:spacing w:before="0" w:line="264" w:lineRule="auto"/>
      <w:jc w:val="left"/>
    </w:pPr>
    <w:rPr>
      <w:rFonts w:eastAsiaTheme="minorEastAsia"/>
      <w:szCs w:val="22"/>
    </w:rPr>
  </w:style>
  <w:style w:type="character" w:customStyle="1" w:styleId="Bold">
    <w:name w:val="Bold"/>
    <w:uiPriority w:val="8"/>
    <w:rsid w:val="00B82AA4"/>
    <w:rPr>
      <w:b/>
    </w:rPr>
  </w:style>
  <w:style w:type="paragraph" w:customStyle="1" w:styleId="CVDetailsBold">
    <w:name w:val="CV Details Bold"/>
    <w:basedOn w:val="CVDetails"/>
    <w:next w:val="CVDetails"/>
    <w:uiPriority w:val="3"/>
    <w:rsid w:val="004337E1"/>
    <w:rPr>
      <w:b/>
    </w:rPr>
  </w:style>
  <w:style w:type="paragraph" w:customStyle="1" w:styleId="Image-Page1fullwidth">
    <w:name w:val="Image - Page 1 full width"/>
    <w:basedOn w:val="Normal"/>
    <w:qFormat/>
    <w:rsid w:val="007B4F04"/>
    <w:pPr>
      <w:framePr w:w="6237" w:hSpace="340" w:wrap="around" w:vAnchor="text" w:hAnchor="text" w:y="1"/>
      <w:spacing w:before="0" w:line="264" w:lineRule="auto"/>
      <w:jc w:val="left"/>
    </w:pPr>
    <w:rPr>
      <w:rFonts w:eastAsiaTheme="minorEastAsia"/>
      <w:noProof/>
      <w:szCs w:val="22"/>
    </w:rPr>
  </w:style>
  <w:style w:type="paragraph" w:customStyle="1" w:styleId="ReportTitle2">
    <w:name w:val="Report Title 2"/>
    <w:basedOn w:val="ReportTitle"/>
    <w:semiHidden/>
    <w:rsid w:val="0073161F"/>
    <w:rPr>
      <w:color w:val="37424A" w:themeColor="text1"/>
    </w:rPr>
  </w:style>
  <w:style w:type="paragraph" w:customStyle="1" w:styleId="ReportSubtitle2">
    <w:name w:val="Report Subtitle 2"/>
    <w:basedOn w:val="ReportSubtitle"/>
    <w:semiHidden/>
    <w:rsid w:val="0073161F"/>
    <w:rPr>
      <w:color w:val="37424A" w:themeColor="text1"/>
    </w:rPr>
  </w:style>
  <w:style w:type="paragraph" w:customStyle="1" w:styleId="CVSubhead3">
    <w:name w:val="CV Subhead 3"/>
    <w:basedOn w:val="Heading4"/>
    <w:next w:val="CVBullet"/>
    <w:uiPriority w:val="3"/>
    <w:qFormat/>
    <w:rsid w:val="007B4F04"/>
    <w:pPr>
      <w:keepNext w:val="0"/>
      <w:spacing w:before="0" w:after="0"/>
    </w:pPr>
    <w:rPr>
      <w:b/>
      <w:szCs w:val="28"/>
    </w:rPr>
  </w:style>
  <w:style w:type="paragraph" w:customStyle="1" w:styleId="CVTableSubhead2">
    <w:name w:val="CV Table Subhead 2"/>
    <w:uiPriority w:val="3"/>
    <w:qFormat/>
    <w:rsid w:val="00BF477B"/>
    <w:pPr>
      <w:spacing w:before="240" w:after="120"/>
    </w:pPr>
    <w:rPr>
      <w:rFonts w:ascii="Open Sans" w:hAnsi="Open Sans"/>
      <w:b/>
      <w:color w:val="207BA1"/>
      <w:sz w:val="22"/>
    </w:rPr>
  </w:style>
  <w:style w:type="paragraph" w:customStyle="1" w:styleId="CVTableHeading">
    <w:name w:val="CV Table Heading"/>
    <w:basedOn w:val="Normal"/>
    <w:next w:val="BodyText"/>
    <w:uiPriority w:val="3"/>
    <w:rsid w:val="00BF477B"/>
    <w:pPr>
      <w:spacing w:before="0" w:line="240" w:lineRule="auto"/>
      <w:jc w:val="left"/>
    </w:pPr>
    <w:rPr>
      <w:b/>
      <w:sz w:val="22"/>
    </w:rPr>
  </w:style>
  <w:style w:type="paragraph" w:customStyle="1" w:styleId="CVHeading2">
    <w:name w:val="CV Heading 2"/>
    <w:basedOn w:val="Normal"/>
    <w:uiPriority w:val="3"/>
    <w:rsid w:val="00C45855"/>
    <w:pPr>
      <w:keepNext/>
      <w:spacing w:before="240" w:after="240"/>
    </w:pPr>
    <w:rPr>
      <w:rFonts w:ascii="Open Sans SemiBold" w:hAnsi="Open Sans SemiBold"/>
      <w:color w:val="207BA1"/>
      <w:sz w:val="22"/>
    </w:rPr>
  </w:style>
  <w:style w:type="paragraph" w:customStyle="1" w:styleId="CVBodyText">
    <w:name w:val="CV Body Text"/>
    <w:basedOn w:val="BodyText"/>
    <w:next w:val="BodyText"/>
    <w:uiPriority w:val="3"/>
    <w:qFormat/>
    <w:rsid w:val="009F749D"/>
    <w:pPr>
      <w:spacing w:before="360"/>
    </w:pPr>
  </w:style>
  <w:style w:type="paragraph" w:customStyle="1" w:styleId="Quote-long">
    <w:name w:val="Quote - long"/>
    <w:basedOn w:val="Normal"/>
    <w:link w:val="Quote-longChar"/>
    <w:uiPriority w:val="2"/>
    <w:rsid w:val="00DD4E4D"/>
    <w:pPr>
      <w:keepNext/>
      <w:pBdr>
        <w:top w:val="single" w:sz="4" w:space="18" w:color="FFFFFF" w:themeColor="background1"/>
        <w:left w:val="single" w:sz="4" w:space="14" w:color="FFFFFF" w:themeColor="background1"/>
        <w:bottom w:val="single" w:sz="4" w:space="18" w:color="FFFFFF" w:themeColor="background1"/>
        <w:right w:val="single" w:sz="4" w:space="14" w:color="FFFFFF" w:themeColor="background1"/>
      </w:pBdr>
      <w:shd w:val="clear" w:color="auto" w:fill="F2F2F2" w:themeFill="background1" w:themeFillShade="F2"/>
      <w:spacing w:before="360" w:after="360" w:line="264" w:lineRule="auto"/>
      <w:ind w:left="198" w:right="198"/>
    </w:pPr>
    <w:rPr>
      <w:i/>
      <w:iCs/>
      <w:color w:val="207BA1"/>
      <w:sz w:val="22"/>
      <w:szCs w:val="28"/>
    </w:rPr>
  </w:style>
  <w:style w:type="character" w:customStyle="1" w:styleId="Quote-longChar">
    <w:name w:val="Quote - long Char"/>
    <w:basedOn w:val="DefaultParagraphFont"/>
    <w:link w:val="Quote-long"/>
    <w:uiPriority w:val="2"/>
    <w:rsid w:val="00DD4E4D"/>
    <w:rPr>
      <w:rFonts w:asciiTheme="minorHAnsi" w:hAnsiTheme="minorHAnsi"/>
      <w:i w:val="0"/>
      <w:iCs w:val="0"/>
      <w:color w:val="207BA1"/>
      <w:sz w:val="22"/>
      <w:szCs w:val="28"/>
      <w:shd w:val="clear" w:color="auto" w:fill="F2F2F2" w:themeFill="background1" w:themeFillShade="F2"/>
    </w:rPr>
  </w:style>
  <w:style w:type="paragraph" w:customStyle="1" w:styleId="Quotesteve">
    <w:name w:val="Quote steve"/>
    <w:basedOn w:val="ParaNumber1"/>
    <w:uiPriority w:val="2"/>
    <w:rsid w:val="007B4F04"/>
    <w:pPr>
      <w:numPr>
        <w:numId w:val="0"/>
      </w:numPr>
      <w:ind w:left="1620"/>
    </w:pPr>
    <w:rPr>
      <w:i/>
    </w:rPr>
  </w:style>
  <w:style w:type="paragraph" w:customStyle="1" w:styleId="Quote-block">
    <w:name w:val="Quote - block"/>
    <w:basedOn w:val="Quote-long"/>
    <w:link w:val="Quote-blockChar"/>
    <w:uiPriority w:val="2"/>
    <w:qFormat/>
    <w:rsid w:val="007B4F04"/>
    <w:pPr>
      <w:ind w:left="1701"/>
    </w:pPr>
    <w:rPr>
      <w:color w:val="37424A" w:themeColor="text1"/>
      <w:sz w:val="20"/>
      <w:szCs w:val="24"/>
    </w:rPr>
  </w:style>
  <w:style w:type="paragraph" w:customStyle="1" w:styleId="Quote-keyfact">
    <w:name w:val="Quote - key fact"/>
    <w:basedOn w:val="Normal"/>
    <w:link w:val="Quote-keyfactChar"/>
    <w:uiPriority w:val="2"/>
    <w:qFormat/>
    <w:rsid w:val="007B4F04"/>
    <w:pPr>
      <w:keepNext/>
      <w:pBdr>
        <w:top w:val="single" w:sz="4" w:space="18" w:color="FFFFFF" w:themeColor="background1"/>
        <w:left w:val="single" w:sz="4" w:space="4" w:color="FFFFFF" w:themeColor="background1"/>
        <w:bottom w:val="single" w:sz="4" w:space="18" w:color="FFFFFF" w:themeColor="background1"/>
        <w:right w:val="single" w:sz="4" w:space="4" w:color="FFFFFF" w:themeColor="background1"/>
      </w:pBdr>
      <w:shd w:val="clear" w:color="auto" w:fill="207BA1"/>
      <w:spacing w:before="360" w:after="360" w:line="264" w:lineRule="auto"/>
      <w:jc w:val="center"/>
    </w:pPr>
    <w:rPr>
      <w:i/>
      <w:iCs/>
      <w:color w:val="FFFFFF" w:themeColor="background1"/>
      <w:sz w:val="28"/>
      <w:szCs w:val="28"/>
    </w:rPr>
  </w:style>
  <w:style w:type="character" w:customStyle="1" w:styleId="Quote-blockChar">
    <w:name w:val="Quote - block Char"/>
    <w:basedOn w:val="Quote-longChar"/>
    <w:link w:val="Quote-block"/>
    <w:uiPriority w:val="2"/>
    <w:rsid w:val="008E37B3"/>
    <w:rPr>
      <w:rFonts w:ascii="Open Sans" w:hAnsi="Open Sans"/>
      <w:i/>
      <w:iCs/>
      <w:color w:val="37424A" w:themeColor="text1"/>
      <w:sz w:val="22"/>
      <w:szCs w:val="24"/>
      <w:shd w:val="clear" w:color="auto" w:fill="F2F2F2" w:themeFill="background1" w:themeFillShade="F2"/>
    </w:rPr>
  </w:style>
  <w:style w:type="character" w:customStyle="1" w:styleId="Quote-keyfactChar">
    <w:name w:val="Quote - key fact Char"/>
    <w:basedOn w:val="DefaultParagraphFont"/>
    <w:link w:val="Quote-keyfact"/>
    <w:uiPriority w:val="2"/>
    <w:rsid w:val="008E37B3"/>
    <w:rPr>
      <w:rFonts w:ascii="Open Sans" w:hAnsi="Open Sans"/>
      <w:i/>
      <w:iCs/>
      <w:color w:val="FFFFFF" w:themeColor="background1"/>
      <w:sz w:val="28"/>
      <w:szCs w:val="28"/>
      <w:shd w:val="clear" w:color="auto" w:fill="207BA1"/>
    </w:rPr>
  </w:style>
  <w:style w:type="paragraph" w:styleId="Quote">
    <w:name w:val="Quote"/>
    <w:basedOn w:val="Normal"/>
    <w:next w:val="Normal"/>
    <w:link w:val="QuoteChar"/>
    <w:uiPriority w:val="2"/>
    <w:qFormat/>
    <w:rsid w:val="00927BCC"/>
    <w:pPr>
      <w:spacing w:before="200" w:after="160"/>
      <w:ind w:left="864" w:right="864"/>
      <w:jc w:val="center"/>
    </w:pPr>
    <w:rPr>
      <w:i/>
      <w:iCs/>
      <w:color w:val="5F7280" w:themeColor="text1" w:themeTint="BF"/>
    </w:rPr>
  </w:style>
  <w:style w:type="character" w:customStyle="1" w:styleId="QuoteChar">
    <w:name w:val="Quote Char"/>
    <w:basedOn w:val="DefaultParagraphFont"/>
    <w:link w:val="Quote"/>
    <w:uiPriority w:val="2"/>
    <w:rsid w:val="00927BCC"/>
    <w:rPr>
      <w:rFonts w:ascii="Open Sans" w:hAnsi="Open Sans"/>
      <w:i/>
      <w:iCs/>
      <w:color w:val="5F7280" w:themeColor="text1" w:themeTint="BF"/>
    </w:rPr>
  </w:style>
  <w:style w:type="paragraph" w:styleId="TOC8">
    <w:name w:val="toc 8"/>
    <w:basedOn w:val="Normal"/>
    <w:next w:val="Normal"/>
    <w:autoRedefine/>
    <w:uiPriority w:val="39"/>
    <w:semiHidden/>
    <w:unhideWhenUsed/>
    <w:rsid w:val="00C53ABA"/>
    <w:pPr>
      <w:spacing w:after="100"/>
      <w:ind w:left="1400"/>
    </w:pPr>
  </w:style>
  <w:style w:type="paragraph" w:styleId="TOC9">
    <w:name w:val="toc 9"/>
    <w:basedOn w:val="Normal"/>
    <w:next w:val="Normal"/>
    <w:autoRedefine/>
    <w:uiPriority w:val="39"/>
    <w:semiHidden/>
    <w:unhideWhenUsed/>
    <w:rsid w:val="003F6BE0"/>
    <w:pPr>
      <w:spacing w:after="100"/>
      <w:ind w:left="1600"/>
    </w:pPr>
  </w:style>
  <w:style w:type="character" w:customStyle="1" w:styleId="UnresolvedMention1">
    <w:name w:val="Unresolved Mention1"/>
    <w:basedOn w:val="DefaultParagraphFont"/>
    <w:uiPriority w:val="99"/>
    <w:semiHidden/>
    <w:unhideWhenUsed/>
    <w:rsid w:val="00122CA4"/>
    <w:rPr>
      <w:color w:val="605E5C"/>
      <w:shd w:val="clear" w:color="auto" w:fill="E1DFDD"/>
    </w:rPr>
  </w:style>
  <w:style w:type="paragraph" w:customStyle="1" w:styleId="ParaNumber2">
    <w:name w:val="ParaNumber2"/>
    <w:basedOn w:val="ParaNumber1"/>
    <w:uiPriority w:val="6"/>
    <w:rsid w:val="006941E0"/>
    <w:pPr>
      <w:numPr>
        <w:ilvl w:val="1"/>
      </w:numPr>
      <w:ind w:left="568"/>
    </w:pPr>
  </w:style>
  <w:style w:type="numbering" w:customStyle="1" w:styleId="Numberedparagraph">
    <w:name w:val="Numbered paragraph"/>
    <w:uiPriority w:val="99"/>
    <w:rsid w:val="00E113B5"/>
    <w:pPr>
      <w:numPr>
        <w:numId w:val="12"/>
      </w:numPr>
    </w:pPr>
  </w:style>
  <w:style w:type="paragraph" w:customStyle="1" w:styleId="ParaNumber3">
    <w:name w:val="ParaNumber3"/>
    <w:basedOn w:val="ParaNumber2"/>
    <w:uiPriority w:val="6"/>
    <w:rsid w:val="006941E0"/>
    <w:pPr>
      <w:numPr>
        <w:ilvl w:val="2"/>
      </w:numPr>
      <w:ind w:left="851"/>
    </w:pPr>
  </w:style>
  <w:style w:type="numbering" w:customStyle="1" w:styleId="FEBulletList">
    <w:name w:val="FE Bullet List"/>
    <w:uiPriority w:val="99"/>
    <w:rsid w:val="00C0167B"/>
    <w:pPr>
      <w:numPr>
        <w:numId w:val="13"/>
      </w:numPr>
    </w:pPr>
  </w:style>
  <w:style w:type="character" w:styleId="FollowedHyperlink">
    <w:name w:val="FollowedHyperlink"/>
    <w:basedOn w:val="DefaultParagraphFont"/>
    <w:uiPriority w:val="99"/>
    <w:semiHidden/>
    <w:unhideWhenUsed/>
    <w:rsid w:val="008D6AD0"/>
    <w:rPr>
      <w:color w:val="E83F35" w:themeColor="followedHyperlink"/>
      <w:u w:val="single"/>
    </w:rPr>
  </w:style>
  <w:style w:type="paragraph" w:styleId="CommentSubject">
    <w:name w:val="annotation subject"/>
    <w:basedOn w:val="CommentText"/>
    <w:next w:val="CommentText"/>
    <w:link w:val="CommentSubjectChar"/>
    <w:uiPriority w:val="99"/>
    <w:semiHidden/>
    <w:rsid w:val="00464773"/>
    <w:pPr>
      <w:widowControl/>
      <w:autoSpaceDE/>
      <w:autoSpaceDN/>
      <w:adjustRightInd/>
    </w:pPr>
    <w:rPr>
      <w:rFonts w:ascii="Open Sans" w:eastAsiaTheme="minorHAnsi" w:hAnsi="Open Sans" w:cstheme="minorBidi"/>
      <w:b/>
      <w:bCs/>
      <w:color w:val="37424A" w:themeColor="text1"/>
      <w:lang w:eastAsia="en-US"/>
    </w:rPr>
  </w:style>
  <w:style w:type="character" w:customStyle="1" w:styleId="CommentSubjectChar">
    <w:name w:val="Comment Subject Char"/>
    <w:basedOn w:val="CommentTextChar"/>
    <w:link w:val="CommentSubject"/>
    <w:uiPriority w:val="99"/>
    <w:semiHidden/>
    <w:rsid w:val="00464773"/>
    <w:rPr>
      <w:rFonts w:ascii="Open Sans" w:eastAsiaTheme="minorEastAsia" w:hAnsi="Open Sans" w:cs="Arial"/>
      <w:b/>
      <w:bCs/>
      <w:color w:val="37424A" w:themeColor="text1"/>
      <w:lang w:eastAsia="en-AU"/>
    </w:rPr>
  </w:style>
  <w:style w:type="character" w:customStyle="1" w:styleId="ListParagraphChar">
    <w:name w:val="List Paragraph Char"/>
    <w:aliases w:val="Body Text Numbered Char,List 1 Paragraph Char,Paragraph Char,Resume Title Char,Citation List Char,List Paragraph Char Char Char,List Paragraph1 Char,b1 Char,Number_1 Char,SGLText List Paragraph Char,new Char,lp1 Char,ListPar1 Char"/>
    <w:link w:val="ListParagraph"/>
    <w:uiPriority w:val="34"/>
    <w:qFormat/>
    <w:locked/>
    <w:rsid w:val="00295C34"/>
    <w:rPr>
      <w:rFonts w:ascii="Open Sans" w:hAnsi="Open Sans"/>
      <w:color w:val="37424A" w:themeColor="text1"/>
    </w:rPr>
  </w:style>
  <w:style w:type="character" w:customStyle="1" w:styleId="UnresolvedMention2">
    <w:name w:val="Unresolved Mention2"/>
    <w:basedOn w:val="DefaultParagraphFont"/>
    <w:uiPriority w:val="99"/>
    <w:semiHidden/>
    <w:unhideWhenUsed/>
    <w:rsid w:val="00DD71B2"/>
    <w:rPr>
      <w:color w:val="605E5C"/>
      <w:shd w:val="clear" w:color="auto" w:fill="E1DFDD"/>
    </w:rPr>
  </w:style>
  <w:style w:type="character" w:styleId="Strong">
    <w:name w:val="Strong"/>
    <w:basedOn w:val="DefaultParagraphFont"/>
    <w:uiPriority w:val="22"/>
    <w:qFormat/>
    <w:rsid w:val="003B0469"/>
    <w:rPr>
      <w:b/>
      <w:bCs/>
    </w:rPr>
  </w:style>
  <w:style w:type="character" w:customStyle="1" w:styleId="UnresolvedMention3">
    <w:name w:val="Unresolved Mention3"/>
    <w:basedOn w:val="DefaultParagraphFont"/>
    <w:uiPriority w:val="99"/>
    <w:semiHidden/>
    <w:unhideWhenUsed/>
    <w:rsid w:val="00303F0E"/>
    <w:rPr>
      <w:color w:val="605E5C"/>
      <w:shd w:val="clear" w:color="auto" w:fill="E1DFDD"/>
    </w:rPr>
  </w:style>
  <w:style w:type="paragraph" w:styleId="Revision">
    <w:name w:val="Revision"/>
    <w:hidden/>
    <w:uiPriority w:val="99"/>
    <w:semiHidden/>
    <w:rsid w:val="005333EE"/>
    <w:rPr>
      <w:rFonts w:ascii="Open Sans" w:hAnsi="Open Sans"/>
      <w:color w:val="37424A" w:themeColor="text1"/>
    </w:rPr>
  </w:style>
  <w:style w:type="character" w:customStyle="1" w:styleId="UnresolvedMention4">
    <w:name w:val="Unresolved Mention4"/>
    <w:basedOn w:val="DefaultParagraphFont"/>
    <w:uiPriority w:val="99"/>
    <w:semiHidden/>
    <w:unhideWhenUsed/>
    <w:rsid w:val="009C001D"/>
    <w:rPr>
      <w:color w:val="605E5C"/>
      <w:shd w:val="clear" w:color="auto" w:fill="E1DFDD"/>
    </w:rPr>
  </w:style>
  <w:style w:type="character" w:customStyle="1" w:styleId="UnresolvedMention5">
    <w:name w:val="Unresolved Mention5"/>
    <w:basedOn w:val="DefaultParagraphFont"/>
    <w:uiPriority w:val="99"/>
    <w:semiHidden/>
    <w:unhideWhenUsed/>
    <w:rsid w:val="007F14CB"/>
    <w:rPr>
      <w:color w:val="605E5C"/>
      <w:shd w:val="clear" w:color="auto" w:fill="E1DFDD"/>
    </w:rPr>
  </w:style>
  <w:style w:type="paragraph" w:customStyle="1" w:styleId="Heading4N">
    <w:name w:val="Heading4N"/>
    <w:basedOn w:val="Heading4"/>
    <w:rsid w:val="0078433E"/>
  </w:style>
  <w:style w:type="paragraph" w:customStyle="1" w:styleId="Heading2N">
    <w:name w:val="Heading2N"/>
    <w:basedOn w:val="Heading2"/>
    <w:rsid w:val="003E42AA"/>
    <w:pPr>
      <w:spacing w:after="120"/>
    </w:pPr>
  </w:style>
  <w:style w:type="character" w:styleId="SubtleEmphasis">
    <w:name w:val="Subtle Emphasis"/>
    <w:basedOn w:val="DefaultParagraphFont"/>
    <w:uiPriority w:val="19"/>
    <w:semiHidden/>
    <w:rsid w:val="00FE4336"/>
    <w:rPr>
      <w:i/>
      <w:iCs/>
      <w:color w:val="323435" w:themeColor="accent6" w:themeShade="40"/>
    </w:rPr>
  </w:style>
  <w:style w:type="character" w:customStyle="1" w:styleId="UnresolvedMention6">
    <w:name w:val="Unresolved Mention6"/>
    <w:basedOn w:val="DefaultParagraphFont"/>
    <w:uiPriority w:val="99"/>
    <w:semiHidden/>
    <w:unhideWhenUsed/>
    <w:rsid w:val="002F39D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481345">
      <w:bodyDiv w:val="1"/>
      <w:marLeft w:val="0"/>
      <w:marRight w:val="0"/>
      <w:marTop w:val="0"/>
      <w:marBottom w:val="0"/>
      <w:divBdr>
        <w:top w:val="none" w:sz="0" w:space="0" w:color="auto"/>
        <w:left w:val="none" w:sz="0" w:space="0" w:color="auto"/>
        <w:bottom w:val="none" w:sz="0" w:space="0" w:color="auto"/>
        <w:right w:val="none" w:sz="0" w:space="0" w:color="auto"/>
      </w:divBdr>
      <w:divsChild>
        <w:div w:id="1835218757">
          <w:marLeft w:val="547"/>
          <w:marRight w:val="0"/>
          <w:marTop w:val="40"/>
          <w:marBottom w:val="40"/>
          <w:divBdr>
            <w:top w:val="none" w:sz="0" w:space="0" w:color="auto"/>
            <w:left w:val="none" w:sz="0" w:space="0" w:color="auto"/>
            <w:bottom w:val="none" w:sz="0" w:space="0" w:color="auto"/>
            <w:right w:val="none" w:sz="0" w:space="0" w:color="auto"/>
          </w:divBdr>
        </w:div>
        <w:div w:id="1113403692">
          <w:marLeft w:val="547"/>
          <w:marRight w:val="0"/>
          <w:marTop w:val="40"/>
          <w:marBottom w:val="40"/>
          <w:divBdr>
            <w:top w:val="none" w:sz="0" w:space="0" w:color="auto"/>
            <w:left w:val="none" w:sz="0" w:space="0" w:color="auto"/>
            <w:bottom w:val="none" w:sz="0" w:space="0" w:color="auto"/>
            <w:right w:val="none" w:sz="0" w:space="0" w:color="auto"/>
          </w:divBdr>
        </w:div>
        <w:div w:id="122121926">
          <w:marLeft w:val="547"/>
          <w:marRight w:val="0"/>
          <w:marTop w:val="40"/>
          <w:marBottom w:val="40"/>
          <w:divBdr>
            <w:top w:val="none" w:sz="0" w:space="0" w:color="auto"/>
            <w:left w:val="none" w:sz="0" w:space="0" w:color="auto"/>
            <w:bottom w:val="none" w:sz="0" w:space="0" w:color="auto"/>
            <w:right w:val="none" w:sz="0" w:space="0" w:color="auto"/>
          </w:divBdr>
        </w:div>
        <w:div w:id="1487437019">
          <w:marLeft w:val="1080"/>
          <w:marRight w:val="0"/>
          <w:marTop w:val="40"/>
          <w:marBottom w:val="40"/>
          <w:divBdr>
            <w:top w:val="none" w:sz="0" w:space="0" w:color="auto"/>
            <w:left w:val="none" w:sz="0" w:space="0" w:color="auto"/>
            <w:bottom w:val="none" w:sz="0" w:space="0" w:color="auto"/>
            <w:right w:val="none" w:sz="0" w:space="0" w:color="auto"/>
          </w:divBdr>
        </w:div>
        <w:div w:id="523252197">
          <w:marLeft w:val="1080"/>
          <w:marRight w:val="0"/>
          <w:marTop w:val="40"/>
          <w:marBottom w:val="40"/>
          <w:divBdr>
            <w:top w:val="none" w:sz="0" w:space="0" w:color="auto"/>
            <w:left w:val="none" w:sz="0" w:space="0" w:color="auto"/>
            <w:bottom w:val="none" w:sz="0" w:space="0" w:color="auto"/>
            <w:right w:val="none" w:sz="0" w:space="0" w:color="auto"/>
          </w:divBdr>
        </w:div>
        <w:div w:id="866799021">
          <w:marLeft w:val="1080"/>
          <w:marRight w:val="0"/>
          <w:marTop w:val="40"/>
          <w:marBottom w:val="40"/>
          <w:divBdr>
            <w:top w:val="none" w:sz="0" w:space="0" w:color="auto"/>
            <w:left w:val="none" w:sz="0" w:space="0" w:color="auto"/>
            <w:bottom w:val="none" w:sz="0" w:space="0" w:color="auto"/>
            <w:right w:val="none" w:sz="0" w:space="0" w:color="auto"/>
          </w:divBdr>
        </w:div>
      </w:divsChild>
    </w:div>
    <w:div w:id="24645232">
      <w:bodyDiv w:val="1"/>
      <w:marLeft w:val="0"/>
      <w:marRight w:val="0"/>
      <w:marTop w:val="0"/>
      <w:marBottom w:val="0"/>
      <w:divBdr>
        <w:top w:val="none" w:sz="0" w:space="0" w:color="auto"/>
        <w:left w:val="none" w:sz="0" w:space="0" w:color="auto"/>
        <w:bottom w:val="none" w:sz="0" w:space="0" w:color="auto"/>
        <w:right w:val="none" w:sz="0" w:space="0" w:color="auto"/>
      </w:divBdr>
    </w:div>
    <w:div w:id="33775852">
      <w:bodyDiv w:val="1"/>
      <w:marLeft w:val="0"/>
      <w:marRight w:val="0"/>
      <w:marTop w:val="0"/>
      <w:marBottom w:val="0"/>
      <w:divBdr>
        <w:top w:val="none" w:sz="0" w:space="0" w:color="auto"/>
        <w:left w:val="none" w:sz="0" w:space="0" w:color="auto"/>
        <w:bottom w:val="none" w:sz="0" w:space="0" w:color="auto"/>
        <w:right w:val="none" w:sz="0" w:space="0" w:color="auto"/>
      </w:divBdr>
    </w:div>
    <w:div w:id="46998921">
      <w:bodyDiv w:val="1"/>
      <w:marLeft w:val="0"/>
      <w:marRight w:val="0"/>
      <w:marTop w:val="0"/>
      <w:marBottom w:val="0"/>
      <w:divBdr>
        <w:top w:val="none" w:sz="0" w:space="0" w:color="auto"/>
        <w:left w:val="none" w:sz="0" w:space="0" w:color="auto"/>
        <w:bottom w:val="none" w:sz="0" w:space="0" w:color="auto"/>
        <w:right w:val="none" w:sz="0" w:space="0" w:color="auto"/>
      </w:divBdr>
    </w:div>
    <w:div w:id="50470089">
      <w:bodyDiv w:val="1"/>
      <w:marLeft w:val="0"/>
      <w:marRight w:val="0"/>
      <w:marTop w:val="0"/>
      <w:marBottom w:val="0"/>
      <w:divBdr>
        <w:top w:val="none" w:sz="0" w:space="0" w:color="auto"/>
        <w:left w:val="none" w:sz="0" w:space="0" w:color="auto"/>
        <w:bottom w:val="none" w:sz="0" w:space="0" w:color="auto"/>
        <w:right w:val="none" w:sz="0" w:space="0" w:color="auto"/>
      </w:divBdr>
    </w:div>
    <w:div w:id="66075420">
      <w:bodyDiv w:val="1"/>
      <w:marLeft w:val="0"/>
      <w:marRight w:val="0"/>
      <w:marTop w:val="0"/>
      <w:marBottom w:val="0"/>
      <w:divBdr>
        <w:top w:val="none" w:sz="0" w:space="0" w:color="auto"/>
        <w:left w:val="none" w:sz="0" w:space="0" w:color="auto"/>
        <w:bottom w:val="none" w:sz="0" w:space="0" w:color="auto"/>
        <w:right w:val="none" w:sz="0" w:space="0" w:color="auto"/>
      </w:divBdr>
    </w:div>
    <w:div w:id="71854943">
      <w:bodyDiv w:val="1"/>
      <w:marLeft w:val="0"/>
      <w:marRight w:val="0"/>
      <w:marTop w:val="0"/>
      <w:marBottom w:val="0"/>
      <w:divBdr>
        <w:top w:val="none" w:sz="0" w:space="0" w:color="auto"/>
        <w:left w:val="none" w:sz="0" w:space="0" w:color="auto"/>
        <w:bottom w:val="none" w:sz="0" w:space="0" w:color="auto"/>
        <w:right w:val="none" w:sz="0" w:space="0" w:color="auto"/>
      </w:divBdr>
      <w:divsChild>
        <w:div w:id="1118185590">
          <w:marLeft w:val="274"/>
          <w:marRight w:val="0"/>
          <w:marTop w:val="0"/>
          <w:marBottom w:val="36"/>
          <w:divBdr>
            <w:top w:val="none" w:sz="0" w:space="0" w:color="auto"/>
            <w:left w:val="none" w:sz="0" w:space="0" w:color="auto"/>
            <w:bottom w:val="none" w:sz="0" w:space="0" w:color="auto"/>
            <w:right w:val="none" w:sz="0" w:space="0" w:color="auto"/>
          </w:divBdr>
        </w:div>
        <w:div w:id="1820610568">
          <w:marLeft w:val="274"/>
          <w:marRight w:val="0"/>
          <w:marTop w:val="0"/>
          <w:marBottom w:val="36"/>
          <w:divBdr>
            <w:top w:val="none" w:sz="0" w:space="0" w:color="auto"/>
            <w:left w:val="none" w:sz="0" w:space="0" w:color="auto"/>
            <w:bottom w:val="none" w:sz="0" w:space="0" w:color="auto"/>
            <w:right w:val="none" w:sz="0" w:space="0" w:color="auto"/>
          </w:divBdr>
        </w:div>
        <w:div w:id="1726492666">
          <w:marLeft w:val="274"/>
          <w:marRight w:val="0"/>
          <w:marTop w:val="0"/>
          <w:marBottom w:val="36"/>
          <w:divBdr>
            <w:top w:val="none" w:sz="0" w:space="0" w:color="auto"/>
            <w:left w:val="none" w:sz="0" w:space="0" w:color="auto"/>
            <w:bottom w:val="none" w:sz="0" w:space="0" w:color="auto"/>
            <w:right w:val="none" w:sz="0" w:space="0" w:color="auto"/>
          </w:divBdr>
        </w:div>
        <w:div w:id="1135752974">
          <w:marLeft w:val="274"/>
          <w:marRight w:val="0"/>
          <w:marTop w:val="0"/>
          <w:marBottom w:val="36"/>
          <w:divBdr>
            <w:top w:val="none" w:sz="0" w:space="0" w:color="auto"/>
            <w:left w:val="none" w:sz="0" w:space="0" w:color="auto"/>
            <w:bottom w:val="none" w:sz="0" w:space="0" w:color="auto"/>
            <w:right w:val="none" w:sz="0" w:space="0" w:color="auto"/>
          </w:divBdr>
        </w:div>
        <w:div w:id="829253879">
          <w:marLeft w:val="274"/>
          <w:marRight w:val="0"/>
          <w:marTop w:val="0"/>
          <w:marBottom w:val="36"/>
          <w:divBdr>
            <w:top w:val="none" w:sz="0" w:space="0" w:color="auto"/>
            <w:left w:val="none" w:sz="0" w:space="0" w:color="auto"/>
            <w:bottom w:val="none" w:sz="0" w:space="0" w:color="auto"/>
            <w:right w:val="none" w:sz="0" w:space="0" w:color="auto"/>
          </w:divBdr>
        </w:div>
      </w:divsChild>
    </w:div>
    <w:div w:id="77676372">
      <w:bodyDiv w:val="1"/>
      <w:marLeft w:val="0"/>
      <w:marRight w:val="0"/>
      <w:marTop w:val="0"/>
      <w:marBottom w:val="0"/>
      <w:divBdr>
        <w:top w:val="none" w:sz="0" w:space="0" w:color="auto"/>
        <w:left w:val="none" w:sz="0" w:space="0" w:color="auto"/>
        <w:bottom w:val="none" w:sz="0" w:space="0" w:color="auto"/>
        <w:right w:val="none" w:sz="0" w:space="0" w:color="auto"/>
      </w:divBdr>
    </w:div>
    <w:div w:id="124930583">
      <w:bodyDiv w:val="1"/>
      <w:marLeft w:val="0"/>
      <w:marRight w:val="0"/>
      <w:marTop w:val="0"/>
      <w:marBottom w:val="0"/>
      <w:divBdr>
        <w:top w:val="none" w:sz="0" w:space="0" w:color="auto"/>
        <w:left w:val="none" w:sz="0" w:space="0" w:color="auto"/>
        <w:bottom w:val="none" w:sz="0" w:space="0" w:color="auto"/>
        <w:right w:val="none" w:sz="0" w:space="0" w:color="auto"/>
      </w:divBdr>
    </w:div>
    <w:div w:id="130636979">
      <w:bodyDiv w:val="1"/>
      <w:marLeft w:val="0"/>
      <w:marRight w:val="0"/>
      <w:marTop w:val="0"/>
      <w:marBottom w:val="0"/>
      <w:divBdr>
        <w:top w:val="none" w:sz="0" w:space="0" w:color="auto"/>
        <w:left w:val="none" w:sz="0" w:space="0" w:color="auto"/>
        <w:bottom w:val="none" w:sz="0" w:space="0" w:color="auto"/>
        <w:right w:val="none" w:sz="0" w:space="0" w:color="auto"/>
      </w:divBdr>
      <w:divsChild>
        <w:div w:id="1340037107">
          <w:marLeft w:val="86"/>
          <w:marRight w:val="0"/>
          <w:marTop w:val="0"/>
          <w:marBottom w:val="36"/>
          <w:divBdr>
            <w:top w:val="none" w:sz="0" w:space="0" w:color="auto"/>
            <w:left w:val="none" w:sz="0" w:space="0" w:color="auto"/>
            <w:bottom w:val="none" w:sz="0" w:space="0" w:color="auto"/>
            <w:right w:val="none" w:sz="0" w:space="0" w:color="auto"/>
          </w:divBdr>
        </w:div>
        <w:div w:id="1716853188">
          <w:marLeft w:val="86"/>
          <w:marRight w:val="0"/>
          <w:marTop w:val="0"/>
          <w:marBottom w:val="36"/>
          <w:divBdr>
            <w:top w:val="none" w:sz="0" w:space="0" w:color="auto"/>
            <w:left w:val="none" w:sz="0" w:space="0" w:color="auto"/>
            <w:bottom w:val="none" w:sz="0" w:space="0" w:color="auto"/>
            <w:right w:val="none" w:sz="0" w:space="0" w:color="auto"/>
          </w:divBdr>
        </w:div>
      </w:divsChild>
    </w:div>
    <w:div w:id="132597915">
      <w:bodyDiv w:val="1"/>
      <w:marLeft w:val="0"/>
      <w:marRight w:val="0"/>
      <w:marTop w:val="0"/>
      <w:marBottom w:val="0"/>
      <w:divBdr>
        <w:top w:val="none" w:sz="0" w:space="0" w:color="auto"/>
        <w:left w:val="none" w:sz="0" w:space="0" w:color="auto"/>
        <w:bottom w:val="none" w:sz="0" w:space="0" w:color="auto"/>
        <w:right w:val="none" w:sz="0" w:space="0" w:color="auto"/>
      </w:divBdr>
    </w:div>
    <w:div w:id="142739711">
      <w:bodyDiv w:val="1"/>
      <w:marLeft w:val="0"/>
      <w:marRight w:val="0"/>
      <w:marTop w:val="0"/>
      <w:marBottom w:val="0"/>
      <w:divBdr>
        <w:top w:val="none" w:sz="0" w:space="0" w:color="auto"/>
        <w:left w:val="none" w:sz="0" w:space="0" w:color="auto"/>
        <w:bottom w:val="none" w:sz="0" w:space="0" w:color="auto"/>
        <w:right w:val="none" w:sz="0" w:space="0" w:color="auto"/>
      </w:divBdr>
    </w:div>
    <w:div w:id="143082093">
      <w:bodyDiv w:val="1"/>
      <w:marLeft w:val="0"/>
      <w:marRight w:val="0"/>
      <w:marTop w:val="0"/>
      <w:marBottom w:val="0"/>
      <w:divBdr>
        <w:top w:val="none" w:sz="0" w:space="0" w:color="auto"/>
        <w:left w:val="none" w:sz="0" w:space="0" w:color="auto"/>
        <w:bottom w:val="none" w:sz="0" w:space="0" w:color="auto"/>
        <w:right w:val="none" w:sz="0" w:space="0" w:color="auto"/>
      </w:divBdr>
    </w:div>
    <w:div w:id="259529930">
      <w:bodyDiv w:val="1"/>
      <w:marLeft w:val="0"/>
      <w:marRight w:val="0"/>
      <w:marTop w:val="0"/>
      <w:marBottom w:val="0"/>
      <w:divBdr>
        <w:top w:val="none" w:sz="0" w:space="0" w:color="auto"/>
        <w:left w:val="none" w:sz="0" w:space="0" w:color="auto"/>
        <w:bottom w:val="none" w:sz="0" w:space="0" w:color="auto"/>
        <w:right w:val="none" w:sz="0" w:space="0" w:color="auto"/>
      </w:divBdr>
    </w:div>
    <w:div w:id="278610924">
      <w:bodyDiv w:val="1"/>
      <w:marLeft w:val="0"/>
      <w:marRight w:val="0"/>
      <w:marTop w:val="0"/>
      <w:marBottom w:val="0"/>
      <w:divBdr>
        <w:top w:val="none" w:sz="0" w:space="0" w:color="auto"/>
        <w:left w:val="none" w:sz="0" w:space="0" w:color="auto"/>
        <w:bottom w:val="none" w:sz="0" w:space="0" w:color="auto"/>
        <w:right w:val="none" w:sz="0" w:space="0" w:color="auto"/>
      </w:divBdr>
    </w:div>
    <w:div w:id="305479064">
      <w:bodyDiv w:val="1"/>
      <w:marLeft w:val="0"/>
      <w:marRight w:val="0"/>
      <w:marTop w:val="0"/>
      <w:marBottom w:val="0"/>
      <w:divBdr>
        <w:top w:val="none" w:sz="0" w:space="0" w:color="auto"/>
        <w:left w:val="none" w:sz="0" w:space="0" w:color="auto"/>
        <w:bottom w:val="none" w:sz="0" w:space="0" w:color="auto"/>
        <w:right w:val="none" w:sz="0" w:space="0" w:color="auto"/>
      </w:divBdr>
    </w:div>
    <w:div w:id="350645215">
      <w:bodyDiv w:val="1"/>
      <w:marLeft w:val="0"/>
      <w:marRight w:val="0"/>
      <w:marTop w:val="0"/>
      <w:marBottom w:val="0"/>
      <w:divBdr>
        <w:top w:val="none" w:sz="0" w:space="0" w:color="auto"/>
        <w:left w:val="none" w:sz="0" w:space="0" w:color="auto"/>
        <w:bottom w:val="none" w:sz="0" w:space="0" w:color="auto"/>
        <w:right w:val="none" w:sz="0" w:space="0" w:color="auto"/>
      </w:divBdr>
      <w:divsChild>
        <w:div w:id="668557753">
          <w:marLeft w:val="274"/>
          <w:marRight w:val="0"/>
          <w:marTop w:val="0"/>
          <w:marBottom w:val="0"/>
          <w:divBdr>
            <w:top w:val="none" w:sz="0" w:space="0" w:color="auto"/>
            <w:left w:val="none" w:sz="0" w:space="0" w:color="auto"/>
            <w:bottom w:val="none" w:sz="0" w:space="0" w:color="auto"/>
            <w:right w:val="none" w:sz="0" w:space="0" w:color="auto"/>
          </w:divBdr>
        </w:div>
      </w:divsChild>
    </w:div>
    <w:div w:id="393547280">
      <w:bodyDiv w:val="1"/>
      <w:marLeft w:val="0"/>
      <w:marRight w:val="0"/>
      <w:marTop w:val="0"/>
      <w:marBottom w:val="0"/>
      <w:divBdr>
        <w:top w:val="none" w:sz="0" w:space="0" w:color="auto"/>
        <w:left w:val="none" w:sz="0" w:space="0" w:color="auto"/>
        <w:bottom w:val="none" w:sz="0" w:space="0" w:color="auto"/>
        <w:right w:val="none" w:sz="0" w:space="0" w:color="auto"/>
      </w:divBdr>
    </w:div>
    <w:div w:id="396904864">
      <w:bodyDiv w:val="1"/>
      <w:marLeft w:val="0"/>
      <w:marRight w:val="0"/>
      <w:marTop w:val="0"/>
      <w:marBottom w:val="0"/>
      <w:divBdr>
        <w:top w:val="none" w:sz="0" w:space="0" w:color="auto"/>
        <w:left w:val="none" w:sz="0" w:space="0" w:color="auto"/>
        <w:bottom w:val="none" w:sz="0" w:space="0" w:color="auto"/>
        <w:right w:val="none" w:sz="0" w:space="0" w:color="auto"/>
      </w:divBdr>
    </w:div>
    <w:div w:id="429282103">
      <w:bodyDiv w:val="1"/>
      <w:marLeft w:val="0"/>
      <w:marRight w:val="0"/>
      <w:marTop w:val="0"/>
      <w:marBottom w:val="0"/>
      <w:divBdr>
        <w:top w:val="none" w:sz="0" w:space="0" w:color="auto"/>
        <w:left w:val="none" w:sz="0" w:space="0" w:color="auto"/>
        <w:bottom w:val="none" w:sz="0" w:space="0" w:color="auto"/>
        <w:right w:val="none" w:sz="0" w:space="0" w:color="auto"/>
      </w:divBdr>
    </w:div>
    <w:div w:id="440347061">
      <w:bodyDiv w:val="1"/>
      <w:marLeft w:val="0"/>
      <w:marRight w:val="0"/>
      <w:marTop w:val="0"/>
      <w:marBottom w:val="0"/>
      <w:divBdr>
        <w:top w:val="none" w:sz="0" w:space="0" w:color="auto"/>
        <w:left w:val="none" w:sz="0" w:space="0" w:color="auto"/>
        <w:bottom w:val="none" w:sz="0" w:space="0" w:color="auto"/>
        <w:right w:val="none" w:sz="0" w:space="0" w:color="auto"/>
      </w:divBdr>
    </w:div>
    <w:div w:id="440613721">
      <w:bodyDiv w:val="1"/>
      <w:marLeft w:val="0"/>
      <w:marRight w:val="0"/>
      <w:marTop w:val="0"/>
      <w:marBottom w:val="0"/>
      <w:divBdr>
        <w:top w:val="none" w:sz="0" w:space="0" w:color="auto"/>
        <w:left w:val="none" w:sz="0" w:space="0" w:color="auto"/>
        <w:bottom w:val="none" w:sz="0" w:space="0" w:color="auto"/>
        <w:right w:val="none" w:sz="0" w:space="0" w:color="auto"/>
      </w:divBdr>
    </w:div>
    <w:div w:id="456415066">
      <w:bodyDiv w:val="1"/>
      <w:marLeft w:val="0"/>
      <w:marRight w:val="0"/>
      <w:marTop w:val="0"/>
      <w:marBottom w:val="0"/>
      <w:divBdr>
        <w:top w:val="none" w:sz="0" w:space="0" w:color="auto"/>
        <w:left w:val="none" w:sz="0" w:space="0" w:color="auto"/>
        <w:bottom w:val="none" w:sz="0" w:space="0" w:color="auto"/>
        <w:right w:val="none" w:sz="0" w:space="0" w:color="auto"/>
      </w:divBdr>
    </w:div>
    <w:div w:id="466289238">
      <w:bodyDiv w:val="1"/>
      <w:marLeft w:val="0"/>
      <w:marRight w:val="0"/>
      <w:marTop w:val="0"/>
      <w:marBottom w:val="0"/>
      <w:divBdr>
        <w:top w:val="none" w:sz="0" w:space="0" w:color="auto"/>
        <w:left w:val="none" w:sz="0" w:space="0" w:color="auto"/>
        <w:bottom w:val="none" w:sz="0" w:space="0" w:color="auto"/>
        <w:right w:val="none" w:sz="0" w:space="0" w:color="auto"/>
      </w:divBdr>
    </w:div>
    <w:div w:id="517349053">
      <w:bodyDiv w:val="1"/>
      <w:marLeft w:val="0"/>
      <w:marRight w:val="0"/>
      <w:marTop w:val="0"/>
      <w:marBottom w:val="0"/>
      <w:divBdr>
        <w:top w:val="none" w:sz="0" w:space="0" w:color="auto"/>
        <w:left w:val="none" w:sz="0" w:space="0" w:color="auto"/>
        <w:bottom w:val="none" w:sz="0" w:space="0" w:color="auto"/>
        <w:right w:val="none" w:sz="0" w:space="0" w:color="auto"/>
      </w:divBdr>
    </w:div>
    <w:div w:id="523203807">
      <w:bodyDiv w:val="1"/>
      <w:marLeft w:val="0"/>
      <w:marRight w:val="0"/>
      <w:marTop w:val="0"/>
      <w:marBottom w:val="0"/>
      <w:divBdr>
        <w:top w:val="none" w:sz="0" w:space="0" w:color="auto"/>
        <w:left w:val="none" w:sz="0" w:space="0" w:color="auto"/>
        <w:bottom w:val="none" w:sz="0" w:space="0" w:color="auto"/>
        <w:right w:val="none" w:sz="0" w:space="0" w:color="auto"/>
      </w:divBdr>
      <w:divsChild>
        <w:div w:id="153451881">
          <w:marLeft w:val="274"/>
          <w:marRight w:val="0"/>
          <w:marTop w:val="0"/>
          <w:marBottom w:val="120"/>
          <w:divBdr>
            <w:top w:val="none" w:sz="0" w:space="0" w:color="auto"/>
            <w:left w:val="none" w:sz="0" w:space="0" w:color="auto"/>
            <w:bottom w:val="none" w:sz="0" w:space="0" w:color="auto"/>
            <w:right w:val="none" w:sz="0" w:space="0" w:color="auto"/>
          </w:divBdr>
        </w:div>
        <w:div w:id="671375302">
          <w:marLeft w:val="562"/>
          <w:marRight w:val="0"/>
          <w:marTop w:val="0"/>
          <w:marBottom w:val="120"/>
          <w:divBdr>
            <w:top w:val="none" w:sz="0" w:space="0" w:color="auto"/>
            <w:left w:val="none" w:sz="0" w:space="0" w:color="auto"/>
            <w:bottom w:val="none" w:sz="0" w:space="0" w:color="auto"/>
            <w:right w:val="none" w:sz="0" w:space="0" w:color="auto"/>
          </w:divBdr>
        </w:div>
        <w:div w:id="332801760">
          <w:marLeft w:val="562"/>
          <w:marRight w:val="0"/>
          <w:marTop w:val="0"/>
          <w:marBottom w:val="120"/>
          <w:divBdr>
            <w:top w:val="none" w:sz="0" w:space="0" w:color="auto"/>
            <w:left w:val="none" w:sz="0" w:space="0" w:color="auto"/>
            <w:bottom w:val="none" w:sz="0" w:space="0" w:color="auto"/>
            <w:right w:val="none" w:sz="0" w:space="0" w:color="auto"/>
          </w:divBdr>
        </w:div>
        <w:div w:id="301160925">
          <w:marLeft w:val="274"/>
          <w:marRight w:val="0"/>
          <w:marTop w:val="0"/>
          <w:marBottom w:val="120"/>
          <w:divBdr>
            <w:top w:val="none" w:sz="0" w:space="0" w:color="auto"/>
            <w:left w:val="none" w:sz="0" w:space="0" w:color="auto"/>
            <w:bottom w:val="none" w:sz="0" w:space="0" w:color="auto"/>
            <w:right w:val="none" w:sz="0" w:space="0" w:color="auto"/>
          </w:divBdr>
        </w:div>
      </w:divsChild>
    </w:div>
    <w:div w:id="548148098">
      <w:bodyDiv w:val="1"/>
      <w:marLeft w:val="0"/>
      <w:marRight w:val="0"/>
      <w:marTop w:val="0"/>
      <w:marBottom w:val="0"/>
      <w:divBdr>
        <w:top w:val="none" w:sz="0" w:space="0" w:color="auto"/>
        <w:left w:val="none" w:sz="0" w:space="0" w:color="auto"/>
        <w:bottom w:val="none" w:sz="0" w:space="0" w:color="auto"/>
        <w:right w:val="none" w:sz="0" w:space="0" w:color="auto"/>
      </w:divBdr>
      <w:divsChild>
        <w:div w:id="2033913748">
          <w:marLeft w:val="547"/>
          <w:marRight w:val="0"/>
          <w:marTop w:val="40"/>
          <w:marBottom w:val="40"/>
          <w:divBdr>
            <w:top w:val="none" w:sz="0" w:space="0" w:color="auto"/>
            <w:left w:val="none" w:sz="0" w:space="0" w:color="auto"/>
            <w:bottom w:val="none" w:sz="0" w:space="0" w:color="auto"/>
            <w:right w:val="none" w:sz="0" w:space="0" w:color="auto"/>
          </w:divBdr>
        </w:div>
      </w:divsChild>
    </w:div>
    <w:div w:id="564992011">
      <w:bodyDiv w:val="1"/>
      <w:marLeft w:val="0"/>
      <w:marRight w:val="0"/>
      <w:marTop w:val="0"/>
      <w:marBottom w:val="0"/>
      <w:divBdr>
        <w:top w:val="none" w:sz="0" w:space="0" w:color="auto"/>
        <w:left w:val="none" w:sz="0" w:space="0" w:color="auto"/>
        <w:bottom w:val="none" w:sz="0" w:space="0" w:color="auto"/>
        <w:right w:val="none" w:sz="0" w:space="0" w:color="auto"/>
      </w:divBdr>
    </w:div>
    <w:div w:id="592134083">
      <w:bodyDiv w:val="1"/>
      <w:marLeft w:val="0"/>
      <w:marRight w:val="0"/>
      <w:marTop w:val="0"/>
      <w:marBottom w:val="0"/>
      <w:divBdr>
        <w:top w:val="none" w:sz="0" w:space="0" w:color="auto"/>
        <w:left w:val="none" w:sz="0" w:space="0" w:color="auto"/>
        <w:bottom w:val="none" w:sz="0" w:space="0" w:color="auto"/>
        <w:right w:val="none" w:sz="0" w:space="0" w:color="auto"/>
      </w:divBdr>
    </w:div>
    <w:div w:id="600114551">
      <w:bodyDiv w:val="1"/>
      <w:marLeft w:val="0"/>
      <w:marRight w:val="0"/>
      <w:marTop w:val="0"/>
      <w:marBottom w:val="0"/>
      <w:divBdr>
        <w:top w:val="none" w:sz="0" w:space="0" w:color="auto"/>
        <w:left w:val="none" w:sz="0" w:space="0" w:color="auto"/>
        <w:bottom w:val="none" w:sz="0" w:space="0" w:color="auto"/>
        <w:right w:val="none" w:sz="0" w:space="0" w:color="auto"/>
      </w:divBdr>
    </w:div>
    <w:div w:id="662126568">
      <w:bodyDiv w:val="1"/>
      <w:marLeft w:val="0"/>
      <w:marRight w:val="0"/>
      <w:marTop w:val="0"/>
      <w:marBottom w:val="0"/>
      <w:divBdr>
        <w:top w:val="none" w:sz="0" w:space="0" w:color="auto"/>
        <w:left w:val="none" w:sz="0" w:space="0" w:color="auto"/>
        <w:bottom w:val="none" w:sz="0" w:space="0" w:color="auto"/>
        <w:right w:val="none" w:sz="0" w:space="0" w:color="auto"/>
      </w:divBdr>
      <w:divsChild>
        <w:div w:id="1375497845">
          <w:marLeft w:val="547"/>
          <w:marRight w:val="0"/>
          <w:marTop w:val="40"/>
          <w:marBottom w:val="40"/>
          <w:divBdr>
            <w:top w:val="none" w:sz="0" w:space="0" w:color="auto"/>
            <w:left w:val="none" w:sz="0" w:space="0" w:color="auto"/>
            <w:bottom w:val="none" w:sz="0" w:space="0" w:color="auto"/>
            <w:right w:val="none" w:sz="0" w:space="0" w:color="auto"/>
          </w:divBdr>
        </w:div>
      </w:divsChild>
    </w:div>
    <w:div w:id="708575957">
      <w:bodyDiv w:val="1"/>
      <w:marLeft w:val="0"/>
      <w:marRight w:val="0"/>
      <w:marTop w:val="0"/>
      <w:marBottom w:val="0"/>
      <w:divBdr>
        <w:top w:val="none" w:sz="0" w:space="0" w:color="auto"/>
        <w:left w:val="none" w:sz="0" w:space="0" w:color="auto"/>
        <w:bottom w:val="none" w:sz="0" w:space="0" w:color="auto"/>
        <w:right w:val="none" w:sz="0" w:space="0" w:color="auto"/>
      </w:divBdr>
      <w:divsChild>
        <w:div w:id="56057791">
          <w:marLeft w:val="274"/>
          <w:marRight w:val="0"/>
          <w:marTop w:val="0"/>
          <w:marBottom w:val="36"/>
          <w:divBdr>
            <w:top w:val="none" w:sz="0" w:space="0" w:color="auto"/>
            <w:left w:val="none" w:sz="0" w:space="0" w:color="auto"/>
            <w:bottom w:val="none" w:sz="0" w:space="0" w:color="auto"/>
            <w:right w:val="none" w:sz="0" w:space="0" w:color="auto"/>
          </w:divBdr>
        </w:div>
        <w:div w:id="704906389">
          <w:marLeft w:val="274"/>
          <w:marRight w:val="0"/>
          <w:marTop w:val="0"/>
          <w:marBottom w:val="36"/>
          <w:divBdr>
            <w:top w:val="none" w:sz="0" w:space="0" w:color="auto"/>
            <w:left w:val="none" w:sz="0" w:space="0" w:color="auto"/>
            <w:bottom w:val="none" w:sz="0" w:space="0" w:color="auto"/>
            <w:right w:val="none" w:sz="0" w:space="0" w:color="auto"/>
          </w:divBdr>
        </w:div>
        <w:div w:id="874000169">
          <w:marLeft w:val="274"/>
          <w:marRight w:val="0"/>
          <w:marTop w:val="0"/>
          <w:marBottom w:val="36"/>
          <w:divBdr>
            <w:top w:val="none" w:sz="0" w:space="0" w:color="auto"/>
            <w:left w:val="none" w:sz="0" w:space="0" w:color="auto"/>
            <w:bottom w:val="none" w:sz="0" w:space="0" w:color="auto"/>
            <w:right w:val="none" w:sz="0" w:space="0" w:color="auto"/>
          </w:divBdr>
        </w:div>
        <w:div w:id="1026490883">
          <w:marLeft w:val="274"/>
          <w:marRight w:val="0"/>
          <w:marTop w:val="0"/>
          <w:marBottom w:val="36"/>
          <w:divBdr>
            <w:top w:val="none" w:sz="0" w:space="0" w:color="auto"/>
            <w:left w:val="none" w:sz="0" w:space="0" w:color="auto"/>
            <w:bottom w:val="none" w:sz="0" w:space="0" w:color="auto"/>
            <w:right w:val="none" w:sz="0" w:space="0" w:color="auto"/>
          </w:divBdr>
        </w:div>
      </w:divsChild>
    </w:div>
    <w:div w:id="712271858">
      <w:bodyDiv w:val="1"/>
      <w:marLeft w:val="0"/>
      <w:marRight w:val="0"/>
      <w:marTop w:val="0"/>
      <w:marBottom w:val="0"/>
      <w:divBdr>
        <w:top w:val="none" w:sz="0" w:space="0" w:color="auto"/>
        <w:left w:val="none" w:sz="0" w:space="0" w:color="auto"/>
        <w:bottom w:val="none" w:sz="0" w:space="0" w:color="auto"/>
        <w:right w:val="none" w:sz="0" w:space="0" w:color="auto"/>
      </w:divBdr>
    </w:div>
    <w:div w:id="735321104">
      <w:bodyDiv w:val="1"/>
      <w:marLeft w:val="0"/>
      <w:marRight w:val="0"/>
      <w:marTop w:val="0"/>
      <w:marBottom w:val="0"/>
      <w:divBdr>
        <w:top w:val="none" w:sz="0" w:space="0" w:color="auto"/>
        <w:left w:val="none" w:sz="0" w:space="0" w:color="auto"/>
        <w:bottom w:val="none" w:sz="0" w:space="0" w:color="auto"/>
        <w:right w:val="none" w:sz="0" w:space="0" w:color="auto"/>
      </w:divBdr>
    </w:div>
    <w:div w:id="751321672">
      <w:bodyDiv w:val="1"/>
      <w:marLeft w:val="0"/>
      <w:marRight w:val="0"/>
      <w:marTop w:val="0"/>
      <w:marBottom w:val="0"/>
      <w:divBdr>
        <w:top w:val="none" w:sz="0" w:space="0" w:color="auto"/>
        <w:left w:val="none" w:sz="0" w:space="0" w:color="auto"/>
        <w:bottom w:val="none" w:sz="0" w:space="0" w:color="auto"/>
        <w:right w:val="none" w:sz="0" w:space="0" w:color="auto"/>
      </w:divBdr>
      <w:divsChild>
        <w:div w:id="2028676598">
          <w:marLeft w:val="274"/>
          <w:marRight w:val="0"/>
          <w:marTop w:val="0"/>
          <w:marBottom w:val="36"/>
          <w:divBdr>
            <w:top w:val="none" w:sz="0" w:space="0" w:color="auto"/>
            <w:left w:val="none" w:sz="0" w:space="0" w:color="auto"/>
            <w:bottom w:val="none" w:sz="0" w:space="0" w:color="auto"/>
            <w:right w:val="none" w:sz="0" w:space="0" w:color="auto"/>
          </w:divBdr>
        </w:div>
        <w:div w:id="488132247">
          <w:marLeft w:val="274"/>
          <w:marRight w:val="0"/>
          <w:marTop w:val="0"/>
          <w:marBottom w:val="36"/>
          <w:divBdr>
            <w:top w:val="none" w:sz="0" w:space="0" w:color="auto"/>
            <w:left w:val="none" w:sz="0" w:space="0" w:color="auto"/>
            <w:bottom w:val="none" w:sz="0" w:space="0" w:color="auto"/>
            <w:right w:val="none" w:sz="0" w:space="0" w:color="auto"/>
          </w:divBdr>
        </w:div>
        <w:div w:id="1112671493">
          <w:marLeft w:val="274"/>
          <w:marRight w:val="0"/>
          <w:marTop w:val="0"/>
          <w:marBottom w:val="36"/>
          <w:divBdr>
            <w:top w:val="none" w:sz="0" w:space="0" w:color="auto"/>
            <w:left w:val="none" w:sz="0" w:space="0" w:color="auto"/>
            <w:bottom w:val="none" w:sz="0" w:space="0" w:color="auto"/>
            <w:right w:val="none" w:sz="0" w:space="0" w:color="auto"/>
          </w:divBdr>
        </w:div>
      </w:divsChild>
    </w:div>
    <w:div w:id="772553155">
      <w:bodyDiv w:val="1"/>
      <w:marLeft w:val="0"/>
      <w:marRight w:val="0"/>
      <w:marTop w:val="0"/>
      <w:marBottom w:val="0"/>
      <w:divBdr>
        <w:top w:val="none" w:sz="0" w:space="0" w:color="auto"/>
        <w:left w:val="none" w:sz="0" w:space="0" w:color="auto"/>
        <w:bottom w:val="none" w:sz="0" w:space="0" w:color="auto"/>
        <w:right w:val="none" w:sz="0" w:space="0" w:color="auto"/>
      </w:divBdr>
    </w:div>
    <w:div w:id="808592065">
      <w:bodyDiv w:val="1"/>
      <w:marLeft w:val="0"/>
      <w:marRight w:val="0"/>
      <w:marTop w:val="0"/>
      <w:marBottom w:val="0"/>
      <w:divBdr>
        <w:top w:val="none" w:sz="0" w:space="0" w:color="auto"/>
        <w:left w:val="none" w:sz="0" w:space="0" w:color="auto"/>
        <w:bottom w:val="none" w:sz="0" w:space="0" w:color="auto"/>
        <w:right w:val="none" w:sz="0" w:space="0" w:color="auto"/>
      </w:divBdr>
    </w:div>
    <w:div w:id="841092324">
      <w:bodyDiv w:val="1"/>
      <w:marLeft w:val="0"/>
      <w:marRight w:val="0"/>
      <w:marTop w:val="0"/>
      <w:marBottom w:val="0"/>
      <w:divBdr>
        <w:top w:val="none" w:sz="0" w:space="0" w:color="auto"/>
        <w:left w:val="none" w:sz="0" w:space="0" w:color="auto"/>
        <w:bottom w:val="none" w:sz="0" w:space="0" w:color="auto"/>
        <w:right w:val="none" w:sz="0" w:space="0" w:color="auto"/>
      </w:divBdr>
    </w:div>
    <w:div w:id="870414834">
      <w:bodyDiv w:val="1"/>
      <w:marLeft w:val="0"/>
      <w:marRight w:val="0"/>
      <w:marTop w:val="0"/>
      <w:marBottom w:val="0"/>
      <w:divBdr>
        <w:top w:val="none" w:sz="0" w:space="0" w:color="auto"/>
        <w:left w:val="none" w:sz="0" w:space="0" w:color="auto"/>
        <w:bottom w:val="none" w:sz="0" w:space="0" w:color="auto"/>
        <w:right w:val="none" w:sz="0" w:space="0" w:color="auto"/>
      </w:divBdr>
    </w:div>
    <w:div w:id="901479266">
      <w:bodyDiv w:val="1"/>
      <w:marLeft w:val="0"/>
      <w:marRight w:val="0"/>
      <w:marTop w:val="0"/>
      <w:marBottom w:val="0"/>
      <w:divBdr>
        <w:top w:val="none" w:sz="0" w:space="0" w:color="auto"/>
        <w:left w:val="none" w:sz="0" w:space="0" w:color="auto"/>
        <w:bottom w:val="none" w:sz="0" w:space="0" w:color="auto"/>
        <w:right w:val="none" w:sz="0" w:space="0" w:color="auto"/>
      </w:divBdr>
    </w:div>
    <w:div w:id="903371886">
      <w:bodyDiv w:val="1"/>
      <w:marLeft w:val="0"/>
      <w:marRight w:val="0"/>
      <w:marTop w:val="0"/>
      <w:marBottom w:val="0"/>
      <w:divBdr>
        <w:top w:val="none" w:sz="0" w:space="0" w:color="auto"/>
        <w:left w:val="none" w:sz="0" w:space="0" w:color="auto"/>
        <w:bottom w:val="none" w:sz="0" w:space="0" w:color="auto"/>
        <w:right w:val="none" w:sz="0" w:space="0" w:color="auto"/>
      </w:divBdr>
    </w:div>
    <w:div w:id="906232443">
      <w:bodyDiv w:val="1"/>
      <w:marLeft w:val="0"/>
      <w:marRight w:val="0"/>
      <w:marTop w:val="0"/>
      <w:marBottom w:val="0"/>
      <w:divBdr>
        <w:top w:val="none" w:sz="0" w:space="0" w:color="auto"/>
        <w:left w:val="none" w:sz="0" w:space="0" w:color="auto"/>
        <w:bottom w:val="none" w:sz="0" w:space="0" w:color="auto"/>
        <w:right w:val="none" w:sz="0" w:space="0" w:color="auto"/>
      </w:divBdr>
    </w:div>
    <w:div w:id="961619022">
      <w:bodyDiv w:val="1"/>
      <w:marLeft w:val="0"/>
      <w:marRight w:val="0"/>
      <w:marTop w:val="0"/>
      <w:marBottom w:val="0"/>
      <w:divBdr>
        <w:top w:val="none" w:sz="0" w:space="0" w:color="auto"/>
        <w:left w:val="none" w:sz="0" w:space="0" w:color="auto"/>
        <w:bottom w:val="none" w:sz="0" w:space="0" w:color="auto"/>
        <w:right w:val="none" w:sz="0" w:space="0" w:color="auto"/>
      </w:divBdr>
    </w:div>
    <w:div w:id="963385637">
      <w:bodyDiv w:val="1"/>
      <w:marLeft w:val="0"/>
      <w:marRight w:val="0"/>
      <w:marTop w:val="0"/>
      <w:marBottom w:val="0"/>
      <w:divBdr>
        <w:top w:val="none" w:sz="0" w:space="0" w:color="auto"/>
        <w:left w:val="none" w:sz="0" w:space="0" w:color="auto"/>
        <w:bottom w:val="none" w:sz="0" w:space="0" w:color="auto"/>
        <w:right w:val="none" w:sz="0" w:space="0" w:color="auto"/>
      </w:divBdr>
    </w:div>
    <w:div w:id="1005785653">
      <w:bodyDiv w:val="1"/>
      <w:marLeft w:val="0"/>
      <w:marRight w:val="0"/>
      <w:marTop w:val="0"/>
      <w:marBottom w:val="0"/>
      <w:divBdr>
        <w:top w:val="none" w:sz="0" w:space="0" w:color="auto"/>
        <w:left w:val="none" w:sz="0" w:space="0" w:color="auto"/>
        <w:bottom w:val="none" w:sz="0" w:space="0" w:color="auto"/>
        <w:right w:val="none" w:sz="0" w:space="0" w:color="auto"/>
      </w:divBdr>
      <w:divsChild>
        <w:div w:id="1858154878">
          <w:marLeft w:val="360"/>
          <w:marRight w:val="0"/>
          <w:marTop w:val="160"/>
          <w:marBottom w:val="120"/>
          <w:divBdr>
            <w:top w:val="none" w:sz="0" w:space="0" w:color="auto"/>
            <w:left w:val="none" w:sz="0" w:space="0" w:color="auto"/>
            <w:bottom w:val="none" w:sz="0" w:space="0" w:color="auto"/>
            <w:right w:val="none" w:sz="0" w:space="0" w:color="auto"/>
          </w:divBdr>
        </w:div>
        <w:div w:id="1719671134">
          <w:marLeft w:val="360"/>
          <w:marRight w:val="0"/>
          <w:marTop w:val="160"/>
          <w:marBottom w:val="120"/>
          <w:divBdr>
            <w:top w:val="none" w:sz="0" w:space="0" w:color="auto"/>
            <w:left w:val="none" w:sz="0" w:space="0" w:color="auto"/>
            <w:bottom w:val="none" w:sz="0" w:space="0" w:color="auto"/>
            <w:right w:val="none" w:sz="0" w:space="0" w:color="auto"/>
          </w:divBdr>
        </w:div>
      </w:divsChild>
    </w:div>
    <w:div w:id="1020200863">
      <w:bodyDiv w:val="1"/>
      <w:marLeft w:val="0"/>
      <w:marRight w:val="0"/>
      <w:marTop w:val="0"/>
      <w:marBottom w:val="0"/>
      <w:divBdr>
        <w:top w:val="none" w:sz="0" w:space="0" w:color="auto"/>
        <w:left w:val="none" w:sz="0" w:space="0" w:color="auto"/>
        <w:bottom w:val="none" w:sz="0" w:space="0" w:color="auto"/>
        <w:right w:val="none" w:sz="0" w:space="0" w:color="auto"/>
      </w:divBdr>
    </w:div>
    <w:div w:id="1022515692">
      <w:bodyDiv w:val="1"/>
      <w:marLeft w:val="0"/>
      <w:marRight w:val="0"/>
      <w:marTop w:val="0"/>
      <w:marBottom w:val="0"/>
      <w:divBdr>
        <w:top w:val="none" w:sz="0" w:space="0" w:color="auto"/>
        <w:left w:val="none" w:sz="0" w:space="0" w:color="auto"/>
        <w:bottom w:val="none" w:sz="0" w:space="0" w:color="auto"/>
        <w:right w:val="none" w:sz="0" w:space="0" w:color="auto"/>
      </w:divBdr>
    </w:div>
    <w:div w:id="1024944863">
      <w:bodyDiv w:val="1"/>
      <w:marLeft w:val="0"/>
      <w:marRight w:val="0"/>
      <w:marTop w:val="0"/>
      <w:marBottom w:val="0"/>
      <w:divBdr>
        <w:top w:val="none" w:sz="0" w:space="0" w:color="auto"/>
        <w:left w:val="none" w:sz="0" w:space="0" w:color="auto"/>
        <w:bottom w:val="none" w:sz="0" w:space="0" w:color="auto"/>
        <w:right w:val="none" w:sz="0" w:space="0" w:color="auto"/>
      </w:divBdr>
    </w:div>
    <w:div w:id="1039816150">
      <w:bodyDiv w:val="1"/>
      <w:marLeft w:val="0"/>
      <w:marRight w:val="0"/>
      <w:marTop w:val="0"/>
      <w:marBottom w:val="0"/>
      <w:divBdr>
        <w:top w:val="none" w:sz="0" w:space="0" w:color="auto"/>
        <w:left w:val="none" w:sz="0" w:space="0" w:color="auto"/>
        <w:bottom w:val="none" w:sz="0" w:space="0" w:color="auto"/>
        <w:right w:val="none" w:sz="0" w:space="0" w:color="auto"/>
      </w:divBdr>
    </w:div>
    <w:div w:id="1060399494">
      <w:bodyDiv w:val="1"/>
      <w:marLeft w:val="0"/>
      <w:marRight w:val="0"/>
      <w:marTop w:val="0"/>
      <w:marBottom w:val="0"/>
      <w:divBdr>
        <w:top w:val="none" w:sz="0" w:space="0" w:color="auto"/>
        <w:left w:val="none" w:sz="0" w:space="0" w:color="auto"/>
        <w:bottom w:val="none" w:sz="0" w:space="0" w:color="auto"/>
        <w:right w:val="none" w:sz="0" w:space="0" w:color="auto"/>
      </w:divBdr>
    </w:div>
    <w:div w:id="1070077278">
      <w:bodyDiv w:val="1"/>
      <w:marLeft w:val="0"/>
      <w:marRight w:val="0"/>
      <w:marTop w:val="0"/>
      <w:marBottom w:val="0"/>
      <w:divBdr>
        <w:top w:val="none" w:sz="0" w:space="0" w:color="auto"/>
        <w:left w:val="none" w:sz="0" w:space="0" w:color="auto"/>
        <w:bottom w:val="none" w:sz="0" w:space="0" w:color="auto"/>
        <w:right w:val="none" w:sz="0" w:space="0" w:color="auto"/>
      </w:divBdr>
      <w:divsChild>
        <w:div w:id="363098901">
          <w:marLeft w:val="274"/>
          <w:marRight w:val="0"/>
          <w:marTop w:val="160"/>
          <w:marBottom w:val="120"/>
          <w:divBdr>
            <w:top w:val="none" w:sz="0" w:space="0" w:color="auto"/>
            <w:left w:val="none" w:sz="0" w:space="0" w:color="auto"/>
            <w:bottom w:val="none" w:sz="0" w:space="0" w:color="auto"/>
            <w:right w:val="none" w:sz="0" w:space="0" w:color="auto"/>
          </w:divBdr>
        </w:div>
        <w:div w:id="1061367388">
          <w:marLeft w:val="274"/>
          <w:marRight w:val="0"/>
          <w:marTop w:val="160"/>
          <w:marBottom w:val="120"/>
          <w:divBdr>
            <w:top w:val="none" w:sz="0" w:space="0" w:color="auto"/>
            <w:left w:val="none" w:sz="0" w:space="0" w:color="auto"/>
            <w:bottom w:val="none" w:sz="0" w:space="0" w:color="auto"/>
            <w:right w:val="none" w:sz="0" w:space="0" w:color="auto"/>
          </w:divBdr>
        </w:div>
        <w:div w:id="2025814790">
          <w:marLeft w:val="274"/>
          <w:marRight w:val="0"/>
          <w:marTop w:val="160"/>
          <w:marBottom w:val="120"/>
          <w:divBdr>
            <w:top w:val="none" w:sz="0" w:space="0" w:color="auto"/>
            <w:left w:val="none" w:sz="0" w:space="0" w:color="auto"/>
            <w:bottom w:val="none" w:sz="0" w:space="0" w:color="auto"/>
            <w:right w:val="none" w:sz="0" w:space="0" w:color="auto"/>
          </w:divBdr>
        </w:div>
        <w:div w:id="81924630">
          <w:marLeft w:val="562"/>
          <w:marRight w:val="0"/>
          <w:marTop w:val="160"/>
          <w:marBottom w:val="120"/>
          <w:divBdr>
            <w:top w:val="none" w:sz="0" w:space="0" w:color="auto"/>
            <w:left w:val="none" w:sz="0" w:space="0" w:color="auto"/>
            <w:bottom w:val="none" w:sz="0" w:space="0" w:color="auto"/>
            <w:right w:val="none" w:sz="0" w:space="0" w:color="auto"/>
          </w:divBdr>
        </w:div>
        <w:div w:id="1970427384">
          <w:marLeft w:val="562"/>
          <w:marRight w:val="0"/>
          <w:marTop w:val="160"/>
          <w:marBottom w:val="120"/>
          <w:divBdr>
            <w:top w:val="none" w:sz="0" w:space="0" w:color="auto"/>
            <w:left w:val="none" w:sz="0" w:space="0" w:color="auto"/>
            <w:bottom w:val="none" w:sz="0" w:space="0" w:color="auto"/>
            <w:right w:val="none" w:sz="0" w:space="0" w:color="auto"/>
          </w:divBdr>
        </w:div>
        <w:div w:id="1810778665">
          <w:marLeft w:val="274"/>
          <w:marRight w:val="0"/>
          <w:marTop w:val="160"/>
          <w:marBottom w:val="120"/>
          <w:divBdr>
            <w:top w:val="none" w:sz="0" w:space="0" w:color="auto"/>
            <w:left w:val="none" w:sz="0" w:space="0" w:color="auto"/>
            <w:bottom w:val="none" w:sz="0" w:space="0" w:color="auto"/>
            <w:right w:val="none" w:sz="0" w:space="0" w:color="auto"/>
          </w:divBdr>
        </w:div>
        <w:div w:id="1319455984">
          <w:marLeft w:val="274"/>
          <w:marRight w:val="0"/>
          <w:marTop w:val="160"/>
          <w:marBottom w:val="120"/>
          <w:divBdr>
            <w:top w:val="none" w:sz="0" w:space="0" w:color="auto"/>
            <w:left w:val="none" w:sz="0" w:space="0" w:color="auto"/>
            <w:bottom w:val="none" w:sz="0" w:space="0" w:color="auto"/>
            <w:right w:val="none" w:sz="0" w:space="0" w:color="auto"/>
          </w:divBdr>
        </w:div>
      </w:divsChild>
    </w:div>
    <w:div w:id="1072118641">
      <w:bodyDiv w:val="1"/>
      <w:marLeft w:val="0"/>
      <w:marRight w:val="0"/>
      <w:marTop w:val="0"/>
      <w:marBottom w:val="0"/>
      <w:divBdr>
        <w:top w:val="none" w:sz="0" w:space="0" w:color="auto"/>
        <w:left w:val="none" w:sz="0" w:space="0" w:color="auto"/>
        <w:bottom w:val="none" w:sz="0" w:space="0" w:color="auto"/>
        <w:right w:val="none" w:sz="0" w:space="0" w:color="auto"/>
      </w:divBdr>
    </w:div>
    <w:div w:id="1087340356">
      <w:bodyDiv w:val="1"/>
      <w:marLeft w:val="0"/>
      <w:marRight w:val="0"/>
      <w:marTop w:val="0"/>
      <w:marBottom w:val="0"/>
      <w:divBdr>
        <w:top w:val="none" w:sz="0" w:space="0" w:color="auto"/>
        <w:left w:val="none" w:sz="0" w:space="0" w:color="auto"/>
        <w:bottom w:val="none" w:sz="0" w:space="0" w:color="auto"/>
        <w:right w:val="none" w:sz="0" w:space="0" w:color="auto"/>
      </w:divBdr>
    </w:div>
    <w:div w:id="1098865390">
      <w:bodyDiv w:val="1"/>
      <w:marLeft w:val="0"/>
      <w:marRight w:val="0"/>
      <w:marTop w:val="0"/>
      <w:marBottom w:val="0"/>
      <w:divBdr>
        <w:top w:val="none" w:sz="0" w:space="0" w:color="auto"/>
        <w:left w:val="none" w:sz="0" w:space="0" w:color="auto"/>
        <w:bottom w:val="none" w:sz="0" w:space="0" w:color="auto"/>
        <w:right w:val="none" w:sz="0" w:space="0" w:color="auto"/>
      </w:divBdr>
    </w:div>
    <w:div w:id="1183126295">
      <w:bodyDiv w:val="1"/>
      <w:marLeft w:val="0"/>
      <w:marRight w:val="0"/>
      <w:marTop w:val="0"/>
      <w:marBottom w:val="0"/>
      <w:divBdr>
        <w:top w:val="none" w:sz="0" w:space="0" w:color="auto"/>
        <w:left w:val="none" w:sz="0" w:space="0" w:color="auto"/>
        <w:bottom w:val="none" w:sz="0" w:space="0" w:color="auto"/>
        <w:right w:val="none" w:sz="0" w:space="0" w:color="auto"/>
      </w:divBdr>
    </w:div>
    <w:div w:id="1190073415">
      <w:bodyDiv w:val="1"/>
      <w:marLeft w:val="0"/>
      <w:marRight w:val="0"/>
      <w:marTop w:val="0"/>
      <w:marBottom w:val="0"/>
      <w:divBdr>
        <w:top w:val="none" w:sz="0" w:space="0" w:color="auto"/>
        <w:left w:val="none" w:sz="0" w:space="0" w:color="auto"/>
        <w:bottom w:val="none" w:sz="0" w:space="0" w:color="auto"/>
        <w:right w:val="none" w:sz="0" w:space="0" w:color="auto"/>
      </w:divBdr>
    </w:div>
    <w:div w:id="1196583675">
      <w:bodyDiv w:val="1"/>
      <w:marLeft w:val="0"/>
      <w:marRight w:val="0"/>
      <w:marTop w:val="0"/>
      <w:marBottom w:val="0"/>
      <w:divBdr>
        <w:top w:val="none" w:sz="0" w:space="0" w:color="auto"/>
        <w:left w:val="none" w:sz="0" w:space="0" w:color="auto"/>
        <w:bottom w:val="none" w:sz="0" w:space="0" w:color="auto"/>
        <w:right w:val="none" w:sz="0" w:space="0" w:color="auto"/>
      </w:divBdr>
    </w:div>
    <w:div w:id="1240099086">
      <w:bodyDiv w:val="1"/>
      <w:marLeft w:val="0"/>
      <w:marRight w:val="0"/>
      <w:marTop w:val="0"/>
      <w:marBottom w:val="0"/>
      <w:divBdr>
        <w:top w:val="none" w:sz="0" w:space="0" w:color="auto"/>
        <w:left w:val="none" w:sz="0" w:space="0" w:color="auto"/>
        <w:bottom w:val="none" w:sz="0" w:space="0" w:color="auto"/>
        <w:right w:val="none" w:sz="0" w:space="0" w:color="auto"/>
      </w:divBdr>
    </w:div>
    <w:div w:id="1266695921">
      <w:bodyDiv w:val="1"/>
      <w:marLeft w:val="0"/>
      <w:marRight w:val="0"/>
      <w:marTop w:val="0"/>
      <w:marBottom w:val="0"/>
      <w:divBdr>
        <w:top w:val="none" w:sz="0" w:space="0" w:color="auto"/>
        <w:left w:val="none" w:sz="0" w:space="0" w:color="auto"/>
        <w:bottom w:val="none" w:sz="0" w:space="0" w:color="auto"/>
        <w:right w:val="none" w:sz="0" w:space="0" w:color="auto"/>
      </w:divBdr>
    </w:div>
    <w:div w:id="1299258569">
      <w:bodyDiv w:val="1"/>
      <w:marLeft w:val="0"/>
      <w:marRight w:val="0"/>
      <w:marTop w:val="0"/>
      <w:marBottom w:val="0"/>
      <w:divBdr>
        <w:top w:val="none" w:sz="0" w:space="0" w:color="auto"/>
        <w:left w:val="none" w:sz="0" w:space="0" w:color="auto"/>
        <w:bottom w:val="none" w:sz="0" w:space="0" w:color="auto"/>
        <w:right w:val="none" w:sz="0" w:space="0" w:color="auto"/>
      </w:divBdr>
    </w:div>
    <w:div w:id="1314607093">
      <w:bodyDiv w:val="1"/>
      <w:marLeft w:val="0"/>
      <w:marRight w:val="0"/>
      <w:marTop w:val="0"/>
      <w:marBottom w:val="0"/>
      <w:divBdr>
        <w:top w:val="none" w:sz="0" w:space="0" w:color="auto"/>
        <w:left w:val="none" w:sz="0" w:space="0" w:color="auto"/>
        <w:bottom w:val="none" w:sz="0" w:space="0" w:color="auto"/>
        <w:right w:val="none" w:sz="0" w:space="0" w:color="auto"/>
      </w:divBdr>
    </w:div>
    <w:div w:id="1320815482">
      <w:bodyDiv w:val="1"/>
      <w:marLeft w:val="0"/>
      <w:marRight w:val="0"/>
      <w:marTop w:val="0"/>
      <w:marBottom w:val="0"/>
      <w:divBdr>
        <w:top w:val="none" w:sz="0" w:space="0" w:color="auto"/>
        <w:left w:val="none" w:sz="0" w:space="0" w:color="auto"/>
        <w:bottom w:val="none" w:sz="0" w:space="0" w:color="auto"/>
        <w:right w:val="none" w:sz="0" w:space="0" w:color="auto"/>
      </w:divBdr>
      <w:divsChild>
        <w:div w:id="1520970342">
          <w:marLeft w:val="547"/>
          <w:marRight w:val="0"/>
          <w:marTop w:val="0"/>
          <w:marBottom w:val="0"/>
          <w:divBdr>
            <w:top w:val="none" w:sz="0" w:space="0" w:color="auto"/>
            <w:left w:val="none" w:sz="0" w:space="0" w:color="auto"/>
            <w:bottom w:val="none" w:sz="0" w:space="0" w:color="auto"/>
            <w:right w:val="none" w:sz="0" w:space="0" w:color="auto"/>
          </w:divBdr>
        </w:div>
        <w:div w:id="147289049">
          <w:marLeft w:val="547"/>
          <w:marRight w:val="0"/>
          <w:marTop w:val="0"/>
          <w:marBottom w:val="0"/>
          <w:divBdr>
            <w:top w:val="none" w:sz="0" w:space="0" w:color="auto"/>
            <w:left w:val="none" w:sz="0" w:space="0" w:color="auto"/>
            <w:bottom w:val="none" w:sz="0" w:space="0" w:color="auto"/>
            <w:right w:val="none" w:sz="0" w:space="0" w:color="auto"/>
          </w:divBdr>
        </w:div>
        <w:div w:id="128282929">
          <w:marLeft w:val="547"/>
          <w:marRight w:val="0"/>
          <w:marTop w:val="0"/>
          <w:marBottom w:val="0"/>
          <w:divBdr>
            <w:top w:val="none" w:sz="0" w:space="0" w:color="auto"/>
            <w:left w:val="none" w:sz="0" w:space="0" w:color="auto"/>
            <w:bottom w:val="none" w:sz="0" w:space="0" w:color="auto"/>
            <w:right w:val="none" w:sz="0" w:space="0" w:color="auto"/>
          </w:divBdr>
        </w:div>
        <w:div w:id="346950975">
          <w:marLeft w:val="1166"/>
          <w:marRight w:val="0"/>
          <w:marTop w:val="0"/>
          <w:marBottom w:val="0"/>
          <w:divBdr>
            <w:top w:val="none" w:sz="0" w:space="0" w:color="auto"/>
            <w:left w:val="none" w:sz="0" w:space="0" w:color="auto"/>
            <w:bottom w:val="none" w:sz="0" w:space="0" w:color="auto"/>
            <w:right w:val="none" w:sz="0" w:space="0" w:color="auto"/>
          </w:divBdr>
        </w:div>
        <w:div w:id="1568225503">
          <w:marLeft w:val="1166"/>
          <w:marRight w:val="0"/>
          <w:marTop w:val="0"/>
          <w:marBottom w:val="0"/>
          <w:divBdr>
            <w:top w:val="none" w:sz="0" w:space="0" w:color="auto"/>
            <w:left w:val="none" w:sz="0" w:space="0" w:color="auto"/>
            <w:bottom w:val="none" w:sz="0" w:space="0" w:color="auto"/>
            <w:right w:val="none" w:sz="0" w:space="0" w:color="auto"/>
          </w:divBdr>
        </w:div>
        <w:div w:id="1414666689">
          <w:marLeft w:val="547"/>
          <w:marRight w:val="0"/>
          <w:marTop w:val="0"/>
          <w:marBottom w:val="0"/>
          <w:divBdr>
            <w:top w:val="none" w:sz="0" w:space="0" w:color="auto"/>
            <w:left w:val="none" w:sz="0" w:space="0" w:color="auto"/>
            <w:bottom w:val="none" w:sz="0" w:space="0" w:color="auto"/>
            <w:right w:val="none" w:sz="0" w:space="0" w:color="auto"/>
          </w:divBdr>
        </w:div>
        <w:div w:id="165555745">
          <w:marLeft w:val="547"/>
          <w:marRight w:val="0"/>
          <w:marTop w:val="0"/>
          <w:marBottom w:val="0"/>
          <w:divBdr>
            <w:top w:val="none" w:sz="0" w:space="0" w:color="auto"/>
            <w:left w:val="none" w:sz="0" w:space="0" w:color="auto"/>
            <w:bottom w:val="none" w:sz="0" w:space="0" w:color="auto"/>
            <w:right w:val="none" w:sz="0" w:space="0" w:color="auto"/>
          </w:divBdr>
        </w:div>
      </w:divsChild>
    </w:div>
    <w:div w:id="1322931408">
      <w:bodyDiv w:val="1"/>
      <w:marLeft w:val="0"/>
      <w:marRight w:val="0"/>
      <w:marTop w:val="0"/>
      <w:marBottom w:val="0"/>
      <w:divBdr>
        <w:top w:val="none" w:sz="0" w:space="0" w:color="auto"/>
        <w:left w:val="none" w:sz="0" w:space="0" w:color="auto"/>
        <w:bottom w:val="none" w:sz="0" w:space="0" w:color="auto"/>
        <w:right w:val="none" w:sz="0" w:space="0" w:color="auto"/>
      </w:divBdr>
    </w:div>
    <w:div w:id="1371144866">
      <w:bodyDiv w:val="1"/>
      <w:marLeft w:val="0"/>
      <w:marRight w:val="0"/>
      <w:marTop w:val="0"/>
      <w:marBottom w:val="0"/>
      <w:divBdr>
        <w:top w:val="none" w:sz="0" w:space="0" w:color="auto"/>
        <w:left w:val="none" w:sz="0" w:space="0" w:color="auto"/>
        <w:bottom w:val="none" w:sz="0" w:space="0" w:color="auto"/>
        <w:right w:val="none" w:sz="0" w:space="0" w:color="auto"/>
      </w:divBdr>
    </w:div>
    <w:div w:id="1373073036">
      <w:bodyDiv w:val="1"/>
      <w:marLeft w:val="0"/>
      <w:marRight w:val="0"/>
      <w:marTop w:val="0"/>
      <w:marBottom w:val="0"/>
      <w:divBdr>
        <w:top w:val="none" w:sz="0" w:space="0" w:color="auto"/>
        <w:left w:val="none" w:sz="0" w:space="0" w:color="auto"/>
        <w:bottom w:val="none" w:sz="0" w:space="0" w:color="auto"/>
        <w:right w:val="none" w:sz="0" w:space="0" w:color="auto"/>
      </w:divBdr>
    </w:div>
    <w:div w:id="1386903986">
      <w:bodyDiv w:val="1"/>
      <w:marLeft w:val="0"/>
      <w:marRight w:val="0"/>
      <w:marTop w:val="0"/>
      <w:marBottom w:val="0"/>
      <w:divBdr>
        <w:top w:val="none" w:sz="0" w:space="0" w:color="auto"/>
        <w:left w:val="none" w:sz="0" w:space="0" w:color="auto"/>
        <w:bottom w:val="none" w:sz="0" w:space="0" w:color="auto"/>
        <w:right w:val="none" w:sz="0" w:space="0" w:color="auto"/>
      </w:divBdr>
    </w:div>
    <w:div w:id="1391424569">
      <w:bodyDiv w:val="1"/>
      <w:marLeft w:val="0"/>
      <w:marRight w:val="0"/>
      <w:marTop w:val="0"/>
      <w:marBottom w:val="0"/>
      <w:divBdr>
        <w:top w:val="none" w:sz="0" w:space="0" w:color="auto"/>
        <w:left w:val="none" w:sz="0" w:space="0" w:color="auto"/>
        <w:bottom w:val="none" w:sz="0" w:space="0" w:color="auto"/>
        <w:right w:val="none" w:sz="0" w:space="0" w:color="auto"/>
      </w:divBdr>
    </w:div>
    <w:div w:id="1405571004">
      <w:bodyDiv w:val="1"/>
      <w:marLeft w:val="0"/>
      <w:marRight w:val="0"/>
      <w:marTop w:val="0"/>
      <w:marBottom w:val="0"/>
      <w:divBdr>
        <w:top w:val="none" w:sz="0" w:space="0" w:color="auto"/>
        <w:left w:val="none" w:sz="0" w:space="0" w:color="auto"/>
        <w:bottom w:val="none" w:sz="0" w:space="0" w:color="auto"/>
        <w:right w:val="none" w:sz="0" w:space="0" w:color="auto"/>
      </w:divBdr>
    </w:div>
    <w:div w:id="1410957064">
      <w:bodyDiv w:val="1"/>
      <w:marLeft w:val="0"/>
      <w:marRight w:val="0"/>
      <w:marTop w:val="0"/>
      <w:marBottom w:val="0"/>
      <w:divBdr>
        <w:top w:val="none" w:sz="0" w:space="0" w:color="auto"/>
        <w:left w:val="none" w:sz="0" w:space="0" w:color="auto"/>
        <w:bottom w:val="none" w:sz="0" w:space="0" w:color="auto"/>
        <w:right w:val="none" w:sz="0" w:space="0" w:color="auto"/>
      </w:divBdr>
    </w:div>
    <w:div w:id="1425614850">
      <w:bodyDiv w:val="1"/>
      <w:marLeft w:val="0"/>
      <w:marRight w:val="0"/>
      <w:marTop w:val="0"/>
      <w:marBottom w:val="0"/>
      <w:divBdr>
        <w:top w:val="none" w:sz="0" w:space="0" w:color="auto"/>
        <w:left w:val="none" w:sz="0" w:space="0" w:color="auto"/>
        <w:bottom w:val="none" w:sz="0" w:space="0" w:color="auto"/>
        <w:right w:val="none" w:sz="0" w:space="0" w:color="auto"/>
      </w:divBdr>
    </w:div>
    <w:div w:id="1465808382">
      <w:bodyDiv w:val="1"/>
      <w:marLeft w:val="0"/>
      <w:marRight w:val="0"/>
      <w:marTop w:val="0"/>
      <w:marBottom w:val="0"/>
      <w:divBdr>
        <w:top w:val="none" w:sz="0" w:space="0" w:color="auto"/>
        <w:left w:val="none" w:sz="0" w:space="0" w:color="auto"/>
        <w:bottom w:val="none" w:sz="0" w:space="0" w:color="auto"/>
        <w:right w:val="none" w:sz="0" w:space="0" w:color="auto"/>
      </w:divBdr>
    </w:div>
    <w:div w:id="1497764385">
      <w:bodyDiv w:val="1"/>
      <w:marLeft w:val="0"/>
      <w:marRight w:val="0"/>
      <w:marTop w:val="0"/>
      <w:marBottom w:val="0"/>
      <w:divBdr>
        <w:top w:val="none" w:sz="0" w:space="0" w:color="auto"/>
        <w:left w:val="none" w:sz="0" w:space="0" w:color="auto"/>
        <w:bottom w:val="none" w:sz="0" w:space="0" w:color="auto"/>
        <w:right w:val="none" w:sz="0" w:space="0" w:color="auto"/>
      </w:divBdr>
    </w:div>
    <w:div w:id="1532717443">
      <w:bodyDiv w:val="1"/>
      <w:marLeft w:val="0"/>
      <w:marRight w:val="0"/>
      <w:marTop w:val="0"/>
      <w:marBottom w:val="0"/>
      <w:divBdr>
        <w:top w:val="none" w:sz="0" w:space="0" w:color="auto"/>
        <w:left w:val="none" w:sz="0" w:space="0" w:color="auto"/>
        <w:bottom w:val="none" w:sz="0" w:space="0" w:color="auto"/>
        <w:right w:val="none" w:sz="0" w:space="0" w:color="auto"/>
      </w:divBdr>
    </w:div>
    <w:div w:id="1567955344">
      <w:bodyDiv w:val="1"/>
      <w:marLeft w:val="0"/>
      <w:marRight w:val="0"/>
      <w:marTop w:val="0"/>
      <w:marBottom w:val="0"/>
      <w:divBdr>
        <w:top w:val="none" w:sz="0" w:space="0" w:color="auto"/>
        <w:left w:val="none" w:sz="0" w:space="0" w:color="auto"/>
        <w:bottom w:val="none" w:sz="0" w:space="0" w:color="auto"/>
        <w:right w:val="none" w:sz="0" w:space="0" w:color="auto"/>
      </w:divBdr>
      <w:divsChild>
        <w:div w:id="1766225496">
          <w:marLeft w:val="274"/>
          <w:marRight w:val="0"/>
          <w:marTop w:val="160"/>
          <w:marBottom w:val="120"/>
          <w:divBdr>
            <w:top w:val="none" w:sz="0" w:space="0" w:color="auto"/>
            <w:left w:val="none" w:sz="0" w:space="0" w:color="auto"/>
            <w:bottom w:val="none" w:sz="0" w:space="0" w:color="auto"/>
            <w:right w:val="none" w:sz="0" w:space="0" w:color="auto"/>
          </w:divBdr>
        </w:div>
        <w:div w:id="470296410">
          <w:marLeft w:val="562"/>
          <w:marRight w:val="0"/>
          <w:marTop w:val="160"/>
          <w:marBottom w:val="120"/>
          <w:divBdr>
            <w:top w:val="none" w:sz="0" w:space="0" w:color="auto"/>
            <w:left w:val="none" w:sz="0" w:space="0" w:color="auto"/>
            <w:bottom w:val="none" w:sz="0" w:space="0" w:color="auto"/>
            <w:right w:val="none" w:sz="0" w:space="0" w:color="auto"/>
          </w:divBdr>
        </w:div>
        <w:div w:id="780800337">
          <w:marLeft w:val="562"/>
          <w:marRight w:val="0"/>
          <w:marTop w:val="160"/>
          <w:marBottom w:val="120"/>
          <w:divBdr>
            <w:top w:val="none" w:sz="0" w:space="0" w:color="auto"/>
            <w:left w:val="none" w:sz="0" w:space="0" w:color="auto"/>
            <w:bottom w:val="none" w:sz="0" w:space="0" w:color="auto"/>
            <w:right w:val="none" w:sz="0" w:space="0" w:color="auto"/>
          </w:divBdr>
        </w:div>
      </w:divsChild>
    </w:div>
    <w:div w:id="1579706220">
      <w:bodyDiv w:val="1"/>
      <w:marLeft w:val="0"/>
      <w:marRight w:val="0"/>
      <w:marTop w:val="0"/>
      <w:marBottom w:val="0"/>
      <w:divBdr>
        <w:top w:val="none" w:sz="0" w:space="0" w:color="auto"/>
        <w:left w:val="none" w:sz="0" w:space="0" w:color="auto"/>
        <w:bottom w:val="none" w:sz="0" w:space="0" w:color="auto"/>
        <w:right w:val="none" w:sz="0" w:space="0" w:color="auto"/>
      </w:divBdr>
    </w:div>
    <w:div w:id="1610310705">
      <w:bodyDiv w:val="1"/>
      <w:marLeft w:val="0"/>
      <w:marRight w:val="0"/>
      <w:marTop w:val="0"/>
      <w:marBottom w:val="0"/>
      <w:divBdr>
        <w:top w:val="none" w:sz="0" w:space="0" w:color="auto"/>
        <w:left w:val="none" w:sz="0" w:space="0" w:color="auto"/>
        <w:bottom w:val="none" w:sz="0" w:space="0" w:color="auto"/>
        <w:right w:val="none" w:sz="0" w:space="0" w:color="auto"/>
      </w:divBdr>
    </w:div>
    <w:div w:id="1666858840">
      <w:bodyDiv w:val="1"/>
      <w:marLeft w:val="0"/>
      <w:marRight w:val="0"/>
      <w:marTop w:val="0"/>
      <w:marBottom w:val="0"/>
      <w:divBdr>
        <w:top w:val="none" w:sz="0" w:space="0" w:color="auto"/>
        <w:left w:val="none" w:sz="0" w:space="0" w:color="auto"/>
        <w:bottom w:val="none" w:sz="0" w:space="0" w:color="auto"/>
        <w:right w:val="none" w:sz="0" w:space="0" w:color="auto"/>
      </w:divBdr>
      <w:divsChild>
        <w:div w:id="41289249">
          <w:marLeft w:val="274"/>
          <w:marRight w:val="0"/>
          <w:marTop w:val="0"/>
          <w:marBottom w:val="120"/>
          <w:divBdr>
            <w:top w:val="none" w:sz="0" w:space="0" w:color="auto"/>
            <w:left w:val="none" w:sz="0" w:space="0" w:color="auto"/>
            <w:bottom w:val="none" w:sz="0" w:space="0" w:color="auto"/>
            <w:right w:val="none" w:sz="0" w:space="0" w:color="auto"/>
          </w:divBdr>
        </w:div>
        <w:div w:id="1700663099">
          <w:marLeft w:val="274"/>
          <w:marRight w:val="0"/>
          <w:marTop w:val="0"/>
          <w:marBottom w:val="120"/>
          <w:divBdr>
            <w:top w:val="none" w:sz="0" w:space="0" w:color="auto"/>
            <w:left w:val="none" w:sz="0" w:space="0" w:color="auto"/>
            <w:bottom w:val="none" w:sz="0" w:space="0" w:color="auto"/>
            <w:right w:val="none" w:sz="0" w:space="0" w:color="auto"/>
          </w:divBdr>
        </w:div>
        <w:div w:id="360713379">
          <w:marLeft w:val="274"/>
          <w:marRight w:val="0"/>
          <w:marTop w:val="0"/>
          <w:marBottom w:val="120"/>
          <w:divBdr>
            <w:top w:val="none" w:sz="0" w:space="0" w:color="auto"/>
            <w:left w:val="none" w:sz="0" w:space="0" w:color="auto"/>
            <w:bottom w:val="none" w:sz="0" w:space="0" w:color="auto"/>
            <w:right w:val="none" w:sz="0" w:space="0" w:color="auto"/>
          </w:divBdr>
        </w:div>
        <w:div w:id="522519785">
          <w:marLeft w:val="274"/>
          <w:marRight w:val="0"/>
          <w:marTop w:val="0"/>
          <w:marBottom w:val="120"/>
          <w:divBdr>
            <w:top w:val="none" w:sz="0" w:space="0" w:color="auto"/>
            <w:left w:val="none" w:sz="0" w:space="0" w:color="auto"/>
            <w:bottom w:val="none" w:sz="0" w:space="0" w:color="auto"/>
            <w:right w:val="none" w:sz="0" w:space="0" w:color="auto"/>
          </w:divBdr>
        </w:div>
        <w:div w:id="2119331370">
          <w:marLeft w:val="274"/>
          <w:marRight w:val="0"/>
          <w:marTop w:val="0"/>
          <w:marBottom w:val="120"/>
          <w:divBdr>
            <w:top w:val="none" w:sz="0" w:space="0" w:color="auto"/>
            <w:left w:val="none" w:sz="0" w:space="0" w:color="auto"/>
            <w:bottom w:val="none" w:sz="0" w:space="0" w:color="auto"/>
            <w:right w:val="none" w:sz="0" w:space="0" w:color="auto"/>
          </w:divBdr>
        </w:div>
      </w:divsChild>
    </w:div>
    <w:div w:id="1701586604">
      <w:bodyDiv w:val="1"/>
      <w:marLeft w:val="0"/>
      <w:marRight w:val="0"/>
      <w:marTop w:val="0"/>
      <w:marBottom w:val="0"/>
      <w:divBdr>
        <w:top w:val="none" w:sz="0" w:space="0" w:color="auto"/>
        <w:left w:val="none" w:sz="0" w:space="0" w:color="auto"/>
        <w:bottom w:val="none" w:sz="0" w:space="0" w:color="auto"/>
        <w:right w:val="none" w:sz="0" w:space="0" w:color="auto"/>
      </w:divBdr>
    </w:div>
    <w:div w:id="1715882184">
      <w:bodyDiv w:val="1"/>
      <w:marLeft w:val="0"/>
      <w:marRight w:val="0"/>
      <w:marTop w:val="0"/>
      <w:marBottom w:val="0"/>
      <w:divBdr>
        <w:top w:val="none" w:sz="0" w:space="0" w:color="auto"/>
        <w:left w:val="none" w:sz="0" w:space="0" w:color="auto"/>
        <w:bottom w:val="none" w:sz="0" w:space="0" w:color="auto"/>
        <w:right w:val="none" w:sz="0" w:space="0" w:color="auto"/>
      </w:divBdr>
    </w:div>
    <w:div w:id="1724912895">
      <w:bodyDiv w:val="1"/>
      <w:marLeft w:val="0"/>
      <w:marRight w:val="0"/>
      <w:marTop w:val="0"/>
      <w:marBottom w:val="0"/>
      <w:divBdr>
        <w:top w:val="none" w:sz="0" w:space="0" w:color="auto"/>
        <w:left w:val="none" w:sz="0" w:space="0" w:color="auto"/>
        <w:bottom w:val="none" w:sz="0" w:space="0" w:color="auto"/>
        <w:right w:val="none" w:sz="0" w:space="0" w:color="auto"/>
      </w:divBdr>
    </w:div>
    <w:div w:id="1730181252">
      <w:bodyDiv w:val="1"/>
      <w:marLeft w:val="0"/>
      <w:marRight w:val="0"/>
      <w:marTop w:val="0"/>
      <w:marBottom w:val="0"/>
      <w:divBdr>
        <w:top w:val="none" w:sz="0" w:space="0" w:color="auto"/>
        <w:left w:val="none" w:sz="0" w:space="0" w:color="auto"/>
        <w:bottom w:val="none" w:sz="0" w:space="0" w:color="auto"/>
        <w:right w:val="none" w:sz="0" w:space="0" w:color="auto"/>
      </w:divBdr>
      <w:divsChild>
        <w:div w:id="1558130050">
          <w:marLeft w:val="547"/>
          <w:marRight w:val="0"/>
          <w:marTop w:val="40"/>
          <w:marBottom w:val="40"/>
          <w:divBdr>
            <w:top w:val="none" w:sz="0" w:space="0" w:color="auto"/>
            <w:left w:val="none" w:sz="0" w:space="0" w:color="auto"/>
            <w:bottom w:val="none" w:sz="0" w:space="0" w:color="auto"/>
            <w:right w:val="none" w:sz="0" w:space="0" w:color="auto"/>
          </w:divBdr>
        </w:div>
        <w:div w:id="291522521">
          <w:marLeft w:val="547"/>
          <w:marRight w:val="0"/>
          <w:marTop w:val="40"/>
          <w:marBottom w:val="40"/>
          <w:divBdr>
            <w:top w:val="none" w:sz="0" w:space="0" w:color="auto"/>
            <w:left w:val="none" w:sz="0" w:space="0" w:color="auto"/>
            <w:bottom w:val="none" w:sz="0" w:space="0" w:color="auto"/>
            <w:right w:val="none" w:sz="0" w:space="0" w:color="auto"/>
          </w:divBdr>
        </w:div>
      </w:divsChild>
    </w:div>
    <w:div w:id="1740247760">
      <w:bodyDiv w:val="1"/>
      <w:marLeft w:val="0"/>
      <w:marRight w:val="0"/>
      <w:marTop w:val="0"/>
      <w:marBottom w:val="0"/>
      <w:divBdr>
        <w:top w:val="none" w:sz="0" w:space="0" w:color="auto"/>
        <w:left w:val="none" w:sz="0" w:space="0" w:color="auto"/>
        <w:bottom w:val="none" w:sz="0" w:space="0" w:color="auto"/>
        <w:right w:val="none" w:sz="0" w:space="0" w:color="auto"/>
      </w:divBdr>
    </w:div>
    <w:div w:id="1744066583">
      <w:bodyDiv w:val="1"/>
      <w:marLeft w:val="0"/>
      <w:marRight w:val="0"/>
      <w:marTop w:val="0"/>
      <w:marBottom w:val="0"/>
      <w:divBdr>
        <w:top w:val="none" w:sz="0" w:space="0" w:color="auto"/>
        <w:left w:val="none" w:sz="0" w:space="0" w:color="auto"/>
        <w:bottom w:val="none" w:sz="0" w:space="0" w:color="auto"/>
        <w:right w:val="none" w:sz="0" w:space="0" w:color="auto"/>
      </w:divBdr>
    </w:div>
    <w:div w:id="1753504793">
      <w:bodyDiv w:val="1"/>
      <w:marLeft w:val="0"/>
      <w:marRight w:val="0"/>
      <w:marTop w:val="0"/>
      <w:marBottom w:val="0"/>
      <w:divBdr>
        <w:top w:val="none" w:sz="0" w:space="0" w:color="auto"/>
        <w:left w:val="none" w:sz="0" w:space="0" w:color="auto"/>
        <w:bottom w:val="none" w:sz="0" w:space="0" w:color="auto"/>
        <w:right w:val="none" w:sz="0" w:space="0" w:color="auto"/>
      </w:divBdr>
    </w:div>
    <w:div w:id="1771047224">
      <w:bodyDiv w:val="1"/>
      <w:marLeft w:val="0"/>
      <w:marRight w:val="0"/>
      <w:marTop w:val="0"/>
      <w:marBottom w:val="0"/>
      <w:divBdr>
        <w:top w:val="none" w:sz="0" w:space="0" w:color="auto"/>
        <w:left w:val="none" w:sz="0" w:space="0" w:color="auto"/>
        <w:bottom w:val="none" w:sz="0" w:space="0" w:color="auto"/>
        <w:right w:val="none" w:sz="0" w:space="0" w:color="auto"/>
      </w:divBdr>
    </w:div>
    <w:div w:id="1775323435">
      <w:bodyDiv w:val="1"/>
      <w:marLeft w:val="0"/>
      <w:marRight w:val="0"/>
      <w:marTop w:val="0"/>
      <w:marBottom w:val="0"/>
      <w:divBdr>
        <w:top w:val="none" w:sz="0" w:space="0" w:color="auto"/>
        <w:left w:val="none" w:sz="0" w:space="0" w:color="auto"/>
        <w:bottom w:val="none" w:sz="0" w:space="0" w:color="auto"/>
        <w:right w:val="none" w:sz="0" w:space="0" w:color="auto"/>
      </w:divBdr>
    </w:div>
    <w:div w:id="1779131480">
      <w:bodyDiv w:val="1"/>
      <w:marLeft w:val="0"/>
      <w:marRight w:val="0"/>
      <w:marTop w:val="0"/>
      <w:marBottom w:val="0"/>
      <w:divBdr>
        <w:top w:val="none" w:sz="0" w:space="0" w:color="auto"/>
        <w:left w:val="none" w:sz="0" w:space="0" w:color="auto"/>
        <w:bottom w:val="none" w:sz="0" w:space="0" w:color="auto"/>
        <w:right w:val="none" w:sz="0" w:space="0" w:color="auto"/>
      </w:divBdr>
    </w:div>
    <w:div w:id="1780098892">
      <w:bodyDiv w:val="1"/>
      <w:marLeft w:val="0"/>
      <w:marRight w:val="0"/>
      <w:marTop w:val="0"/>
      <w:marBottom w:val="0"/>
      <w:divBdr>
        <w:top w:val="none" w:sz="0" w:space="0" w:color="auto"/>
        <w:left w:val="none" w:sz="0" w:space="0" w:color="auto"/>
        <w:bottom w:val="none" w:sz="0" w:space="0" w:color="auto"/>
        <w:right w:val="none" w:sz="0" w:space="0" w:color="auto"/>
      </w:divBdr>
    </w:div>
    <w:div w:id="1786775843">
      <w:bodyDiv w:val="1"/>
      <w:marLeft w:val="0"/>
      <w:marRight w:val="0"/>
      <w:marTop w:val="0"/>
      <w:marBottom w:val="0"/>
      <w:divBdr>
        <w:top w:val="none" w:sz="0" w:space="0" w:color="auto"/>
        <w:left w:val="none" w:sz="0" w:space="0" w:color="auto"/>
        <w:bottom w:val="none" w:sz="0" w:space="0" w:color="auto"/>
        <w:right w:val="none" w:sz="0" w:space="0" w:color="auto"/>
      </w:divBdr>
    </w:div>
    <w:div w:id="1846479531">
      <w:bodyDiv w:val="1"/>
      <w:marLeft w:val="0"/>
      <w:marRight w:val="0"/>
      <w:marTop w:val="0"/>
      <w:marBottom w:val="0"/>
      <w:divBdr>
        <w:top w:val="none" w:sz="0" w:space="0" w:color="auto"/>
        <w:left w:val="none" w:sz="0" w:space="0" w:color="auto"/>
        <w:bottom w:val="none" w:sz="0" w:space="0" w:color="auto"/>
        <w:right w:val="none" w:sz="0" w:space="0" w:color="auto"/>
      </w:divBdr>
    </w:div>
    <w:div w:id="1851481623">
      <w:bodyDiv w:val="1"/>
      <w:marLeft w:val="0"/>
      <w:marRight w:val="0"/>
      <w:marTop w:val="0"/>
      <w:marBottom w:val="0"/>
      <w:divBdr>
        <w:top w:val="none" w:sz="0" w:space="0" w:color="auto"/>
        <w:left w:val="none" w:sz="0" w:space="0" w:color="auto"/>
        <w:bottom w:val="none" w:sz="0" w:space="0" w:color="auto"/>
        <w:right w:val="none" w:sz="0" w:space="0" w:color="auto"/>
      </w:divBdr>
    </w:div>
    <w:div w:id="1859000776">
      <w:bodyDiv w:val="1"/>
      <w:marLeft w:val="0"/>
      <w:marRight w:val="0"/>
      <w:marTop w:val="0"/>
      <w:marBottom w:val="0"/>
      <w:divBdr>
        <w:top w:val="none" w:sz="0" w:space="0" w:color="auto"/>
        <w:left w:val="none" w:sz="0" w:space="0" w:color="auto"/>
        <w:bottom w:val="none" w:sz="0" w:space="0" w:color="auto"/>
        <w:right w:val="none" w:sz="0" w:space="0" w:color="auto"/>
      </w:divBdr>
    </w:div>
    <w:div w:id="1874733669">
      <w:bodyDiv w:val="1"/>
      <w:marLeft w:val="0"/>
      <w:marRight w:val="0"/>
      <w:marTop w:val="0"/>
      <w:marBottom w:val="0"/>
      <w:divBdr>
        <w:top w:val="none" w:sz="0" w:space="0" w:color="auto"/>
        <w:left w:val="none" w:sz="0" w:space="0" w:color="auto"/>
        <w:bottom w:val="none" w:sz="0" w:space="0" w:color="auto"/>
        <w:right w:val="none" w:sz="0" w:space="0" w:color="auto"/>
      </w:divBdr>
    </w:div>
    <w:div w:id="1877810365">
      <w:bodyDiv w:val="1"/>
      <w:marLeft w:val="0"/>
      <w:marRight w:val="0"/>
      <w:marTop w:val="0"/>
      <w:marBottom w:val="0"/>
      <w:divBdr>
        <w:top w:val="none" w:sz="0" w:space="0" w:color="auto"/>
        <w:left w:val="none" w:sz="0" w:space="0" w:color="auto"/>
        <w:bottom w:val="none" w:sz="0" w:space="0" w:color="auto"/>
        <w:right w:val="none" w:sz="0" w:space="0" w:color="auto"/>
      </w:divBdr>
    </w:div>
    <w:div w:id="1886869345">
      <w:bodyDiv w:val="1"/>
      <w:marLeft w:val="0"/>
      <w:marRight w:val="0"/>
      <w:marTop w:val="0"/>
      <w:marBottom w:val="0"/>
      <w:divBdr>
        <w:top w:val="none" w:sz="0" w:space="0" w:color="auto"/>
        <w:left w:val="none" w:sz="0" w:space="0" w:color="auto"/>
        <w:bottom w:val="none" w:sz="0" w:space="0" w:color="auto"/>
        <w:right w:val="none" w:sz="0" w:space="0" w:color="auto"/>
      </w:divBdr>
    </w:div>
    <w:div w:id="1899897563">
      <w:bodyDiv w:val="1"/>
      <w:marLeft w:val="0"/>
      <w:marRight w:val="0"/>
      <w:marTop w:val="0"/>
      <w:marBottom w:val="0"/>
      <w:divBdr>
        <w:top w:val="none" w:sz="0" w:space="0" w:color="auto"/>
        <w:left w:val="none" w:sz="0" w:space="0" w:color="auto"/>
        <w:bottom w:val="none" w:sz="0" w:space="0" w:color="auto"/>
        <w:right w:val="none" w:sz="0" w:space="0" w:color="auto"/>
      </w:divBdr>
      <w:divsChild>
        <w:div w:id="1913856225">
          <w:marLeft w:val="274"/>
          <w:marRight w:val="0"/>
          <w:marTop w:val="160"/>
          <w:marBottom w:val="120"/>
          <w:divBdr>
            <w:top w:val="none" w:sz="0" w:space="0" w:color="auto"/>
            <w:left w:val="none" w:sz="0" w:space="0" w:color="auto"/>
            <w:bottom w:val="none" w:sz="0" w:space="0" w:color="auto"/>
            <w:right w:val="none" w:sz="0" w:space="0" w:color="auto"/>
          </w:divBdr>
        </w:div>
        <w:div w:id="2013605308">
          <w:marLeft w:val="562"/>
          <w:marRight w:val="0"/>
          <w:marTop w:val="160"/>
          <w:marBottom w:val="120"/>
          <w:divBdr>
            <w:top w:val="none" w:sz="0" w:space="0" w:color="auto"/>
            <w:left w:val="none" w:sz="0" w:space="0" w:color="auto"/>
            <w:bottom w:val="none" w:sz="0" w:space="0" w:color="auto"/>
            <w:right w:val="none" w:sz="0" w:space="0" w:color="auto"/>
          </w:divBdr>
        </w:div>
        <w:div w:id="855734604">
          <w:marLeft w:val="562"/>
          <w:marRight w:val="0"/>
          <w:marTop w:val="160"/>
          <w:marBottom w:val="120"/>
          <w:divBdr>
            <w:top w:val="none" w:sz="0" w:space="0" w:color="auto"/>
            <w:left w:val="none" w:sz="0" w:space="0" w:color="auto"/>
            <w:bottom w:val="none" w:sz="0" w:space="0" w:color="auto"/>
            <w:right w:val="none" w:sz="0" w:space="0" w:color="auto"/>
          </w:divBdr>
        </w:div>
        <w:div w:id="164782391">
          <w:marLeft w:val="274"/>
          <w:marRight w:val="0"/>
          <w:marTop w:val="160"/>
          <w:marBottom w:val="120"/>
          <w:divBdr>
            <w:top w:val="none" w:sz="0" w:space="0" w:color="auto"/>
            <w:left w:val="none" w:sz="0" w:space="0" w:color="auto"/>
            <w:bottom w:val="none" w:sz="0" w:space="0" w:color="auto"/>
            <w:right w:val="none" w:sz="0" w:space="0" w:color="auto"/>
          </w:divBdr>
        </w:div>
        <w:div w:id="1557472398">
          <w:marLeft w:val="274"/>
          <w:marRight w:val="0"/>
          <w:marTop w:val="160"/>
          <w:marBottom w:val="120"/>
          <w:divBdr>
            <w:top w:val="none" w:sz="0" w:space="0" w:color="auto"/>
            <w:left w:val="none" w:sz="0" w:space="0" w:color="auto"/>
            <w:bottom w:val="none" w:sz="0" w:space="0" w:color="auto"/>
            <w:right w:val="none" w:sz="0" w:space="0" w:color="auto"/>
          </w:divBdr>
        </w:div>
      </w:divsChild>
    </w:div>
    <w:div w:id="1945190572">
      <w:bodyDiv w:val="1"/>
      <w:marLeft w:val="0"/>
      <w:marRight w:val="0"/>
      <w:marTop w:val="0"/>
      <w:marBottom w:val="0"/>
      <w:divBdr>
        <w:top w:val="none" w:sz="0" w:space="0" w:color="auto"/>
        <w:left w:val="none" w:sz="0" w:space="0" w:color="auto"/>
        <w:bottom w:val="none" w:sz="0" w:space="0" w:color="auto"/>
        <w:right w:val="none" w:sz="0" w:space="0" w:color="auto"/>
      </w:divBdr>
    </w:div>
    <w:div w:id="1975059915">
      <w:bodyDiv w:val="1"/>
      <w:marLeft w:val="0"/>
      <w:marRight w:val="0"/>
      <w:marTop w:val="0"/>
      <w:marBottom w:val="0"/>
      <w:divBdr>
        <w:top w:val="none" w:sz="0" w:space="0" w:color="auto"/>
        <w:left w:val="none" w:sz="0" w:space="0" w:color="auto"/>
        <w:bottom w:val="none" w:sz="0" w:space="0" w:color="auto"/>
        <w:right w:val="none" w:sz="0" w:space="0" w:color="auto"/>
      </w:divBdr>
    </w:div>
    <w:div w:id="1992326079">
      <w:bodyDiv w:val="1"/>
      <w:marLeft w:val="0"/>
      <w:marRight w:val="0"/>
      <w:marTop w:val="0"/>
      <w:marBottom w:val="0"/>
      <w:divBdr>
        <w:top w:val="none" w:sz="0" w:space="0" w:color="auto"/>
        <w:left w:val="none" w:sz="0" w:space="0" w:color="auto"/>
        <w:bottom w:val="none" w:sz="0" w:space="0" w:color="auto"/>
        <w:right w:val="none" w:sz="0" w:space="0" w:color="auto"/>
      </w:divBdr>
    </w:div>
    <w:div w:id="2025474641">
      <w:bodyDiv w:val="1"/>
      <w:marLeft w:val="0"/>
      <w:marRight w:val="0"/>
      <w:marTop w:val="0"/>
      <w:marBottom w:val="0"/>
      <w:divBdr>
        <w:top w:val="none" w:sz="0" w:space="0" w:color="auto"/>
        <w:left w:val="none" w:sz="0" w:space="0" w:color="auto"/>
        <w:bottom w:val="none" w:sz="0" w:space="0" w:color="auto"/>
        <w:right w:val="none" w:sz="0" w:space="0" w:color="auto"/>
      </w:divBdr>
    </w:div>
    <w:div w:id="2067340582">
      <w:bodyDiv w:val="1"/>
      <w:marLeft w:val="0"/>
      <w:marRight w:val="0"/>
      <w:marTop w:val="0"/>
      <w:marBottom w:val="0"/>
      <w:divBdr>
        <w:top w:val="none" w:sz="0" w:space="0" w:color="auto"/>
        <w:left w:val="none" w:sz="0" w:space="0" w:color="auto"/>
        <w:bottom w:val="none" w:sz="0" w:space="0" w:color="auto"/>
        <w:right w:val="none" w:sz="0" w:space="0" w:color="auto"/>
      </w:divBdr>
    </w:div>
    <w:div w:id="2068871094">
      <w:bodyDiv w:val="1"/>
      <w:marLeft w:val="0"/>
      <w:marRight w:val="0"/>
      <w:marTop w:val="0"/>
      <w:marBottom w:val="0"/>
      <w:divBdr>
        <w:top w:val="none" w:sz="0" w:space="0" w:color="auto"/>
        <w:left w:val="none" w:sz="0" w:space="0" w:color="auto"/>
        <w:bottom w:val="none" w:sz="0" w:space="0" w:color="auto"/>
        <w:right w:val="none" w:sz="0" w:space="0" w:color="auto"/>
      </w:divBdr>
    </w:div>
    <w:div w:id="2106731805">
      <w:bodyDiv w:val="1"/>
      <w:marLeft w:val="0"/>
      <w:marRight w:val="0"/>
      <w:marTop w:val="0"/>
      <w:marBottom w:val="0"/>
      <w:divBdr>
        <w:top w:val="none" w:sz="0" w:space="0" w:color="auto"/>
        <w:left w:val="none" w:sz="0" w:space="0" w:color="auto"/>
        <w:bottom w:val="none" w:sz="0" w:space="0" w:color="auto"/>
        <w:right w:val="none" w:sz="0" w:space="0" w:color="auto"/>
      </w:divBdr>
    </w:div>
    <w:div w:id="21455359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4.png"/><Relationship Id="rId26" Type="http://schemas.openxmlformats.org/officeDocument/2006/relationships/image" Target="media/image8.png"/><Relationship Id="rId39" Type="http://schemas.openxmlformats.org/officeDocument/2006/relationships/image" Target="media/image19.png"/><Relationship Id="rId21" Type="http://schemas.openxmlformats.org/officeDocument/2006/relationships/image" Target="media/image7.svg"/><Relationship Id="rId34" Type="http://schemas.openxmlformats.org/officeDocument/2006/relationships/image" Target="media/image15.jpeg"/><Relationship Id="rId42" Type="http://schemas.openxmlformats.org/officeDocument/2006/relationships/image" Target="media/image21.emf"/><Relationship Id="rId47" Type="http://schemas.openxmlformats.org/officeDocument/2006/relationships/image" Target="media/image26.png"/><Relationship Id="rId50" Type="http://schemas.openxmlformats.org/officeDocument/2006/relationships/image" Target="media/image28.png"/><Relationship Id="rId55" Type="http://schemas.openxmlformats.org/officeDocument/2006/relationships/image" Target="media/image33.png"/><Relationship Id="rId63" Type="http://schemas.openxmlformats.org/officeDocument/2006/relationships/hyperlink" Target="https://www.nbnco.com.au/blog/business/supporting-collaboration-in-a-multi-site-workplace" TargetMode="External"/><Relationship Id="rId68" Type="http://schemas.openxmlformats.org/officeDocument/2006/relationships/hyperlink" Target="https://www.accc.gov.au/system/files/LTRCM%202019-20%20-%20ACCC%20preliminary%20view%20note.pdf" TargetMode="External"/><Relationship Id="rId76" Type="http://schemas.openxmlformats.org/officeDocument/2006/relationships/theme" Target="theme/theme1.xml"/><Relationship Id="rId7" Type="http://schemas.openxmlformats.org/officeDocument/2006/relationships/styles" Target="styles.xml"/><Relationship Id="rId71" Type="http://schemas.openxmlformats.org/officeDocument/2006/relationships/hyperlink" Target="https://www.frontier-economics.com.au" TargetMode="External"/><Relationship Id="rId2" Type="http://schemas.openxmlformats.org/officeDocument/2006/relationships/customXml" Target="../customXml/item2.xml"/><Relationship Id="rId16" Type="http://schemas.openxmlformats.org/officeDocument/2006/relationships/header" Target="header2.xml"/><Relationship Id="rId29" Type="http://schemas.openxmlformats.org/officeDocument/2006/relationships/image" Target="media/image10.png"/><Relationship Id="rId11" Type="http://schemas.openxmlformats.org/officeDocument/2006/relationships/endnotes" Target="endnotes.xml"/><Relationship Id="rId24" Type="http://schemas.openxmlformats.org/officeDocument/2006/relationships/image" Target="media/image7.png"/><Relationship Id="rId32" Type="http://schemas.openxmlformats.org/officeDocument/2006/relationships/image" Target="media/image13.jpeg"/><Relationship Id="rId37" Type="http://schemas.openxmlformats.org/officeDocument/2006/relationships/image" Target="media/image23.svg"/><Relationship Id="rId40" Type="http://schemas.openxmlformats.org/officeDocument/2006/relationships/header" Target="header3.xml"/><Relationship Id="rId45" Type="http://schemas.openxmlformats.org/officeDocument/2006/relationships/image" Target="media/image24.png"/><Relationship Id="rId53" Type="http://schemas.openxmlformats.org/officeDocument/2006/relationships/image" Target="media/image31.emf"/><Relationship Id="rId58" Type="http://schemas.openxmlformats.org/officeDocument/2006/relationships/image" Target="media/image36.emf"/><Relationship Id="rId66" Type="http://schemas.openxmlformats.org/officeDocument/2006/relationships/footer" Target="footer3.xml"/><Relationship Id="rId7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image" Target="media/image9.svg"/><Relationship Id="rId28" Type="http://schemas.openxmlformats.org/officeDocument/2006/relationships/image" Target="media/image9.png"/><Relationship Id="rId36" Type="http://schemas.openxmlformats.org/officeDocument/2006/relationships/image" Target="media/image17.png"/><Relationship Id="rId49" Type="http://schemas.openxmlformats.org/officeDocument/2006/relationships/header" Target="header4.xml"/><Relationship Id="rId57" Type="http://schemas.openxmlformats.org/officeDocument/2006/relationships/image" Target="media/image35.png"/><Relationship Id="rId61" Type="http://schemas.openxmlformats.org/officeDocument/2006/relationships/hyperlink" Target="http://www.comscentre.com.au" TargetMode="External"/><Relationship Id="rId10" Type="http://schemas.openxmlformats.org/officeDocument/2006/relationships/footnotes" Target="footnotes.xml"/><Relationship Id="rId19" Type="http://schemas.openxmlformats.org/officeDocument/2006/relationships/image" Target="media/image5.svg"/><Relationship Id="rId31" Type="http://schemas.openxmlformats.org/officeDocument/2006/relationships/image" Target="media/image12.jpeg"/><Relationship Id="rId44" Type="http://schemas.openxmlformats.org/officeDocument/2006/relationships/image" Target="media/image23.jpeg"/><Relationship Id="rId52" Type="http://schemas.openxmlformats.org/officeDocument/2006/relationships/image" Target="media/image30.png"/><Relationship Id="rId60" Type="http://schemas.openxmlformats.org/officeDocument/2006/relationships/image" Target="media/image38.png"/><Relationship Id="rId65" Type="http://schemas.openxmlformats.org/officeDocument/2006/relationships/hyperlink" Target="https://www.nbnco.com.au/blog/business/axing-barriers-to-digital-transformation" TargetMode="External"/><Relationship Id="rId73"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image" Target="media/image6.png"/><Relationship Id="rId27" Type="http://schemas.openxmlformats.org/officeDocument/2006/relationships/image" Target="media/image13.svg"/><Relationship Id="rId30" Type="http://schemas.openxmlformats.org/officeDocument/2006/relationships/image" Target="media/image11.png"/><Relationship Id="rId35" Type="http://schemas.openxmlformats.org/officeDocument/2006/relationships/image" Target="media/image16.jpeg"/><Relationship Id="rId43" Type="http://schemas.openxmlformats.org/officeDocument/2006/relationships/image" Target="media/image22.png"/><Relationship Id="rId48" Type="http://schemas.openxmlformats.org/officeDocument/2006/relationships/image" Target="media/image27.png"/><Relationship Id="rId56" Type="http://schemas.openxmlformats.org/officeDocument/2006/relationships/image" Target="media/image34.png"/><Relationship Id="rId64" Type="http://schemas.openxmlformats.org/officeDocument/2006/relationships/hyperlink" Target="https://www.nbnco.com.au/blog/business/connecting-students-with-equal-opportunity-learning" TargetMode="External"/><Relationship Id="rId69" Type="http://schemas.openxmlformats.org/officeDocument/2006/relationships/hyperlink" Target="https://itif.org/publications/2019/09/03/policymakers-guide-broadband-competition" TargetMode="External"/><Relationship Id="rId8" Type="http://schemas.openxmlformats.org/officeDocument/2006/relationships/settings" Target="settings.xml"/><Relationship Id="rId51" Type="http://schemas.openxmlformats.org/officeDocument/2006/relationships/image" Target="media/image29.png"/><Relationship Id="rId72" Type="http://schemas.openxmlformats.org/officeDocument/2006/relationships/header" Target="header5.xm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footer" Target="footer2.xml"/><Relationship Id="rId25" Type="http://schemas.openxmlformats.org/officeDocument/2006/relationships/image" Target="media/image11.svg"/><Relationship Id="rId33" Type="http://schemas.openxmlformats.org/officeDocument/2006/relationships/image" Target="media/image14.png"/><Relationship Id="rId38" Type="http://schemas.openxmlformats.org/officeDocument/2006/relationships/image" Target="media/image18.png"/><Relationship Id="rId46" Type="http://schemas.openxmlformats.org/officeDocument/2006/relationships/image" Target="media/image25.png"/><Relationship Id="rId59" Type="http://schemas.openxmlformats.org/officeDocument/2006/relationships/image" Target="media/image37.png"/><Relationship Id="rId67" Type="http://schemas.openxmlformats.org/officeDocument/2006/relationships/hyperlink" Target="https://www.accc.gov.au/system/files/20-47RPT_Communications_Market_Report_FA.pdf" TargetMode="External"/><Relationship Id="rId20" Type="http://schemas.openxmlformats.org/officeDocument/2006/relationships/image" Target="media/image5.png"/><Relationship Id="rId41" Type="http://schemas.openxmlformats.org/officeDocument/2006/relationships/image" Target="media/image20.png"/><Relationship Id="rId54" Type="http://schemas.openxmlformats.org/officeDocument/2006/relationships/image" Target="media/image32.jpeg"/><Relationship Id="rId62" Type="http://schemas.openxmlformats.org/officeDocument/2006/relationships/hyperlink" Target="https://www.nbnco.com.au/blog/business/positively-effecting-the-visual-effects-industry" TargetMode="External"/><Relationship Id="rId70" Type="http://schemas.openxmlformats.org/officeDocument/2006/relationships/hyperlink" Target="https://www.ofcom.org.uk/__data/assets/pdf_file/0025/113299/economic-broadband-oecd-countries.pdf" TargetMode="External"/><Relationship Id="rId75"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numbering" Target="numbering.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notes.xml.rels><?xml version="1.0" encoding="UTF-8" standalone="yes"?>
<Relationships xmlns="http://schemas.openxmlformats.org/package/2006/relationships"><Relationship Id="rId8" Type="http://schemas.openxmlformats.org/officeDocument/2006/relationships/hyperlink" Target="https://www.ofcom.org.uk/__data/assets/pdf_file/0025/113299/economic-broadband-oecd-countries.pdf" TargetMode="External"/><Relationship Id="rId3" Type="http://schemas.openxmlformats.org/officeDocument/2006/relationships/hyperlink" Target="https://www.abs.gov.au/articles/output-indicator-method-national-accounts" TargetMode="External"/><Relationship Id="rId7" Type="http://schemas.openxmlformats.org/officeDocument/2006/relationships/hyperlink" Target="https://vocusgroup.com.au/media/1467/1h20-asx-release-media-release-investor-presentation.pdf" TargetMode="External"/><Relationship Id="rId2" Type="http://schemas.openxmlformats.org/officeDocument/2006/relationships/hyperlink" Target="https://www.abs.gov.au/statistics/economy/business-indicators/counts-australian-businesses-including-entries-and-exits/latest-release" TargetMode="External"/><Relationship Id="rId1" Type="http://schemas.openxmlformats.org/officeDocument/2006/relationships/hyperlink" Target="https://minister.infrastructure.gov.au/fletcher/media-release/45-billion-nbn-investment-bring-ultra-fast-broadband-millions-families-and-businesses-and-create-25000-jobs" TargetMode="External"/><Relationship Id="rId6" Type="http://schemas.openxmlformats.org/officeDocument/2006/relationships/hyperlink" Target="https://www.vocus.com.au/news/vocus-develops-leading-expertise-in-business-nbn-satellite-service" TargetMode="External"/><Relationship Id="rId5" Type="http://schemas.openxmlformats.org/officeDocument/2006/relationships/hyperlink" Target="https://itwire.com/telecoms-and-nbn/vocus-claims-it-has-become-top-provider-of-nbn-enterprise-ethernet-services.html" TargetMode="External"/><Relationship Id="rId4" Type="http://schemas.openxmlformats.org/officeDocument/2006/relationships/hyperlink" Target="https://www.abs.gov.au/ausstats/abs@.nsf/Lookup/by%20Subject/1270.0.55.001~July%202016~Main%20Features~Statistical%20Area%20Level%201%20(SA1)~10013"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_rels/header3.xml.rels><?xml version="1.0" encoding="UTF-8" standalone="yes"?>
<Relationships xmlns="http://schemas.openxmlformats.org/package/2006/relationships"><Relationship Id="rId1" Type="http://schemas.openxmlformats.org/officeDocument/2006/relationships/image" Target="media/image3.emf"/></Relationships>
</file>

<file path=word/_rels/header4.xml.rels><?xml version="1.0" encoding="UTF-8" standalone="yes"?>
<Relationships xmlns="http://schemas.openxmlformats.org/package/2006/relationships"><Relationship Id="rId1" Type="http://schemas.openxmlformats.org/officeDocument/2006/relationships/image" Target="media/image3.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lly\OneDrive%20-%20Frontier%20Economics\Documents\FE-Report-2020.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43813F36158B46ADA7694532865B02D8"/>
        <w:category>
          <w:name w:val="General"/>
          <w:gallery w:val="placeholder"/>
        </w:category>
        <w:types>
          <w:type w:val="bbPlcHdr"/>
        </w:types>
        <w:behaviors>
          <w:behavior w:val="content"/>
        </w:behaviors>
        <w:guid w:val="{AD47873D-5F01-4DDE-8830-AB3D807C93FF}"/>
      </w:docPartPr>
      <w:docPartBody>
        <w:p w:rsidR="00826D35" w:rsidRDefault="00F3451A" w:rsidP="00F3451A">
          <w:pPr>
            <w:pStyle w:val="43813F36158B46ADA7694532865B02D8"/>
          </w:pPr>
          <w:r>
            <w:rPr>
              <w:rStyle w:val="PlaceholderText"/>
            </w:rPr>
            <w:t xml:space="preserve">  </w:t>
          </w:r>
        </w:p>
      </w:docPartBody>
    </w:docPart>
    <w:docPart>
      <w:docPartPr>
        <w:name w:val="50486F1EB7F94464804E1F4ECA23650C"/>
        <w:category>
          <w:name w:val="General"/>
          <w:gallery w:val="placeholder"/>
        </w:category>
        <w:types>
          <w:type w:val="bbPlcHdr"/>
        </w:types>
        <w:behaviors>
          <w:behavior w:val="content"/>
        </w:behaviors>
        <w:guid w:val="{E0407E81-E653-4BFA-A8CD-36F7CE0E3687}"/>
      </w:docPartPr>
      <w:docPartBody>
        <w:p w:rsidR="00826D35" w:rsidRDefault="00826D35">
          <w:pPr>
            <w:pStyle w:val="50486F1EB7F94464804E1F4ECA23650C"/>
          </w:pPr>
          <w:r>
            <w:t>[Report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Open Sans">
    <w:altName w:val="Tahoma"/>
    <w:charset w:val="00"/>
    <w:family w:val="swiss"/>
    <w:pitch w:val="variable"/>
    <w:sig w:usb0="E00002EF" w:usb1="4000205B" w:usb2="00000028"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Open Sans Light">
    <w:altName w:val="Segoe UI"/>
    <w:charset w:val="00"/>
    <w:family w:val="swiss"/>
    <w:pitch w:val="variable"/>
    <w:sig w:usb0="E00002EF" w:usb1="4000205B" w:usb2="00000028"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2AFF" w:usb1="4000ACFF" w:usb2="00000009" w:usb3="00000000" w:csb0="000001FF" w:csb1="00000000"/>
  </w:font>
  <w:font w:name="AR ESSENCE">
    <w:altName w:val="Calibri"/>
    <w:charset w:val="00"/>
    <w:family w:val="auto"/>
    <w:pitch w:val="variable"/>
    <w:sig w:usb0="8000002F" w:usb1="0000000A" w:usb2="00000000" w:usb3="00000000" w:csb0="00000001" w:csb1="00000000"/>
  </w:font>
  <w:font w:name="Open Sans SemiBold">
    <w:altName w:val="Segoe UI"/>
    <w:charset w:val="00"/>
    <w:family w:val="swiss"/>
    <w:pitch w:val="variable"/>
    <w:sig w:usb0="E00002EF" w:usb1="4000205B" w:usb2="00000028" w:usb3="00000000" w:csb0="000001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2AEF" w:usb1="4000207B" w:usb2="00000000"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sDel="0"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6D35"/>
    <w:rsid w:val="000B681A"/>
    <w:rsid w:val="000E5125"/>
    <w:rsid w:val="001B034F"/>
    <w:rsid w:val="001E5A10"/>
    <w:rsid w:val="001E6069"/>
    <w:rsid w:val="001F47B5"/>
    <w:rsid w:val="002323F5"/>
    <w:rsid w:val="002B50ED"/>
    <w:rsid w:val="00302C98"/>
    <w:rsid w:val="00351041"/>
    <w:rsid w:val="00355715"/>
    <w:rsid w:val="00371C82"/>
    <w:rsid w:val="003D73B0"/>
    <w:rsid w:val="003D7CE1"/>
    <w:rsid w:val="0043451D"/>
    <w:rsid w:val="004369AB"/>
    <w:rsid w:val="004E02C6"/>
    <w:rsid w:val="0054627F"/>
    <w:rsid w:val="005903E2"/>
    <w:rsid w:val="00590CED"/>
    <w:rsid w:val="00596692"/>
    <w:rsid w:val="00597049"/>
    <w:rsid w:val="005C4524"/>
    <w:rsid w:val="005D28BE"/>
    <w:rsid w:val="005D3F47"/>
    <w:rsid w:val="006A6598"/>
    <w:rsid w:val="00711360"/>
    <w:rsid w:val="00725ED7"/>
    <w:rsid w:val="00745F4F"/>
    <w:rsid w:val="007D165B"/>
    <w:rsid w:val="00816E9B"/>
    <w:rsid w:val="00826D35"/>
    <w:rsid w:val="008812DA"/>
    <w:rsid w:val="00882EC3"/>
    <w:rsid w:val="00884361"/>
    <w:rsid w:val="008A19EB"/>
    <w:rsid w:val="008A7B68"/>
    <w:rsid w:val="0095117D"/>
    <w:rsid w:val="00A45DA4"/>
    <w:rsid w:val="00A61990"/>
    <w:rsid w:val="00A90336"/>
    <w:rsid w:val="00AA66BE"/>
    <w:rsid w:val="00BD2BB1"/>
    <w:rsid w:val="00C219B5"/>
    <w:rsid w:val="00CB2EA8"/>
    <w:rsid w:val="00CD72A6"/>
    <w:rsid w:val="00DB3D0A"/>
    <w:rsid w:val="00E269E2"/>
    <w:rsid w:val="00E3276A"/>
    <w:rsid w:val="00E532CA"/>
    <w:rsid w:val="00E56522"/>
    <w:rsid w:val="00EE2CA8"/>
    <w:rsid w:val="00EE73A2"/>
    <w:rsid w:val="00EF213E"/>
    <w:rsid w:val="00EF6D61"/>
    <w:rsid w:val="00F27F4C"/>
    <w:rsid w:val="00F3451A"/>
    <w:rsid w:val="00FA5A19"/>
    <w:rsid w:val="00FD760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3451A"/>
    <w:rPr>
      <w:color w:val="808080"/>
    </w:rPr>
  </w:style>
  <w:style w:type="paragraph" w:customStyle="1" w:styleId="50486F1EB7F94464804E1F4ECA23650C">
    <w:name w:val="50486F1EB7F94464804E1F4ECA23650C"/>
  </w:style>
  <w:style w:type="paragraph" w:customStyle="1" w:styleId="43813F36158B46ADA7694532865B02D83">
    <w:name w:val="43813F36158B46ADA7694532865B02D83"/>
    <w:rsid w:val="005903E2"/>
    <w:pPr>
      <w:spacing w:before="160" w:after="120" w:line="240" w:lineRule="auto"/>
    </w:pPr>
    <w:rPr>
      <w:rFonts w:ascii="Open Sans" w:eastAsiaTheme="minorHAnsi" w:hAnsi="Open Sans" w:cs="Open Sans"/>
      <w:color w:val="000000" w:themeColor="text1"/>
      <w:sz w:val="20"/>
      <w:szCs w:val="20"/>
      <w:lang w:eastAsia="en-US"/>
    </w:rPr>
  </w:style>
  <w:style w:type="paragraph" w:customStyle="1" w:styleId="43813F36158B46ADA7694532865B02D8">
    <w:name w:val="43813F36158B46ADA7694532865B02D8"/>
    <w:rsid w:val="00F3451A"/>
    <w:pPr>
      <w:spacing w:before="160" w:after="120" w:line="240" w:lineRule="auto"/>
    </w:pPr>
    <w:rPr>
      <w:rFonts w:ascii="Open Sans" w:eastAsiaTheme="minorHAnsi" w:hAnsi="Open Sans" w:cs="Open Sans"/>
      <w:color w:val="000000" w:themeColor="text1"/>
      <w:sz w:val="20"/>
      <w:szCs w:val="20"/>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FE-Red">
  <a:themeElements>
    <a:clrScheme name="FE PP Palate 2020">
      <a:dk1>
        <a:srgbClr val="37424A"/>
      </a:dk1>
      <a:lt1>
        <a:srgbClr val="FFFFFF"/>
      </a:lt1>
      <a:dk2>
        <a:srgbClr val="374249"/>
      </a:dk2>
      <a:lt2>
        <a:srgbClr val="F2F2F2"/>
      </a:lt2>
      <a:accent1>
        <a:srgbClr val="E83F35"/>
      </a:accent1>
      <a:accent2>
        <a:srgbClr val="207BA1"/>
      </a:accent2>
      <a:accent3>
        <a:srgbClr val="90BDCF"/>
      </a:accent3>
      <a:accent4>
        <a:srgbClr val="9BA1A5"/>
      </a:accent4>
      <a:accent5>
        <a:srgbClr val="599CB9"/>
      </a:accent5>
      <a:accent6>
        <a:srgbClr val="CFD1D2"/>
      </a:accent6>
      <a:hlink>
        <a:srgbClr val="E83F35"/>
      </a:hlink>
      <a:folHlink>
        <a:srgbClr val="E83F35"/>
      </a:folHlink>
    </a:clrScheme>
    <a:fontScheme name="Frontie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ln>
          <a:noFill/>
        </a:ln>
      </a:spPr>
      <a:bodyPr lIns="54000" tIns="54000" rIns="54000" bIns="54000" rtlCol="0" anchor="ctr"/>
      <a:lstStyle>
        <a:defPPr algn="ctr">
          <a:defRPr dirty="0" err="1" smtClean="0"/>
        </a:defPPr>
      </a:lstStyle>
      <a:style>
        <a:lnRef idx="2">
          <a:schemeClr val="accent1">
            <a:shade val="50000"/>
          </a:schemeClr>
        </a:lnRef>
        <a:fillRef idx="1">
          <a:schemeClr val="accent1"/>
        </a:fillRef>
        <a:effectRef idx="0">
          <a:schemeClr val="accent1"/>
        </a:effectRef>
        <a:fontRef idx="minor">
          <a:schemeClr val="lt1"/>
        </a:fontRef>
      </a:style>
    </a:spDef>
    <a:lnDef>
      <a:spPr>
        <a:ln w="12700"/>
      </a:spPr>
      <a:bodyPr/>
      <a:lstStyle/>
      <a:style>
        <a:lnRef idx="1">
          <a:schemeClr val="accent1"/>
        </a:lnRef>
        <a:fillRef idx="0">
          <a:schemeClr val="accent1"/>
        </a:fillRef>
        <a:effectRef idx="0">
          <a:schemeClr val="accent1"/>
        </a:effectRef>
        <a:fontRef idx="minor">
          <a:schemeClr val="tx1"/>
        </a:fontRef>
      </a:style>
    </a:lnDef>
    <a:txDef>
      <a:spPr bwMode="auto">
        <a:solidFill>
          <a:srgbClr val="FFFFFF"/>
        </a:solidFill>
        <a:ln w="9525">
          <a:solidFill>
            <a:srgbClr val="000000"/>
          </a:solidFill>
          <a:miter lim="800000"/>
          <a:headEnd/>
          <a:tailEnd/>
        </a:ln>
      </a:spPr>
      <a:bodyPr rot="0" vert="horz" wrap="square" lIns="91440" tIns="45720" rIns="91440" bIns="45720" anchor="t" anchorCtr="0">
        <a:noAutofit/>
      </a:bodyPr>
      <a:lstStyle/>
    </a:txDef>
  </a:objectDefaults>
  <a:extraClrSchemeLst/>
  <a:custClrLst>
    <a:custClr name="100% Teal">
      <a:srgbClr val="007B87"/>
    </a:custClr>
    <a:custClr name="100% Light Blue">
      <a:srgbClr val="8DD0D2"/>
    </a:custClr>
    <a:custClr name="100% Yellow">
      <a:srgbClr val="EBC000"/>
    </a:custClr>
    <a:custClr name="100% Aubergine">
      <a:srgbClr val="683C5B"/>
    </a:custClr>
    <a:custClr name="100% Mint Green">
      <a:srgbClr val="8BB96A"/>
    </a:custClr>
    <a:custClr name="100% Pine">
      <a:srgbClr val="2B554A"/>
    </a:custClr>
    <a:custClr name="100% Sand">
      <a:srgbClr val="D3C470"/>
    </a:custClr>
    <a:custClr name="100% Dark Sand">
      <a:srgbClr val="9A8131"/>
    </a:custClr>
    <a:custClr name="100% Rust">
      <a:srgbClr val="D27224"/>
    </a:custClr>
    <a:custClr name="100% Purple">
      <a:srgbClr val="967CA8"/>
    </a:custClr>
    <a:custClr name="60% Teal">
      <a:srgbClr val="66B0B7"/>
    </a:custClr>
    <a:custClr name="60% Light Blue">
      <a:srgbClr val="BBE3E4"/>
    </a:custClr>
    <a:custClr name="60% Yellow">
      <a:srgbClr val="F3D966"/>
    </a:custClr>
    <a:custClr name="60% Aubergine">
      <a:srgbClr val="A48A9D"/>
    </a:custClr>
    <a:custClr name="60% Mint Green">
      <a:srgbClr val="B9D5A6"/>
    </a:custClr>
    <a:custClr name="30% Teal">
      <a:srgbClr val="B2D7DB"/>
    </a:custClr>
    <a:custClr name="30% Light Blue">
      <a:srgbClr val="DDF1F1"/>
    </a:custClr>
    <a:custClr name="30% Yellow">
      <a:srgbClr val="F9ECB2"/>
    </a:custClr>
    <a:custClr name="30% Aubergine">
      <a:srgbClr val="D1C4CD"/>
    </a:custClr>
    <a:custClr name="30% Mint Green">
      <a:srgbClr val="DCEAD2"/>
    </a:custClr>
    <a:custClr name="Black">
      <a:srgbClr val="000000"/>
    </a:custClr>
  </a:custClrLst>
  <a:extLst>
    <a:ext uri="{05A4C25C-085E-4340-85A3-A5531E510DB2}">
      <thm15:themeFamily xmlns:thm15="http://schemas.microsoft.com/office/thememl/2012/main" name="Theme1" id="{922A7A35-78F9-4D48-9A59-09A044ABB765}" vid="{AF960390-CDEF-47D5-88B9-76CFCC329848}"/>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root>
  <ReportTitle>The economic impact of new NBN investments on business</ReportTitle>
  <Name>MS Sucheta Shanbag</Name>
</root>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ED515AF3653B774FA445D75666336D2C" ma:contentTypeVersion="0" ma:contentTypeDescription="Create a new document." ma:contentTypeScope="" ma:versionID="9dd9398abbaf4d76f49f1cbbcbd7c8ae">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b:Sources>
</file>

<file path=customXml/itemProps1.xml><?xml version="1.0" encoding="utf-8"?>
<ds:datastoreItem xmlns:ds="http://schemas.openxmlformats.org/officeDocument/2006/customXml" ds:itemID="{AC781AC9-3ED0-4D39-B87D-9296D1EE4573}">
  <ds:schemaRefs>
    <ds:schemaRef ds:uri="http://purl.org/dc/terms/"/>
    <ds:schemaRef ds:uri="http://schemas.microsoft.com/office/2006/documentManagement/types"/>
    <ds:schemaRef ds:uri="http://schemas.microsoft.com/office/2006/metadata/properties"/>
    <ds:schemaRef ds:uri="http://purl.org/dc/elements/1.1/"/>
    <ds:schemaRef ds:uri="http://schemas.openxmlformats.org/package/2006/metadata/core-properties"/>
    <ds:schemaRef ds:uri="http://purl.org/dc/dcmitype/"/>
    <ds:schemaRef ds:uri="http://schemas.microsoft.com/office/infopath/2007/PartnerControls"/>
    <ds:schemaRef ds:uri="http://www.w3.org/XML/1998/namespace"/>
  </ds:schemaRefs>
</ds:datastoreItem>
</file>

<file path=customXml/itemProps2.xml><?xml version="1.0" encoding="utf-8"?>
<ds:datastoreItem xmlns:ds="http://schemas.openxmlformats.org/officeDocument/2006/customXml" ds:itemID="{8A6671F6-5EF9-4802-9226-F59F66B71F67}">
  <ds:schemaRefs/>
</ds:datastoreItem>
</file>

<file path=customXml/itemProps3.xml><?xml version="1.0" encoding="utf-8"?>
<ds:datastoreItem xmlns:ds="http://schemas.openxmlformats.org/officeDocument/2006/customXml" ds:itemID="{3C1C8E7F-F572-4E75-80AB-CE98A605063E}">
  <ds:schemaRefs>
    <ds:schemaRef ds:uri="http://schemas.microsoft.com/sharepoint/v3/contenttype/forms"/>
  </ds:schemaRefs>
</ds:datastoreItem>
</file>

<file path=customXml/itemProps4.xml><?xml version="1.0" encoding="utf-8"?>
<ds:datastoreItem xmlns:ds="http://schemas.openxmlformats.org/officeDocument/2006/customXml" ds:itemID="{178A2FF8-7E29-424C-89A8-FDE7F38B159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5.xml><?xml version="1.0" encoding="utf-8"?>
<ds:datastoreItem xmlns:ds="http://schemas.openxmlformats.org/officeDocument/2006/customXml" ds:itemID="{0C87226A-DDB6-480B-8F95-041F3569BE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FE-Report-2020.dotx</Template>
  <TotalTime>27</TotalTime>
  <Pages>93</Pages>
  <Words>25397</Words>
  <Characters>140958</Characters>
  <Application>Microsoft Office Word</Application>
  <DocSecurity>0</DocSecurity>
  <Lines>2763</Lines>
  <Paragraphs>1540</Paragraphs>
  <ScaleCrop>false</ScaleCrop>
  <HeadingPairs>
    <vt:vector size="2" baseType="variant">
      <vt:variant>
        <vt:lpstr>Title</vt:lpstr>
      </vt:variant>
      <vt:variant>
        <vt:i4>1</vt:i4>
      </vt:variant>
    </vt:vector>
  </HeadingPairs>
  <TitlesOfParts>
    <vt:vector size="1" baseType="lpstr">
      <vt:lpstr>The economic impacts of new NBN investments on business</vt:lpstr>
    </vt:vector>
  </TitlesOfParts>
  <Company/>
  <LinksUpToDate>false</LinksUpToDate>
  <CharactersWithSpaces>164815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economic impacts of new NBN investments on business</dc:title>
  <dc:subject/>
  <dc:creator>Frontier Economics</dc:creator>
  <cp:keywords/>
  <dc:description/>
  <cp:lastModifiedBy>Hall, Theresa</cp:lastModifiedBy>
  <cp:revision>3</cp:revision>
  <cp:lastPrinted>2021-08-12T04:45:00Z</cp:lastPrinted>
  <dcterms:created xsi:type="dcterms:W3CDTF">2021-08-13T06:17:00Z</dcterms:created>
  <dcterms:modified xsi:type="dcterms:W3CDTF">2021-08-13T07:00:00Z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0x010100ED515AF3653B774FA445D75666336D2C</vt:lpwstr>
  </property>
  <property fmtid="{D5CDD505-2E9C-101B-9397-08002B2CF9AE}" pid="3" name="TrimRevisionNumber">
    <vt:i4>3</vt:i4>
  </property>
</Properties>
</file>