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20CF" w14:textId="77777777" w:rsidR="002A619D" w:rsidRDefault="002A619D" w:rsidP="002A619D">
      <w:pPr>
        <w:jc w:val="center"/>
      </w:pPr>
      <w:r>
        <w:rPr>
          <w:noProof/>
          <w:lang w:eastAsia="en-AU"/>
        </w:rPr>
        <w:drawing>
          <wp:inline distT="0" distB="0" distL="0" distR="0" wp14:anchorId="0F0420FB" wp14:editId="0F0420FC">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0F0420D0" w14:textId="77777777" w:rsidR="002A619D" w:rsidRDefault="002A619D" w:rsidP="002A619D">
      <w:pPr>
        <w:spacing w:after="0"/>
        <w:sectPr w:rsidR="002A619D">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40" w:header="0" w:footer="346" w:gutter="0"/>
          <w:cols w:space="720"/>
        </w:sectPr>
      </w:pPr>
    </w:p>
    <w:p w14:paraId="0F0420D1" w14:textId="67A907CA" w:rsidR="002A619D" w:rsidRPr="003C5461" w:rsidRDefault="002A619D" w:rsidP="002A619D">
      <w:pPr>
        <w:pStyle w:val="Heading1"/>
      </w:pPr>
      <w:r w:rsidRPr="003C5461">
        <w:t xml:space="preserve">Australian Government response to the </w:t>
      </w:r>
      <w:r w:rsidR="00E133F2" w:rsidRPr="003C5461">
        <w:t>Senate Select Committee</w:t>
      </w:r>
      <w:r w:rsidRPr="003C5461">
        <w:t xml:space="preserve"> report</w:t>
      </w:r>
      <w:r w:rsidR="00E133F2" w:rsidRPr="003C5461">
        <w:t xml:space="preserve"> on the</w:t>
      </w:r>
      <w:r w:rsidRPr="003C5461">
        <w:t>:</w:t>
      </w:r>
    </w:p>
    <w:p w14:paraId="0F0420D2" w14:textId="5C31F49B" w:rsidR="002A619D" w:rsidRPr="003C5461" w:rsidRDefault="00E133F2" w:rsidP="002A619D">
      <w:pPr>
        <w:pStyle w:val="reporttitle"/>
        <w:rPr>
          <w:rFonts w:asciiTheme="majorHAnsi" w:hAnsiTheme="majorHAnsi"/>
        </w:rPr>
      </w:pPr>
      <w:r w:rsidRPr="003C5461">
        <w:t>Tasmanian Freight Equalisation Scheme</w:t>
      </w:r>
    </w:p>
    <w:p w14:paraId="0F0420D3" w14:textId="37C6D27C" w:rsidR="002A619D" w:rsidRDefault="00832231" w:rsidP="002A619D">
      <w:pPr>
        <w:pStyle w:val="monthyearoncover"/>
      </w:pPr>
      <w:proofErr w:type="gramStart"/>
      <w:r>
        <w:t xml:space="preserve">March </w:t>
      </w:r>
      <w:r w:rsidR="00E66849" w:rsidRPr="003C5461">
        <w:t xml:space="preserve"> </w:t>
      </w:r>
      <w:r w:rsidR="00E133F2" w:rsidRPr="003C5461">
        <w:t>202</w:t>
      </w:r>
      <w:r>
        <w:t>6</w:t>
      </w:r>
      <w:proofErr w:type="gramEnd"/>
    </w:p>
    <w:p w14:paraId="0F0420D4" w14:textId="77777777" w:rsidR="002A619D" w:rsidRDefault="002A619D" w:rsidP="002A619D">
      <w:pPr>
        <w:rPr>
          <w:lang w:eastAsia="en-US"/>
        </w:rPr>
      </w:pPr>
      <w:r>
        <w:rPr>
          <w:lang w:eastAsia="en-US"/>
        </w:rPr>
        <w:br w:type="page"/>
      </w:r>
    </w:p>
    <w:p w14:paraId="0F0420D5" w14:textId="77777777" w:rsidR="002A619D" w:rsidRDefault="002A619D" w:rsidP="002A619D">
      <w:pPr>
        <w:pStyle w:val="Heading2-notshowing"/>
      </w:pPr>
      <w:r>
        <w:lastRenderedPageBreak/>
        <w:t>Contents</w:t>
      </w:r>
    </w:p>
    <w:p w14:paraId="0922981C" w14:textId="0EDF6AE9" w:rsidR="00CB436E" w:rsidRDefault="002A619D">
      <w:pPr>
        <w:pStyle w:val="TOC1"/>
        <w:rPr>
          <w:b w:val="0"/>
          <w:noProof/>
          <w:sz w:val="22"/>
          <w:lang w:eastAsia="en-AU"/>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209599087" w:history="1">
        <w:r w:rsidR="00CB436E" w:rsidRPr="00D06D40">
          <w:rPr>
            <w:rStyle w:val="Hyperlink"/>
            <w:noProof/>
          </w:rPr>
          <w:t>Overview</w:t>
        </w:r>
        <w:r w:rsidR="00CB436E">
          <w:rPr>
            <w:noProof/>
            <w:webHidden/>
          </w:rPr>
          <w:tab/>
        </w:r>
        <w:r w:rsidR="00CB436E">
          <w:rPr>
            <w:noProof/>
            <w:webHidden/>
          </w:rPr>
          <w:fldChar w:fldCharType="begin"/>
        </w:r>
        <w:r w:rsidR="00CB436E">
          <w:rPr>
            <w:noProof/>
            <w:webHidden/>
          </w:rPr>
          <w:instrText xml:space="preserve"> PAGEREF _Toc209599087 \h </w:instrText>
        </w:r>
        <w:r w:rsidR="00CB436E">
          <w:rPr>
            <w:noProof/>
            <w:webHidden/>
          </w:rPr>
        </w:r>
        <w:r w:rsidR="00CB436E">
          <w:rPr>
            <w:noProof/>
            <w:webHidden/>
          </w:rPr>
          <w:fldChar w:fldCharType="separate"/>
        </w:r>
        <w:r w:rsidR="00CB436E">
          <w:rPr>
            <w:noProof/>
            <w:webHidden/>
          </w:rPr>
          <w:t>3</w:t>
        </w:r>
        <w:r w:rsidR="00CB436E">
          <w:rPr>
            <w:noProof/>
            <w:webHidden/>
          </w:rPr>
          <w:fldChar w:fldCharType="end"/>
        </w:r>
      </w:hyperlink>
    </w:p>
    <w:p w14:paraId="0F322777" w14:textId="745965F7" w:rsidR="00CB436E" w:rsidRDefault="00CB436E">
      <w:pPr>
        <w:pStyle w:val="TOC1"/>
        <w:rPr>
          <w:b w:val="0"/>
          <w:noProof/>
          <w:sz w:val="22"/>
          <w:lang w:eastAsia="en-AU"/>
        </w:rPr>
      </w:pPr>
      <w:hyperlink w:anchor="_Toc209599088" w:history="1">
        <w:r w:rsidRPr="00D06D40">
          <w:rPr>
            <w:rStyle w:val="Hyperlink"/>
            <w:noProof/>
          </w:rPr>
          <w:t>Australian Government response</w:t>
        </w:r>
        <w:r>
          <w:rPr>
            <w:noProof/>
            <w:webHidden/>
          </w:rPr>
          <w:tab/>
        </w:r>
        <w:r>
          <w:rPr>
            <w:noProof/>
            <w:webHidden/>
          </w:rPr>
          <w:fldChar w:fldCharType="begin"/>
        </w:r>
        <w:r>
          <w:rPr>
            <w:noProof/>
            <w:webHidden/>
          </w:rPr>
          <w:instrText xml:space="preserve"> PAGEREF _Toc209599088 \h </w:instrText>
        </w:r>
        <w:r>
          <w:rPr>
            <w:noProof/>
            <w:webHidden/>
          </w:rPr>
        </w:r>
        <w:r>
          <w:rPr>
            <w:noProof/>
            <w:webHidden/>
          </w:rPr>
          <w:fldChar w:fldCharType="separate"/>
        </w:r>
        <w:r>
          <w:rPr>
            <w:noProof/>
            <w:webHidden/>
          </w:rPr>
          <w:t>4</w:t>
        </w:r>
        <w:r>
          <w:rPr>
            <w:noProof/>
            <w:webHidden/>
          </w:rPr>
          <w:fldChar w:fldCharType="end"/>
        </w:r>
      </w:hyperlink>
    </w:p>
    <w:p w14:paraId="1220CA0A" w14:textId="3C4F4027" w:rsidR="00CB436E" w:rsidRDefault="00CB436E">
      <w:pPr>
        <w:pStyle w:val="TOC2"/>
        <w:rPr>
          <w:noProof/>
          <w:lang w:eastAsia="en-AU"/>
        </w:rPr>
      </w:pPr>
      <w:hyperlink w:anchor="_Toc209599089" w:history="1">
        <w:r w:rsidRPr="00D06D40">
          <w:rPr>
            <w:rStyle w:val="Hyperlink"/>
            <w:noProof/>
          </w:rPr>
          <w:t>Recommendation 1:</w:t>
        </w:r>
        <w:r>
          <w:rPr>
            <w:noProof/>
            <w:webHidden/>
          </w:rPr>
          <w:tab/>
        </w:r>
        <w:r>
          <w:rPr>
            <w:noProof/>
            <w:webHidden/>
          </w:rPr>
          <w:fldChar w:fldCharType="begin"/>
        </w:r>
        <w:r>
          <w:rPr>
            <w:noProof/>
            <w:webHidden/>
          </w:rPr>
          <w:instrText xml:space="preserve"> PAGEREF _Toc209599089 \h </w:instrText>
        </w:r>
        <w:r>
          <w:rPr>
            <w:noProof/>
            <w:webHidden/>
          </w:rPr>
        </w:r>
        <w:r>
          <w:rPr>
            <w:noProof/>
            <w:webHidden/>
          </w:rPr>
          <w:fldChar w:fldCharType="separate"/>
        </w:r>
        <w:r>
          <w:rPr>
            <w:noProof/>
            <w:webHidden/>
          </w:rPr>
          <w:t>4</w:t>
        </w:r>
        <w:r>
          <w:rPr>
            <w:noProof/>
            <w:webHidden/>
          </w:rPr>
          <w:fldChar w:fldCharType="end"/>
        </w:r>
      </w:hyperlink>
    </w:p>
    <w:p w14:paraId="0EF391E4" w14:textId="54580DCE" w:rsidR="00CB436E" w:rsidRDefault="00CB436E">
      <w:pPr>
        <w:pStyle w:val="TOC2"/>
        <w:rPr>
          <w:noProof/>
          <w:lang w:eastAsia="en-AU"/>
        </w:rPr>
      </w:pPr>
      <w:hyperlink w:anchor="_Toc209599090" w:history="1">
        <w:r w:rsidRPr="00D06D40">
          <w:rPr>
            <w:rStyle w:val="Hyperlink"/>
            <w:noProof/>
          </w:rPr>
          <w:t>Recommendation 2:</w:t>
        </w:r>
        <w:r>
          <w:rPr>
            <w:noProof/>
            <w:webHidden/>
          </w:rPr>
          <w:tab/>
        </w:r>
        <w:r>
          <w:rPr>
            <w:noProof/>
            <w:webHidden/>
          </w:rPr>
          <w:fldChar w:fldCharType="begin"/>
        </w:r>
        <w:r>
          <w:rPr>
            <w:noProof/>
            <w:webHidden/>
          </w:rPr>
          <w:instrText xml:space="preserve"> PAGEREF _Toc209599090 \h </w:instrText>
        </w:r>
        <w:r>
          <w:rPr>
            <w:noProof/>
            <w:webHidden/>
          </w:rPr>
        </w:r>
        <w:r>
          <w:rPr>
            <w:noProof/>
            <w:webHidden/>
          </w:rPr>
          <w:fldChar w:fldCharType="separate"/>
        </w:r>
        <w:r>
          <w:rPr>
            <w:noProof/>
            <w:webHidden/>
          </w:rPr>
          <w:t>5</w:t>
        </w:r>
        <w:r>
          <w:rPr>
            <w:noProof/>
            <w:webHidden/>
          </w:rPr>
          <w:fldChar w:fldCharType="end"/>
        </w:r>
      </w:hyperlink>
    </w:p>
    <w:p w14:paraId="31308A68" w14:textId="25D7B8ED" w:rsidR="00CB436E" w:rsidRDefault="00CB436E">
      <w:pPr>
        <w:pStyle w:val="TOC2"/>
        <w:rPr>
          <w:noProof/>
          <w:lang w:eastAsia="en-AU"/>
        </w:rPr>
      </w:pPr>
      <w:hyperlink w:anchor="_Toc209599091" w:history="1">
        <w:r w:rsidRPr="00D06D40">
          <w:rPr>
            <w:rStyle w:val="Hyperlink"/>
            <w:noProof/>
          </w:rPr>
          <w:t>Recommendation 3:</w:t>
        </w:r>
        <w:r>
          <w:rPr>
            <w:noProof/>
            <w:webHidden/>
          </w:rPr>
          <w:tab/>
        </w:r>
        <w:r>
          <w:rPr>
            <w:noProof/>
            <w:webHidden/>
          </w:rPr>
          <w:fldChar w:fldCharType="begin"/>
        </w:r>
        <w:r>
          <w:rPr>
            <w:noProof/>
            <w:webHidden/>
          </w:rPr>
          <w:instrText xml:space="preserve"> PAGEREF _Toc209599091 \h </w:instrText>
        </w:r>
        <w:r>
          <w:rPr>
            <w:noProof/>
            <w:webHidden/>
          </w:rPr>
        </w:r>
        <w:r>
          <w:rPr>
            <w:noProof/>
            <w:webHidden/>
          </w:rPr>
          <w:fldChar w:fldCharType="separate"/>
        </w:r>
        <w:r>
          <w:rPr>
            <w:noProof/>
            <w:webHidden/>
          </w:rPr>
          <w:t>5</w:t>
        </w:r>
        <w:r>
          <w:rPr>
            <w:noProof/>
            <w:webHidden/>
          </w:rPr>
          <w:fldChar w:fldCharType="end"/>
        </w:r>
      </w:hyperlink>
    </w:p>
    <w:p w14:paraId="2E3A8290" w14:textId="00842207" w:rsidR="00CB436E" w:rsidRDefault="00CB436E">
      <w:pPr>
        <w:pStyle w:val="TOC2"/>
        <w:rPr>
          <w:noProof/>
          <w:lang w:eastAsia="en-AU"/>
        </w:rPr>
      </w:pPr>
      <w:hyperlink w:anchor="_Toc209599092" w:history="1">
        <w:r w:rsidRPr="00D06D40">
          <w:rPr>
            <w:rStyle w:val="Hyperlink"/>
            <w:noProof/>
          </w:rPr>
          <w:t>Recommendation 4:</w:t>
        </w:r>
        <w:r>
          <w:rPr>
            <w:noProof/>
            <w:webHidden/>
          </w:rPr>
          <w:tab/>
        </w:r>
        <w:r>
          <w:rPr>
            <w:noProof/>
            <w:webHidden/>
          </w:rPr>
          <w:fldChar w:fldCharType="begin"/>
        </w:r>
        <w:r>
          <w:rPr>
            <w:noProof/>
            <w:webHidden/>
          </w:rPr>
          <w:instrText xml:space="preserve"> PAGEREF _Toc209599092 \h </w:instrText>
        </w:r>
        <w:r>
          <w:rPr>
            <w:noProof/>
            <w:webHidden/>
          </w:rPr>
        </w:r>
        <w:r>
          <w:rPr>
            <w:noProof/>
            <w:webHidden/>
          </w:rPr>
          <w:fldChar w:fldCharType="separate"/>
        </w:r>
        <w:r>
          <w:rPr>
            <w:noProof/>
            <w:webHidden/>
          </w:rPr>
          <w:t>6</w:t>
        </w:r>
        <w:r>
          <w:rPr>
            <w:noProof/>
            <w:webHidden/>
          </w:rPr>
          <w:fldChar w:fldCharType="end"/>
        </w:r>
      </w:hyperlink>
    </w:p>
    <w:p w14:paraId="15AF8C6E" w14:textId="792539D9" w:rsidR="00CB436E" w:rsidRDefault="00CB436E">
      <w:pPr>
        <w:pStyle w:val="TOC2"/>
        <w:rPr>
          <w:noProof/>
          <w:lang w:eastAsia="en-AU"/>
        </w:rPr>
      </w:pPr>
      <w:hyperlink w:anchor="_Toc209599093" w:history="1">
        <w:r w:rsidRPr="00D06D40">
          <w:rPr>
            <w:rStyle w:val="Hyperlink"/>
            <w:noProof/>
          </w:rPr>
          <w:t>Recommendation 5:</w:t>
        </w:r>
        <w:r>
          <w:rPr>
            <w:noProof/>
            <w:webHidden/>
          </w:rPr>
          <w:tab/>
        </w:r>
        <w:r>
          <w:rPr>
            <w:noProof/>
            <w:webHidden/>
          </w:rPr>
          <w:fldChar w:fldCharType="begin"/>
        </w:r>
        <w:r>
          <w:rPr>
            <w:noProof/>
            <w:webHidden/>
          </w:rPr>
          <w:instrText xml:space="preserve"> PAGEREF _Toc209599093 \h </w:instrText>
        </w:r>
        <w:r>
          <w:rPr>
            <w:noProof/>
            <w:webHidden/>
          </w:rPr>
        </w:r>
        <w:r>
          <w:rPr>
            <w:noProof/>
            <w:webHidden/>
          </w:rPr>
          <w:fldChar w:fldCharType="separate"/>
        </w:r>
        <w:r>
          <w:rPr>
            <w:noProof/>
            <w:webHidden/>
          </w:rPr>
          <w:t>6</w:t>
        </w:r>
        <w:r>
          <w:rPr>
            <w:noProof/>
            <w:webHidden/>
          </w:rPr>
          <w:fldChar w:fldCharType="end"/>
        </w:r>
      </w:hyperlink>
    </w:p>
    <w:p w14:paraId="0AAB21B2" w14:textId="52E4AC46" w:rsidR="00CB436E" w:rsidRDefault="00CB436E">
      <w:pPr>
        <w:pStyle w:val="TOC2"/>
        <w:rPr>
          <w:noProof/>
          <w:lang w:eastAsia="en-AU"/>
        </w:rPr>
      </w:pPr>
      <w:hyperlink w:anchor="_Toc209599094" w:history="1">
        <w:r w:rsidRPr="00D06D40">
          <w:rPr>
            <w:rStyle w:val="Hyperlink"/>
            <w:noProof/>
          </w:rPr>
          <w:t>Additional comments from the Chair, Coalition Senators, and the Australian Greens</w:t>
        </w:r>
        <w:r>
          <w:rPr>
            <w:noProof/>
            <w:webHidden/>
          </w:rPr>
          <w:tab/>
        </w:r>
        <w:r>
          <w:rPr>
            <w:noProof/>
            <w:webHidden/>
          </w:rPr>
          <w:fldChar w:fldCharType="begin"/>
        </w:r>
        <w:r>
          <w:rPr>
            <w:noProof/>
            <w:webHidden/>
          </w:rPr>
          <w:instrText xml:space="preserve"> PAGEREF _Toc209599094 \h </w:instrText>
        </w:r>
        <w:r>
          <w:rPr>
            <w:noProof/>
            <w:webHidden/>
          </w:rPr>
        </w:r>
        <w:r>
          <w:rPr>
            <w:noProof/>
            <w:webHidden/>
          </w:rPr>
          <w:fldChar w:fldCharType="separate"/>
        </w:r>
        <w:r>
          <w:rPr>
            <w:noProof/>
            <w:webHidden/>
          </w:rPr>
          <w:t>6</w:t>
        </w:r>
        <w:r>
          <w:rPr>
            <w:noProof/>
            <w:webHidden/>
          </w:rPr>
          <w:fldChar w:fldCharType="end"/>
        </w:r>
      </w:hyperlink>
    </w:p>
    <w:p w14:paraId="0F0420DB" w14:textId="5D25AB1E" w:rsidR="002A619D" w:rsidRDefault="002A619D" w:rsidP="002A619D">
      <w:pPr>
        <w:rPr>
          <w:lang w:eastAsia="en-US"/>
        </w:rPr>
      </w:pPr>
      <w:r>
        <w:rPr>
          <w:lang w:eastAsia="en-US"/>
        </w:rPr>
        <w:fldChar w:fldCharType="end"/>
      </w:r>
    </w:p>
    <w:p w14:paraId="0F0420DD" w14:textId="77777777" w:rsidR="002A619D" w:rsidRDefault="002A619D" w:rsidP="002A619D">
      <w:pPr>
        <w:rPr>
          <w:lang w:eastAsia="en-US"/>
        </w:rPr>
      </w:pPr>
    </w:p>
    <w:p w14:paraId="0F0420DE" w14:textId="77777777" w:rsidR="002A619D" w:rsidRDefault="002A619D" w:rsidP="002A619D">
      <w:pPr>
        <w:spacing w:after="0"/>
        <w:rPr>
          <w:lang w:eastAsia="en-US"/>
        </w:rPr>
        <w:sectPr w:rsidR="002A619D">
          <w:type w:val="continuous"/>
          <w:pgSz w:w="11906" w:h="16838"/>
          <w:pgMar w:top="1418" w:right="1133" w:bottom="1440" w:left="1440" w:header="510" w:footer="510" w:gutter="0"/>
          <w:pgNumType w:fmt="lowerRoman" w:start="1"/>
          <w:cols w:space="720"/>
        </w:sectPr>
      </w:pPr>
    </w:p>
    <w:p w14:paraId="0F0420DF" w14:textId="77777777" w:rsidR="002A619D" w:rsidRDefault="002A619D" w:rsidP="002A619D">
      <w:pPr>
        <w:pStyle w:val="Heading2"/>
      </w:pPr>
      <w:bookmarkStart w:id="0" w:name="_Toc499905942"/>
      <w:bookmarkStart w:id="1" w:name="_Toc209599087"/>
      <w:bookmarkStart w:id="2" w:name="_Toc412126163"/>
      <w:bookmarkStart w:id="3" w:name="_Toc382493211"/>
      <w:r>
        <w:t>Overview</w:t>
      </w:r>
      <w:bookmarkEnd w:id="0"/>
      <w:bookmarkEnd w:id="1"/>
    </w:p>
    <w:p w14:paraId="468BA8DE" w14:textId="3A45E92C" w:rsidR="00DB3417" w:rsidRDefault="002A619D" w:rsidP="00D62773">
      <w:pPr>
        <w:spacing w:after="0"/>
      </w:pPr>
      <w:r>
        <w:t xml:space="preserve">The Australian Government </w:t>
      </w:r>
      <w:r w:rsidR="00D62773">
        <w:t>welcomes</w:t>
      </w:r>
      <w:r>
        <w:t xml:space="preserve"> the report by the </w:t>
      </w:r>
      <w:r w:rsidR="00D62773">
        <w:t xml:space="preserve">Senate </w:t>
      </w:r>
      <w:r w:rsidR="00E133F2">
        <w:t xml:space="preserve">Select Committee </w:t>
      </w:r>
      <w:r w:rsidR="00D62773">
        <w:t xml:space="preserve">(the committee) </w:t>
      </w:r>
      <w:r w:rsidR="00E133F2">
        <w:t>on the Tasmanian Freight Equalisation Scheme</w:t>
      </w:r>
      <w:r>
        <w:t xml:space="preserve"> (</w:t>
      </w:r>
      <w:r w:rsidR="00D62773">
        <w:t>TFES</w:t>
      </w:r>
      <w:r>
        <w:t>)</w:t>
      </w:r>
      <w:r w:rsidR="00D62773">
        <w:t>.</w:t>
      </w:r>
    </w:p>
    <w:p w14:paraId="2923252C" w14:textId="77777777" w:rsidR="00DB3417" w:rsidRDefault="00DB3417" w:rsidP="00E133F2">
      <w:pPr>
        <w:spacing w:after="0"/>
      </w:pPr>
    </w:p>
    <w:p w14:paraId="49C94EB5" w14:textId="40A3C2EB" w:rsidR="00E133F2" w:rsidRPr="00DB3417" w:rsidRDefault="00E133F2" w:rsidP="00E133F2">
      <w:pPr>
        <w:spacing w:after="0"/>
      </w:pPr>
      <w:r>
        <w:t xml:space="preserve">The Government recognises the importance of the efficient </w:t>
      </w:r>
      <w:r w:rsidR="00D62773">
        <w:t>movement</w:t>
      </w:r>
      <w:r>
        <w:t xml:space="preserve"> of goods and passengers across Bass Strait to Tasmania’s broader economy</w:t>
      </w:r>
      <w:r w:rsidR="0056383B">
        <w:t xml:space="preserve"> and</w:t>
      </w:r>
      <w:r w:rsidRPr="00DB3417">
        <w:t xml:space="preserve"> remains strongly committed to retaining the TFES and the Bass Strait Passenger Vehicle Equalisation Scheme (BSPVES) to help offset shipping costs faced by shippers and passengers across Bass Strait.</w:t>
      </w:r>
      <w:r w:rsidR="00960C3A">
        <w:t xml:space="preserve"> </w:t>
      </w:r>
    </w:p>
    <w:p w14:paraId="18EA7486" w14:textId="77777777" w:rsidR="00DB3417" w:rsidRPr="00DB3417" w:rsidRDefault="00DB3417" w:rsidP="00E133F2">
      <w:pPr>
        <w:spacing w:after="0"/>
      </w:pPr>
    </w:p>
    <w:p w14:paraId="1723B8C0" w14:textId="3D825A1B" w:rsidR="00E133F2" w:rsidRDefault="00E133F2" w:rsidP="00E133F2">
      <w:pPr>
        <w:spacing w:after="0"/>
      </w:pPr>
      <w:r w:rsidRPr="00DB3417">
        <w:t xml:space="preserve">For many years </w:t>
      </w:r>
      <w:r w:rsidR="00D62773">
        <w:t xml:space="preserve">successive </w:t>
      </w:r>
      <w:r w:rsidRPr="00DB3417">
        <w:t xml:space="preserve">Governments have provided significant support to Tasmania </w:t>
      </w:r>
      <w:r w:rsidR="00D62773">
        <w:t>through</w:t>
      </w:r>
      <w:r w:rsidRPr="00DB3417">
        <w:t xml:space="preserve"> the TFES and the BSPVES.</w:t>
      </w:r>
      <w:r>
        <w:t xml:space="preserve"> The schemes are designed to reduce the shipping disadvantage faced by Tasmania and assist its producers to compete in </w:t>
      </w:r>
      <w:r w:rsidR="00D62773">
        <w:t xml:space="preserve">other </w:t>
      </w:r>
      <w:r>
        <w:t xml:space="preserve">markets as well as alleviate the cost of sea travel across Bass Strait. </w:t>
      </w:r>
      <w:bookmarkStart w:id="4" w:name="_Hlk187150997"/>
      <w:r w:rsidRPr="008727B1">
        <w:t xml:space="preserve">Collectively, the TFES and BSPVES have </w:t>
      </w:r>
      <w:r w:rsidR="00C159E0">
        <w:t>delivered</w:t>
      </w:r>
      <w:r w:rsidRPr="008727B1">
        <w:t xml:space="preserve"> more than $</w:t>
      </w:r>
      <w:r w:rsidR="008727B1" w:rsidRPr="008727B1">
        <w:t>6</w:t>
      </w:r>
      <w:r w:rsidRPr="008727B1">
        <w:t xml:space="preserve"> billion </w:t>
      </w:r>
      <w:r w:rsidR="00C159E0">
        <w:t>to Tasmanian business</w:t>
      </w:r>
      <w:r w:rsidR="002E38CD">
        <w:t>es</w:t>
      </w:r>
      <w:r w:rsidR="00C159E0">
        <w:t xml:space="preserve"> </w:t>
      </w:r>
      <w:r w:rsidRPr="008727B1">
        <w:t>since their introduction in 1976 and 1996 respectively.</w:t>
      </w:r>
    </w:p>
    <w:bookmarkEnd w:id="4"/>
    <w:p w14:paraId="69C0F176" w14:textId="23070820" w:rsidR="00E133F2" w:rsidRDefault="00E133F2" w:rsidP="00E133F2">
      <w:pPr>
        <w:spacing w:after="0"/>
      </w:pPr>
    </w:p>
    <w:p w14:paraId="5FCF78C8" w14:textId="027714D0" w:rsidR="00BD21E0" w:rsidRPr="00F33B98" w:rsidRDefault="007E2572" w:rsidP="00E133F2">
      <w:pPr>
        <w:spacing w:after="0"/>
      </w:pPr>
      <w:r w:rsidRPr="00F33B98">
        <w:t>For TFES shipments from 1 July 2025 to 30 June 2027, the rate of assistance has been increased by 25 per cent. This increase applies to all components of the scheme and delivers a real boost for thousands of Tasmanian businesses. As the scheme nears the end of its fifth decade in operation, the Government has also commissioned a comprehensive review of TFES to ensure it continues to support Tasmanian businesses into the future.</w:t>
      </w:r>
    </w:p>
    <w:p w14:paraId="47A97C02" w14:textId="77777777" w:rsidR="00BD21E0" w:rsidRPr="00F33B98" w:rsidRDefault="00BD21E0" w:rsidP="00E133F2">
      <w:pPr>
        <w:spacing w:after="0"/>
      </w:pPr>
    </w:p>
    <w:p w14:paraId="2421E039" w14:textId="3A6E6C5D" w:rsidR="00D62773" w:rsidRDefault="00E133F2" w:rsidP="00D62773">
      <w:pPr>
        <w:spacing w:after="0"/>
      </w:pPr>
      <w:r>
        <w:t>As part of it</w:t>
      </w:r>
      <w:r w:rsidR="00D62773">
        <w:t>s</w:t>
      </w:r>
      <w:r w:rsidR="00612678">
        <w:t xml:space="preserve"> </w:t>
      </w:r>
      <w:r>
        <w:t xml:space="preserve">inquiry into </w:t>
      </w:r>
      <w:r w:rsidR="00612678">
        <w:t xml:space="preserve">the </w:t>
      </w:r>
      <w:r w:rsidR="00BC64A3">
        <w:t>TFES</w:t>
      </w:r>
      <w:r>
        <w:t xml:space="preserve">, the </w:t>
      </w:r>
      <w:r w:rsidR="00612678">
        <w:t>committee</w:t>
      </w:r>
      <w:r w:rsidR="00BC64A3">
        <w:t xml:space="preserve"> </w:t>
      </w:r>
      <w:r>
        <w:t xml:space="preserve">examined </w:t>
      </w:r>
      <w:r w:rsidR="00612678">
        <w:t xml:space="preserve">the merits and weaknesses of the scheme and </w:t>
      </w:r>
      <w:r w:rsidR="00D62773">
        <w:t>whether</w:t>
      </w:r>
      <w:r w:rsidR="00612678">
        <w:t xml:space="preserve"> it is fit for purpose; if the scheme has kept up with increasing costs over the past decade; shipping costs, competition and shipping industry competitive structures across Bass Strait, including alternative freight options; eligibility criteria under the scheme; the operation and administration of the scheme; </w:t>
      </w:r>
      <w:r w:rsidR="00D62773">
        <w:t xml:space="preserve">and </w:t>
      </w:r>
      <w:r w:rsidR="00612678">
        <w:t>how the scheme impacts businesses on King Island and Flinders Island.</w:t>
      </w:r>
      <w:r w:rsidR="00D62773">
        <w:t xml:space="preserve"> T</w:t>
      </w:r>
      <w:r>
        <w:t xml:space="preserve">he </w:t>
      </w:r>
      <w:r w:rsidR="00B703D9">
        <w:t>c</w:t>
      </w:r>
      <w:r w:rsidR="00612678">
        <w:t xml:space="preserve">ommittee </w:t>
      </w:r>
      <w:r>
        <w:t xml:space="preserve">has put forward </w:t>
      </w:r>
      <w:r w:rsidR="00D62773">
        <w:t xml:space="preserve">five </w:t>
      </w:r>
      <w:r>
        <w:t>recommendations to improve the operation</w:t>
      </w:r>
      <w:r w:rsidR="00D62773">
        <w:t xml:space="preserve"> of TFES</w:t>
      </w:r>
      <w:r w:rsidR="001A79AA">
        <w:t>, with additional comments made by the Chair, the Coalition Senators and the Australian Greens</w:t>
      </w:r>
      <w:r>
        <w:t>.</w:t>
      </w:r>
      <w:r w:rsidR="00D62773" w:rsidRPr="00D62773">
        <w:t xml:space="preserve"> </w:t>
      </w:r>
    </w:p>
    <w:p w14:paraId="1CB2C353" w14:textId="77777777" w:rsidR="00D62773" w:rsidRDefault="00D62773" w:rsidP="00D62773">
      <w:pPr>
        <w:spacing w:after="0"/>
      </w:pPr>
    </w:p>
    <w:p w14:paraId="7BA49E39" w14:textId="36CC4109" w:rsidR="00D62773" w:rsidRDefault="00D62773" w:rsidP="00D62773">
      <w:pPr>
        <w:spacing w:after="0"/>
      </w:pPr>
      <w:r>
        <w:t xml:space="preserve">The Government’s response to the Senate Select Committee </w:t>
      </w:r>
      <w:r w:rsidR="002E38CD">
        <w:t xml:space="preserve">report </w:t>
      </w:r>
      <w:r>
        <w:t>on the Tasmanian Freight Equalisation Scheme is set out in detail below.</w:t>
      </w:r>
    </w:p>
    <w:p w14:paraId="794F1113" w14:textId="3FF0B17E" w:rsidR="00E133F2" w:rsidRDefault="00E133F2" w:rsidP="00E133F2">
      <w:pPr>
        <w:spacing w:after="0"/>
      </w:pPr>
    </w:p>
    <w:p w14:paraId="0F0420E2" w14:textId="0106589A" w:rsidR="002A619D" w:rsidRDefault="00E133F2" w:rsidP="00E133F2">
      <w:pPr>
        <w:spacing w:after="0"/>
      </w:pPr>
      <w:r>
        <w:t>The Government has made a commitment to work with the Tasmanian Government to boost Tasmania’s competitiveness to provide more jobs and opportunities for Tasmanians.</w:t>
      </w:r>
      <w:r w:rsidR="002A619D">
        <w:br w:type="page"/>
      </w:r>
    </w:p>
    <w:p w14:paraId="0F0420E3" w14:textId="3ABC3C2C" w:rsidR="002A619D" w:rsidRDefault="002A619D" w:rsidP="002A619D">
      <w:pPr>
        <w:pStyle w:val="Heading2"/>
      </w:pPr>
      <w:bookmarkStart w:id="5" w:name="_Toc499905943"/>
      <w:bookmarkStart w:id="6" w:name="_Toc209599088"/>
      <w:r>
        <w:t>Australian Government response</w:t>
      </w:r>
      <w:bookmarkEnd w:id="5"/>
      <w:bookmarkEnd w:id="6"/>
    </w:p>
    <w:p w14:paraId="625D3894" w14:textId="77777777" w:rsidR="00960C3A" w:rsidRPr="00960C3A" w:rsidRDefault="00960C3A" w:rsidP="00960C3A">
      <w:pPr>
        <w:rPr>
          <w:lang w:eastAsia="en-US"/>
        </w:rPr>
      </w:pPr>
    </w:p>
    <w:p w14:paraId="0F0420E8" w14:textId="77777777"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7" w:name="_Toc209599089"/>
      <w:r>
        <w:t>Recommendation 1:</w:t>
      </w:r>
      <w:bookmarkEnd w:id="7"/>
    </w:p>
    <w:p w14:paraId="0F0420E9" w14:textId="272EEBBD" w:rsidR="002A619D" w:rsidRDefault="00C3269F" w:rsidP="002A619D">
      <w:pPr>
        <w:pBdr>
          <w:top w:val="single" w:sz="4" w:space="1" w:color="auto"/>
          <w:left w:val="single" w:sz="4" w:space="4" w:color="auto"/>
          <w:bottom w:val="single" w:sz="4" w:space="1" w:color="auto"/>
          <w:right w:val="single" w:sz="4" w:space="4" w:color="auto"/>
        </w:pBdr>
        <w:shd w:val="clear" w:color="auto" w:fill="E4E4E4"/>
        <w:ind w:left="567" w:hanging="567"/>
      </w:pPr>
      <w:r>
        <w:t>4.17</w:t>
      </w:r>
      <w:r w:rsidR="002A619D">
        <w:tab/>
      </w:r>
      <w:r>
        <w:t>The committee recommends that the Australian Government undertake a review of the Tasmanian Freight Equalisation Scheme with consideration given to</w:t>
      </w:r>
      <w:r w:rsidR="002A619D">
        <w:t>:</w:t>
      </w:r>
    </w:p>
    <w:p w14:paraId="4E130904" w14:textId="543542BE" w:rsidR="00C3269F" w:rsidRDefault="00944BBE" w:rsidP="002A619D">
      <w:pPr>
        <w:pStyle w:val="Bulletlevel1"/>
        <w:pBdr>
          <w:top w:val="single" w:sz="4" w:space="1" w:color="auto"/>
          <w:left w:val="single" w:sz="4" w:space="4" w:color="auto"/>
          <w:bottom w:val="single" w:sz="4" w:space="1" w:color="auto"/>
          <w:right w:val="single" w:sz="4" w:space="4" w:color="auto"/>
        </w:pBdr>
        <w:shd w:val="clear" w:color="auto" w:fill="E4E4E4"/>
      </w:pPr>
      <w:r>
        <w:t>t</w:t>
      </w:r>
      <w:r w:rsidR="00C3269F">
        <w:t>he original policy intent of the Scheme and whether it remains fit for purpose;</w:t>
      </w:r>
    </w:p>
    <w:p w14:paraId="0F0420EA" w14:textId="4A90F8D1" w:rsidR="002A619D" w:rsidRDefault="00944BBE" w:rsidP="002A619D">
      <w:pPr>
        <w:pStyle w:val="Bulletlevel1"/>
        <w:pBdr>
          <w:top w:val="single" w:sz="4" w:space="1" w:color="auto"/>
          <w:left w:val="single" w:sz="4" w:space="4" w:color="auto"/>
          <w:bottom w:val="single" w:sz="4" w:space="1" w:color="auto"/>
          <w:right w:val="single" w:sz="4" w:space="4" w:color="auto"/>
        </w:pBdr>
        <w:shd w:val="clear" w:color="auto" w:fill="E4E4E4"/>
      </w:pPr>
      <w:r>
        <w:t>o</w:t>
      </w:r>
      <w:r w:rsidR="00C3269F">
        <w:t>ptions to alleviate the freight cost disadvantage incurred by shippers of eligible non-bulk goods between Tasmania, inclusive of the Bass Strait islands and the mainland; and</w:t>
      </w:r>
    </w:p>
    <w:p w14:paraId="0F0420EC" w14:textId="2406C1EE" w:rsidR="002A619D" w:rsidRDefault="00944BBE" w:rsidP="002A619D">
      <w:pPr>
        <w:pStyle w:val="Bulletlevel1"/>
        <w:pBdr>
          <w:top w:val="single" w:sz="4" w:space="1" w:color="auto"/>
          <w:left w:val="single" w:sz="4" w:space="4" w:color="auto"/>
          <w:bottom w:val="single" w:sz="4" w:space="1" w:color="auto"/>
          <w:right w:val="single" w:sz="4" w:space="4" w:color="auto"/>
        </w:pBdr>
        <w:shd w:val="clear" w:color="auto" w:fill="E4E4E4"/>
      </w:pPr>
      <w:r>
        <w:t>t</w:t>
      </w:r>
      <w:r w:rsidR="00C3269F">
        <w:t>he rates of assistance available and the class scale system.</w:t>
      </w:r>
    </w:p>
    <w:p w14:paraId="389FBCCF" w14:textId="77777777" w:rsidR="00C3269F" w:rsidRDefault="00C3269F" w:rsidP="00C3269F">
      <w:pPr>
        <w:pStyle w:val="Bulletlevel1"/>
        <w:numPr>
          <w:ilvl w:val="0"/>
          <w:numId w:val="0"/>
        </w:numPr>
        <w:pBdr>
          <w:top w:val="single" w:sz="4" w:space="1" w:color="auto"/>
          <w:left w:val="single" w:sz="4" w:space="4" w:color="auto"/>
          <w:bottom w:val="single" w:sz="4" w:space="1" w:color="auto"/>
          <w:right w:val="single" w:sz="4" w:space="4" w:color="auto"/>
        </w:pBdr>
        <w:shd w:val="clear" w:color="auto" w:fill="E4E4E4"/>
      </w:pPr>
    </w:p>
    <w:p w14:paraId="0F0420ED" w14:textId="071A919F" w:rsidR="002A619D" w:rsidRDefault="002A619D" w:rsidP="002A619D">
      <w:r>
        <w:t xml:space="preserve">The Government </w:t>
      </w:r>
      <w:r w:rsidR="001058CB">
        <w:rPr>
          <w:b/>
        </w:rPr>
        <w:t>agrees</w:t>
      </w:r>
      <w:r>
        <w:t xml:space="preserve"> </w:t>
      </w:r>
      <w:r w:rsidR="00EC14B5">
        <w:t xml:space="preserve">with </w:t>
      </w:r>
      <w:r>
        <w:t>this recommendation.</w:t>
      </w:r>
    </w:p>
    <w:p w14:paraId="6F462F19" w14:textId="0E762757" w:rsidR="000531D7" w:rsidRDefault="00961DCF" w:rsidP="002A619D">
      <w:r>
        <w:t xml:space="preserve">The Government </w:t>
      </w:r>
      <w:r w:rsidR="002E38CD">
        <w:t>has commissioned</w:t>
      </w:r>
      <w:r>
        <w:t xml:space="preserve"> a review of the TFES</w:t>
      </w:r>
      <w:r w:rsidR="008C1FEE">
        <w:t xml:space="preserve"> to examine options to improve, modernise and enhance the Scheme</w:t>
      </w:r>
      <w:r w:rsidR="001A79AA">
        <w:t>, including the original policy intent of the scheme and whether it remains fit-for-purpose</w:t>
      </w:r>
      <w:r w:rsidR="00A22749">
        <w:t>.</w:t>
      </w:r>
      <w:r w:rsidR="000531D7">
        <w:t xml:space="preserve"> </w:t>
      </w:r>
    </w:p>
    <w:p w14:paraId="0F0420EF" w14:textId="51FA20D7" w:rsidR="002A619D" w:rsidRPr="00961DCF" w:rsidRDefault="000531D7" w:rsidP="002A619D">
      <w:r>
        <w:t xml:space="preserve">The </w:t>
      </w:r>
      <w:r w:rsidR="00EC41EB">
        <w:t>independent co-chairs for the review are Mr David Parmeter and Dr Jenny Gordon</w:t>
      </w:r>
      <w:r>
        <w:t>.</w:t>
      </w:r>
      <w:r w:rsidR="00EC41EB">
        <w:t xml:space="preserve"> </w:t>
      </w:r>
      <w:r w:rsidR="00EC41EB" w:rsidRPr="00EC41EB">
        <w:t>Mr Parmeter has a long history in the maritime industry, having previously served as President of one of the world’s leading international shipping bodies – the Asian Shipowners Association – and as former Chair of Maritime Industry Australia Limited.</w:t>
      </w:r>
      <w:r w:rsidR="00EC41EB">
        <w:t xml:space="preserve"> </w:t>
      </w:r>
      <w:r w:rsidR="00EC41EB" w:rsidRPr="00EC41EB">
        <w:t>Dr Gordon has deep experience in economic and social policy, previously serving as Chief Economist at Nous Group and the Department of Foreign Affairs and Trade.</w:t>
      </w:r>
      <w:r w:rsidR="00EC41EB">
        <w:t xml:space="preserve"> </w:t>
      </w:r>
    </w:p>
    <w:p w14:paraId="62C6DF83" w14:textId="108657B9" w:rsidR="00CF1896" w:rsidRDefault="005D1AE8" w:rsidP="00CF1896">
      <w:pPr>
        <w:spacing w:after="240"/>
        <w:rPr>
          <w:rFonts w:ascii="Times New Roman" w:eastAsiaTheme="minorHAnsi" w:hAnsi="Times New Roman" w:cs="Times New Roman"/>
          <w:sz w:val="24"/>
          <w:szCs w:val="24"/>
          <w:lang w:eastAsia="en-AU"/>
        </w:rPr>
      </w:pPr>
      <w:r>
        <w:t>The</w:t>
      </w:r>
      <w:r w:rsidR="001F1D94">
        <w:t xml:space="preserve"> review will </w:t>
      </w:r>
      <w:r>
        <w:t xml:space="preserve">consider </w:t>
      </w:r>
      <w:r w:rsidR="001F1D94">
        <w:t xml:space="preserve">the economic impact of the scheme, including the </w:t>
      </w:r>
      <w:r w:rsidR="000E031C">
        <w:t>rates of assistance</w:t>
      </w:r>
      <w:r w:rsidR="003C5461">
        <w:t xml:space="preserve">, </w:t>
      </w:r>
      <w:r>
        <w:t xml:space="preserve">options for simplifying the scheme, </w:t>
      </w:r>
      <w:r w:rsidR="003C5461">
        <w:t xml:space="preserve">and the </w:t>
      </w:r>
      <w:r>
        <w:t>competitiveness</w:t>
      </w:r>
      <w:r w:rsidR="003C5461">
        <w:t xml:space="preserve"> </w:t>
      </w:r>
      <w:r>
        <w:t xml:space="preserve">of </w:t>
      </w:r>
      <w:r w:rsidR="00CF1896">
        <w:t xml:space="preserve">sea and air freight </w:t>
      </w:r>
      <w:r>
        <w:t>trade on Bass Strait and</w:t>
      </w:r>
      <w:r w:rsidR="00CF1896">
        <w:t xml:space="preserve"> to the</w:t>
      </w:r>
      <w:r>
        <w:t xml:space="preserve"> Bass Strait islands </w:t>
      </w:r>
      <w:r w:rsidR="003C5461">
        <w:t>(incorporating Recommendation 5</w:t>
      </w:r>
      <w:r>
        <w:t xml:space="preserve"> within this broader review</w:t>
      </w:r>
      <w:r w:rsidR="003C5461">
        <w:t>).</w:t>
      </w:r>
      <w:r w:rsidR="002E38CD">
        <w:t xml:space="preserve"> </w:t>
      </w:r>
      <w:r w:rsidR="00F80CF6">
        <w:t>The terms of reference for the review are available at</w:t>
      </w:r>
      <w:r w:rsidR="00CF1896">
        <w:t xml:space="preserve"> </w:t>
      </w:r>
      <w:r w:rsidR="00CF1896" w:rsidRPr="00CF1896">
        <w:rPr>
          <w:u w:val="single"/>
        </w:rPr>
        <w:t>www.infrastructure.gov.au/infrastructure-transport-vehicles/maritime/tasmanian-transport-scheme</w:t>
      </w:r>
      <w:r w:rsidR="00CF1896">
        <w:rPr>
          <w:u w:val="single"/>
        </w:rPr>
        <w:t>s</w:t>
      </w:r>
      <w:r w:rsidR="007649A9" w:rsidRPr="007649A9">
        <w:t>.</w:t>
      </w:r>
      <w:r w:rsidR="00CF1896">
        <w:rPr>
          <w:rFonts w:ascii="Times New Roman" w:eastAsiaTheme="minorHAnsi" w:hAnsi="Times New Roman" w:cs="Times New Roman"/>
          <w:sz w:val="24"/>
          <w:szCs w:val="24"/>
          <w:lang w:eastAsia="en-AU"/>
        </w:rPr>
        <w:t xml:space="preserve"> </w:t>
      </w:r>
    </w:p>
    <w:p w14:paraId="426B2978" w14:textId="4BEBE644" w:rsidR="003C5461" w:rsidRDefault="002E38CD" w:rsidP="002A619D">
      <w:r>
        <w:t xml:space="preserve">The review </w:t>
      </w:r>
      <w:r w:rsidRPr="002E38CD">
        <w:t>will also consider how the B</w:t>
      </w:r>
      <w:r w:rsidR="00CF1896">
        <w:t>SPVES</w:t>
      </w:r>
      <w:r w:rsidRPr="002E38CD">
        <w:t xml:space="preserve"> is reducing the cost of </w:t>
      </w:r>
      <w:r w:rsidR="00CF1896">
        <w:t xml:space="preserve">moving </w:t>
      </w:r>
      <w:r w:rsidRPr="002E38CD">
        <w:t xml:space="preserve">passenger vehicles across Bass Strait, and explore other issues raised </w:t>
      </w:r>
      <w:r w:rsidR="00CF1896">
        <w:t>in</w:t>
      </w:r>
      <w:r w:rsidRPr="002E38CD">
        <w:t xml:space="preserve"> last year’s Senate Select Committee inquiry on the TFES.</w:t>
      </w:r>
      <w:r w:rsidR="00EC41EB">
        <w:t xml:space="preserve"> </w:t>
      </w:r>
      <w:r w:rsidR="00EC41EB" w:rsidRPr="00EC41EB">
        <w:t xml:space="preserve">A final review report and recommendations are due to the </w:t>
      </w:r>
      <w:r w:rsidR="00EC41EB">
        <w:t>G</w:t>
      </w:r>
      <w:r w:rsidR="00EC41EB" w:rsidRPr="00EC41EB">
        <w:t xml:space="preserve">overnment by </w:t>
      </w:r>
      <w:proofErr w:type="spellStart"/>
      <w:r w:rsidR="00A0435A">
        <w:t xml:space="preserve">mid </w:t>
      </w:r>
      <w:r w:rsidR="00EC41EB" w:rsidRPr="00EC41EB">
        <w:t>202</w:t>
      </w:r>
      <w:r w:rsidR="00CF1896">
        <w:t>6</w:t>
      </w:r>
      <w:proofErr w:type="spellEnd"/>
      <w:r w:rsidR="00CF1896">
        <w:t>.</w:t>
      </w:r>
    </w:p>
    <w:p w14:paraId="04EC70A0" w14:textId="25E2364B" w:rsidR="00960C3A" w:rsidRDefault="00960C3A" w:rsidP="002A619D">
      <w:r w:rsidRPr="00960C3A">
        <w:t>Since July</w:t>
      </w:r>
      <w:r>
        <w:t xml:space="preserve"> 2025</w:t>
      </w:r>
      <w:r w:rsidRPr="00960C3A">
        <w:t xml:space="preserve">, Tasmanian businesses have been benefitting from a 25 per cent increase in </w:t>
      </w:r>
      <w:r>
        <w:t xml:space="preserve">TFES </w:t>
      </w:r>
      <w:r w:rsidRPr="00960C3A">
        <w:t>assistance rates – putting more money in their back pockets at a time it’s needed most.</w:t>
      </w:r>
      <w:r>
        <w:t xml:space="preserve"> The estimated cost of this increased assistance is $93 million over two years.</w:t>
      </w:r>
    </w:p>
    <w:p w14:paraId="7249A665" w14:textId="0E817804" w:rsidR="00960C3A" w:rsidRDefault="00960C3A">
      <w:pPr>
        <w:spacing w:after="160" w:line="259" w:lineRule="auto"/>
      </w:pPr>
      <w:r>
        <w:br w:type="page"/>
      </w:r>
    </w:p>
    <w:p w14:paraId="17E5E6BB" w14:textId="5BA5535D" w:rsidR="00960C3A" w:rsidRDefault="00960C3A" w:rsidP="002A619D"/>
    <w:p w14:paraId="0F0420F1" w14:textId="77777777" w:rsidR="002A619D" w:rsidRDefault="002A619D" w:rsidP="002A619D">
      <w:pPr>
        <w:pStyle w:val="Heading3"/>
        <w:pBdr>
          <w:top w:val="single" w:sz="4" w:space="1" w:color="auto"/>
          <w:left w:val="single" w:sz="4" w:space="4" w:color="auto"/>
          <w:bottom w:val="single" w:sz="4" w:space="1" w:color="auto"/>
          <w:right w:val="single" w:sz="4" w:space="4" w:color="auto"/>
        </w:pBdr>
      </w:pPr>
      <w:bookmarkStart w:id="8" w:name="_Toc209599090"/>
      <w:r>
        <w:t>Recommendation 2:</w:t>
      </w:r>
      <w:bookmarkEnd w:id="8"/>
    </w:p>
    <w:p w14:paraId="0F0420F2" w14:textId="71AACDCB" w:rsidR="002A619D" w:rsidRDefault="00C3269F" w:rsidP="002A619D">
      <w:pPr>
        <w:pBdr>
          <w:top w:val="single" w:sz="4" w:space="1" w:color="auto"/>
          <w:left w:val="single" w:sz="4" w:space="4" w:color="auto"/>
          <w:bottom w:val="single" w:sz="4" w:space="1" w:color="auto"/>
          <w:right w:val="single" w:sz="4" w:space="4" w:color="auto"/>
        </w:pBdr>
        <w:shd w:val="clear" w:color="auto" w:fill="E4E4E4"/>
        <w:ind w:left="567" w:hanging="567"/>
      </w:pPr>
      <w:r>
        <w:t>4.18</w:t>
      </w:r>
      <w:r w:rsidR="002A619D">
        <w:tab/>
      </w:r>
      <w:r>
        <w:t>The committee recommends that, in the review of Government Business Enterprises currently being conducted by the Tasmanian Government</w:t>
      </w:r>
      <w:r w:rsidR="00721075">
        <w:t>, the following factors be considered in consultation with key port stakeholders</w:t>
      </w:r>
      <w:r w:rsidR="002A619D">
        <w:t>:</w:t>
      </w:r>
    </w:p>
    <w:p w14:paraId="0F0420F3" w14:textId="794BAE3E" w:rsidR="002A619D" w:rsidRDefault="00721075" w:rsidP="002A619D">
      <w:pPr>
        <w:pStyle w:val="Bulletlevel1"/>
        <w:pBdr>
          <w:top w:val="single" w:sz="4" w:space="1" w:color="auto"/>
          <w:left w:val="single" w:sz="4" w:space="4" w:color="auto"/>
          <w:bottom w:val="single" w:sz="4" w:space="1" w:color="auto"/>
          <w:right w:val="single" w:sz="4" w:space="4" w:color="auto"/>
        </w:pBdr>
        <w:shd w:val="clear" w:color="auto" w:fill="E4E4E4"/>
      </w:pPr>
      <w:r>
        <w:t xml:space="preserve">The primary role of </w:t>
      </w:r>
      <w:proofErr w:type="spellStart"/>
      <w:r>
        <w:t>TasPorts</w:t>
      </w:r>
      <w:proofErr w:type="spellEnd"/>
      <w:r>
        <w:t xml:space="preserve"> be; to provide the most efficient and cost effective facilitation of trade; and</w:t>
      </w:r>
    </w:p>
    <w:p w14:paraId="0F0420F4" w14:textId="22DDB27F" w:rsidR="002A619D" w:rsidRDefault="00721075" w:rsidP="00E74570">
      <w:pPr>
        <w:pStyle w:val="Bulletlevel1"/>
        <w:pBdr>
          <w:top w:val="single" w:sz="4" w:space="1" w:color="auto"/>
          <w:left w:val="single" w:sz="4" w:space="4" w:color="auto"/>
          <w:bottom w:val="single" w:sz="4" w:space="1" w:color="auto"/>
          <w:right w:val="single" w:sz="4" w:space="4" w:color="auto"/>
        </w:pBdr>
        <w:shd w:val="clear" w:color="auto" w:fill="E4E4E4"/>
      </w:pPr>
      <w:r>
        <w:t xml:space="preserve">The role of </w:t>
      </w:r>
      <w:proofErr w:type="spellStart"/>
      <w:r>
        <w:t>TasPorts</w:t>
      </w:r>
      <w:proofErr w:type="spellEnd"/>
      <w:r>
        <w:t xml:space="preserve"> as a shipping operator given the National Competition Policy complications and additional costs generated.</w:t>
      </w:r>
    </w:p>
    <w:p w14:paraId="2E156517" w14:textId="77777777" w:rsidR="00721075" w:rsidRDefault="00721075" w:rsidP="00721075">
      <w:pPr>
        <w:pStyle w:val="Bulletlevel1"/>
        <w:numPr>
          <w:ilvl w:val="0"/>
          <w:numId w:val="0"/>
        </w:numPr>
        <w:pBdr>
          <w:top w:val="single" w:sz="4" w:space="1" w:color="auto"/>
          <w:left w:val="single" w:sz="4" w:space="4" w:color="auto"/>
          <w:bottom w:val="single" w:sz="4" w:space="1" w:color="auto"/>
          <w:right w:val="single" w:sz="4" w:space="4" w:color="auto"/>
        </w:pBdr>
        <w:shd w:val="clear" w:color="auto" w:fill="E4E4E4"/>
      </w:pPr>
    </w:p>
    <w:p w14:paraId="0F0420F6" w14:textId="21FB0DC8" w:rsidR="002A619D" w:rsidRDefault="002A619D" w:rsidP="002A619D">
      <w:r>
        <w:t xml:space="preserve">The Government </w:t>
      </w:r>
      <w:r>
        <w:rPr>
          <w:b/>
        </w:rPr>
        <w:t>notes</w:t>
      </w:r>
      <w:r>
        <w:t xml:space="preserve"> this recommendation.</w:t>
      </w:r>
    </w:p>
    <w:p w14:paraId="0F0420F7" w14:textId="4D5462D2" w:rsidR="002A619D" w:rsidRPr="00961DCF" w:rsidRDefault="00961DCF" w:rsidP="002A619D">
      <w:proofErr w:type="spellStart"/>
      <w:r>
        <w:t>TasPorts</w:t>
      </w:r>
      <w:proofErr w:type="spellEnd"/>
      <w:r>
        <w:t xml:space="preserve"> is a</w:t>
      </w:r>
      <w:r w:rsidR="005D1AE8">
        <w:t xml:space="preserve"> Tasmanian</w:t>
      </w:r>
      <w:r>
        <w:t xml:space="preserve"> Government Business Enterprise and responsibility </w:t>
      </w:r>
      <w:r w:rsidR="005D1AE8">
        <w:t>for this recommendation resides with</w:t>
      </w:r>
      <w:r>
        <w:t xml:space="preserve"> the Tasmanian Government.</w:t>
      </w:r>
    </w:p>
    <w:bookmarkEnd w:id="2"/>
    <w:bookmarkEnd w:id="3"/>
    <w:p w14:paraId="0F0420F9" w14:textId="5FE99D15" w:rsidR="00C3269F" w:rsidRDefault="00C3269F">
      <w:pPr>
        <w:spacing w:after="160" w:line="259" w:lineRule="auto"/>
      </w:pPr>
    </w:p>
    <w:p w14:paraId="203C1941" w14:textId="77777777" w:rsidR="00960C3A" w:rsidRDefault="00960C3A">
      <w:pPr>
        <w:spacing w:after="160" w:line="259" w:lineRule="auto"/>
      </w:pPr>
    </w:p>
    <w:p w14:paraId="0393143D" w14:textId="30B47F02" w:rsidR="00C3269F" w:rsidRDefault="00C3269F" w:rsidP="00C3269F">
      <w:pPr>
        <w:pStyle w:val="Heading3"/>
        <w:pBdr>
          <w:top w:val="single" w:sz="4" w:space="1" w:color="auto"/>
          <w:left w:val="single" w:sz="4" w:space="4" w:color="auto"/>
          <w:bottom w:val="single" w:sz="4" w:space="1" w:color="auto"/>
          <w:right w:val="single" w:sz="4" w:space="4" w:color="auto"/>
        </w:pBdr>
      </w:pPr>
      <w:bookmarkStart w:id="9" w:name="_Toc209599091"/>
      <w:r>
        <w:t xml:space="preserve">Recommendation </w:t>
      </w:r>
      <w:r w:rsidR="00721075">
        <w:t>3</w:t>
      </w:r>
      <w:r>
        <w:t>:</w:t>
      </w:r>
      <w:bookmarkEnd w:id="9"/>
    </w:p>
    <w:p w14:paraId="0DC67E61" w14:textId="02F90B7F" w:rsidR="00C3269F" w:rsidRDefault="00721075" w:rsidP="00721075">
      <w:pPr>
        <w:pBdr>
          <w:top w:val="single" w:sz="4" w:space="1" w:color="auto"/>
          <w:left w:val="single" w:sz="4" w:space="4" w:color="auto"/>
          <w:bottom w:val="single" w:sz="4" w:space="1" w:color="auto"/>
          <w:right w:val="single" w:sz="4" w:space="4" w:color="auto"/>
        </w:pBdr>
        <w:shd w:val="clear" w:color="auto" w:fill="E4E4E4"/>
        <w:ind w:left="567" w:hanging="567"/>
      </w:pPr>
      <w:r>
        <w:t>4.19</w:t>
      </w:r>
      <w:r w:rsidR="00C3269F">
        <w:tab/>
      </w:r>
      <w:r>
        <w:t>The committee recommends that Services Australia develop clear and succinct guidance material and support services, including audiovisual user guides and instructions, and a dedicated phone line, to support claimants to better understand their likely eligibility under the Tasmanian Freight Equalisations Scheme to lodge accurate and timely claims.</w:t>
      </w:r>
    </w:p>
    <w:p w14:paraId="249C13BF" w14:textId="6D86ABB3" w:rsidR="003C5461" w:rsidRPr="002B59AE" w:rsidRDefault="00C3269F" w:rsidP="00A1210D">
      <w:r w:rsidRPr="002B59AE">
        <w:t>The Government</w:t>
      </w:r>
      <w:r w:rsidR="00A1210D" w:rsidRPr="002B59AE">
        <w:t xml:space="preserve"> </w:t>
      </w:r>
      <w:r w:rsidR="00E66849">
        <w:rPr>
          <w:b/>
        </w:rPr>
        <w:t>agrees in p</w:t>
      </w:r>
      <w:r w:rsidR="00954359">
        <w:rPr>
          <w:b/>
        </w:rPr>
        <w:t>art</w:t>
      </w:r>
      <w:r w:rsidR="00E66849" w:rsidRPr="002B0451">
        <w:t xml:space="preserve"> with</w:t>
      </w:r>
      <w:r w:rsidRPr="002B59AE">
        <w:t xml:space="preserve"> this recommendation</w:t>
      </w:r>
      <w:r w:rsidR="003C5461" w:rsidRPr="002B59AE">
        <w:t>.</w:t>
      </w:r>
    </w:p>
    <w:p w14:paraId="487070A1" w14:textId="215DA1F2" w:rsidR="00A1210D" w:rsidRPr="002B59AE" w:rsidRDefault="002B59AE" w:rsidP="00A1210D">
      <w:r w:rsidRPr="002B59AE">
        <w:t>The Government appreciates the feedback provided through the Senate Select Committee, and is committed to the continuous improvement of customer experience.</w:t>
      </w:r>
    </w:p>
    <w:p w14:paraId="2E666BB4" w14:textId="66721A7E" w:rsidR="006E5174" w:rsidRDefault="002B59AE" w:rsidP="006E5174">
      <w:pPr>
        <w:rPr>
          <w:rFonts w:ascii="Aptos" w:eastAsiaTheme="minorHAnsi" w:hAnsi="Aptos"/>
          <w:lang w:eastAsia="en-US"/>
        </w:rPr>
      </w:pPr>
      <w:r w:rsidRPr="002B59AE">
        <w:t>A range of guidance material and support services to assist TFES claimants and staff is currently available on the</w:t>
      </w:r>
      <w:r w:rsidR="006E5174">
        <w:t xml:space="preserve"> Services Australia Website at</w:t>
      </w:r>
      <w:r w:rsidR="006E5174" w:rsidRPr="006E5174">
        <w:t xml:space="preserve"> </w:t>
      </w:r>
      <w:r w:rsidR="00CF1896" w:rsidRPr="00CF1896">
        <w:rPr>
          <w:rFonts w:ascii="Aptos" w:hAnsi="Aptos"/>
          <w:u w:val="single"/>
        </w:rPr>
        <w:t>www.servicesaustralia.gov.au</w:t>
      </w:r>
      <w:r w:rsidR="006E5174">
        <w:rPr>
          <w:rFonts w:ascii="Aptos" w:hAnsi="Aptos"/>
        </w:rPr>
        <w:t>.</w:t>
      </w:r>
    </w:p>
    <w:p w14:paraId="201A7FEE" w14:textId="5AD2002E" w:rsidR="002B59AE" w:rsidRPr="002B59AE" w:rsidRDefault="002B59AE" w:rsidP="00A1210D">
      <w:r w:rsidRPr="002B59AE">
        <w:t>The Government will work to further refine website content, including the development of video material where appropriate, to support claimants to better understand their eligibility, and lodge accurate and timely claims.</w:t>
      </w:r>
    </w:p>
    <w:p w14:paraId="4CEFFEE5" w14:textId="50739895" w:rsidR="002B59AE" w:rsidRPr="002B59AE" w:rsidRDefault="002B59AE" w:rsidP="00A1210D">
      <w:r w:rsidRPr="002B59AE">
        <w:t>A dedicated phone service for TFES is currently available to callers via the Services Australia National Business Gateway line (131 158). Calls to this number are swiftly routed to the most appropriate services officer skilled to manage their enquiry.</w:t>
      </w:r>
    </w:p>
    <w:p w14:paraId="3977EA22" w14:textId="0FD6291E" w:rsidR="00960C3A" w:rsidRDefault="00960C3A">
      <w:pPr>
        <w:spacing w:after="160" w:line="259" w:lineRule="auto"/>
      </w:pPr>
      <w:r>
        <w:br w:type="page"/>
      </w:r>
    </w:p>
    <w:p w14:paraId="25F427DC" w14:textId="77777777" w:rsidR="00AD57F6" w:rsidRDefault="00AD57F6" w:rsidP="008C1FEE"/>
    <w:p w14:paraId="104D87ED" w14:textId="1429DE4C" w:rsidR="00C3269F" w:rsidRDefault="00C3269F" w:rsidP="00C3269F">
      <w:pPr>
        <w:pStyle w:val="Heading3"/>
        <w:pBdr>
          <w:top w:val="single" w:sz="4" w:space="1" w:color="auto"/>
          <w:left w:val="single" w:sz="4" w:space="4" w:color="auto"/>
          <w:bottom w:val="single" w:sz="4" w:space="1" w:color="auto"/>
          <w:right w:val="single" w:sz="4" w:space="4" w:color="auto"/>
        </w:pBdr>
      </w:pPr>
      <w:bookmarkStart w:id="10" w:name="_Toc209599092"/>
      <w:r>
        <w:t xml:space="preserve">Recommendation </w:t>
      </w:r>
      <w:r w:rsidR="00721075">
        <w:t>4</w:t>
      </w:r>
      <w:r>
        <w:t>:</w:t>
      </w:r>
      <w:bookmarkEnd w:id="10"/>
    </w:p>
    <w:p w14:paraId="33C5E04A" w14:textId="68747E82" w:rsidR="00C3269F" w:rsidRDefault="00721075" w:rsidP="00721075">
      <w:pPr>
        <w:pBdr>
          <w:top w:val="single" w:sz="4" w:space="1" w:color="auto"/>
          <w:left w:val="single" w:sz="4" w:space="4" w:color="auto"/>
          <w:bottom w:val="single" w:sz="4" w:space="1" w:color="auto"/>
          <w:right w:val="single" w:sz="4" w:space="4" w:color="auto"/>
        </w:pBdr>
        <w:shd w:val="clear" w:color="auto" w:fill="E4E4E4"/>
        <w:ind w:left="567" w:hanging="567"/>
      </w:pPr>
      <w:r>
        <w:t>4.20</w:t>
      </w:r>
      <w:r w:rsidR="00C3269F">
        <w:tab/>
      </w:r>
      <w:r>
        <w:t>The committee recommends that Services Australia develop an online claims calculator tool with the functionality to estimate the approximate value of prospective claims to assist prospective claimants to better understand their likely eligibility under the Tasmanian Freight Equalisation Scheme.</w:t>
      </w:r>
    </w:p>
    <w:p w14:paraId="52C4DD3B" w14:textId="4F392880" w:rsidR="00AD57F6" w:rsidRPr="00732990" w:rsidRDefault="00C3269F" w:rsidP="00A1210D">
      <w:r w:rsidRPr="00732990">
        <w:t xml:space="preserve">The Government </w:t>
      </w:r>
      <w:r w:rsidRPr="00732990">
        <w:rPr>
          <w:b/>
        </w:rPr>
        <w:t>agrees in principle</w:t>
      </w:r>
      <w:r w:rsidRPr="00732990">
        <w:t xml:space="preserve"> </w:t>
      </w:r>
      <w:r w:rsidR="0083165C" w:rsidRPr="00732990">
        <w:t xml:space="preserve">with </w:t>
      </w:r>
      <w:r w:rsidRPr="00732990">
        <w:t>this recommendation</w:t>
      </w:r>
      <w:r w:rsidR="002B59AE" w:rsidRPr="00732990">
        <w:t>.</w:t>
      </w:r>
    </w:p>
    <w:p w14:paraId="5ED39B94" w14:textId="3F0D4802" w:rsidR="002B59AE" w:rsidRPr="00732990" w:rsidRDefault="008E34B3" w:rsidP="008B795A">
      <w:pPr>
        <w:shd w:val="clear" w:color="auto" w:fill="FFFFFF" w:themeFill="background1"/>
      </w:pPr>
      <w:r w:rsidRPr="00732990">
        <w:t xml:space="preserve">An online TFES calculator is readily accessible for approved users within the </w:t>
      </w:r>
      <w:r w:rsidR="008777B1" w:rsidRPr="006E5174">
        <w:t>Centrelink</w:t>
      </w:r>
      <w:r w:rsidR="008B795A" w:rsidRPr="006E5174">
        <w:t xml:space="preserve"> Business Online Service</w:t>
      </w:r>
      <w:r w:rsidR="00FC1E2D" w:rsidRPr="006E5174">
        <w:t>s (</w:t>
      </w:r>
      <w:r w:rsidR="00A11183" w:rsidRPr="00732990">
        <w:t>CBOS</w:t>
      </w:r>
      <w:r w:rsidR="00FC1E2D" w:rsidRPr="00732990">
        <w:t>)</w:t>
      </w:r>
      <w:r w:rsidR="006E5174">
        <w:t xml:space="preserve"> at </w:t>
      </w:r>
      <w:r w:rsidR="00CF1896" w:rsidRPr="00CF1896">
        <w:rPr>
          <w:rFonts w:ascii="Aptos" w:hAnsi="Aptos"/>
          <w:u w:val="single"/>
        </w:rPr>
        <w:t>www.servicesaustralia.gov.au/centrelink-business-online-services</w:t>
      </w:r>
      <w:r w:rsidR="00A11183" w:rsidRPr="00732990">
        <w:t xml:space="preserve"> authenticated environment. Functioning as a rate estimator, the online calculator accommodates various claim types, including Domestic claims (pertaining to the TFES as well as King Island and the Furneaux Group), Other Markets (for export claims), and Imported Goods (for imports).</w:t>
      </w:r>
    </w:p>
    <w:p w14:paraId="237F4F5D" w14:textId="740619BB" w:rsidR="00DF75D0" w:rsidRPr="00732990" w:rsidRDefault="00732990" w:rsidP="008B795A">
      <w:pPr>
        <w:shd w:val="clear" w:color="auto" w:fill="FFFFFF" w:themeFill="background1"/>
      </w:pPr>
      <w:r w:rsidRPr="00732990">
        <w:t>The development of an online claims’ calculation tool accessible to all TFES claimants would be contingent upon the outcomes of Recommendations 1 and 5 of this report.</w:t>
      </w:r>
    </w:p>
    <w:p w14:paraId="5BEC36AA" w14:textId="6B2414B6" w:rsidR="00732990" w:rsidRPr="00732990" w:rsidRDefault="00732990" w:rsidP="008B795A">
      <w:pPr>
        <w:shd w:val="clear" w:color="auto" w:fill="FFFFFF" w:themeFill="background1"/>
      </w:pPr>
      <w:bookmarkStart w:id="11" w:name="_Hlk209602679"/>
      <w:r w:rsidRPr="00732990">
        <w:t>Considering the age and lifecycle of the existing system, system modification should be considered following a thorough review of TFES being undertaken, ensuring that any enhancements are effectively aligned with the scheme’s future requirements.</w:t>
      </w:r>
    </w:p>
    <w:bookmarkEnd w:id="11"/>
    <w:p w14:paraId="2049C563" w14:textId="2736F5C5" w:rsidR="005B57C8" w:rsidRDefault="005B57C8">
      <w:pPr>
        <w:spacing w:after="160" w:line="259" w:lineRule="auto"/>
      </w:pPr>
    </w:p>
    <w:p w14:paraId="01A5EA12" w14:textId="77777777" w:rsidR="00C3269F" w:rsidRDefault="00C3269F" w:rsidP="00C3269F">
      <w:pPr>
        <w:spacing w:after="160" w:line="259" w:lineRule="auto"/>
      </w:pPr>
    </w:p>
    <w:p w14:paraId="492637D1" w14:textId="49EEC114" w:rsidR="00C3269F" w:rsidRDefault="00C3269F" w:rsidP="00C3269F">
      <w:pPr>
        <w:pStyle w:val="Heading3"/>
        <w:pBdr>
          <w:top w:val="single" w:sz="4" w:space="1" w:color="auto"/>
          <w:left w:val="single" w:sz="4" w:space="4" w:color="auto"/>
          <w:bottom w:val="single" w:sz="4" w:space="1" w:color="auto"/>
          <w:right w:val="single" w:sz="4" w:space="4" w:color="auto"/>
        </w:pBdr>
      </w:pPr>
      <w:bookmarkStart w:id="12" w:name="_Toc209599093"/>
      <w:r>
        <w:t xml:space="preserve">Recommendation </w:t>
      </w:r>
      <w:r w:rsidR="00721075">
        <w:t>5</w:t>
      </w:r>
      <w:r>
        <w:t>:</w:t>
      </w:r>
      <w:bookmarkEnd w:id="12"/>
    </w:p>
    <w:p w14:paraId="6B02D3B9" w14:textId="37B833C7" w:rsidR="00C3269F" w:rsidRDefault="00721075" w:rsidP="00E133F2">
      <w:pPr>
        <w:pBdr>
          <w:top w:val="single" w:sz="4" w:space="1" w:color="auto"/>
          <w:left w:val="single" w:sz="4" w:space="4" w:color="auto"/>
          <w:bottom w:val="single" w:sz="4" w:space="1" w:color="auto"/>
          <w:right w:val="single" w:sz="4" w:space="4" w:color="auto"/>
        </w:pBdr>
        <w:shd w:val="clear" w:color="auto" w:fill="E4E4E4"/>
        <w:ind w:left="567" w:hanging="567"/>
      </w:pPr>
      <w:r>
        <w:t>4.21</w:t>
      </w:r>
      <w:r w:rsidR="00C3269F">
        <w:tab/>
      </w:r>
      <w:r w:rsidR="00E133F2">
        <w:t>The committee recommends that the Australian Government commission the Australian Competition and Consumer Commission to review the competitiveness of trade on Bass Strait and Bass Strait islands considering both sea and air freight, including the rationale behind pricing for the fresh produce sector.</w:t>
      </w:r>
    </w:p>
    <w:p w14:paraId="6B470CD4" w14:textId="77777777" w:rsidR="009B1BF8" w:rsidRPr="0005382F" w:rsidRDefault="00C3269F" w:rsidP="00C3269F">
      <w:r w:rsidRPr="0005382F">
        <w:t xml:space="preserve">The Government </w:t>
      </w:r>
      <w:r w:rsidR="00DC3B27" w:rsidRPr="0005382F">
        <w:rPr>
          <w:b/>
        </w:rPr>
        <w:t>notes</w:t>
      </w:r>
      <w:r w:rsidRPr="0005382F">
        <w:t xml:space="preserve"> this rec</w:t>
      </w:r>
      <w:r w:rsidR="00E80CA7" w:rsidRPr="0005382F">
        <w:t xml:space="preserve">ommendation. </w:t>
      </w:r>
    </w:p>
    <w:p w14:paraId="7E7062F4" w14:textId="187B09B0" w:rsidR="00A1210D" w:rsidRDefault="00E80CA7" w:rsidP="00C3269F">
      <w:r w:rsidRPr="0005382F">
        <w:t>The Government considers that it would be more efficient and effective for the competitiveness of the Bass Strait trade to be considered as part of the broader review agreed to in recommendation 1 rather than undertaking two concurrent reviews.</w:t>
      </w:r>
    </w:p>
    <w:p w14:paraId="432F5292" w14:textId="027F3E64" w:rsidR="009B1BF8" w:rsidRDefault="009B1BF8" w:rsidP="00C3269F"/>
    <w:p w14:paraId="6689422A" w14:textId="77777777" w:rsidR="00960C3A" w:rsidRDefault="00960C3A" w:rsidP="00C3269F"/>
    <w:p w14:paraId="2AAB4DE8" w14:textId="00AD6EA9" w:rsidR="009B1BF8" w:rsidRDefault="009B1BF8" w:rsidP="009B1BF8">
      <w:pPr>
        <w:pStyle w:val="Heading3"/>
        <w:pBdr>
          <w:top w:val="single" w:sz="4" w:space="1" w:color="auto"/>
          <w:left w:val="single" w:sz="4" w:space="4" w:color="auto"/>
          <w:bottom w:val="single" w:sz="4" w:space="1" w:color="auto"/>
          <w:right w:val="single" w:sz="4" w:space="4" w:color="auto"/>
        </w:pBdr>
      </w:pPr>
      <w:bookmarkStart w:id="13" w:name="_Toc209599094"/>
      <w:r>
        <w:t>Additional comments from the Chair, Coalition Senators, and the Australian Greens</w:t>
      </w:r>
      <w:bookmarkEnd w:id="13"/>
    </w:p>
    <w:p w14:paraId="7BA232BD" w14:textId="0BBB787E" w:rsidR="009B1BF8" w:rsidRDefault="009B1BF8" w:rsidP="009B1BF8">
      <w:r>
        <w:t xml:space="preserve">The Government </w:t>
      </w:r>
      <w:r>
        <w:rPr>
          <w:b/>
        </w:rPr>
        <w:t>notes</w:t>
      </w:r>
      <w:r>
        <w:t xml:space="preserve"> the a</w:t>
      </w:r>
      <w:r w:rsidRPr="009B1BF8">
        <w:t>dditional comments</w:t>
      </w:r>
      <w:r w:rsidR="00826826">
        <w:t xml:space="preserve"> and recommendations</w:t>
      </w:r>
      <w:r w:rsidRPr="009B1BF8">
        <w:t xml:space="preserve"> </w:t>
      </w:r>
      <w:r>
        <w:t>provided by</w:t>
      </w:r>
      <w:r w:rsidRPr="009B1BF8">
        <w:t xml:space="preserve"> the Chair, Coalition Senators, and the Australian Greens</w:t>
      </w:r>
      <w:r>
        <w:t>.</w:t>
      </w:r>
    </w:p>
    <w:p w14:paraId="434630AD" w14:textId="2971B4FB" w:rsidR="00E80CA7" w:rsidRDefault="009B1BF8" w:rsidP="00C3269F">
      <w:r>
        <w:t>The Government considers that it would be more efficient and effective for the</w:t>
      </w:r>
      <w:r w:rsidR="00826826">
        <w:t>se</w:t>
      </w:r>
      <w:r>
        <w:t xml:space="preserve"> additional comments </w:t>
      </w:r>
      <w:r w:rsidR="00826826">
        <w:t xml:space="preserve">and recommendations </w:t>
      </w:r>
      <w:r>
        <w:t>to be considered as part of the broader review agreed to in recommendation 1.</w:t>
      </w:r>
    </w:p>
    <w:sectPr w:rsidR="00E80C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652F" w14:textId="77777777" w:rsidR="006E4293" w:rsidRDefault="006E4293" w:rsidP="00EF35B4">
      <w:pPr>
        <w:spacing w:after="0"/>
      </w:pPr>
      <w:r>
        <w:separator/>
      </w:r>
    </w:p>
  </w:endnote>
  <w:endnote w:type="continuationSeparator" w:id="0">
    <w:p w14:paraId="5CEB23C0" w14:textId="77777777" w:rsidR="006E4293" w:rsidRDefault="006E4293" w:rsidP="00EF3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EE11" w14:textId="5181DDD8" w:rsidR="00EF35B4" w:rsidRDefault="00EF35B4">
    <w:pPr>
      <w:pStyle w:val="Footer"/>
    </w:pPr>
    <w:r>
      <w:rPr>
        <w:noProof/>
      </w:rPr>
      <mc:AlternateContent>
        <mc:Choice Requires="wps">
          <w:drawing>
            <wp:anchor distT="0" distB="0" distL="0" distR="0" simplePos="0" relativeHeight="251662336" behindDoc="0" locked="0" layoutInCell="1" allowOverlap="1" wp14:anchorId="7E288E7E" wp14:editId="4DC980BA">
              <wp:simplePos x="635" y="635"/>
              <wp:positionH relativeFrom="page">
                <wp:align>center</wp:align>
              </wp:positionH>
              <wp:positionV relativeFrom="page">
                <wp:align>bottom</wp:align>
              </wp:positionV>
              <wp:extent cx="726440" cy="407670"/>
              <wp:effectExtent l="0" t="0" r="16510" b="0"/>
              <wp:wrapNone/>
              <wp:docPr id="2345338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975DA5" w14:textId="0FF06DCB"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88E7E"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7E975DA5" w14:textId="0FF06DCB"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CF5E" w14:textId="5ACB660C" w:rsidR="00EF35B4" w:rsidRDefault="00EF35B4">
    <w:pPr>
      <w:pStyle w:val="Footer"/>
    </w:pPr>
    <w:r>
      <w:rPr>
        <w:noProof/>
      </w:rPr>
      <mc:AlternateContent>
        <mc:Choice Requires="wps">
          <w:drawing>
            <wp:anchor distT="0" distB="0" distL="0" distR="0" simplePos="0" relativeHeight="251663360" behindDoc="0" locked="0" layoutInCell="1" allowOverlap="1" wp14:anchorId="4816CE0C" wp14:editId="491B673F">
              <wp:simplePos x="914400" y="10299700"/>
              <wp:positionH relativeFrom="page">
                <wp:align>center</wp:align>
              </wp:positionH>
              <wp:positionV relativeFrom="page">
                <wp:align>bottom</wp:align>
              </wp:positionV>
              <wp:extent cx="726440" cy="407670"/>
              <wp:effectExtent l="0" t="0" r="16510" b="0"/>
              <wp:wrapNone/>
              <wp:docPr id="12684154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747AE8D" w14:textId="74002FA3"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6CE0C" id="_x0000_t202" coordsize="21600,21600" o:spt="202" path="m,l,21600r21600,l21600,xe">
              <v:stroke joinstyle="miter"/>
              <v:path gradientshapeok="t" o:connecttype="rect"/>
            </v:shapetype>
            <v:shape id="Text Box 6" o:spid="_x0000_s1029"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5747AE8D" w14:textId="74002FA3"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5D00" w14:textId="1C0273D9" w:rsidR="00EF35B4" w:rsidRDefault="00EF35B4">
    <w:pPr>
      <w:pStyle w:val="Footer"/>
    </w:pPr>
    <w:r>
      <w:rPr>
        <w:noProof/>
      </w:rPr>
      <mc:AlternateContent>
        <mc:Choice Requires="wps">
          <w:drawing>
            <wp:anchor distT="0" distB="0" distL="0" distR="0" simplePos="0" relativeHeight="251661312" behindDoc="0" locked="0" layoutInCell="1" allowOverlap="1" wp14:anchorId="2523041B" wp14:editId="2D143FA2">
              <wp:simplePos x="635" y="635"/>
              <wp:positionH relativeFrom="page">
                <wp:align>center</wp:align>
              </wp:positionH>
              <wp:positionV relativeFrom="page">
                <wp:align>bottom</wp:align>
              </wp:positionV>
              <wp:extent cx="726440" cy="407670"/>
              <wp:effectExtent l="0" t="0" r="16510" b="0"/>
              <wp:wrapNone/>
              <wp:docPr id="11003848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C82FD1E" w14:textId="28355ED0"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3041B" id="_x0000_t202" coordsize="21600,21600" o:spt="202" path="m,l,21600r21600,l21600,xe">
              <v:stroke joinstyle="miter"/>
              <v:path gradientshapeok="t" o:connecttype="rect"/>
            </v:shapetype>
            <v:shape id="Text Box 4" o:spid="_x0000_s1031"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5C82FD1E" w14:textId="28355ED0"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A13F" w14:textId="77777777" w:rsidR="006E4293" w:rsidRDefault="006E4293" w:rsidP="00EF35B4">
      <w:pPr>
        <w:spacing w:after="0"/>
      </w:pPr>
      <w:r>
        <w:separator/>
      </w:r>
    </w:p>
  </w:footnote>
  <w:footnote w:type="continuationSeparator" w:id="0">
    <w:p w14:paraId="40EFAD63" w14:textId="77777777" w:rsidR="006E4293" w:rsidRDefault="006E4293" w:rsidP="00EF35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00AD" w14:textId="74D3A384" w:rsidR="00EF35B4" w:rsidRDefault="00EF35B4">
    <w:pPr>
      <w:pStyle w:val="Header"/>
    </w:pPr>
    <w:r>
      <w:rPr>
        <w:noProof/>
      </w:rPr>
      <mc:AlternateContent>
        <mc:Choice Requires="wps">
          <w:drawing>
            <wp:anchor distT="0" distB="0" distL="0" distR="0" simplePos="0" relativeHeight="251659264" behindDoc="0" locked="0" layoutInCell="1" allowOverlap="1" wp14:anchorId="7634FC88" wp14:editId="7AAAA4D3">
              <wp:simplePos x="635" y="635"/>
              <wp:positionH relativeFrom="page">
                <wp:align>center</wp:align>
              </wp:positionH>
              <wp:positionV relativeFrom="page">
                <wp:align>top</wp:align>
              </wp:positionV>
              <wp:extent cx="726440" cy="407670"/>
              <wp:effectExtent l="0" t="0" r="16510" b="11430"/>
              <wp:wrapNone/>
              <wp:docPr id="8358693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196028" w14:textId="338AAE55"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34FC88"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7196028" w14:textId="338AAE55"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A055" w14:textId="3D427735" w:rsidR="00EF35B4" w:rsidRDefault="00EF35B4">
    <w:pPr>
      <w:pStyle w:val="Header"/>
    </w:pPr>
    <w:r>
      <w:rPr>
        <w:noProof/>
      </w:rPr>
      <mc:AlternateContent>
        <mc:Choice Requires="wps">
          <w:drawing>
            <wp:anchor distT="0" distB="0" distL="0" distR="0" simplePos="0" relativeHeight="251660288" behindDoc="0" locked="0" layoutInCell="1" allowOverlap="1" wp14:anchorId="39E40532" wp14:editId="42EED3AF">
              <wp:simplePos x="914400" y="0"/>
              <wp:positionH relativeFrom="page">
                <wp:align>center</wp:align>
              </wp:positionH>
              <wp:positionV relativeFrom="page">
                <wp:align>top</wp:align>
              </wp:positionV>
              <wp:extent cx="726440" cy="407670"/>
              <wp:effectExtent l="0" t="0" r="16510" b="11430"/>
              <wp:wrapNone/>
              <wp:docPr id="14099201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9857B7" w14:textId="6169B7CF"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40532"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1A9857B7" w14:textId="6169B7CF"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A5B7" w14:textId="681E2333" w:rsidR="00EF35B4" w:rsidRDefault="00EF35B4">
    <w:pPr>
      <w:pStyle w:val="Header"/>
    </w:pPr>
    <w:r>
      <w:rPr>
        <w:noProof/>
      </w:rPr>
      <mc:AlternateContent>
        <mc:Choice Requires="wps">
          <w:drawing>
            <wp:anchor distT="0" distB="0" distL="0" distR="0" simplePos="0" relativeHeight="251658240" behindDoc="0" locked="0" layoutInCell="1" allowOverlap="1" wp14:anchorId="673941CD" wp14:editId="4DDE1F69">
              <wp:simplePos x="635" y="635"/>
              <wp:positionH relativeFrom="page">
                <wp:align>center</wp:align>
              </wp:positionH>
              <wp:positionV relativeFrom="page">
                <wp:align>top</wp:align>
              </wp:positionV>
              <wp:extent cx="726440" cy="407670"/>
              <wp:effectExtent l="0" t="0" r="16510" b="11430"/>
              <wp:wrapNone/>
              <wp:docPr id="5522233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3F2B819" w14:textId="618D59B1"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941CD"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13F2B819" w14:textId="618D59B1" w:rsidR="00EF35B4" w:rsidRPr="00EF35B4" w:rsidRDefault="00EF35B4" w:rsidP="00EF35B4">
                    <w:pPr>
                      <w:spacing w:after="0"/>
                      <w:rPr>
                        <w:rFonts w:ascii="Aptos" w:eastAsia="Aptos" w:hAnsi="Aptos" w:cs="Aptos"/>
                        <w:noProof/>
                        <w:color w:val="FF0000"/>
                        <w:sz w:val="28"/>
                        <w:szCs w:val="28"/>
                      </w:rPr>
                    </w:pPr>
                    <w:r w:rsidRPr="00EF35B4">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9783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42E95"/>
    <w:rsid w:val="000531D7"/>
    <w:rsid w:val="0005382F"/>
    <w:rsid w:val="000A1693"/>
    <w:rsid w:val="000B7F53"/>
    <w:rsid w:val="000E031C"/>
    <w:rsid w:val="0010020C"/>
    <w:rsid w:val="001058CB"/>
    <w:rsid w:val="001A79AA"/>
    <w:rsid w:val="001F1D94"/>
    <w:rsid w:val="001F7BB4"/>
    <w:rsid w:val="00200CAD"/>
    <w:rsid w:val="00254A3A"/>
    <w:rsid w:val="00295DF4"/>
    <w:rsid w:val="002A619D"/>
    <w:rsid w:val="002B0451"/>
    <w:rsid w:val="002B59AE"/>
    <w:rsid w:val="002E38CD"/>
    <w:rsid w:val="00313980"/>
    <w:rsid w:val="00346395"/>
    <w:rsid w:val="003C5461"/>
    <w:rsid w:val="004C04EF"/>
    <w:rsid w:val="004E39E8"/>
    <w:rsid w:val="00542D10"/>
    <w:rsid w:val="0056383B"/>
    <w:rsid w:val="005A7CA3"/>
    <w:rsid w:val="005B57C8"/>
    <w:rsid w:val="005D00AF"/>
    <w:rsid w:val="005D1AE8"/>
    <w:rsid w:val="005D33E9"/>
    <w:rsid w:val="006004A9"/>
    <w:rsid w:val="00612678"/>
    <w:rsid w:val="00670B64"/>
    <w:rsid w:val="006B1861"/>
    <w:rsid w:val="006E4293"/>
    <w:rsid w:val="006E5174"/>
    <w:rsid w:val="006F2400"/>
    <w:rsid w:val="006F3F2A"/>
    <w:rsid w:val="00721075"/>
    <w:rsid w:val="007246C3"/>
    <w:rsid w:val="00732990"/>
    <w:rsid w:val="007649A9"/>
    <w:rsid w:val="007B0696"/>
    <w:rsid w:val="007E2572"/>
    <w:rsid w:val="00810D9B"/>
    <w:rsid w:val="00826826"/>
    <w:rsid w:val="0083165C"/>
    <w:rsid w:val="00832231"/>
    <w:rsid w:val="008727B1"/>
    <w:rsid w:val="008777B1"/>
    <w:rsid w:val="008B795A"/>
    <w:rsid w:val="008C1FEE"/>
    <w:rsid w:val="008C7E20"/>
    <w:rsid w:val="008E34B3"/>
    <w:rsid w:val="00944BBE"/>
    <w:rsid w:val="00954359"/>
    <w:rsid w:val="00960C3A"/>
    <w:rsid w:val="00961DCF"/>
    <w:rsid w:val="009A0866"/>
    <w:rsid w:val="009B1BF8"/>
    <w:rsid w:val="009C162D"/>
    <w:rsid w:val="00A0435A"/>
    <w:rsid w:val="00A11183"/>
    <w:rsid w:val="00A1210D"/>
    <w:rsid w:val="00A22749"/>
    <w:rsid w:val="00A61918"/>
    <w:rsid w:val="00A83C8D"/>
    <w:rsid w:val="00AD57F6"/>
    <w:rsid w:val="00AF5D6D"/>
    <w:rsid w:val="00B170AC"/>
    <w:rsid w:val="00B703D9"/>
    <w:rsid w:val="00BC64A3"/>
    <w:rsid w:val="00BD21E0"/>
    <w:rsid w:val="00C159E0"/>
    <w:rsid w:val="00C3269F"/>
    <w:rsid w:val="00C4249D"/>
    <w:rsid w:val="00CB436E"/>
    <w:rsid w:val="00CD3C80"/>
    <w:rsid w:val="00CF1896"/>
    <w:rsid w:val="00D62773"/>
    <w:rsid w:val="00DB3417"/>
    <w:rsid w:val="00DC3B27"/>
    <w:rsid w:val="00DF75D0"/>
    <w:rsid w:val="00E133F2"/>
    <w:rsid w:val="00E15140"/>
    <w:rsid w:val="00E66849"/>
    <w:rsid w:val="00E67AD7"/>
    <w:rsid w:val="00E80CA7"/>
    <w:rsid w:val="00EC14B5"/>
    <w:rsid w:val="00EC41EB"/>
    <w:rsid w:val="00EF35B4"/>
    <w:rsid w:val="00F120B1"/>
    <w:rsid w:val="00F33B98"/>
    <w:rsid w:val="00F80CF6"/>
    <w:rsid w:val="00FC1E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20CF"/>
  <w15:chartTrackingRefBased/>
  <w15:docId w15:val="{2BA79424-E24C-471B-92B5-49CF581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semiHidden/>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semiHidden/>
    <w:unhideWhenUsed/>
    <w:qFormat/>
    <w:rsid w:val="00E133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semiHidden/>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character" w:customStyle="1" w:styleId="Heading4Char">
    <w:name w:val="Heading 4 Char"/>
    <w:basedOn w:val="DefaultParagraphFont"/>
    <w:link w:val="Heading4"/>
    <w:uiPriority w:val="9"/>
    <w:semiHidden/>
    <w:rsid w:val="00E133F2"/>
    <w:rPr>
      <w:rFonts w:asciiTheme="majorHAnsi" w:eastAsiaTheme="majorEastAsia" w:hAnsiTheme="majorHAnsi" w:cstheme="majorBidi"/>
      <w:i/>
      <w:iCs/>
      <w:color w:val="2F5496" w:themeColor="accent1" w:themeShade="BF"/>
      <w:lang w:eastAsia="zh-TW"/>
    </w:rPr>
  </w:style>
  <w:style w:type="character" w:styleId="CommentReference">
    <w:name w:val="annotation reference"/>
    <w:basedOn w:val="DefaultParagraphFont"/>
    <w:uiPriority w:val="99"/>
    <w:semiHidden/>
    <w:unhideWhenUsed/>
    <w:rsid w:val="00B703D9"/>
    <w:rPr>
      <w:sz w:val="16"/>
      <w:szCs w:val="16"/>
    </w:rPr>
  </w:style>
  <w:style w:type="paragraph" w:styleId="CommentText">
    <w:name w:val="annotation text"/>
    <w:basedOn w:val="Normal"/>
    <w:link w:val="CommentTextChar"/>
    <w:uiPriority w:val="99"/>
    <w:semiHidden/>
    <w:unhideWhenUsed/>
    <w:rsid w:val="00B703D9"/>
    <w:rPr>
      <w:sz w:val="20"/>
      <w:szCs w:val="20"/>
    </w:rPr>
  </w:style>
  <w:style w:type="character" w:customStyle="1" w:styleId="CommentTextChar">
    <w:name w:val="Comment Text Char"/>
    <w:basedOn w:val="DefaultParagraphFont"/>
    <w:link w:val="CommentText"/>
    <w:uiPriority w:val="99"/>
    <w:semiHidden/>
    <w:rsid w:val="00B703D9"/>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B703D9"/>
    <w:rPr>
      <w:b/>
      <w:bCs/>
    </w:rPr>
  </w:style>
  <w:style w:type="character" w:customStyle="1" w:styleId="CommentSubjectChar">
    <w:name w:val="Comment Subject Char"/>
    <w:basedOn w:val="CommentTextChar"/>
    <w:link w:val="CommentSubject"/>
    <w:uiPriority w:val="99"/>
    <w:semiHidden/>
    <w:rsid w:val="00B703D9"/>
    <w:rPr>
      <w:rFonts w:eastAsiaTheme="minorEastAsia"/>
      <w:b/>
      <w:bCs/>
      <w:sz w:val="20"/>
      <w:szCs w:val="20"/>
      <w:lang w:eastAsia="zh-TW"/>
    </w:rPr>
  </w:style>
  <w:style w:type="paragraph" w:styleId="BalloonText">
    <w:name w:val="Balloon Text"/>
    <w:basedOn w:val="Normal"/>
    <w:link w:val="BalloonTextChar"/>
    <w:uiPriority w:val="99"/>
    <w:semiHidden/>
    <w:unhideWhenUsed/>
    <w:rsid w:val="00B703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D9"/>
    <w:rPr>
      <w:rFonts w:ascii="Segoe UI" w:eastAsiaTheme="minorEastAsia" w:hAnsi="Segoe UI" w:cs="Segoe UI"/>
      <w:sz w:val="18"/>
      <w:szCs w:val="18"/>
      <w:lang w:eastAsia="zh-TW"/>
    </w:rPr>
  </w:style>
  <w:style w:type="character" w:styleId="UnresolvedMention">
    <w:name w:val="Unresolved Mention"/>
    <w:basedOn w:val="DefaultParagraphFont"/>
    <w:uiPriority w:val="99"/>
    <w:semiHidden/>
    <w:unhideWhenUsed/>
    <w:rsid w:val="00CF1896"/>
    <w:rPr>
      <w:color w:val="605E5C"/>
      <w:shd w:val="clear" w:color="auto" w:fill="E1DFDD"/>
    </w:rPr>
  </w:style>
  <w:style w:type="paragraph" w:styleId="Header">
    <w:name w:val="header"/>
    <w:basedOn w:val="Normal"/>
    <w:link w:val="HeaderChar"/>
    <w:uiPriority w:val="99"/>
    <w:unhideWhenUsed/>
    <w:rsid w:val="00EF35B4"/>
    <w:pPr>
      <w:tabs>
        <w:tab w:val="center" w:pos="4513"/>
        <w:tab w:val="right" w:pos="9026"/>
      </w:tabs>
      <w:spacing w:after="0"/>
    </w:pPr>
  </w:style>
  <w:style w:type="character" w:customStyle="1" w:styleId="HeaderChar">
    <w:name w:val="Header Char"/>
    <w:basedOn w:val="DefaultParagraphFont"/>
    <w:link w:val="Header"/>
    <w:uiPriority w:val="99"/>
    <w:rsid w:val="00EF35B4"/>
    <w:rPr>
      <w:rFonts w:eastAsiaTheme="minorEastAsia"/>
      <w:lang w:eastAsia="zh-TW"/>
    </w:rPr>
  </w:style>
  <w:style w:type="paragraph" w:styleId="Footer">
    <w:name w:val="footer"/>
    <w:basedOn w:val="Normal"/>
    <w:link w:val="FooterChar"/>
    <w:uiPriority w:val="99"/>
    <w:unhideWhenUsed/>
    <w:rsid w:val="00EF35B4"/>
    <w:pPr>
      <w:tabs>
        <w:tab w:val="center" w:pos="4513"/>
        <w:tab w:val="right" w:pos="9026"/>
      </w:tabs>
      <w:spacing w:after="0"/>
    </w:pPr>
  </w:style>
  <w:style w:type="character" w:customStyle="1" w:styleId="FooterChar">
    <w:name w:val="Footer Char"/>
    <w:basedOn w:val="DefaultParagraphFont"/>
    <w:link w:val="Footer"/>
    <w:uiPriority w:val="99"/>
    <w:rsid w:val="00EF35B4"/>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5457">
      <w:bodyDiv w:val="1"/>
      <w:marLeft w:val="0"/>
      <w:marRight w:val="0"/>
      <w:marTop w:val="0"/>
      <w:marBottom w:val="0"/>
      <w:divBdr>
        <w:top w:val="none" w:sz="0" w:space="0" w:color="auto"/>
        <w:left w:val="none" w:sz="0" w:space="0" w:color="auto"/>
        <w:bottom w:val="none" w:sz="0" w:space="0" w:color="auto"/>
        <w:right w:val="none" w:sz="0" w:space="0" w:color="auto"/>
      </w:divBdr>
    </w:div>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 w:id="17006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DDE090-49FE-4BCC-B78F-A9BB714DA7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3FF76C0B626604E8CBB30DFAD56835B" ma:contentTypeVersion="" ma:contentTypeDescription="PDMS Document Site Content Type" ma:contentTypeScope="" ma:versionID="3024de9726e3dcf94c78a8d46f91956d">
  <xsd:schema xmlns:xsd="http://www.w3.org/2001/XMLSchema" xmlns:xs="http://www.w3.org/2001/XMLSchema" xmlns:p="http://schemas.microsoft.com/office/2006/metadata/properties" xmlns:ns2="2DDDE090-49FE-4BCC-B78F-A9BB714DA7C4" targetNamespace="http://schemas.microsoft.com/office/2006/metadata/properties" ma:root="true" ma:fieldsID="2fdc1ddaed70c164616dcd7ed63ddc33" ns2:_="">
    <xsd:import namespace="2DDDE090-49FE-4BCC-B78F-A9BB714DA7C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DE090-49FE-4BCC-B78F-A9BB714DA7C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E2433-C4DB-4314-8782-498094273C54}">
  <ds:schemaRefs>
    <ds:schemaRef ds:uri="http://schemas.microsoft.com/sharepoint/v3/contenttype/forms"/>
  </ds:schemaRefs>
</ds:datastoreItem>
</file>

<file path=customXml/itemProps2.xml><?xml version="1.0" encoding="utf-8"?>
<ds:datastoreItem xmlns:ds="http://schemas.openxmlformats.org/officeDocument/2006/customXml" ds:itemID="{9E505B6A-4689-4C0D-9EA5-713DDAA471D6}">
  <ds:schemaRefs>
    <ds:schemaRef ds:uri="http://schemas.microsoft.com/office/2006/metadata/properties"/>
    <ds:schemaRef ds:uri="http://schemas.microsoft.com/office/infopath/2007/PartnerControls"/>
    <ds:schemaRef ds:uri="2DDDE090-49FE-4BCC-B78F-A9BB714DA7C4"/>
  </ds:schemaRefs>
</ds:datastoreItem>
</file>

<file path=customXml/itemProps3.xml><?xml version="1.0" encoding="utf-8"?>
<ds:datastoreItem xmlns:ds="http://schemas.openxmlformats.org/officeDocument/2006/customXml" ds:itemID="{6B635373-E28E-4524-9D9D-A7A5851CF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DE090-49FE-4BCC-B78F-A9BB714DA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dc:creator>
  <cp:keywords/>
  <dc:description/>
  <cp:lastModifiedBy>Berney, Jon</cp:lastModifiedBy>
  <cp:revision>2</cp:revision>
  <cp:lastPrinted>2025-09-22T06:29:00Z</cp:lastPrinted>
  <dcterms:created xsi:type="dcterms:W3CDTF">2026-04-06T23:20:00Z</dcterms:created>
  <dcterms:modified xsi:type="dcterms:W3CDTF">2026-04-06T23:20:00Z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0x010100266966F133664895A6EE3632470D45F50043FF76C0B626604E8CBB30DFAD56835B</vt:lpwstr>
  </property>
  <property fmtid="{D5CDD505-2E9C-101B-9397-08002B2CF9AE}" pid="3" name="TrimRevisionNumber">
    <vt:i4>6</vt:i4>
  </property>
  <property fmtid="{D5CDD505-2E9C-101B-9397-08002B2CF9AE}" pid="4" name="ClassificationContentMarkingHeaderShapeIds">
    <vt:lpwstr>20ea4254,31d25ac3,5409acb9</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41968a6f,dfab3a8,4b9a7bfa</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