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C71BE" w14:textId="77777777" w:rsidR="005E317F" w:rsidRDefault="005E317F" w:rsidP="005E317F">
      <w:pPr>
        <w:rPr>
          <w:sz w:val="28"/>
        </w:rPr>
      </w:pPr>
      <w:r>
        <w:rPr>
          <w:noProof/>
          <w:lang w:eastAsia="en-AU"/>
        </w:rPr>
        <w:drawing>
          <wp:inline distT="0" distB="0" distL="0" distR="0" wp14:anchorId="7A771EDC" wp14:editId="46E7CC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64669B" w14:textId="77777777" w:rsidR="005E317F" w:rsidRDefault="005E317F" w:rsidP="005E317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87"/>
      </w:tblGrid>
      <w:tr w:rsidR="0061741D" w14:paraId="3602F52B" w14:textId="77777777" w:rsidTr="0061741D">
        <w:tc>
          <w:tcPr>
            <w:tcW w:w="7087" w:type="dxa"/>
            <w:tcBorders>
              <w:top w:val="single" w:sz="12" w:space="0" w:color="auto"/>
              <w:left w:val="single" w:sz="12" w:space="0" w:color="auto"/>
              <w:bottom w:val="single" w:sz="12" w:space="0" w:color="auto"/>
              <w:right w:val="single" w:sz="12" w:space="0" w:color="auto"/>
            </w:tcBorders>
            <w:hideMark/>
          </w:tcPr>
          <w:p w14:paraId="420E348E" w14:textId="0EF2D96B" w:rsidR="0061741D" w:rsidRDefault="0061741D" w:rsidP="00825940">
            <w:pPr>
              <w:jc w:val="center"/>
              <w:rPr>
                <w:b/>
                <w:sz w:val="20"/>
              </w:rPr>
            </w:pPr>
            <w:r>
              <w:rPr>
                <w:b/>
                <w:sz w:val="26"/>
              </w:rPr>
              <w:t>EXPOSURE DRAFT</w:t>
            </w:r>
          </w:p>
        </w:tc>
      </w:tr>
    </w:tbl>
    <w:p w14:paraId="2A843456" w14:textId="77777777" w:rsidR="0061741D" w:rsidRDefault="0061741D" w:rsidP="0061741D">
      <w:pPr>
        <w:rPr>
          <w:sz w:val="19"/>
        </w:rPr>
      </w:pPr>
    </w:p>
    <w:p w14:paraId="2CD8862F" w14:textId="77777777" w:rsidR="005E317F" w:rsidRPr="00E500D4" w:rsidRDefault="00FB27C4" w:rsidP="005E317F">
      <w:pPr>
        <w:pStyle w:val="ShortT"/>
      </w:pPr>
      <w:r w:rsidRPr="00FB27C4">
        <w:t xml:space="preserve">Telecommunications (Carrier Licence Conditions - Telstra Corporation Limited) </w:t>
      </w:r>
      <w:r w:rsidR="00922A40">
        <w:t xml:space="preserve">Amendment </w:t>
      </w:r>
      <w:r w:rsidR="00F0491B">
        <w:t>(</w:t>
      </w:r>
      <w:r w:rsidR="00366A73">
        <w:t xml:space="preserve">Regional </w:t>
      </w:r>
      <w:r w:rsidR="00A438A1">
        <w:t>Service Information</w:t>
      </w:r>
      <w:r w:rsidR="00F0491B">
        <w:t>)</w:t>
      </w:r>
      <w:r w:rsidR="00A438A1">
        <w:t xml:space="preserve"> </w:t>
      </w:r>
      <w:r w:rsidR="006A19F8">
        <w:t>Instrument</w:t>
      </w:r>
      <w:r w:rsidR="006A19F8" w:rsidRPr="00FB27C4">
        <w:t xml:space="preserve"> </w:t>
      </w:r>
      <w:r>
        <w:t>2021</w:t>
      </w:r>
    </w:p>
    <w:p w14:paraId="09A082BB" w14:textId="77777777" w:rsidR="005E317F" w:rsidRPr="00DA182D" w:rsidRDefault="005E317F" w:rsidP="005E317F">
      <w:pPr>
        <w:pStyle w:val="SignCoverPageStart"/>
        <w:spacing w:before="240"/>
        <w:ind w:right="91"/>
        <w:rPr>
          <w:szCs w:val="22"/>
        </w:rPr>
      </w:pPr>
      <w:r w:rsidRPr="00DA182D">
        <w:rPr>
          <w:szCs w:val="22"/>
        </w:rPr>
        <w:t xml:space="preserve">I, </w:t>
      </w:r>
      <w:r w:rsidR="00FB27C4">
        <w:rPr>
          <w:szCs w:val="22"/>
        </w:rPr>
        <w:t>PAUL FLETCHER</w:t>
      </w:r>
      <w:r w:rsidRPr="00DA182D">
        <w:rPr>
          <w:szCs w:val="22"/>
        </w:rPr>
        <w:t xml:space="preserve">, </w:t>
      </w:r>
      <w:r w:rsidR="00FB27C4" w:rsidRPr="00FB27C4">
        <w:rPr>
          <w:szCs w:val="22"/>
        </w:rPr>
        <w:t>Minister for Communications, Urban Infrastructure, Cities and the Arts</w:t>
      </w:r>
      <w:r w:rsidRPr="00DA182D">
        <w:rPr>
          <w:szCs w:val="22"/>
        </w:rPr>
        <w:t xml:space="preserve">, </w:t>
      </w:r>
      <w:r>
        <w:rPr>
          <w:szCs w:val="22"/>
        </w:rPr>
        <w:t xml:space="preserve">make the following </w:t>
      </w:r>
      <w:r w:rsidR="00A72CE9">
        <w:rPr>
          <w:szCs w:val="22"/>
        </w:rPr>
        <w:t>instrument</w:t>
      </w:r>
      <w:r w:rsidRPr="00DA182D">
        <w:rPr>
          <w:szCs w:val="22"/>
        </w:rPr>
        <w:t>.</w:t>
      </w:r>
    </w:p>
    <w:p w14:paraId="6DC4089D" w14:textId="77777777" w:rsidR="005E317F" w:rsidRPr="00001A63" w:rsidRDefault="005E317F" w:rsidP="005E317F">
      <w:pPr>
        <w:keepNext/>
        <w:spacing w:before="300" w:line="240" w:lineRule="atLeast"/>
        <w:ind w:right="397"/>
        <w:jc w:val="both"/>
        <w:rPr>
          <w:szCs w:val="22"/>
        </w:rPr>
      </w:pPr>
      <w:r w:rsidRPr="00666F26">
        <w:rPr>
          <w:szCs w:val="22"/>
        </w:rPr>
        <w:t>Dated</w:t>
      </w:r>
      <w:r w:rsidRPr="00001A63">
        <w:rPr>
          <w:szCs w:val="22"/>
        </w:rPr>
        <w:tab/>
      </w:r>
      <w:r w:rsidRPr="00001A63">
        <w:rPr>
          <w:szCs w:val="22"/>
        </w:rPr>
        <w:tab/>
      </w:r>
      <w:r>
        <w:rPr>
          <w:szCs w:val="22"/>
        </w:rPr>
        <w:tab/>
      </w:r>
      <w:r w:rsidRPr="00001A63">
        <w:rPr>
          <w:szCs w:val="22"/>
        </w:rPr>
        <w:tab/>
      </w:r>
    </w:p>
    <w:p w14:paraId="148B5038" w14:textId="77777777" w:rsidR="005E317F" w:rsidRDefault="00A72CE9" w:rsidP="005E317F">
      <w:pPr>
        <w:keepNext/>
        <w:tabs>
          <w:tab w:val="left" w:pos="3402"/>
        </w:tabs>
        <w:spacing w:before="1440" w:line="300" w:lineRule="atLeast"/>
        <w:ind w:right="397"/>
        <w:rPr>
          <w:b/>
          <w:szCs w:val="22"/>
        </w:rPr>
      </w:pPr>
      <w:r w:rsidRPr="00A72CE9">
        <w:rPr>
          <w:szCs w:val="22"/>
        </w:rPr>
        <w:t>PAUL FLETCHER</w:t>
      </w:r>
      <w:r w:rsidRPr="00825940">
        <w:rPr>
          <w:szCs w:val="22"/>
        </w:rPr>
        <w:t xml:space="preserve"> </w:t>
      </w:r>
      <w:r w:rsidR="0061741D" w:rsidRPr="00666F26">
        <w:rPr>
          <w:b/>
          <w:szCs w:val="22"/>
          <w:highlight w:val="lightGray"/>
        </w:rPr>
        <w:t>[</w:t>
      </w:r>
      <w:r w:rsidR="005E317F" w:rsidRPr="00911BA0">
        <w:rPr>
          <w:b/>
          <w:szCs w:val="22"/>
          <w:highlight w:val="lightGray"/>
        </w:rPr>
        <w:t>DRAFT ONLY—NOT FOR</w:t>
      </w:r>
      <w:r w:rsidR="005E317F">
        <w:rPr>
          <w:b/>
          <w:szCs w:val="22"/>
          <w:highlight w:val="lightGray"/>
        </w:rPr>
        <w:t xml:space="preserve"> SIGNATURE</w:t>
      </w:r>
      <w:r w:rsidR="0061741D" w:rsidRPr="00825940">
        <w:rPr>
          <w:b/>
          <w:szCs w:val="22"/>
          <w:highlight w:val="lightGray"/>
        </w:rPr>
        <w:t>]</w:t>
      </w:r>
      <w:bookmarkStart w:id="0" w:name="_GoBack"/>
      <w:bookmarkEnd w:id="0"/>
    </w:p>
    <w:p w14:paraId="3F913E73" w14:textId="77777777" w:rsidR="005E317F" w:rsidRPr="000D3FB9" w:rsidRDefault="00A72CE9" w:rsidP="005E317F">
      <w:pPr>
        <w:pStyle w:val="SignCoverPageEnd"/>
        <w:ind w:right="91"/>
        <w:rPr>
          <w:sz w:val="22"/>
        </w:rPr>
      </w:pPr>
      <w:r>
        <w:rPr>
          <w:sz w:val="22"/>
        </w:rPr>
        <w:t>Minister for Communications, Urban Infrastructure, Cities and the Arts</w:t>
      </w:r>
    </w:p>
    <w:p w14:paraId="42158DE8" w14:textId="77777777" w:rsidR="00B20990" w:rsidRDefault="00B20990" w:rsidP="00B20990"/>
    <w:p w14:paraId="4FF1C5BC" w14:textId="77777777" w:rsidR="00B20990" w:rsidRDefault="00B20990" w:rsidP="00B20990">
      <w:pPr>
        <w:sectPr w:rsidR="00B20990"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093BAFF1" w14:textId="77777777" w:rsidR="00B20990" w:rsidRDefault="00B20990" w:rsidP="00B20990">
      <w:pPr>
        <w:outlineLvl w:val="0"/>
        <w:rPr>
          <w:sz w:val="36"/>
        </w:rPr>
      </w:pPr>
      <w:r w:rsidRPr="007A1328">
        <w:rPr>
          <w:sz w:val="36"/>
        </w:rPr>
        <w:lastRenderedPageBreak/>
        <w:t>Contents</w:t>
      </w:r>
    </w:p>
    <w:bookmarkStart w:id="1" w:name="BKCheck15B_2"/>
    <w:bookmarkEnd w:id="1"/>
    <w:p w14:paraId="51D96094" w14:textId="5199CD09" w:rsidR="00D65E7E"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D65E7E">
        <w:rPr>
          <w:noProof/>
        </w:rPr>
        <w:t>1  Name</w:t>
      </w:r>
      <w:r w:rsidR="00D65E7E">
        <w:rPr>
          <w:noProof/>
        </w:rPr>
        <w:tab/>
      </w:r>
      <w:r w:rsidR="00D65E7E">
        <w:rPr>
          <w:noProof/>
        </w:rPr>
        <w:fldChar w:fldCharType="begin"/>
      </w:r>
      <w:r w:rsidR="00D65E7E">
        <w:rPr>
          <w:noProof/>
        </w:rPr>
        <w:instrText xml:space="preserve"> PAGEREF _Toc78551934 \h </w:instrText>
      </w:r>
      <w:r w:rsidR="00D65E7E">
        <w:rPr>
          <w:noProof/>
        </w:rPr>
      </w:r>
      <w:r w:rsidR="00D65E7E">
        <w:rPr>
          <w:noProof/>
        </w:rPr>
        <w:fldChar w:fldCharType="separate"/>
      </w:r>
      <w:r w:rsidR="000552E2">
        <w:rPr>
          <w:noProof/>
        </w:rPr>
        <w:t>1</w:t>
      </w:r>
      <w:r w:rsidR="00D65E7E">
        <w:rPr>
          <w:noProof/>
        </w:rPr>
        <w:fldChar w:fldCharType="end"/>
      </w:r>
    </w:p>
    <w:p w14:paraId="1B5AF82B" w14:textId="1CA7172E" w:rsidR="00D65E7E" w:rsidRDefault="00D65E7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_Toc78551935 \h </w:instrText>
      </w:r>
      <w:r>
        <w:rPr>
          <w:noProof/>
        </w:rPr>
      </w:r>
      <w:r>
        <w:rPr>
          <w:noProof/>
        </w:rPr>
        <w:fldChar w:fldCharType="separate"/>
      </w:r>
      <w:r w:rsidR="000552E2">
        <w:rPr>
          <w:noProof/>
        </w:rPr>
        <w:t>1</w:t>
      </w:r>
      <w:r>
        <w:rPr>
          <w:noProof/>
        </w:rPr>
        <w:fldChar w:fldCharType="end"/>
      </w:r>
    </w:p>
    <w:p w14:paraId="0BEF3A67" w14:textId="627A75BB" w:rsidR="00D65E7E" w:rsidRDefault="00D65E7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_Toc78551936 \h </w:instrText>
      </w:r>
      <w:r>
        <w:rPr>
          <w:noProof/>
        </w:rPr>
      </w:r>
      <w:r>
        <w:rPr>
          <w:noProof/>
        </w:rPr>
        <w:fldChar w:fldCharType="separate"/>
      </w:r>
      <w:r w:rsidR="000552E2">
        <w:rPr>
          <w:noProof/>
        </w:rPr>
        <w:t>1</w:t>
      </w:r>
      <w:r>
        <w:rPr>
          <w:noProof/>
        </w:rPr>
        <w:fldChar w:fldCharType="end"/>
      </w:r>
    </w:p>
    <w:p w14:paraId="73A03E68" w14:textId="126A5DA9" w:rsidR="00D65E7E" w:rsidRDefault="00D65E7E">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_Toc78551937 \h </w:instrText>
      </w:r>
      <w:r>
        <w:rPr>
          <w:noProof/>
        </w:rPr>
      </w:r>
      <w:r>
        <w:rPr>
          <w:noProof/>
        </w:rPr>
        <w:fldChar w:fldCharType="separate"/>
      </w:r>
      <w:r w:rsidR="000552E2">
        <w:rPr>
          <w:noProof/>
        </w:rPr>
        <w:t>1</w:t>
      </w:r>
      <w:r>
        <w:rPr>
          <w:noProof/>
        </w:rPr>
        <w:fldChar w:fldCharType="end"/>
      </w:r>
    </w:p>
    <w:p w14:paraId="65871670" w14:textId="7EAC318C" w:rsidR="00D65E7E" w:rsidRDefault="00D65E7E">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_Toc78551938 \h </w:instrText>
      </w:r>
      <w:r>
        <w:rPr>
          <w:noProof/>
        </w:rPr>
      </w:r>
      <w:r>
        <w:rPr>
          <w:noProof/>
        </w:rPr>
        <w:fldChar w:fldCharType="separate"/>
      </w:r>
      <w:r w:rsidR="000552E2">
        <w:rPr>
          <w:noProof/>
        </w:rPr>
        <w:t>2</w:t>
      </w:r>
      <w:r>
        <w:rPr>
          <w:noProof/>
        </w:rPr>
        <w:fldChar w:fldCharType="end"/>
      </w:r>
    </w:p>
    <w:p w14:paraId="0A74ADDE" w14:textId="25CC825A" w:rsidR="00D65E7E" w:rsidRDefault="00D65E7E">
      <w:pPr>
        <w:pStyle w:val="TOC5"/>
        <w:rPr>
          <w:rFonts w:asciiTheme="minorHAnsi" w:eastAsiaTheme="minorEastAsia" w:hAnsiTheme="minorHAnsi" w:cstheme="minorBidi"/>
          <w:noProof/>
          <w:kern w:val="0"/>
          <w:sz w:val="22"/>
          <w:szCs w:val="22"/>
        </w:rPr>
      </w:pPr>
      <w:r>
        <w:rPr>
          <w:noProof/>
        </w:rPr>
        <w:t>13A  Preliminary provisions for the purposes of sections 13B to 13D</w:t>
      </w:r>
      <w:r>
        <w:rPr>
          <w:noProof/>
        </w:rPr>
        <w:tab/>
      </w:r>
      <w:r>
        <w:rPr>
          <w:noProof/>
        </w:rPr>
        <w:fldChar w:fldCharType="begin"/>
      </w:r>
      <w:r>
        <w:rPr>
          <w:noProof/>
        </w:rPr>
        <w:instrText xml:space="preserve"> PAGEREF _Toc78551939 \h </w:instrText>
      </w:r>
      <w:r>
        <w:rPr>
          <w:noProof/>
        </w:rPr>
      </w:r>
      <w:r>
        <w:rPr>
          <w:noProof/>
        </w:rPr>
        <w:fldChar w:fldCharType="separate"/>
      </w:r>
      <w:r w:rsidR="000552E2">
        <w:rPr>
          <w:noProof/>
        </w:rPr>
        <w:t>2</w:t>
      </w:r>
      <w:r>
        <w:rPr>
          <w:noProof/>
        </w:rPr>
        <w:fldChar w:fldCharType="end"/>
      </w:r>
    </w:p>
    <w:p w14:paraId="393ED5B2" w14:textId="01C0E371" w:rsidR="00D65E7E" w:rsidRDefault="00D65E7E">
      <w:pPr>
        <w:pStyle w:val="TOC5"/>
        <w:rPr>
          <w:rFonts w:asciiTheme="minorHAnsi" w:eastAsiaTheme="minorEastAsia" w:hAnsiTheme="minorHAnsi" w:cstheme="minorBidi"/>
          <w:noProof/>
          <w:kern w:val="0"/>
          <w:sz w:val="22"/>
          <w:szCs w:val="22"/>
        </w:rPr>
      </w:pPr>
      <w:r>
        <w:rPr>
          <w:noProof/>
        </w:rPr>
        <w:t>13B  Public information on names of ESAs outside the fixed</w:t>
      </w:r>
      <w:r>
        <w:rPr>
          <w:noProof/>
        </w:rPr>
        <w:noBreakHyphen/>
        <w:t>line footprint of the national broadband network</w:t>
      </w:r>
      <w:r>
        <w:rPr>
          <w:noProof/>
        </w:rPr>
        <w:tab/>
      </w:r>
      <w:r>
        <w:rPr>
          <w:noProof/>
        </w:rPr>
        <w:fldChar w:fldCharType="begin"/>
      </w:r>
      <w:r>
        <w:rPr>
          <w:noProof/>
        </w:rPr>
        <w:instrText xml:space="preserve"> PAGEREF _Toc78551940 \h </w:instrText>
      </w:r>
      <w:r>
        <w:rPr>
          <w:noProof/>
        </w:rPr>
      </w:r>
      <w:r>
        <w:rPr>
          <w:noProof/>
        </w:rPr>
        <w:fldChar w:fldCharType="separate"/>
      </w:r>
      <w:r w:rsidR="000552E2">
        <w:rPr>
          <w:noProof/>
        </w:rPr>
        <w:t>6</w:t>
      </w:r>
      <w:r>
        <w:rPr>
          <w:noProof/>
        </w:rPr>
        <w:fldChar w:fldCharType="end"/>
      </w:r>
    </w:p>
    <w:p w14:paraId="3A98E269" w14:textId="7D901D85" w:rsidR="00D65E7E" w:rsidRDefault="00D65E7E">
      <w:pPr>
        <w:pStyle w:val="TOC5"/>
        <w:rPr>
          <w:rFonts w:asciiTheme="minorHAnsi" w:eastAsiaTheme="minorEastAsia" w:hAnsiTheme="minorHAnsi" w:cstheme="minorBidi"/>
          <w:noProof/>
          <w:kern w:val="0"/>
          <w:sz w:val="22"/>
          <w:szCs w:val="22"/>
        </w:rPr>
      </w:pPr>
      <w:r>
        <w:rPr>
          <w:noProof/>
        </w:rPr>
        <w:t>13C  Public reporting on certain CSG services in ESAs outside the fixed</w:t>
      </w:r>
      <w:r>
        <w:rPr>
          <w:noProof/>
        </w:rPr>
        <w:noBreakHyphen/>
        <w:t>line footprint of the national broadband network</w:t>
      </w:r>
      <w:r>
        <w:rPr>
          <w:noProof/>
        </w:rPr>
        <w:tab/>
      </w:r>
      <w:r>
        <w:rPr>
          <w:noProof/>
        </w:rPr>
        <w:fldChar w:fldCharType="begin"/>
      </w:r>
      <w:r>
        <w:rPr>
          <w:noProof/>
        </w:rPr>
        <w:instrText xml:space="preserve"> PAGEREF _Toc78551941 \h </w:instrText>
      </w:r>
      <w:r>
        <w:rPr>
          <w:noProof/>
        </w:rPr>
      </w:r>
      <w:r>
        <w:rPr>
          <w:noProof/>
        </w:rPr>
        <w:fldChar w:fldCharType="separate"/>
      </w:r>
      <w:r w:rsidR="000552E2">
        <w:rPr>
          <w:noProof/>
        </w:rPr>
        <w:t>7</w:t>
      </w:r>
      <w:r>
        <w:rPr>
          <w:noProof/>
        </w:rPr>
        <w:fldChar w:fldCharType="end"/>
      </w:r>
    </w:p>
    <w:p w14:paraId="16329A55" w14:textId="76295003" w:rsidR="00D65E7E" w:rsidRDefault="00D65E7E">
      <w:pPr>
        <w:pStyle w:val="TOC5"/>
        <w:rPr>
          <w:rFonts w:asciiTheme="minorHAnsi" w:eastAsiaTheme="minorEastAsia" w:hAnsiTheme="minorHAnsi" w:cstheme="minorBidi"/>
          <w:noProof/>
          <w:kern w:val="0"/>
          <w:sz w:val="22"/>
          <w:szCs w:val="22"/>
        </w:rPr>
      </w:pPr>
      <w:r>
        <w:rPr>
          <w:noProof/>
        </w:rPr>
        <w:t>13D  Reporting to the ACMA and the Department on certain CSG services in ESAs outside the fixed</w:t>
      </w:r>
      <w:r>
        <w:rPr>
          <w:noProof/>
        </w:rPr>
        <w:noBreakHyphen/>
        <w:t>line footprint of the national broadband network</w:t>
      </w:r>
      <w:r>
        <w:rPr>
          <w:noProof/>
        </w:rPr>
        <w:tab/>
      </w:r>
      <w:r>
        <w:rPr>
          <w:noProof/>
        </w:rPr>
        <w:fldChar w:fldCharType="begin"/>
      </w:r>
      <w:r>
        <w:rPr>
          <w:noProof/>
        </w:rPr>
        <w:instrText xml:space="preserve"> PAGEREF _Toc78551942 \h </w:instrText>
      </w:r>
      <w:r>
        <w:rPr>
          <w:noProof/>
        </w:rPr>
      </w:r>
      <w:r>
        <w:rPr>
          <w:noProof/>
        </w:rPr>
        <w:fldChar w:fldCharType="separate"/>
      </w:r>
      <w:r w:rsidR="000552E2">
        <w:rPr>
          <w:noProof/>
        </w:rPr>
        <w:t>8</w:t>
      </w:r>
      <w:r>
        <w:rPr>
          <w:noProof/>
        </w:rPr>
        <w:fldChar w:fldCharType="end"/>
      </w:r>
    </w:p>
    <w:p w14:paraId="2E576D98" w14:textId="77777777" w:rsidR="00B20990" w:rsidRDefault="00B20990" w:rsidP="005E317F">
      <w:r w:rsidRPr="005E317F">
        <w:rPr>
          <w:rFonts w:cs="Times New Roman"/>
          <w:sz w:val="20"/>
        </w:rPr>
        <w:fldChar w:fldCharType="end"/>
      </w:r>
    </w:p>
    <w:p w14:paraId="6B143B54" w14:textId="77777777" w:rsidR="00B20990" w:rsidRDefault="00B20990" w:rsidP="00B20990"/>
    <w:p w14:paraId="023500ED" w14:textId="77777777" w:rsidR="00B20990" w:rsidRDefault="00B20990" w:rsidP="00B20990">
      <w:pPr>
        <w:sectPr w:rsidR="00B20990" w:rsidSect="00F9381A">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6713DDE" w14:textId="77777777" w:rsidR="005E317F" w:rsidRPr="009C2562" w:rsidRDefault="005E317F" w:rsidP="005E317F">
      <w:pPr>
        <w:pStyle w:val="ActHead5"/>
      </w:pPr>
      <w:bookmarkStart w:id="2" w:name="_Toc78551934"/>
      <w:proofErr w:type="gramStart"/>
      <w:r w:rsidRPr="009C2562">
        <w:rPr>
          <w:rStyle w:val="CharSectno"/>
        </w:rPr>
        <w:lastRenderedPageBreak/>
        <w:t>1</w:t>
      </w:r>
      <w:r w:rsidRPr="009C2562">
        <w:t xml:space="preserve">  Name</w:t>
      </w:r>
      <w:bookmarkEnd w:id="2"/>
      <w:proofErr w:type="gramEnd"/>
    </w:p>
    <w:p w14:paraId="015F4938"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A72CE9" w:rsidRPr="00A72CE9">
        <w:rPr>
          <w:i/>
        </w:rPr>
        <w:t xml:space="preserve">Telecommunications (Carrier Licence Conditions - Telstra Corporation Limited) </w:t>
      </w:r>
      <w:r w:rsidR="006A19F8">
        <w:rPr>
          <w:i/>
        </w:rPr>
        <w:t xml:space="preserve">Amendment </w:t>
      </w:r>
      <w:r w:rsidR="00517EB3">
        <w:rPr>
          <w:i/>
        </w:rPr>
        <w:t>(</w:t>
      </w:r>
      <w:r w:rsidR="00396B23">
        <w:rPr>
          <w:i/>
        </w:rPr>
        <w:t xml:space="preserve">Regional </w:t>
      </w:r>
      <w:r w:rsidR="00517EB3">
        <w:rPr>
          <w:i/>
        </w:rPr>
        <w:t xml:space="preserve">Service Information) </w:t>
      </w:r>
      <w:r w:rsidR="006A19F8">
        <w:rPr>
          <w:i/>
        </w:rPr>
        <w:t>Instrument</w:t>
      </w:r>
      <w:r w:rsidR="00A72CE9" w:rsidRPr="00A72CE9">
        <w:rPr>
          <w:i/>
        </w:rPr>
        <w:t xml:space="preserve"> 2021</w:t>
      </w:r>
      <w:r w:rsidRPr="009C2562">
        <w:t>.</w:t>
      </w:r>
    </w:p>
    <w:p w14:paraId="3F888C1C" w14:textId="77777777" w:rsidR="005E317F" w:rsidRDefault="005E317F" w:rsidP="005E317F">
      <w:pPr>
        <w:pStyle w:val="ActHead5"/>
      </w:pPr>
      <w:bookmarkStart w:id="4" w:name="_Toc78551935"/>
      <w:proofErr w:type="gramStart"/>
      <w:r w:rsidRPr="009C2562">
        <w:rPr>
          <w:rStyle w:val="CharSectno"/>
        </w:rPr>
        <w:t>2</w:t>
      </w:r>
      <w:r w:rsidRPr="009C2562">
        <w:t xml:space="preserve">  Commencement</w:t>
      </w:r>
      <w:bookmarkEnd w:id="4"/>
      <w:proofErr w:type="gramEnd"/>
    </w:p>
    <w:p w14:paraId="7473F2CD"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F36859B"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B316200" w14:textId="77777777" w:rsidTr="00F9381A">
        <w:trPr>
          <w:tblHeader/>
        </w:trPr>
        <w:tc>
          <w:tcPr>
            <w:tcW w:w="8364" w:type="dxa"/>
            <w:gridSpan w:val="3"/>
            <w:tcBorders>
              <w:top w:val="single" w:sz="12" w:space="0" w:color="auto"/>
              <w:bottom w:val="single" w:sz="6" w:space="0" w:color="auto"/>
            </w:tcBorders>
            <w:shd w:val="clear" w:color="auto" w:fill="auto"/>
            <w:hideMark/>
          </w:tcPr>
          <w:p w14:paraId="09B04AC7" w14:textId="77777777" w:rsidR="00002BCC" w:rsidRPr="003422B4" w:rsidRDefault="00002BCC" w:rsidP="00F9381A">
            <w:pPr>
              <w:pStyle w:val="TableHeading"/>
            </w:pPr>
            <w:r w:rsidRPr="003422B4">
              <w:t>Commencement information</w:t>
            </w:r>
          </w:p>
        </w:tc>
      </w:tr>
      <w:tr w:rsidR="00002BCC" w:rsidRPr="003422B4" w14:paraId="39298231" w14:textId="77777777" w:rsidTr="00F9381A">
        <w:trPr>
          <w:tblHeader/>
        </w:trPr>
        <w:tc>
          <w:tcPr>
            <w:tcW w:w="2127" w:type="dxa"/>
            <w:tcBorders>
              <w:top w:val="single" w:sz="6" w:space="0" w:color="auto"/>
              <w:bottom w:val="single" w:sz="6" w:space="0" w:color="auto"/>
            </w:tcBorders>
            <w:shd w:val="clear" w:color="auto" w:fill="auto"/>
            <w:hideMark/>
          </w:tcPr>
          <w:p w14:paraId="40896C32" w14:textId="77777777" w:rsidR="00002BCC" w:rsidRPr="003422B4" w:rsidRDefault="00002BCC" w:rsidP="00F9381A">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3089DF7" w14:textId="77777777" w:rsidR="00002BCC" w:rsidRPr="003422B4" w:rsidRDefault="00002BCC" w:rsidP="00F9381A">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CA10AD6" w14:textId="77777777" w:rsidR="00002BCC" w:rsidRPr="003422B4" w:rsidRDefault="00002BCC" w:rsidP="00F9381A">
            <w:pPr>
              <w:pStyle w:val="TableHeading"/>
            </w:pPr>
            <w:r w:rsidRPr="003422B4">
              <w:t>Column 3</w:t>
            </w:r>
          </w:p>
        </w:tc>
      </w:tr>
      <w:tr w:rsidR="00002BCC" w:rsidRPr="003422B4" w14:paraId="08D7F842" w14:textId="77777777" w:rsidTr="00F9381A">
        <w:trPr>
          <w:tblHeader/>
        </w:trPr>
        <w:tc>
          <w:tcPr>
            <w:tcW w:w="2127" w:type="dxa"/>
            <w:tcBorders>
              <w:top w:val="single" w:sz="6" w:space="0" w:color="auto"/>
              <w:bottom w:val="single" w:sz="12" w:space="0" w:color="auto"/>
            </w:tcBorders>
            <w:shd w:val="clear" w:color="auto" w:fill="auto"/>
            <w:hideMark/>
          </w:tcPr>
          <w:p w14:paraId="08747276" w14:textId="77777777" w:rsidR="00002BCC" w:rsidRPr="003422B4" w:rsidRDefault="00002BCC" w:rsidP="00F9381A">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657D87A" w14:textId="77777777" w:rsidR="00002BCC" w:rsidRPr="003422B4" w:rsidRDefault="00002BCC" w:rsidP="00F9381A">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318C8B1" w14:textId="77777777" w:rsidR="00002BCC" w:rsidRPr="003422B4" w:rsidRDefault="00002BCC" w:rsidP="00F9381A">
            <w:pPr>
              <w:pStyle w:val="TableHeading"/>
            </w:pPr>
            <w:r w:rsidRPr="003422B4">
              <w:t>Date/Details</w:t>
            </w:r>
          </w:p>
        </w:tc>
      </w:tr>
      <w:tr w:rsidR="00002BCC" w:rsidRPr="003422B4" w14:paraId="3D4715DD" w14:textId="77777777" w:rsidTr="00F9381A">
        <w:tc>
          <w:tcPr>
            <w:tcW w:w="2127" w:type="dxa"/>
            <w:tcBorders>
              <w:top w:val="single" w:sz="12" w:space="0" w:color="auto"/>
              <w:bottom w:val="single" w:sz="12" w:space="0" w:color="auto"/>
            </w:tcBorders>
            <w:shd w:val="clear" w:color="auto" w:fill="auto"/>
            <w:hideMark/>
          </w:tcPr>
          <w:p w14:paraId="605BBA2A" w14:textId="77777777" w:rsidR="00002BCC" w:rsidRPr="003A6229" w:rsidRDefault="00002BCC" w:rsidP="00A72CE9">
            <w:pPr>
              <w:pStyle w:val="Tabletext"/>
              <w:rPr>
                <w:i/>
              </w:rPr>
            </w:pPr>
            <w:r w:rsidRPr="003422B4">
              <w:t xml:space="preserve">1.  </w:t>
            </w:r>
            <w:r w:rsidR="00A72CE9" w:rsidRPr="00A72CE9">
              <w:t>The whole of this instrument</w:t>
            </w:r>
            <w:r w:rsidR="00A72CE9">
              <w:rPr>
                <w:i/>
              </w:rPr>
              <w:t xml:space="preserve"> </w:t>
            </w:r>
          </w:p>
        </w:tc>
        <w:tc>
          <w:tcPr>
            <w:tcW w:w="4394" w:type="dxa"/>
            <w:tcBorders>
              <w:top w:val="single" w:sz="12" w:space="0" w:color="auto"/>
              <w:bottom w:val="single" w:sz="12" w:space="0" w:color="auto"/>
            </w:tcBorders>
            <w:shd w:val="clear" w:color="auto" w:fill="auto"/>
            <w:hideMark/>
          </w:tcPr>
          <w:p w14:paraId="3A01D452" w14:textId="77777777" w:rsidR="00002BCC" w:rsidRPr="00A72CE9" w:rsidRDefault="00A72CE9" w:rsidP="00F9381A">
            <w:pPr>
              <w:pStyle w:val="Tabletext"/>
            </w:pPr>
            <w:r w:rsidRPr="00A72CE9">
              <w:t>The day after this instrument is registered</w:t>
            </w:r>
            <w:r w:rsidR="00002BCC" w:rsidRPr="00A72CE9">
              <w:t>.</w:t>
            </w:r>
          </w:p>
        </w:tc>
        <w:tc>
          <w:tcPr>
            <w:tcW w:w="1843" w:type="dxa"/>
            <w:tcBorders>
              <w:top w:val="single" w:sz="12" w:space="0" w:color="auto"/>
              <w:bottom w:val="single" w:sz="12" w:space="0" w:color="auto"/>
            </w:tcBorders>
            <w:shd w:val="clear" w:color="auto" w:fill="auto"/>
          </w:tcPr>
          <w:p w14:paraId="733B1950" w14:textId="77777777" w:rsidR="00002BCC" w:rsidRPr="00B43C50" w:rsidRDefault="00002BCC" w:rsidP="00F9381A">
            <w:pPr>
              <w:pStyle w:val="Tabletext"/>
              <w:rPr>
                <w:i/>
              </w:rPr>
            </w:pPr>
          </w:p>
        </w:tc>
      </w:tr>
    </w:tbl>
    <w:p w14:paraId="6B1E863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D10D2E4"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9772AB3" w14:textId="77777777" w:rsidR="005E317F" w:rsidRPr="009C2562" w:rsidRDefault="005E317F" w:rsidP="005E317F">
      <w:pPr>
        <w:pStyle w:val="ActHead5"/>
      </w:pPr>
      <w:bookmarkStart w:id="5" w:name="_Toc78551936"/>
      <w:proofErr w:type="gramStart"/>
      <w:r w:rsidRPr="009C2562">
        <w:rPr>
          <w:rStyle w:val="CharSectno"/>
        </w:rPr>
        <w:t>3</w:t>
      </w:r>
      <w:r w:rsidRPr="009C2562">
        <w:t xml:space="preserve">  Authority</w:t>
      </w:r>
      <w:bookmarkEnd w:id="5"/>
      <w:proofErr w:type="gramEnd"/>
    </w:p>
    <w:p w14:paraId="4BAE05DE" w14:textId="77777777" w:rsidR="005E317F" w:rsidRPr="009C2562" w:rsidRDefault="005E317F" w:rsidP="005E317F">
      <w:pPr>
        <w:pStyle w:val="subsection"/>
      </w:pPr>
      <w:r w:rsidRPr="009C2562">
        <w:tab/>
      </w:r>
      <w:r w:rsidRPr="009C2562">
        <w:tab/>
        <w:t xml:space="preserve">This instrument is made under </w:t>
      </w:r>
      <w:r w:rsidR="00A37D58">
        <w:t xml:space="preserve">subsection 63(5) of the </w:t>
      </w:r>
      <w:r w:rsidR="00A37D58" w:rsidRPr="00A37D58">
        <w:rPr>
          <w:i/>
        </w:rPr>
        <w:t>Telecommunications Act 1997</w:t>
      </w:r>
      <w:r w:rsidRPr="009C2562">
        <w:t>.</w:t>
      </w:r>
    </w:p>
    <w:p w14:paraId="6E24049D" w14:textId="77777777" w:rsidR="005E317F" w:rsidRPr="006065DA" w:rsidRDefault="005E317F" w:rsidP="005E317F">
      <w:pPr>
        <w:pStyle w:val="ActHead5"/>
      </w:pPr>
      <w:bookmarkStart w:id="6" w:name="_Toc78551937"/>
      <w:proofErr w:type="gramStart"/>
      <w:r w:rsidRPr="006065DA">
        <w:t>4  Schedules</w:t>
      </w:r>
      <w:bookmarkEnd w:id="6"/>
      <w:proofErr w:type="gramEnd"/>
    </w:p>
    <w:p w14:paraId="76D1FB9C"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70AE842F" w14:textId="77777777" w:rsidR="005E317F" w:rsidRDefault="005E317F" w:rsidP="005E317F">
      <w:pPr>
        <w:pStyle w:val="ActHead6"/>
        <w:pageBreakBefore/>
      </w:pPr>
      <w:bookmarkStart w:id="7" w:name="_Toc78551938"/>
      <w:r w:rsidRPr="00DB64FC">
        <w:rPr>
          <w:rStyle w:val="CharAmSchNo"/>
        </w:rPr>
        <w:lastRenderedPageBreak/>
        <w:t>Schedule 1</w:t>
      </w:r>
      <w:r>
        <w:t>—</w:t>
      </w:r>
      <w:r w:rsidRPr="00DB64FC">
        <w:rPr>
          <w:rStyle w:val="CharAmSchText"/>
        </w:rPr>
        <w:t>Amendments</w:t>
      </w:r>
      <w:bookmarkEnd w:id="7"/>
    </w:p>
    <w:p w14:paraId="7211EA4B" w14:textId="77777777" w:rsidR="00A37D58" w:rsidRDefault="00A37D58" w:rsidP="00A37D58">
      <w:pPr>
        <w:rPr>
          <w:rFonts w:eastAsia="Times New Roman" w:cs="Times New Roman"/>
          <w:b/>
          <w:i/>
          <w:kern w:val="28"/>
          <w:sz w:val="28"/>
          <w:lang w:eastAsia="en-AU"/>
        </w:rPr>
      </w:pPr>
    </w:p>
    <w:p w14:paraId="34563CC1" w14:textId="77777777" w:rsidR="005E317F" w:rsidRPr="00A37D58" w:rsidRDefault="00A37D58" w:rsidP="00A37D58">
      <w:pPr>
        <w:rPr>
          <w:rFonts w:eastAsia="Times New Roman" w:cs="Times New Roman"/>
          <w:b/>
          <w:i/>
          <w:kern w:val="28"/>
          <w:sz w:val="28"/>
          <w:lang w:eastAsia="en-AU"/>
        </w:rPr>
      </w:pPr>
      <w:r w:rsidRPr="00A37D58">
        <w:rPr>
          <w:rFonts w:eastAsia="Times New Roman" w:cs="Times New Roman"/>
          <w:b/>
          <w:i/>
          <w:kern w:val="28"/>
          <w:sz w:val="28"/>
          <w:lang w:eastAsia="en-AU"/>
        </w:rPr>
        <w:t>Telecommunications (Carrier Licence Conditions - Telstra Corpor</w:t>
      </w:r>
      <w:r>
        <w:rPr>
          <w:rFonts w:eastAsia="Times New Roman" w:cs="Times New Roman"/>
          <w:b/>
          <w:i/>
          <w:kern w:val="28"/>
          <w:sz w:val="28"/>
          <w:lang w:eastAsia="en-AU"/>
        </w:rPr>
        <w:t>ation Limited) Declaration 2019</w:t>
      </w:r>
    </w:p>
    <w:p w14:paraId="6B65752D" w14:textId="77777777" w:rsidR="005E317F" w:rsidRDefault="005E317F" w:rsidP="005E317F">
      <w:pPr>
        <w:pStyle w:val="ItemHead"/>
      </w:pPr>
      <w:proofErr w:type="gramStart"/>
      <w:r>
        <w:t xml:space="preserve">1  </w:t>
      </w:r>
      <w:r w:rsidR="00F9381A">
        <w:t>Section</w:t>
      </w:r>
      <w:proofErr w:type="gramEnd"/>
      <w:r w:rsidR="00F9381A">
        <w:t xml:space="preserve"> 4</w:t>
      </w:r>
      <w:r w:rsidR="00CA7236">
        <w:t xml:space="preserve"> </w:t>
      </w:r>
    </w:p>
    <w:p w14:paraId="2E4D40FA" w14:textId="77777777" w:rsidR="005E317F" w:rsidRDefault="00F9381A" w:rsidP="00F9381A">
      <w:pPr>
        <w:pStyle w:val="Item"/>
      </w:pPr>
      <w:r>
        <w:t>Insert:</w:t>
      </w:r>
    </w:p>
    <w:p w14:paraId="64C27396" w14:textId="77777777" w:rsidR="004077CA" w:rsidRDefault="004077CA" w:rsidP="004077CA">
      <w:pPr>
        <w:pStyle w:val="Definition"/>
      </w:pPr>
      <w:r>
        <w:rPr>
          <w:b/>
          <w:i/>
        </w:rPr>
        <w:t>CSG service</w:t>
      </w:r>
      <w:r w:rsidR="00092BEE">
        <w:t xml:space="preserve"> </w:t>
      </w:r>
      <w:r w:rsidR="00092BEE" w:rsidRPr="00092BEE">
        <w:t xml:space="preserve">has the same meaning as in the </w:t>
      </w:r>
      <w:r w:rsidR="000C6213">
        <w:t xml:space="preserve">CSG </w:t>
      </w:r>
      <w:r w:rsidR="00152FE0">
        <w:t>S</w:t>
      </w:r>
      <w:r w:rsidR="000C6213">
        <w:t xml:space="preserve">tandard </w:t>
      </w:r>
      <w:r w:rsidR="00092BEE" w:rsidRPr="00092BEE">
        <w:t xml:space="preserve">when provided to a customer of the licensee but does not include a service the supply of which by the licensee is exempt from compliance with performance standards under section 18 of that </w:t>
      </w:r>
      <w:r w:rsidR="00092BEE">
        <w:t>s</w:t>
      </w:r>
      <w:r w:rsidR="00092BEE" w:rsidRPr="00092BEE">
        <w:t>tandard</w:t>
      </w:r>
      <w:r w:rsidR="00092BEE">
        <w:t>.</w:t>
      </w:r>
    </w:p>
    <w:p w14:paraId="12D9273F" w14:textId="77777777" w:rsidR="000C6213" w:rsidRPr="000C6213" w:rsidRDefault="000C6213" w:rsidP="004077CA">
      <w:pPr>
        <w:pStyle w:val="Definition"/>
      </w:pPr>
      <w:r>
        <w:rPr>
          <w:b/>
          <w:i/>
        </w:rPr>
        <w:t xml:space="preserve">CSG </w:t>
      </w:r>
      <w:r w:rsidR="00152FE0">
        <w:rPr>
          <w:b/>
          <w:i/>
        </w:rPr>
        <w:t>S</w:t>
      </w:r>
      <w:r>
        <w:rPr>
          <w:b/>
          <w:i/>
        </w:rPr>
        <w:t>tandard</w:t>
      </w:r>
      <w:r>
        <w:t xml:space="preserve"> means the </w:t>
      </w:r>
      <w:r w:rsidRPr="00FE362F">
        <w:rPr>
          <w:i/>
        </w:rPr>
        <w:t>Telecommunications (Customer Service Guarantee) Standard 2011</w:t>
      </w:r>
      <w:r>
        <w:t>.</w:t>
      </w:r>
    </w:p>
    <w:p w14:paraId="2FC368FD" w14:textId="77777777" w:rsidR="006B66AD" w:rsidRDefault="007A5BB2" w:rsidP="00FC732C">
      <w:pPr>
        <w:pStyle w:val="Definition"/>
      </w:pPr>
      <w:proofErr w:type="gramStart"/>
      <w:r w:rsidRPr="002231B9">
        <w:rPr>
          <w:b/>
          <w:i/>
        </w:rPr>
        <w:t>fault</w:t>
      </w:r>
      <w:proofErr w:type="gramEnd"/>
      <w:r w:rsidRPr="002231B9">
        <w:rPr>
          <w:b/>
          <w:i/>
        </w:rPr>
        <w:t xml:space="preserve"> or service difficulty</w:t>
      </w:r>
      <w:r w:rsidR="006A19F8">
        <w:t xml:space="preserve">, in relation to a </w:t>
      </w:r>
      <w:r w:rsidR="00B900E1">
        <w:t xml:space="preserve">CSG </w:t>
      </w:r>
      <w:r w:rsidR="006A19F8">
        <w:t>service,</w:t>
      </w:r>
      <w:r w:rsidRPr="00446940">
        <w:t xml:space="preserve"> </w:t>
      </w:r>
      <w:r w:rsidR="00092BEE">
        <w:t xml:space="preserve">has </w:t>
      </w:r>
      <w:r>
        <w:t>the same meaning as</w:t>
      </w:r>
      <w:r w:rsidRPr="002231B9">
        <w:t xml:space="preserve"> in </w:t>
      </w:r>
      <w:r w:rsidR="00092BEE">
        <w:t xml:space="preserve">the </w:t>
      </w:r>
      <w:r w:rsidR="000C6213">
        <w:t xml:space="preserve">CSG </w:t>
      </w:r>
      <w:r w:rsidR="00152FE0">
        <w:t>S</w:t>
      </w:r>
      <w:r w:rsidR="000C6213">
        <w:t>tandard</w:t>
      </w:r>
      <w:r w:rsidR="00092BEE">
        <w:t>.</w:t>
      </w:r>
    </w:p>
    <w:p w14:paraId="769F8839" w14:textId="77777777" w:rsidR="00941182" w:rsidRPr="00941182" w:rsidRDefault="00941182" w:rsidP="00FC732C">
      <w:pPr>
        <w:pStyle w:val="Definition"/>
      </w:pPr>
      <w:proofErr w:type="gramStart"/>
      <w:r>
        <w:rPr>
          <w:b/>
          <w:i/>
        </w:rPr>
        <w:t>quarter</w:t>
      </w:r>
      <w:proofErr w:type="gramEnd"/>
      <w:r w:rsidRPr="00941182">
        <w:t xml:space="preserve"> means a period of 3 months ending on 31 March, 30 June, 30 September or 31 December.</w:t>
      </w:r>
    </w:p>
    <w:p w14:paraId="6139FC80" w14:textId="77777777" w:rsidR="008D649A" w:rsidRPr="005719DA" w:rsidRDefault="008D649A" w:rsidP="008D649A">
      <w:pPr>
        <w:pStyle w:val="Definition"/>
      </w:pPr>
      <w:r>
        <w:rPr>
          <w:b/>
          <w:i/>
        </w:rPr>
        <w:t>Secretary</w:t>
      </w:r>
      <w:r>
        <w:t xml:space="preserve"> means </w:t>
      </w:r>
      <w:r w:rsidR="00152FE0">
        <w:t xml:space="preserve">the </w:t>
      </w:r>
      <w:r>
        <w:t>Secretary of the Department.</w:t>
      </w:r>
    </w:p>
    <w:p w14:paraId="089895D7" w14:textId="77777777" w:rsidR="005E317F" w:rsidRDefault="005E317F" w:rsidP="005E317F">
      <w:pPr>
        <w:pStyle w:val="ItemHead"/>
      </w:pPr>
      <w:proofErr w:type="gramStart"/>
      <w:r>
        <w:t xml:space="preserve">2  </w:t>
      </w:r>
      <w:r w:rsidR="00F9381A">
        <w:t>After</w:t>
      </w:r>
      <w:proofErr w:type="gramEnd"/>
      <w:r w:rsidR="00F9381A">
        <w:t xml:space="preserve"> section 1</w:t>
      </w:r>
      <w:r w:rsidR="00092BEE">
        <w:t>3</w:t>
      </w:r>
    </w:p>
    <w:p w14:paraId="60B91CB0" w14:textId="77777777" w:rsidR="005E317F" w:rsidRDefault="005E317F" w:rsidP="005E317F">
      <w:pPr>
        <w:pStyle w:val="Item"/>
      </w:pPr>
      <w:r>
        <w:t>Insert:</w:t>
      </w:r>
    </w:p>
    <w:p w14:paraId="388E85FF" w14:textId="77777777" w:rsidR="00386675" w:rsidRDefault="00386675" w:rsidP="00386675">
      <w:pPr>
        <w:pStyle w:val="ActHead5"/>
      </w:pPr>
      <w:bookmarkStart w:id="8" w:name="_Toc78551939"/>
      <w:proofErr w:type="gramStart"/>
      <w:r>
        <w:rPr>
          <w:rStyle w:val="CharSectno"/>
        </w:rPr>
        <w:t>13A</w:t>
      </w:r>
      <w:r w:rsidRPr="009C2562">
        <w:t xml:space="preserve">  </w:t>
      </w:r>
      <w:r>
        <w:t>Preliminary</w:t>
      </w:r>
      <w:proofErr w:type="gramEnd"/>
      <w:r>
        <w:t xml:space="preserve"> provisions for the purposes of sections 13B to 13D</w:t>
      </w:r>
      <w:bookmarkEnd w:id="8"/>
    </w:p>
    <w:p w14:paraId="4EB75D5B" w14:textId="77777777" w:rsidR="00386675" w:rsidRDefault="00386675" w:rsidP="00666F26">
      <w:pPr>
        <w:pStyle w:val="SubsectionHead"/>
      </w:pPr>
      <w:r>
        <w:t>Definitions</w:t>
      </w:r>
    </w:p>
    <w:p w14:paraId="6B853E1A" w14:textId="77777777" w:rsidR="00386675" w:rsidRPr="00386675" w:rsidRDefault="00386675" w:rsidP="00666F26">
      <w:pPr>
        <w:pStyle w:val="subsection"/>
      </w:pPr>
      <w:r>
        <w:tab/>
        <w:t>(1)</w:t>
      </w:r>
      <w:r>
        <w:tab/>
        <w:t>In this section and in sections 13B, 13C and 13D:</w:t>
      </w:r>
    </w:p>
    <w:p w14:paraId="71AC67AC" w14:textId="77777777" w:rsidR="00386675" w:rsidRPr="00666F26" w:rsidRDefault="00386675" w:rsidP="00386675">
      <w:pPr>
        <w:pStyle w:val="Definition"/>
      </w:pPr>
      <w:proofErr w:type="gramStart"/>
      <w:r>
        <w:rPr>
          <w:b/>
          <w:i/>
        </w:rPr>
        <w:t>another</w:t>
      </w:r>
      <w:proofErr w:type="gramEnd"/>
      <w:r>
        <w:rPr>
          <w:b/>
          <w:i/>
        </w:rPr>
        <w:t xml:space="preserve"> network</w:t>
      </w:r>
      <w:r>
        <w:t xml:space="preserve"> means any telecommunications network other than a licensee network or the national broadband network.</w:t>
      </w:r>
    </w:p>
    <w:p w14:paraId="7E1237FA" w14:textId="77777777" w:rsidR="00386675" w:rsidRPr="00A73356" w:rsidRDefault="00386675" w:rsidP="00386675">
      <w:pPr>
        <w:pStyle w:val="Definition"/>
      </w:pPr>
      <w:proofErr w:type="gramStart"/>
      <w:r>
        <w:rPr>
          <w:b/>
          <w:i/>
        </w:rPr>
        <w:t>appointment</w:t>
      </w:r>
      <w:proofErr w:type="gramEnd"/>
      <w:r>
        <w:t>, in relation to a reportable service,</w:t>
      </w:r>
      <w:r w:rsidRPr="00313799">
        <w:t xml:space="preserve"> means</w:t>
      </w:r>
      <w:r>
        <w:t>:</w:t>
      </w:r>
    </w:p>
    <w:p w14:paraId="1BFA73D3" w14:textId="77777777" w:rsidR="00386675" w:rsidRDefault="00386675" w:rsidP="00386675">
      <w:pPr>
        <w:pStyle w:val="paragraph"/>
      </w:pPr>
      <w:r w:rsidRPr="005C5846">
        <w:tab/>
        <w:t>(a)</w:t>
      </w:r>
      <w:r w:rsidRPr="005C5846">
        <w:tab/>
      </w:r>
      <w:proofErr w:type="gramStart"/>
      <w:r w:rsidRPr="005C5846">
        <w:t>an</w:t>
      </w:r>
      <w:proofErr w:type="gramEnd"/>
      <w:r w:rsidRPr="005C5846">
        <w:t xml:space="preserve"> </w:t>
      </w:r>
      <w:r w:rsidRPr="00353E08">
        <w:t xml:space="preserve">appointment </w:t>
      </w:r>
      <w:r>
        <w:t>for the connection of the service; or</w:t>
      </w:r>
    </w:p>
    <w:p w14:paraId="723A1ED2" w14:textId="77777777" w:rsidR="00386675" w:rsidRDefault="00386675" w:rsidP="00386675">
      <w:pPr>
        <w:pStyle w:val="paragraph"/>
        <w:rPr>
          <w:b/>
          <w:i/>
        </w:rPr>
      </w:pPr>
      <w:r>
        <w:tab/>
        <w:t>(b)</w:t>
      </w:r>
      <w:r>
        <w:tab/>
      </w:r>
      <w:proofErr w:type="gramStart"/>
      <w:r>
        <w:t>an</w:t>
      </w:r>
      <w:proofErr w:type="gramEnd"/>
      <w:r>
        <w:t xml:space="preserve"> appointment for the rectification of a fault or service difficulty in relation to the service.</w:t>
      </w:r>
    </w:p>
    <w:p w14:paraId="3ABD4ED5" w14:textId="77777777" w:rsidR="00386675" w:rsidRDefault="00386675" w:rsidP="00386675">
      <w:pPr>
        <w:pStyle w:val="Definition"/>
      </w:pPr>
      <w:proofErr w:type="gramStart"/>
      <w:r>
        <w:rPr>
          <w:b/>
          <w:i/>
        </w:rPr>
        <w:t>authorised</w:t>
      </w:r>
      <w:proofErr w:type="gramEnd"/>
      <w:r>
        <w:rPr>
          <w:b/>
          <w:i/>
        </w:rPr>
        <w:t xml:space="preserve"> officer</w:t>
      </w:r>
      <w:r>
        <w:t xml:space="preserve"> means a person covered by a notice given for the purposes of subsection (2).</w:t>
      </w:r>
    </w:p>
    <w:p w14:paraId="0B8614A1" w14:textId="77777777" w:rsidR="00386675" w:rsidRDefault="00386675" w:rsidP="00386675">
      <w:pPr>
        <w:pStyle w:val="Definition"/>
      </w:pPr>
      <w:r>
        <w:rPr>
          <w:b/>
          <w:i/>
        </w:rPr>
        <w:t>complaint</w:t>
      </w:r>
      <w:r>
        <w:t>,</w:t>
      </w:r>
      <w:r w:rsidRPr="005C5846">
        <w:t xml:space="preserve"> </w:t>
      </w:r>
      <w:r>
        <w:t xml:space="preserve">in relation to a reportable service, </w:t>
      </w:r>
      <w:r w:rsidRPr="005C5846">
        <w:t xml:space="preserve">means an expression of dissatisfaction made to </w:t>
      </w:r>
      <w:r>
        <w:t xml:space="preserve">the licensee </w:t>
      </w:r>
      <w:r w:rsidRPr="005C5846">
        <w:t xml:space="preserve">in relation to </w:t>
      </w:r>
      <w:r>
        <w:t>the service</w:t>
      </w:r>
      <w:r w:rsidRPr="005C5846">
        <w:t xml:space="preserve"> or the complaints handling process itself where a response or resolution is expected by the </w:t>
      </w:r>
      <w:r>
        <w:t>customer (whether express or implied), but does not include:</w:t>
      </w:r>
    </w:p>
    <w:p w14:paraId="31D21066" w14:textId="77777777" w:rsidR="00386675" w:rsidRDefault="00386675" w:rsidP="00386675">
      <w:pPr>
        <w:pStyle w:val="paragraph"/>
      </w:pPr>
      <w:r>
        <w:lastRenderedPageBreak/>
        <w:tab/>
        <w:t>(a)</w:t>
      </w:r>
      <w:r>
        <w:tab/>
      </w:r>
      <w:r w:rsidRPr="005C5846">
        <w:t xml:space="preserve">an initial call to request information or support or to report a fault or service difficulty </w:t>
      </w:r>
      <w:r>
        <w:t xml:space="preserve">in relation to the service, </w:t>
      </w:r>
      <w:r w:rsidRPr="005C5846">
        <w:t xml:space="preserve">unless </w:t>
      </w:r>
      <w:r>
        <w:t xml:space="preserve">the customer </w:t>
      </w:r>
      <w:r w:rsidRPr="005C5846">
        <w:t xml:space="preserve">advises </w:t>
      </w:r>
      <w:r>
        <w:t xml:space="preserve">the licensee </w:t>
      </w:r>
      <w:r w:rsidRPr="005C5846">
        <w:t xml:space="preserve">that </w:t>
      </w:r>
      <w:r>
        <w:t>the customer</w:t>
      </w:r>
      <w:r w:rsidRPr="005C5846">
        <w:t xml:space="preserve"> want</w:t>
      </w:r>
      <w:r>
        <w:t>s</w:t>
      </w:r>
      <w:r w:rsidRPr="005C5846">
        <w:t xml:space="preserve"> </w:t>
      </w:r>
      <w:r>
        <w:t xml:space="preserve">the </w:t>
      </w:r>
      <w:r w:rsidRPr="005C5846">
        <w:t xml:space="preserve">call </w:t>
      </w:r>
      <w:r>
        <w:t xml:space="preserve">to be </w:t>
      </w:r>
      <w:r w:rsidRPr="005C5846">
        <w:t>treated as a complaint</w:t>
      </w:r>
      <w:r>
        <w:t>; or</w:t>
      </w:r>
    </w:p>
    <w:p w14:paraId="62CBDD76" w14:textId="77777777" w:rsidR="00386675" w:rsidRPr="00353E08" w:rsidRDefault="00386675" w:rsidP="00386675">
      <w:pPr>
        <w:pStyle w:val="paragraph"/>
      </w:pPr>
      <w:r>
        <w:tab/>
        <w:t>(b)</w:t>
      </w:r>
      <w:r>
        <w:tab/>
      </w:r>
      <w:proofErr w:type="gramStart"/>
      <w:r w:rsidRPr="005C5846">
        <w:t>an</w:t>
      </w:r>
      <w:proofErr w:type="gramEnd"/>
      <w:r w:rsidRPr="005C5846">
        <w:t xml:space="preserve"> issue that is the subject of legal action.</w:t>
      </w:r>
    </w:p>
    <w:p w14:paraId="41FBF1DA" w14:textId="77777777" w:rsidR="00386675" w:rsidRDefault="00386675" w:rsidP="00386675">
      <w:pPr>
        <w:pStyle w:val="Definition"/>
      </w:pPr>
      <w:proofErr w:type="gramStart"/>
      <w:r>
        <w:rPr>
          <w:b/>
          <w:i/>
        </w:rPr>
        <w:t>complaint</w:t>
      </w:r>
      <w:proofErr w:type="gramEnd"/>
      <w:r>
        <w:rPr>
          <w:b/>
          <w:i/>
        </w:rPr>
        <w:t xml:space="preserve"> category</w:t>
      </w:r>
      <w:r w:rsidRPr="00666F26">
        <w:t xml:space="preserve"> </w:t>
      </w:r>
      <w:r w:rsidRPr="005C5846">
        <w:t>mean</w:t>
      </w:r>
      <w:r>
        <w:t>s any of the following kinds of complaints made in relation to a reportable service</w:t>
      </w:r>
      <w:r w:rsidR="00FE39ED">
        <w:t xml:space="preserve"> (including before it is connected)</w:t>
      </w:r>
      <w:r>
        <w:t>:</w:t>
      </w:r>
    </w:p>
    <w:p w14:paraId="797A06F1" w14:textId="77777777" w:rsidR="00386675" w:rsidRPr="00663B09" w:rsidRDefault="00386675" w:rsidP="00386675">
      <w:pPr>
        <w:pStyle w:val="paragraph"/>
      </w:pPr>
      <w:r>
        <w:tab/>
        <w:t>(a)</w:t>
      </w:r>
      <w:r>
        <w:tab/>
      </w:r>
      <w:proofErr w:type="gramStart"/>
      <w:r>
        <w:t>a</w:t>
      </w:r>
      <w:proofErr w:type="gramEnd"/>
      <w:r>
        <w:t xml:space="preserve"> complaint about n</w:t>
      </w:r>
      <w:r w:rsidRPr="00663B09">
        <w:t xml:space="preserve">o </w:t>
      </w:r>
      <w:r>
        <w:t xml:space="preserve">action, </w:t>
      </w:r>
      <w:r w:rsidRPr="00663B09">
        <w:t>or delayed action</w:t>
      </w:r>
      <w:r>
        <w:t>,</w:t>
      </w:r>
      <w:r w:rsidRPr="00663B09">
        <w:t xml:space="preserve"> </w:t>
      </w:r>
      <w:r>
        <w:t xml:space="preserve">being taken </w:t>
      </w:r>
      <w:r w:rsidRPr="00663B09">
        <w:t xml:space="preserve">by </w:t>
      </w:r>
      <w:r>
        <w:t>the licensee;</w:t>
      </w:r>
    </w:p>
    <w:p w14:paraId="59694815" w14:textId="77777777" w:rsidR="00386675" w:rsidRPr="00663B09" w:rsidRDefault="00386675" w:rsidP="00386675">
      <w:pPr>
        <w:pStyle w:val="paragraph"/>
      </w:pPr>
      <w:r>
        <w:tab/>
        <w:t>(b)</w:t>
      </w:r>
      <w:r>
        <w:tab/>
      </w:r>
      <w:proofErr w:type="gramStart"/>
      <w:r>
        <w:t>a</w:t>
      </w:r>
      <w:proofErr w:type="gramEnd"/>
      <w:r>
        <w:t xml:space="preserve"> complaint about n</w:t>
      </w:r>
      <w:r w:rsidRPr="00663B09">
        <w:t>o phone service</w:t>
      </w:r>
      <w:r>
        <w:t>;</w:t>
      </w:r>
    </w:p>
    <w:p w14:paraId="36FF2346" w14:textId="77777777" w:rsidR="00386675" w:rsidRPr="00663B09" w:rsidRDefault="00386675" w:rsidP="00386675">
      <w:pPr>
        <w:pStyle w:val="paragraph"/>
      </w:pPr>
      <w:r>
        <w:tab/>
        <w:t>(c)</w:t>
      </w:r>
      <w:r>
        <w:tab/>
      </w:r>
      <w:proofErr w:type="gramStart"/>
      <w:r>
        <w:t>a</w:t>
      </w:r>
      <w:proofErr w:type="gramEnd"/>
      <w:r>
        <w:t xml:space="preserve"> complaint about d</w:t>
      </w:r>
      <w:r w:rsidRPr="00663B09">
        <w:t xml:space="preserve">elay </w:t>
      </w:r>
      <w:r>
        <w:t>in connecting</w:t>
      </w:r>
      <w:r w:rsidRPr="00663B09">
        <w:t xml:space="preserve"> a service</w:t>
      </w:r>
      <w:r>
        <w:t>;</w:t>
      </w:r>
    </w:p>
    <w:p w14:paraId="74F8FF81" w14:textId="77777777" w:rsidR="00386675" w:rsidRPr="00663B09" w:rsidRDefault="00386675" w:rsidP="00386675">
      <w:pPr>
        <w:pStyle w:val="paragraph"/>
      </w:pPr>
      <w:r>
        <w:tab/>
        <w:t>(d)</w:t>
      </w:r>
      <w:r>
        <w:tab/>
      </w:r>
      <w:proofErr w:type="gramStart"/>
      <w:r>
        <w:t>a</w:t>
      </w:r>
      <w:proofErr w:type="gramEnd"/>
      <w:r>
        <w:t xml:space="preserve"> complaint about a proposed r</w:t>
      </w:r>
      <w:r w:rsidRPr="00663B09">
        <w:t xml:space="preserve">esolution </w:t>
      </w:r>
      <w:r>
        <w:t xml:space="preserve">of an issue </w:t>
      </w:r>
      <w:r w:rsidR="009B04AD">
        <w:t xml:space="preserve">where a resolution </w:t>
      </w:r>
      <w:r>
        <w:t xml:space="preserve">has been </w:t>
      </w:r>
      <w:r w:rsidRPr="00663B09">
        <w:t>agreed</w:t>
      </w:r>
      <w:r>
        <w:t xml:space="preserve"> </w:t>
      </w:r>
      <w:r w:rsidR="009B04AD">
        <w:t xml:space="preserve">by </w:t>
      </w:r>
      <w:r>
        <w:t>the licensee,</w:t>
      </w:r>
      <w:r w:rsidRPr="00663B09">
        <w:t xml:space="preserve"> but </w:t>
      </w:r>
      <w:r>
        <w:t xml:space="preserve">the issue has </w:t>
      </w:r>
      <w:r w:rsidRPr="00663B09">
        <w:t xml:space="preserve">not </w:t>
      </w:r>
      <w:r>
        <w:t>been resolved by the licensee</w:t>
      </w:r>
      <w:r w:rsidR="009B04AD">
        <w:t xml:space="preserve"> on the terms or timeframe agreed</w:t>
      </w:r>
      <w:r>
        <w:t>;</w:t>
      </w:r>
    </w:p>
    <w:p w14:paraId="0F6EF838" w14:textId="77777777" w:rsidR="00386675" w:rsidRPr="00663B09" w:rsidRDefault="00386675" w:rsidP="00386675">
      <w:pPr>
        <w:pStyle w:val="paragraph"/>
      </w:pPr>
      <w:r>
        <w:tab/>
        <w:t>(e)</w:t>
      </w:r>
      <w:r>
        <w:tab/>
      </w:r>
      <w:proofErr w:type="gramStart"/>
      <w:r>
        <w:t>a</w:t>
      </w:r>
      <w:proofErr w:type="gramEnd"/>
      <w:r>
        <w:t xml:space="preserve"> complaint about a telephone n</w:t>
      </w:r>
      <w:r w:rsidRPr="00663B09">
        <w:t xml:space="preserve">umber problem due to </w:t>
      </w:r>
      <w:r>
        <w:t xml:space="preserve">the </w:t>
      </w:r>
      <w:r w:rsidRPr="00663B09">
        <w:t>connection, disconnection or transfer</w:t>
      </w:r>
      <w:r>
        <w:t xml:space="preserve"> of a service;</w:t>
      </w:r>
    </w:p>
    <w:p w14:paraId="2F3535AA" w14:textId="77777777" w:rsidR="00386675" w:rsidRPr="00663B09" w:rsidRDefault="00386675" w:rsidP="00386675">
      <w:pPr>
        <w:pStyle w:val="paragraph"/>
      </w:pPr>
      <w:r>
        <w:tab/>
        <w:t>(f)</w:t>
      </w:r>
      <w:r>
        <w:tab/>
      </w:r>
      <w:proofErr w:type="gramStart"/>
      <w:r>
        <w:t>a</w:t>
      </w:r>
      <w:proofErr w:type="gramEnd"/>
      <w:r>
        <w:t xml:space="preserve"> complaint about a p</w:t>
      </w:r>
      <w:r w:rsidRPr="00663B09">
        <w:t>artially restricted service</w:t>
      </w:r>
      <w:r>
        <w:t>;</w:t>
      </w:r>
    </w:p>
    <w:p w14:paraId="275892E0" w14:textId="77777777" w:rsidR="00386675" w:rsidRPr="00663B09" w:rsidRDefault="00386675" w:rsidP="00386675">
      <w:pPr>
        <w:pStyle w:val="paragraph"/>
      </w:pPr>
      <w:r>
        <w:tab/>
        <w:t>(g)</w:t>
      </w:r>
      <w:r>
        <w:tab/>
      </w:r>
      <w:proofErr w:type="gramStart"/>
      <w:r>
        <w:t>a</w:t>
      </w:r>
      <w:proofErr w:type="gramEnd"/>
      <w:r>
        <w:t xml:space="preserve"> complaint about s</w:t>
      </w:r>
      <w:r w:rsidRPr="00663B09">
        <w:t xml:space="preserve">ervice </w:t>
      </w:r>
      <w:r>
        <w:t>or</w:t>
      </w:r>
      <w:r w:rsidRPr="00663B09">
        <w:t xml:space="preserve"> equipment fees</w:t>
      </w:r>
      <w:r>
        <w:t>;</w:t>
      </w:r>
    </w:p>
    <w:p w14:paraId="0C07663B" w14:textId="77777777" w:rsidR="00386675" w:rsidRPr="00663B09" w:rsidRDefault="00386675" w:rsidP="00386675">
      <w:pPr>
        <w:pStyle w:val="paragraph"/>
      </w:pPr>
      <w:r>
        <w:tab/>
        <w:t>(h)</w:t>
      </w:r>
      <w:r>
        <w:tab/>
      </w:r>
      <w:proofErr w:type="gramStart"/>
      <w:r>
        <w:t>a</w:t>
      </w:r>
      <w:proofErr w:type="gramEnd"/>
      <w:r>
        <w:t xml:space="preserve"> complaint about c</w:t>
      </w:r>
      <w:r w:rsidRPr="00663B09">
        <w:t>hanging provider</w:t>
      </w:r>
      <w:r>
        <w:t>;</w:t>
      </w:r>
    </w:p>
    <w:p w14:paraId="12E9AA85" w14:textId="77777777" w:rsidR="00386675" w:rsidRDefault="00386675" w:rsidP="00386675">
      <w:pPr>
        <w:pStyle w:val="paragraph"/>
      </w:pPr>
      <w:r>
        <w:tab/>
        <w:t>(</w:t>
      </w:r>
      <w:proofErr w:type="spellStart"/>
      <w:r>
        <w:t>i</w:t>
      </w:r>
      <w:proofErr w:type="spellEnd"/>
      <w:r>
        <w:t>)</w:t>
      </w:r>
      <w:r>
        <w:tab/>
      </w:r>
      <w:proofErr w:type="gramStart"/>
      <w:r>
        <w:t>a</w:t>
      </w:r>
      <w:proofErr w:type="gramEnd"/>
      <w:r>
        <w:t xml:space="preserve"> complaint about the licensee being </w:t>
      </w:r>
      <w:r w:rsidRPr="00663B09">
        <w:t>uncontactable</w:t>
      </w:r>
      <w:r>
        <w:t xml:space="preserve"> or difficult to contact;</w:t>
      </w:r>
    </w:p>
    <w:p w14:paraId="293F75ED" w14:textId="77777777" w:rsidR="00386675" w:rsidRDefault="00386675" w:rsidP="00386675">
      <w:pPr>
        <w:pStyle w:val="paragraph"/>
      </w:pPr>
      <w:r>
        <w:tab/>
        <w:t>(j)</w:t>
      </w:r>
      <w:r>
        <w:tab/>
      </w:r>
      <w:proofErr w:type="gramStart"/>
      <w:r>
        <w:t>a</w:t>
      </w:r>
      <w:proofErr w:type="gramEnd"/>
      <w:r>
        <w:t xml:space="preserve"> complaint about i</w:t>
      </w:r>
      <w:r w:rsidRPr="00663B09">
        <w:t>ntermittent service or drop outs</w:t>
      </w:r>
      <w:r>
        <w:t>;</w:t>
      </w:r>
    </w:p>
    <w:p w14:paraId="029BD520" w14:textId="77777777" w:rsidR="00386675" w:rsidRDefault="00386675" w:rsidP="00386675">
      <w:pPr>
        <w:pStyle w:val="paragraph"/>
      </w:pPr>
      <w:r>
        <w:tab/>
        <w:t>(k)</w:t>
      </w:r>
      <w:r>
        <w:tab/>
      </w:r>
      <w:proofErr w:type="gramStart"/>
      <w:r>
        <w:t>a</w:t>
      </w:r>
      <w:proofErr w:type="gramEnd"/>
      <w:r>
        <w:t xml:space="preserve"> complaint about any other matter.</w:t>
      </w:r>
    </w:p>
    <w:p w14:paraId="2F4BDFCD" w14:textId="77777777" w:rsidR="00386675" w:rsidRDefault="00386675" w:rsidP="00386675">
      <w:pPr>
        <w:pStyle w:val="Definition"/>
        <w:rPr>
          <w:rFonts w:cstheme="minorHAnsi"/>
        </w:rPr>
      </w:pPr>
      <w:proofErr w:type="gramStart"/>
      <w:r w:rsidRPr="002231B9">
        <w:rPr>
          <w:rFonts w:cstheme="minorHAnsi"/>
          <w:b/>
          <w:i/>
        </w:rPr>
        <w:t>contact</w:t>
      </w:r>
      <w:proofErr w:type="gramEnd"/>
      <w:r w:rsidRPr="00666F26">
        <w:t xml:space="preserve"> </w:t>
      </w:r>
      <w:r>
        <w:rPr>
          <w:rFonts w:cstheme="minorHAnsi"/>
        </w:rPr>
        <w:t>means:</w:t>
      </w:r>
    </w:p>
    <w:p w14:paraId="0CD597A4" w14:textId="77777777" w:rsidR="00386675" w:rsidRDefault="00386675" w:rsidP="00666F26">
      <w:pPr>
        <w:pStyle w:val="paragraph"/>
        <w:rPr>
          <w:rFonts w:cstheme="minorHAnsi"/>
        </w:rPr>
      </w:pPr>
      <w:r>
        <w:rPr>
          <w:rFonts w:cstheme="minorHAnsi"/>
        </w:rPr>
        <w:tab/>
        <w:t>(a)</w:t>
      </w:r>
      <w:r>
        <w:rPr>
          <w:rFonts w:cstheme="minorHAnsi"/>
        </w:rPr>
        <w:tab/>
      </w:r>
      <w:proofErr w:type="gramStart"/>
      <w:r>
        <w:rPr>
          <w:rFonts w:cstheme="minorHAnsi"/>
        </w:rPr>
        <w:t>a</w:t>
      </w:r>
      <w:proofErr w:type="gramEnd"/>
      <w:r>
        <w:rPr>
          <w:rFonts w:cstheme="minorHAnsi"/>
        </w:rPr>
        <w:t xml:space="preserve"> call by a person to a call centre; or</w:t>
      </w:r>
    </w:p>
    <w:p w14:paraId="792722BA" w14:textId="77777777" w:rsidR="00386675" w:rsidRDefault="00386675" w:rsidP="00666F26">
      <w:pPr>
        <w:pStyle w:val="paragraph"/>
        <w:rPr>
          <w:rFonts w:cstheme="minorHAnsi"/>
        </w:rPr>
      </w:pPr>
      <w:r>
        <w:rPr>
          <w:rFonts w:cstheme="minorHAnsi"/>
        </w:rPr>
        <w:tab/>
        <w:t>(b)</w:t>
      </w:r>
      <w:r>
        <w:rPr>
          <w:rFonts w:cstheme="minorHAnsi"/>
        </w:rPr>
        <w:tab/>
      </w:r>
      <w:proofErr w:type="spellStart"/>
      <w:proofErr w:type="gramStart"/>
      <w:r>
        <w:rPr>
          <w:rFonts w:cstheme="minorHAnsi"/>
        </w:rPr>
        <w:t>a</w:t>
      </w:r>
      <w:proofErr w:type="spellEnd"/>
      <w:proofErr w:type="gramEnd"/>
      <w:r>
        <w:rPr>
          <w:rFonts w:cstheme="minorHAnsi"/>
        </w:rPr>
        <w:t xml:space="preserve"> </w:t>
      </w:r>
      <w:r w:rsidR="0051507C">
        <w:rPr>
          <w:rFonts w:cstheme="minorHAnsi"/>
        </w:rPr>
        <w:t xml:space="preserve">online </w:t>
      </w:r>
      <w:r>
        <w:rPr>
          <w:rFonts w:cstheme="minorHAnsi"/>
        </w:rPr>
        <w:t xml:space="preserve">chat session </w:t>
      </w:r>
      <w:r w:rsidR="0051507C">
        <w:rPr>
          <w:rFonts w:cstheme="minorHAnsi"/>
        </w:rPr>
        <w:t xml:space="preserve">initiated by a person to </w:t>
      </w:r>
      <w:r>
        <w:rPr>
          <w:rFonts w:cstheme="minorHAnsi"/>
        </w:rPr>
        <w:t>an online chat support system; or</w:t>
      </w:r>
    </w:p>
    <w:p w14:paraId="6D6C2397" w14:textId="77777777" w:rsidR="00386675" w:rsidRDefault="00386675" w:rsidP="00666F26">
      <w:pPr>
        <w:pStyle w:val="paragraph"/>
        <w:rPr>
          <w:rFonts w:cstheme="minorHAnsi"/>
        </w:rPr>
      </w:pPr>
      <w:r>
        <w:rPr>
          <w:rFonts w:cstheme="minorHAnsi"/>
        </w:rPr>
        <w:tab/>
        <w:t>(c)</w:t>
      </w:r>
      <w:r>
        <w:rPr>
          <w:rFonts w:cstheme="minorHAnsi"/>
        </w:rPr>
        <w:tab/>
      </w:r>
      <w:proofErr w:type="gramStart"/>
      <w:r w:rsidR="008955D8">
        <w:rPr>
          <w:rFonts w:cstheme="minorHAnsi"/>
        </w:rPr>
        <w:t>an</w:t>
      </w:r>
      <w:proofErr w:type="gramEnd"/>
      <w:r w:rsidR="008955D8">
        <w:rPr>
          <w:rFonts w:cstheme="minorHAnsi"/>
        </w:rPr>
        <w:t xml:space="preserve"> email or a series of </w:t>
      </w:r>
      <w:r>
        <w:rPr>
          <w:rFonts w:cstheme="minorHAnsi"/>
        </w:rPr>
        <w:t xml:space="preserve">emails </w:t>
      </w:r>
      <w:r w:rsidR="00EE0FA4">
        <w:rPr>
          <w:rFonts w:cstheme="minorHAnsi"/>
        </w:rPr>
        <w:t xml:space="preserve">in a chain of correspondence </w:t>
      </w:r>
      <w:r>
        <w:rPr>
          <w:rFonts w:cstheme="minorHAnsi"/>
        </w:rPr>
        <w:t>between a person and the licensee</w:t>
      </w:r>
      <w:r w:rsidR="00EE0FA4">
        <w:rPr>
          <w:rFonts w:cstheme="minorHAnsi"/>
        </w:rPr>
        <w:t xml:space="preserve"> </w:t>
      </w:r>
      <w:r>
        <w:rPr>
          <w:rFonts w:cstheme="minorHAnsi"/>
        </w:rPr>
        <w:t xml:space="preserve">(including where </w:t>
      </w:r>
      <w:r w:rsidR="00563D50">
        <w:rPr>
          <w:rFonts w:cstheme="minorHAnsi"/>
        </w:rPr>
        <w:t xml:space="preserve">one or more of those </w:t>
      </w:r>
      <w:r>
        <w:rPr>
          <w:rFonts w:cstheme="minorHAnsi"/>
        </w:rPr>
        <w:t>emails are generated by a form on the licensee’s website or other electronic system);</w:t>
      </w:r>
    </w:p>
    <w:p w14:paraId="689E58F4" w14:textId="77777777" w:rsidR="00386675" w:rsidRDefault="00FE39ED" w:rsidP="00666F26">
      <w:pPr>
        <w:pStyle w:val="subsection2"/>
      </w:pPr>
      <w:proofErr w:type="gramStart"/>
      <w:r>
        <w:t>in</w:t>
      </w:r>
      <w:proofErr w:type="gramEnd"/>
      <w:r>
        <w:t xml:space="preserve"> relation to a reportable service (including before it is connected), </w:t>
      </w:r>
      <w:r w:rsidR="00386675">
        <w:t>in each case:</w:t>
      </w:r>
    </w:p>
    <w:p w14:paraId="1DC787A6" w14:textId="77777777" w:rsidR="00386675" w:rsidRDefault="00386675" w:rsidP="00666F26">
      <w:pPr>
        <w:pStyle w:val="paragraph"/>
      </w:pPr>
      <w:r>
        <w:tab/>
        <w:t>(d)</w:t>
      </w:r>
      <w:r>
        <w:tab/>
        <w:t xml:space="preserve">where the </w:t>
      </w:r>
      <w:r w:rsidR="009B04AD">
        <w:t xml:space="preserve">call </w:t>
      </w:r>
      <w:r>
        <w:t xml:space="preserve">centre, </w:t>
      </w:r>
      <w:r w:rsidR="009B04AD">
        <w:t xml:space="preserve">chat </w:t>
      </w:r>
      <w:r>
        <w:t xml:space="preserve">system, or licensee’s email address is operated by or on behalf of the licensee </w:t>
      </w:r>
      <w:r w:rsidR="00654955">
        <w:t xml:space="preserve">as a formal channel </w:t>
      </w:r>
      <w:r>
        <w:t>to provide support or sales assistance in relation to reportable services</w:t>
      </w:r>
      <w:r w:rsidR="00546E06">
        <w:t xml:space="preserve"> (however described)</w:t>
      </w:r>
      <w:r>
        <w:t>; and</w:t>
      </w:r>
    </w:p>
    <w:p w14:paraId="0AAB9A37" w14:textId="77777777" w:rsidR="00386675" w:rsidRDefault="00386675" w:rsidP="00666F26">
      <w:pPr>
        <w:pStyle w:val="paragraph"/>
      </w:pPr>
      <w:r>
        <w:tab/>
        <w:t>(e)</w:t>
      </w:r>
      <w:r>
        <w:tab/>
      </w:r>
      <w:proofErr w:type="gramStart"/>
      <w:r>
        <w:t>whether</w:t>
      </w:r>
      <w:proofErr w:type="gramEnd"/>
      <w:r>
        <w:t xml:space="preserve"> or not the </w:t>
      </w:r>
      <w:r w:rsidR="009B04AD">
        <w:t xml:space="preserve">call </w:t>
      </w:r>
      <w:r>
        <w:t xml:space="preserve">centre, </w:t>
      </w:r>
      <w:r w:rsidR="009B04AD">
        <w:t xml:space="preserve">chat </w:t>
      </w:r>
      <w:r>
        <w:t>system or licensee’s email address is used for any other purpose of the licensee.</w:t>
      </w:r>
    </w:p>
    <w:p w14:paraId="7447D837" w14:textId="77777777" w:rsidR="00FE39ED" w:rsidRDefault="00FE39ED" w:rsidP="00FE39ED">
      <w:pPr>
        <w:pStyle w:val="Definition"/>
      </w:pPr>
      <w:proofErr w:type="gramStart"/>
      <w:r>
        <w:rPr>
          <w:b/>
          <w:i/>
        </w:rPr>
        <w:t>contact</w:t>
      </w:r>
      <w:proofErr w:type="gramEnd"/>
      <w:r>
        <w:rPr>
          <w:b/>
          <w:i/>
        </w:rPr>
        <w:t xml:space="preserve"> category</w:t>
      </w:r>
      <w:r w:rsidRPr="00666F26">
        <w:t xml:space="preserve"> </w:t>
      </w:r>
      <w:r>
        <w:t>means any of the following kinds of contacts made in relation to a reportable service:</w:t>
      </w:r>
    </w:p>
    <w:p w14:paraId="033EA494" w14:textId="77777777" w:rsidR="00FE39ED" w:rsidRDefault="00FE39ED" w:rsidP="00FE39ED">
      <w:pPr>
        <w:pStyle w:val="paragraph"/>
      </w:pPr>
      <w:r>
        <w:tab/>
        <w:t>(a)</w:t>
      </w:r>
      <w:r>
        <w:tab/>
      </w:r>
      <w:proofErr w:type="gramStart"/>
      <w:r>
        <w:t>a</w:t>
      </w:r>
      <w:proofErr w:type="gramEnd"/>
      <w:r>
        <w:t xml:space="preserve"> request for a connection of a reportable service;</w:t>
      </w:r>
    </w:p>
    <w:p w14:paraId="153C7924" w14:textId="77777777" w:rsidR="00FE39ED" w:rsidRDefault="00FE39ED" w:rsidP="00FE39ED">
      <w:pPr>
        <w:pStyle w:val="paragraph"/>
      </w:pPr>
      <w:r>
        <w:tab/>
        <w:t>(b)</w:t>
      </w:r>
      <w:r>
        <w:tab/>
      </w:r>
      <w:proofErr w:type="gramStart"/>
      <w:r>
        <w:t>a</w:t>
      </w:r>
      <w:proofErr w:type="gramEnd"/>
      <w:r>
        <w:t xml:space="preserve"> request to cancel a reportable service;</w:t>
      </w:r>
    </w:p>
    <w:p w14:paraId="4C001679" w14:textId="77777777" w:rsidR="00FE39ED" w:rsidRDefault="00FE39ED" w:rsidP="00FE39ED">
      <w:pPr>
        <w:pStyle w:val="paragraph"/>
      </w:pPr>
      <w:r>
        <w:tab/>
        <w:t>(c)</w:t>
      </w:r>
      <w:r>
        <w:tab/>
      </w:r>
      <w:proofErr w:type="gramStart"/>
      <w:r>
        <w:t>a</w:t>
      </w:r>
      <w:proofErr w:type="gramEnd"/>
      <w:r>
        <w:t xml:space="preserve"> request to relocate a reportable service to another premises;</w:t>
      </w:r>
    </w:p>
    <w:p w14:paraId="3A6AF9DF" w14:textId="77777777" w:rsidR="00FE39ED" w:rsidRDefault="00FE39ED" w:rsidP="00FE39ED">
      <w:pPr>
        <w:pStyle w:val="paragraph"/>
      </w:pPr>
      <w:r>
        <w:tab/>
        <w:t>(d)</w:t>
      </w:r>
      <w:r>
        <w:tab/>
      </w:r>
      <w:proofErr w:type="gramStart"/>
      <w:r>
        <w:t>a</w:t>
      </w:r>
      <w:proofErr w:type="gramEnd"/>
      <w:r>
        <w:t xml:space="preserve"> report of a fault or service difficulty in relation to a reportable service;</w:t>
      </w:r>
    </w:p>
    <w:p w14:paraId="3500B8A7" w14:textId="77777777" w:rsidR="00FE39ED" w:rsidRDefault="00FE39ED" w:rsidP="00FE39ED">
      <w:pPr>
        <w:pStyle w:val="paragraph"/>
      </w:pPr>
      <w:r>
        <w:tab/>
        <w:t>(e)</w:t>
      </w:r>
      <w:r>
        <w:tab/>
      </w:r>
      <w:proofErr w:type="gramStart"/>
      <w:r>
        <w:t>a</w:t>
      </w:r>
      <w:proofErr w:type="gramEnd"/>
      <w:r>
        <w:t xml:space="preserve"> request to make or change an appointment in relation to a reportable service;</w:t>
      </w:r>
    </w:p>
    <w:p w14:paraId="77B8B3EF" w14:textId="77777777" w:rsidR="00FE39ED" w:rsidRDefault="00FE39ED" w:rsidP="00FE39ED">
      <w:pPr>
        <w:pStyle w:val="paragraph"/>
      </w:pPr>
      <w:r>
        <w:tab/>
        <w:t>(f)</w:t>
      </w:r>
      <w:r>
        <w:tab/>
      </w:r>
      <w:proofErr w:type="gramStart"/>
      <w:r>
        <w:t>an</w:t>
      </w:r>
      <w:proofErr w:type="gramEnd"/>
      <w:r>
        <w:t xml:space="preserve"> enquiry about the terms and conditions of a reportable service;</w:t>
      </w:r>
    </w:p>
    <w:p w14:paraId="03DBCCCB" w14:textId="77777777" w:rsidR="00FE39ED" w:rsidRDefault="00FE39ED" w:rsidP="00FE39ED">
      <w:pPr>
        <w:pStyle w:val="paragraph"/>
      </w:pPr>
      <w:r>
        <w:tab/>
        <w:t>(g)</w:t>
      </w:r>
      <w:r>
        <w:tab/>
      </w:r>
      <w:proofErr w:type="gramStart"/>
      <w:r>
        <w:t>an</w:t>
      </w:r>
      <w:proofErr w:type="gramEnd"/>
      <w:r>
        <w:t xml:space="preserve"> enquiry about customer equipment for use with a reportable service;</w:t>
      </w:r>
    </w:p>
    <w:p w14:paraId="224C29B1" w14:textId="77777777" w:rsidR="00FE39ED" w:rsidRDefault="00FE39ED" w:rsidP="00FE39ED">
      <w:pPr>
        <w:pStyle w:val="paragraph"/>
      </w:pPr>
      <w:r>
        <w:lastRenderedPageBreak/>
        <w:tab/>
        <w:t>(h)</w:t>
      </w:r>
      <w:r>
        <w:tab/>
      </w:r>
      <w:proofErr w:type="gramStart"/>
      <w:r>
        <w:t>an</w:t>
      </w:r>
      <w:proofErr w:type="gramEnd"/>
      <w:r>
        <w:t xml:space="preserve"> enquiry about billing or charging in relation to a reportable service;</w:t>
      </w:r>
    </w:p>
    <w:p w14:paraId="5EE829A4" w14:textId="77777777" w:rsidR="00FE39ED" w:rsidRDefault="00FE39ED" w:rsidP="00FE39ED">
      <w:pPr>
        <w:pStyle w:val="paragraph"/>
      </w:pPr>
      <w:r>
        <w:tab/>
        <w:t>(</w:t>
      </w:r>
      <w:proofErr w:type="spellStart"/>
      <w:r>
        <w:t>i</w:t>
      </w:r>
      <w:proofErr w:type="spellEnd"/>
      <w:r>
        <w:t>)</w:t>
      </w:r>
      <w:r>
        <w:tab/>
      </w:r>
      <w:proofErr w:type="gramStart"/>
      <w:r>
        <w:t>a</w:t>
      </w:r>
      <w:proofErr w:type="gramEnd"/>
      <w:r>
        <w:t xml:space="preserve"> request to activate or deactivate a feature of a reportable service; or</w:t>
      </w:r>
    </w:p>
    <w:p w14:paraId="0B925737" w14:textId="77777777" w:rsidR="00FE39ED" w:rsidRPr="00666F26" w:rsidRDefault="00FE39ED" w:rsidP="00FE39ED">
      <w:pPr>
        <w:pStyle w:val="paragraph"/>
      </w:pPr>
      <w:r>
        <w:tab/>
        <w:t>(j)</w:t>
      </w:r>
      <w:r>
        <w:tab/>
      </w:r>
      <w:proofErr w:type="gramStart"/>
      <w:r>
        <w:t>a</w:t>
      </w:r>
      <w:proofErr w:type="gramEnd"/>
      <w:r>
        <w:t xml:space="preserve"> call about any other matter.</w:t>
      </w:r>
    </w:p>
    <w:p w14:paraId="08289C45" w14:textId="77777777" w:rsidR="00386675" w:rsidRDefault="00386675" w:rsidP="00386675">
      <w:pPr>
        <w:pStyle w:val="Definition"/>
      </w:pPr>
      <w:r>
        <w:rPr>
          <w:b/>
          <w:i/>
        </w:rPr>
        <w:t>CSG geographic category</w:t>
      </w:r>
      <w:r>
        <w:t xml:space="preserve"> means:</w:t>
      </w:r>
    </w:p>
    <w:p w14:paraId="18FFBAE4" w14:textId="77777777" w:rsidR="00386675" w:rsidRDefault="00386675" w:rsidP="00386675">
      <w:pPr>
        <w:pStyle w:val="paragraph"/>
      </w:pPr>
      <w:r>
        <w:tab/>
        <w:t>(a)</w:t>
      </w:r>
      <w:r>
        <w:tab/>
      </w:r>
      <w:proofErr w:type="gramStart"/>
      <w:r>
        <w:t>urban</w:t>
      </w:r>
      <w:proofErr w:type="gramEnd"/>
      <w:r>
        <w:t xml:space="preserve"> areas; or</w:t>
      </w:r>
    </w:p>
    <w:p w14:paraId="25B17CAB" w14:textId="77777777" w:rsidR="00386675" w:rsidRDefault="00386675" w:rsidP="00386675">
      <w:pPr>
        <w:pStyle w:val="paragraph"/>
      </w:pPr>
      <w:r>
        <w:tab/>
        <w:t>(b)</w:t>
      </w:r>
      <w:r>
        <w:tab/>
      </w:r>
      <w:proofErr w:type="gramStart"/>
      <w:r w:rsidRPr="001635D5">
        <w:t>major</w:t>
      </w:r>
      <w:proofErr w:type="gramEnd"/>
      <w:r>
        <w:t xml:space="preserve"> rural areas; or</w:t>
      </w:r>
    </w:p>
    <w:p w14:paraId="25087CAC" w14:textId="77777777" w:rsidR="00386675" w:rsidRDefault="00386675" w:rsidP="00386675">
      <w:pPr>
        <w:pStyle w:val="paragraph"/>
      </w:pPr>
      <w:r>
        <w:tab/>
        <w:t>(c)</w:t>
      </w:r>
      <w:r>
        <w:tab/>
      </w:r>
      <w:proofErr w:type="gramStart"/>
      <w:r>
        <w:t>minor</w:t>
      </w:r>
      <w:proofErr w:type="gramEnd"/>
      <w:r>
        <w:t xml:space="preserve"> rural areas; or</w:t>
      </w:r>
    </w:p>
    <w:p w14:paraId="51A39013" w14:textId="77777777" w:rsidR="00386675" w:rsidRDefault="00386675" w:rsidP="00386675">
      <w:pPr>
        <w:pStyle w:val="paragraph"/>
      </w:pPr>
      <w:r>
        <w:tab/>
        <w:t>(d)</w:t>
      </w:r>
      <w:r>
        <w:tab/>
      </w:r>
      <w:proofErr w:type="gramStart"/>
      <w:r w:rsidRPr="001635D5">
        <w:t>remote</w:t>
      </w:r>
      <w:proofErr w:type="gramEnd"/>
      <w:r>
        <w:t xml:space="preserve"> areas.</w:t>
      </w:r>
    </w:p>
    <w:p w14:paraId="0ADB0E95" w14:textId="77777777" w:rsidR="00386675" w:rsidRDefault="00386675" w:rsidP="00666F26">
      <w:pPr>
        <w:pStyle w:val="subsection2"/>
      </w:pPr>
      <w:r>
        <w:t xml:space="preserve">An expression used in this definition that is also used in the </w:t>
      </w:r>
      <w:r>
        <w:rPr>
          <w:i/>
        </w:rPr>
        <w:t xml:space="preserve">Telecommunications (Customer Service Guarantee </w:t>
      </w:r>
      <w:r w:rsidRPr="003F13C1">
        <w:rPr>
          <w:i/>
        </w:rPr>
        <w:t>–</w:t>
      </w:r>
      <w:r>
        <w:rPr>
          <w:i/>
        </w:rPr>
        <w:t xml:space="preserve"> Retail Performance Benchmarks) Instrument (No. 1) 2011</w:t>
      </w:r>
      <w:r>
        <w:t xml:space="preserve"> has the same meaning as in that instrument.</w:t>
      </w:r>
    </w:p>
    <w:p w14:paraId="10CB3044" w14:textId="77777777" w:rsidR="00BC1270" w:rsidRPr="00662701" w:rsidRDefault="00BC1270" w:rsidP="001A78F7">
      <w:pPr>
        <w:pStyle w:val="Definition"/>
      </w:pPr>
      <w:proofErr w:type="gramStart"/>
      <w:r>
        <w:rPr>
          <w:b/>
          <w:i/>
        </w:rPr>
        <w:t>exemption</w:t>
      </w:r>
      <w:proofErr w:type="gramEnd"/>
      <w:r>
        <w:rPr>
          <w:b/>
          <w:i/>
        </w:rPr>
        <w:t xml:space="preserve"> event</w:t>
      </w:r>
      <w:r w:rsidRPr="00662701">
        <w:t xml:space="preserve"> </w:t>
      </w:r>
      <w:r>
        <w:t>means a set of circumstances beyond the control of the licensee that is covered by subsection 21(1) of the CSG Standard and to which the licensee is exempt (including provisionally exempt) under section 21 of that standard.</w:t>
      </w:r>
    </w:p>
    <w:p w14:paraId="5E0754C7" w14:textId="77777777" w:rsidR="001A78F7" w:rsidRPr="00666F26" w:rsidRDefault="001A78F7" w:rsidP="001A78F7">
      <w:pPr>
        <w:pStyle w:val="Definition"/>
      </w:pPr>
      <w:proofErr w:type="gramStart"/>
      <w:r>
        <w:rPr>
          <w:b/>
          <w:i/>
        </w:rPr>
        <w:t>fixed</w:t>
      </w:r>
      <w:r>
        <w:rPr>
          <w:b/>
          <w:i/>
        </w:rPr>
        <w:noBreakHyphen/>
        <w:t>line</w:t>
      </w:r>
      <w:proofErr w:type="gramEnd"/>
      <w:r>
        <w:rPr>
          <w:b/>
          <w:i/>
        </w:rPr>
        <w:t xml:space="preserve"> footprint</w:t>
      </w:r>
      <w:r w:rsidRPr="00666F26">
        <w:t xml:space="preserve"> of the national</w:t>
      </w:r>
      <w:r>
        <w:t xml:space="preserve"> broadband network means the areas of Australia where </w:t>
      </w:r>
      <w:r w:rsidR="00E471AD">
        <w:t>fixed</w:t>
      </w:r>
      <w:r w:rsidR="00E471AD">
        <w:noBreakHyphen/>
        <w:t>line</w:t>
      </w:r>
      <w:r>
        <w:t xml:space="preserve"> carriage services </w:t>
      </w:r>
      <w:r w:rsidR="00E471AD">
        <w:t>are supplied</w:t>
      </w:r>
      <w:r w:rsidR="003F7267">
        <w:t xml:space="preserve">, available </w:t>
      </w:r>
      <w:r w:rsidR="00F70505">
        <w:t xml:space="preserve">to be supplied, </w:t>
      </w:r>
      <w:r w:rsidR="003F7267">
        <w:t xml:space="preserve">or proposed to be </w:t>
      </w:r>
      <w:r w:rsidR="00F70505">
        <w:t xml:space="preserve">supplied or to be </w:t>
      </w:r>
      <w:r w:rsidR="003F7267">
        <w:t>available to be supplied,</w:t>
      </w:r>
      <w:r w:rsidR="00E471AD">
        <w:t xml:space="preserve"> to premises </w:t>
      </w:r>
      <w:r>
        <w:t>using that network.</w:t>
      </w:r>
    </w:p>
    <w:p w14:paraId="5A4C3959" w14:textId="77777777" w:rsidR="0075582B" w:rsidRPr="0075582B" w:rsidRDefault="0075582B" w:rsidP="00666F26">
      <w:pPr>
        <w:pStyle w:val="Definition"/>
      </w:pPr>
      <w:proofErr w:type="gramStart"/>
      <w:r w:rsidRPr="00666F26">
        <w:rPr>
          <w:b/>
          <w:i/>
        </w:rPr>
        <w:t>fixed</w:t>
      </w:r>
      <w:proofErr w:type="gramEnd"/>
      <w:r w:rsidRPr="00666F26">
        <w:rPr>
          <w:b/>
          <w:i/>
        </w:rPr>
        <w:t xml:space="preserve"> wireless technology platform</w:t>
      </w:r>
      <w:r w:rsidRPr="0075582B">
        <w:t xml:space="preserve"> has the meaning generally accepted within the telecommunications industry</w:t>
      </w:r>
      <w:r>
        <w:t>.</w:t>
      </w:r>
    </w:p>
    <w:p w14:paraId="3940EA1E" w14:textId="28267E12" w:rsidR="00386675" w:rsidRDefault="00386675" w:rsidP="00386675">
      <w:pPr>
        <w:pStyle w:val="Definition"/>
      </w:pPr>
      <w:proofErr w:type="gramStart"/>
      <w:r w:rsidRPr="002231B9">
        <w:rPr>
          <w:b/>
          <w:i/>
        </w:rPr>
        <w:t>in</w:t>
      </w:r>
      <w:r>
        <w:rPr>
          <w:b/>
          <w:i/>
        </w:rPr>
        <w:noBreakHyphen/>
      </w:r>
      <w:r w:rsidRPr="002231B9">
        <w:rPr>
          <w:b/>
          <w:i/>
        </w:rPr>
        <w:t>place</w:t>
      </w:r>
      <w:proofErr w:type="gramEnd"/>
      <w:r w:rsidRPr="002231B9">
        <w:rPr>
          <w:b/>
          <w:i/>
        </w:rPr>
        <w:t xml:space="preserve"> connection</w:t>
      </w:r>
      <w:r w:rsidRPr="002231B9">
        <w:t xml:space="preserve"> </w:t>
      </w:r>
      <w:r>
        <w:t xml:space="preserve">has the meaning </w:t>
      </w:r>
      <w:r w:rsidR="00546E06">
        <w:t>given by i</w:t>
      </w:r>
      <w:r w:rsidR="00654955">
        <w:t xml:space="preserve">tem 101 </w:t>
      </w:r>
      <w:r>
        <w:t xml:space="preserve">of Schedule 1 to the </w:t>
      </w:r>
      <w:r w:rsidR="00152FE0">
        <w:t>CSG Standard</w:t>
      </w:r>
      <w:r>
        <w:t>.</w:t>
      </w:r>
    </w:p>
    <w:p w14:paraId="0A625220" w14:textId="77777777" w:rsidR="00386675" w:rsidRPr="007201F9" w:rsidRDefault="00386675" w:rsidP="00C12331">
      <w:pPr>
        <w:pStyle w:val="Definition"/>
      </w:pPr>
      <w:proofErr w:type="gramStart"/>
      <w:r>
        <w:rPr>
          <w:b/>
          <w:i/>
        </w:rPr>
        <w:t>licensee</w:t>
      </w:r>
      <w:proofErr w:type="gramEnd"/>
      <w:r>
        <w:rPr>
          <w:b/>
          <w:i/>
        </w:rPr>
        <w:t xml:space="preserve"> network</w:t>
      </w:r>
      <w:r>
        <w:t xml:space="preserve"> means a telecommunications network owned by the licensee, or a telecommunications network over which the licensee is in a position to exercise control. </w:t>
      </w:r>
      <w:r w:rsidRPr="007201F9">
        <w:t xml:space="preserve">The question whether the licensee is in a position to exercise control </w:t>
      </w:r>
      <w:r>
        <w:t>over</w:t>
      </w:r>
      <w:r w:rsidRPr="007201F9">
        <w:t xml:space="preserve"> a telecommunications</w:t>
      </w:r>
      <w:r>
        <w:rPr>
          <w:i/>
        </w:rPr>
        <w:t xml:space="preserve"> </w:t>
      </w:r>
      <w:r w:rsidRPr="007201F9">
        <w:t>network is to be determined in the same way as under</w:t>
      </w:r>
      <w:r w:rsidR="00AE27E6">
        <w:t xml:space="preserve"> section 577Q of the Act</w:t>
      </w:r>
      <w:r>
        <w:t>.</w:t>
      </w:r>
    </w:p>
    <w:p w14:paraId="78F54534" w14:textId="77777777" w:rsidR="00386675" w:rsidRDefault="00386675" w:rsidP="00386675">
      <w:pPr>
        <w:pStyle w:val="Definition"/>
      </w:pPr>
      <w:proofErr w:type="gramStart"/>
      <w:r>
        <w:rPr>
          <w:b/>
          <w:i/>
        </w:rPr>
        <w:t>local</w:t>
      </w:r>
      <w:proofErr w:type="gramEnd"/>
      <w:r>
        <w:rPr>
          <w:b/>
          <w:i/>
        </w:rPr>
        <w:t xml:space="preserve"> access technology</w:t>
      </w:r>
      <w:r>
        <w:t xml:space="preserve"> means</w:t>
      </w:r>
      <w:r w:rsidR="00622B42">
        <w:t xml:space="preserve"> any of the following</w:t>
      </w:r>
      <w:r>
        <w:t>:</w:t>
      </w:r>
    </w:p>
    <w:p w14:paraId="746CC2D7" w14:textId="77777777" w:rsidR="00386675" w:rsidRDefault="00386675" w:rsidP="00386675">
      <w:pPr>
        <w:pStyle w:val="paragraph"/>
      </w:pPr>
      <w:r>
        <w:tab/>
        <w:t>(</w:t>
      </w:r>
      <w:r w:rsidR="00932121">
        <w:t>a</w:t>
      </w:r>
      <w:r>
        <w:t>)</w:t>
      </w:r>
      <w:r>
        <w:tab/>
      </w:r>
      <w:proofErr w:type="gramStart"/>
      <w:r>
        <w:t>a</w:t>
      </w:r>
      <w:proofErr w:type="gramEnd"/>
      <w:r>
        <w:t xml:space="preserve"> licensee n</w:t>
      </w:r>
      <w:r w:rsidRPr="009D4E4C">
        <w:t>etwork</w:t>
      </w:r>
      <w:r>
        <w:t xml:space="preserve">, </w:t>
      </w:r>
      <w:r w:rsidR="00432973">
        <w:t xml:space="preserve">with the use of </w:t>
      </w:r>
      <w:r w:rsidR="00A86067">
        <w:t>a</w:t>
      </w:r>
      <w:r w:rsidR="004E026E">
        <w:t>n</w:t>
      </w:r>
      <w:r w:rsidR="00A86067">
        <w:t xml:space="preserve"> </w:t>
      </w:r>
      <w:r w:rsidR="00475ADB">
        <w:t>optical</w:t>
      </w:r>
      <w:r w:rsidR="00475ADB">
        <w:noBreakHyphen/>
      </w:r>
      <w:r w:rsidRPr="009D4E4C">
        <w:t>fibre</w:t>
      </w:r>
      <w:r>
        <w:t xml:space="preserve"> line </w:t>
      </w:r>
      <w:r w:rsidR="00475ADB">
        <w:t>to premises</w:t>
      </w:r>
      <w:r>
        <w:t>;</w:t>
      </w:r>
    </w:p>
    <w:p w14:paraId="0B7BA220" w14:textId="77777777" w:rsidR="00932121" w:rsidRDefault="00932121" w:rsidP="00386675">
      <w:pPr>
        <w:pStyle w:val="paragraph"/>
      </w:pPr>
      <w:r>
        <w:tab/>
        <w:t>(b)</w:t>
      </w:r>
      <w:r>
        <w:tab/>
      </w:r>
      <w:proofErr w:type="gramStart"/>
      <w:r>
        <w:t>a</w:t>
      </w:r>
      <w:proofErr w:type="gramEnd"/>
      <w:r>
        <w:t xml:space="preserve"> licensee network, with the use of a line to premises (other than an optical</w:t>
      </w:r>
      <w:r>
        <w:noBreakHyphen/>
        <w:t>fibre line), but not with the use of high capacity radio concentrators;</w:t>
      </w:r>
    </w:p>
    <w:p w14:paraId="21076E62" w14:textId="77777777" w:rsidR="00386675" w:rsidRDefault="00386675" w:rsidP="00386675">
      <w:pPr>
        <w:pStyle w:val="paragraph"/>
      </w:pPr>
      <w:r>
        <w:tab/>
        <w:t>(c)</w:t>
      </w:r>
      <w:r>
        <w:tab/>
      </w:r>
      <w:proofErr w:type="gramStart"/>
      <w:r>
        <w:t>a</w:t>
      </w:r>
      <w:proofErr w:type="gramEnd"/>
      <w:r>
        <w:t xml:space="preserve"> licensee n</w:t>
      </w:r>
      <w:r w:rsidRPr="009D4E4C">
        <w:t>etwork</w:t>
      </w:r>
      <w:r w:rsidR="00622B42">
        <w:t xml:space="preserve">, </w:t>
      </w:r>
      <w:r w:rsidR="00432973">
        <w:t xml:space="preserve">with the use of </w:t>
      </w:r>
      <w:r w:rsidR="005A68A1">
        <w:t>high capacity radio concentrators</w:t>
      </w:r>
      <w:r>
        <w:t>;</w:t>
      </w:r>
    </w:p>
    <w:p w14:paraId="35226764" w14:textId="77777777" w:rsidR="00386675" w:rsidRDefault="00386675" w:rsidP="00386675">
      <w:pPr>
        <w:pStyle w:val="paragraph"/>
      </w:pPr>
      <w:r>
        <w:tab/>
        <w:t>(d)</w:t>
      </w:r>
      <w:r>
        <w:tab/>
      </w:r>
      <w:proofErr w:type="gramStart"/>
      <w:r>
        <w:t>a</w:t>
      </w:r>
      <w:proofErr w:type="gramEnd"/>
      <w:r>
        <w:t xml:space="preserve"> licensee n</w:t>
      </w:r>
      <w:r w:rsidRPr="009D4E4C">
        <w:t>etwork</w:t>
      </w:r>
      <w:r w:rsidR="00622B42">
        <w:t>,</w:t>
      </w:r>
      <w:r w:rsidRPr="009D4E4C">
        <w:t xml:space="preserve"> </w:t>
      </w:r>
      <w:r w:rsidR="00432973">
        <w:t xml:space="preserve">with the use of </w:t>
      </w:r>
      <w:r w:rsidR="0075582B">
        <w:t xml:space="preserve">a </w:t>
      </w:r>
      <w:r>
        <w:t>fixed wireless</w:t>
      </w:r>
      <w:r w:rsidR="00622B42">
        <w:t xml:space="preserve"> </w:t>
      </w:r>
      <w:r w:rsidR="0075582B">
        <w:t>technology platform</w:t>
      </w:r>
      <w:r w:rsidR="00932121">
        <w:t>,</w:t>
      </w:r>
      <w:r w:rsidR="00932121" w:rsidRPr="00932121">
        <w:t xml:space="preserve"> </w:t>
      </w:r>
      <w:r w:rsidR="00932121">
        <w:t>but not with the use of high capacity radio concentrators</w:t>
      </w:r>
      <w:r>
        <w:t>;</w:t>
      </w:r>
    </w:p>
    <w:p w14:paraId="03E52D3D" w14:textId="77777777" w:rsidR="00386675" w:rsidRDefault="00386675" w:rsidP="00386675">
      <w:pPr>
        <w:pStyle w:val="paragraph"/>
      </w:pPr>
      <w:r>
        <w:tab/>
        <w:t>(e)</w:t>
      </w:r>
      <w:r>
        <w:tab/>
      </w:r>
      <w:proofErr w:type="gramStart"/>
      <w:r>
        <w:t>a</w:t>
      </w:r>
      <w:proofErr w:type="gramEnd"/>
      <w:r>
        <w:t xml:space="preserve"> licensee n</w:t>
      </w:r>
      <w:r w:rsidRPr="009D4E4C">
        <w:t>etwork</w:t>
      </w:r>
      <w:r w:rsidR="00622B42">
        <w:t xml:space="preserve">, </w:t>
      </w:r>
      <w:r w:rsidR="00432973">
        <w:t>with the use of</w:t>
      </w:r>
      <w:r w:rsidR="004E026E">
        <w:t xml:space="preserve"> </w:t>
      </w:r>
      <w:r w:rsidR="00A86067">
        <w:t xml:space="preserve">a </w:t>
      </w:r>
      <w:r>
        <w:t>satellite;</w:t>
      </w:r>
    </w:p>
    <w:p w14:paraId="0A0542B2" w14:textId="77777777" w:rsidR="00386675" w:rsidRPr="009D4E4C" w:rsidRDefault="00386675" w:rsidP="00386675">
      <w:pPr>
        <w:pStyle w:val="paragraph"/>
      </w:pPr>
      <w:r>
        <w:tab/>
        <w:t>(f)</w:t>
      </w:r>
      <w:r>
        <w:tab/>
      </w:r>
      <w:proofErr w:type="gramStart"/>
      <w:r>
        <w:t>the</w:t>
      </w:r>
      <w:proofErr w:type="gramEnd"/>
      <w:r>
        <w:t xml:space="preserve"> national broadband network</w:t>
      </w:r>
      <w:r w:rsidR="005748C1">
        <w:t xml:space="preserve">, </w:t>
      </w:r>
      <w:r w:rsidR="00432973">
        <w:t>with the use of</w:t>
      </w:r>
      <w:r w:rsidR="004E026E">
        <w:t xml:space="preserve"> </w:t>
      </w:r>
      <w:r w:rsidR="00A86067">
        <w:t xml:space="preserve">a </w:t>
      </w:r>
      <w:r w:rsidRPr="009D4E4C">
        <w:t>fixed wireless</w:t>
      </w:r>
      <w:r w:rsidR="00622B42">
        <w:t xml:space="preserve"> </w:t>
      </w:r>
      <w:r w:rsidR="005A68A1">
        <w:t>technology platform</w:t>
      </w:r>
      <w:r>
        <w:t>;</w:t>
      </w:r>
    </w:p>
    <w:p w14:paraId="06DC6FB9" w14:textId="77777777" w:rsidR="00386675" w:rsidRPr="009D4E4C" w:rsidRDefault="00386675" w:rsidP="00386675">
      <w:pPr>
        <w:pStyle w:val="paragraph"/>
      </w:pPr>
      <w:r>
        <w:tab/>
        <w:t>(g)</w:t>
      </w:r>
      <w:r>
        <w:tab/>
      </w:r>
      <w:proofErr w:type="gramStart"/>
      <w:r>
        <w:t>the</w:t>
      </w:r>
      <w:proofErr w:type="gramEnd"/>
      <w:r>
        <w:t xml:space="preserve"> national broadband network</w:t>
      </w:r>
      <w:r w:rsidR="00622B42">
        <w:t xml:space="preserve">, </w:t>
      </w:r>
      <w:r w:rsidR="00432973">
        <w:t xml:space="preserve">with the use of </w:t>
      </w:r>
      <w:r w:rsidR="00A86067">
        <w:t xml:space="preserve">a </w:t>
      </w:r>
      <w:r w:rsidRPr="009D4E4C">
        <w:t>satellite</w:t>
      </w:r>
      <w:r>
        <w:t>;</w:t>
      </w:r>
    </w:p>
    <w:p w14:paraId="51B6C381" w14:textId="77777777" w:rsidR="00386675" w:rsidRPr="009D4E4C" w:rsidRDefault="00386675" w:rsidP="00386675">
      <w:pPr>
        <w:pStyle w:val="paragraph"/>
      </w:pPr>
      <w:r>
        <w:tab/>
        <w:t>(h)</w:t>
      </w:r>
      <w:r>
        <w:tab/>
      </w:r>
      <w:proofErr w:type="gramStart"/>
      <w:r>
        <w:t>another</w:t>
      </w:r>
      <w:proofErr w:type="gramEnd"/>
      <w:r>
        <w:t xml:space="preserve"> network</w:t>
      </w:r>
      <w:r w:rsidR="00622B42">
        <w:t xml:space="preserve">, </w:t>
      </w:r>
      <w:r w:rsidR="00432973">
        <w:t xml:space="preserve">with the use of </w:t>
      </w:r>
      <w:r w:rsidR="00475ADB">
        <w:t>an optical</w:t>
      </w:r>
      <w:r w:rsidR="00475ADB">
        <w:noBreakHyphen/>
      </w:r>
      <w:r w:rsidRPr="009D4E4C">
        <w:t>fibre</w:t>
      </w:r>
      <w:r>
        <w:t xml:space="preserve"> line</w:t>
      </w:r>
      <w:r w:rsidR="00475ADB">
        <w:t xml:space="preserve"> to premises</w:t>
      </w:r>
      <w:r>
        <w:t>;</w:t>
      </w:r>
    </w:p>
    <w:p w14:paraId="6B7707A6" w14:textId="77777777" w:rsidR="00386675" w:rsidRPr="009D4E4C" w:rsidRDefault="00386675" w:rsidP="00386675">
      <w:pPr>
        <w:pStyle w:val="paragraph"/>
      </w:pPr>
      <w:r>
        <w:lastRenderedPageBreak/>
        <w:tab/>
        <w:t>(</w:t>
      </w:r>
      <w:proofErr w:type="spellStart"/>
      <w:r>
        <w:t>i</w:t>
      </w:r>
      <w:proofErr w:type="spellEnd"/>
      <w:r>
        <w:t>)</w:t>
      </w:r>
      <w:r>
        <w:tab/>
      </w:r>
      <w:proofErr w:type="gramStart"/>
      <w:r>
        <w:t>another</w:t>
      </w:r>
      <w:proofErr w:type="gramEnd"/>
      <w:r>
        <w:t xml:space="preserve"> network</w:t>
      </w:r>
      <w:r w:rsidR="00622B42">
        <w:t xml:space="preserve">, </w:t>
      </w:r>
      <w:r w:rsidR="00432973">
        <w:t xml:space="preserve">with the use of </w:t>
      </w:r>
      <w:r w:rsidR="00475ADB">
        <w:t xml:space="preserve">a </w:t>
      </w:r>
      <w:r>
        <w:t xml:space="preserve">line </w:t>
      </w:r>
      <w:r w:rsidR="00A86067">
        <w:t>to premises (</w:t>
      </w:r>
      <w:r>
        <w:t xml:space="preserve">other than </w:t>
      </w:r>
      <w:r w:rsidR="00475ADB">
        <w:t>an optical</w:t>
      </w:r>
      <w:r w:rsidR="00475ADB">
        <w:noBreakHyphen/>
      </w:r>
      <w:r>
        <w:t xml:space="preserve">fibre </w:t>
      </w:r>
      <w:r w:rsidR="00475ADB">
        <w:t>line</w:t>
      </w:r>
      <w:r w:rsidR="00A86067">
        <w:t>)</w:t>
      </w:r>
      <w:r>
        <w:t>;</w:t>
      </w:r>
    </w:p>
    <w:p w14:paraId="506D58B3" w14:textId="77777777" w:rsidR="00386675" w:rsidRPr="009D4E4C" w:rsidRDefault="00386675" w:rsidP="00386675">
      <w:pPr>
        <w:pStyle w:val="paragraph"/>
      </w:pPr>
      <w:r>
        <w:tab/>
        <w:t>(j)</w:t>
      </w:r>
      <w:r>
        <w:tab/>
      </w:r>
      <w:proofErr w:type="gramStart"/>
      <w:r>
        <w:t>another</w:t>
      </w:r>
      <w:proofErr w:type="gramEnd"/>
      <w:r>
        <w:t xml:space="preserve"> network</w:t>
      </w:r>
      <w:r w:rsidR="00622B42">
        <w:t xml:space="preserve">, </w:t>
      </w:r>
      <w:r w:rsidR="00432973">
        <w:t xml:space="preserve">with the use of </w:t>
      </w:r>
      <w:r w:rsidR="005A68A1">
        <w:t xml:space="preserve">a </w:t>
      </w:r>
      <w:r>
        <w:t>fixed wireless</w:t>
      </w:r>
      <w:r w:rsidR="00622B42">
        <w:t xml:space="preserve"> </w:t>
      </w:r>
      <w:r w:rsidR="005A68A1">
        <w:t>technology platform</w:t>
      </w:r>
      <w:r>
        <w:t>;</w:t>
      </w:r>
      <w:r w:rsidR="00DE0939">
        <w:t xml:space="preserve"> or</w:t>
      </w:r>
    </w:p>
    <w:p w14:paraId="0DF0AC5D" w14:textId="77777777" w:rsidR="00386675" w:rsidRPr="004077CA" w:rsidRDefault="00386675" w:rsidP="00386675">
      <w:pPr>
        <w:pStyle w:val="paragraph"/>
      </w:pPr>
      <w:r>
        <w:tab/>
        <w:t>(k)</w:t>
      </w:r>
      <w:r>
        <w:tab/>
      </w:r>
      <w:proofErr w:type="gramStart"/>
      <w:r>
        <w:t>another</w:t>
      </w:r>
      <w:proofErr w:type="gramEnd"/>
      <w:r>
        <w:t xml:space="preserve"> network</w:t>
      </w:r>
      <w:r w:rsidR="00622B42">
        <w:t xml:space="preserve">, </w:t>
      </w:r>
      <w:r w:rsidR="00432973">
        <w:t xml:space="preserve">with the use of </w:t>
      </w:r>
      <w:r w:rsidR="00622B42">
        <w:t xml:space="preserve">a </w:t>
      </w:r>
      <w:r w:rsidRPr="009D4E4C">
        <w:t>satellite</w:t>
      </w:r>
      <w:r>
        <w:t>.</w:t>
      </w:r>
    </w:p>
    <w:p w14:paraId="65111D63" w14:textId="77777777" w:rsidR="00294E3F" w:rsidRPr="00662701" w:rsidRDefault="00294E3F" w:rsidP="00386675">
      <w:pPr>
        <w:pStyle w:val="Definition"/>
      </w:pPr>
      <w:proofErr w:type="gramStart"/>
      <w:r>
        <w:rPr>
          <w:b/>
          <w:i/>
        </w:rPr>
        <w:t>kept</w:t>
      </w:r>
      <w:proofErr w:type="gramEnd"/>
      <w:r>
        <w:t xml:space="preserve">, in relation to an appointment, </w:t>
      </w:r>
      <w:r w:rsidR="00C14F7E">
        <w:t>means kept for the purposes of section</w:t>
      </w:r>
      <w:r w:rsidR="00455C98">
        <w:t> </w:t>
      </w:r>
      <w:r w:rsidR="00C14F7E">
        <w:t>17 of the CSG Standard.</w:t>
      </w:r>
    </w:p>
    <w:p w14:paraId="5CA1423E" w14:textId="77777777" w:rsidR="00386675" w:rsidRDefault="00386675" w:rsidP="00386675">
      <w:pPr>
        <w:pStyle w:val="Definition"/>
      </w:pPr>
      <w:proofErr w:type="gramStart"/>
      <w:r w:rsidRPr="002231B9">
        <w:rPr>
          <w:b/>
          <w:i/>
        </w:rPr>
        <w:t>mass</w:t>
      </w:r>
      <w:proofErr w:type="gramEnd"/>
      <w:r w:rsidRPr="002231B9">
        <w:rPr>
          <w:b/>
          <w:i/>
        </w:rPr>
        <w:t xml:space="preserve"> </w:t>
      </w:r>
      <w:r>
        <w:rPr>
          <w:b/>
          <w:i/>
        </w:rPr>
        <w:t>outage event</w:t>
      </w:r>
      <w:r>
        <w:t xml:space="preserve"> means an </w:t>
      </w:r>
      <w:r w:rsidR="007C5621">
        <w:t xml:space="preserve">exemption </w:t>
      </w:r>
      <w:r>
        <w:t>event covered by paragraph 21(2)(b) or (c) of the</w:t>
      </w:r>
      <w:r w:rsidR="00152FE0">
        <w:t xml:space="preserve"> CSG Standard</w:t>
      </w:r>
      <w:r>
        <w:t>.</w:t>
      </w:r>
    </w:p>
    <w:p w14:paraId="31773837" w14:textId="77777777" w:rsidR="00455C98" w:rsidRPr="00A92CB6" w:rsidRDefault="00455C98" w:rsidP="00455C98">
      <w:pPr>
        <w:pStyle w:val="Definition"/>
      </w:pPr>
      <w:proofErr w:type="gramStart"/>
      <w:r>
        <w:rPr>
          <w:b/>
          <w:i/>
        </w:rPr>
        <w:t>missed</w:t>
      </w:r>
      <w:proofErr w:type="gramEnd"/>
      <w:r>
        <w:t>, in relation to an appointment, means missed for the purposes of section 17 of the CSG Standard.</w:t>
      </w:r>
    </w:p>
    <w:p w14:paraId="45B45AD7" w14:textId="77777777" w:rsidR="00386675" w:rsidRPr="00092BEE" w:rsidRDefault="00386675" w:rsidP="00386675">
      <w:pPr>
        <w:pStyle w:val="Definition"/>
      </w:pPr>
      <w:proofErr w:type="gramStart"/>
      <w:r>
        <w:rPr>
          <w:b/>
          <w:i/>
        </w:rPr>
        <w:t>national</w:t>
      </w:r>
      <w:proofErr w:type="gramEnd"/>
      <w:r>
        <w:rPr>
          <w:b/>
          <w:i/>
        </w:rPr>
        <w:t xml:space="preserve"> broadband network</w:t>
      </w:r>
      <w:r>
        <w:t xml:space="preserve"> has the same meaning as in the </w:t>
      </w:r>
      <w:r>
        <w:rPr>
          <w:i/>
        </w:rPr>
        <w:t>National Broadband Network Companies Act 2011</w:t>
      </w:r>
      <w:r>
        <w:t>.</w:t>
      </w:r>
    </w:p>
    <w:p w14:paraId="330DC12C" w14:textId="77777777" w:rsidR="00386675" w:rsidRDefault="00386675" w:rsidP="00386675">
      <w:pPr>
        <w:pStyle w:val="Definition"/>
      </w:pPr>
      <w:proofErr w:type="gramStart"/>
      <w:r>
        <w:rPr>
          <w:b/>
          <w:i/>
        </w:rPr>
        <w:t>relevant</w:t>
      </w:r>
      <w:proofErr w:type="gramEnd"/>
      <w:r>
        <w:rPr>
          <w:b/>
          <w:i/>
        </w:rPr>
        <w:t xml:space="preserve"> ESA</w:t>
      </w:r>
      <w:r w:rsidR="00EC15D5">
        <w:t xml:space="preserve"> means an ESA other than a</w:t>
      </w:r>
      <w:r w:rsidR="00CB69FE">
        <w:t>n</w:t>
      </w:r>
      <w:r w:rsidR="00EC15D5">
        <w:t xml:space="preserve"> ESA </w:t>
      </w:r>
      <w:r w:rsidR="0035104E">
        <w:t xml:space="preserve">where </w:t>
      </w:r>
      <w:r w:rsidR="00DE0939">
        <w:t>all</w:t>
      </w:r>
      <w:r w:rsidR="00FE39ED">
        <w:t xml:space="preserve"> of</w:t>
      </w:r>
      <w:r w:rsidR="00DE0939">
        <w:t xml:space="preserve"> </w:t>
      </w:r>
      <w:r w:rsidR="00AE27E6">
        <w:t xml:space="preserve">the premises </w:t>
      </w:r>
      <w:r w:rsidR="0035104E">
        <w:t xml:space="preserve">served by the ESA </w:t>
      </w:r>
      <w:r w:rsidR="00AE27E6">
        <w:t xml:space="preserve">are </w:t>
      </w:r>
      <w:r w:rsidR="00EC15D5">
        <w:t>within the fixed</w:t>
      </w:r>
      <w:r w:rsidR="00EC15D5">
        <w:noBreakHyphen/>
        <w:t>line footprint of the national broadband network</w:t>
      </w:r>
      <w:r w:rsidR="001A78F7">
        <w:t>.</w:t>
      </w:r>
    </w:p>
    <w:p w14:paraId="31B8915F" w14:textId="77777777" w:rsidR="00386675" w:rsidRPr="00446940" w:rsidRDefault="00386675" w:rsidP="00386675">
      <w:pPr>
        <w:pStyle w:val="Definition"/>
      </w:pPr>
      <w:r>
        <w:rPr>
          <w:b/>
          <w:i/>
        </w:rPr>
        <w:t>relevant exemption</w:t>
      </w:r>
      <w:r>
        <w:t xml:space="preserve"> means a provision of Part 3 of the</w:t>
      </w:r>
      <w:r w:rsidR="00152FE0">
        <w:t xml:space="preserve"> CSG Standard</w:t>
      </w:r>
      <w:r w:rsidRPr="00446940">
        <w:t xml:space="preserve"> </w:t>
      </w:r>
      <w:r>
        <w:t xml:space="preserve">(other than section 18 of that standard) under which the licensee is exempt </w:t>
      </w:r>
      <w:r w:rsidR="00BC1270">
        <w:t xml:space="preserve">(including provisionally exempt) from </w:t>
      </w:r>
      <w:r>
        <w:t>compliance with a performance standard in Part 2 of that standard.</w:t>
      </w:r>
    </w:p>
    <w:p w14:paraId="10ADC1EE" w14:textId="77777777" w:rsidR="00386675" w:rsidRPr="00E6561A" w:rsidRDefault="00386675" w:rsidP="00386675">
      <w:pPr>
        <w:pStyle w:val="Definition"/>
      </w:pPr>
      <w:proofErr w:type="gramStart"/>
      <w:r>
        <w:rPr>
          <w:b/>
          <w:i/>
        </w:rPr>
        <w:t>reportable</w:t>
      </w:r>
      <w:proofErr w:type="gramEnd"/>
      <w:r>
        <w:rPr>
          <w:b/>
          <w:i/>
        </w:rPr>
        <w:t xml:space="preserve"> service</w:t>
      </w:r>
      <w:r>
        <w:t xml:space="preserve"> means a CSG service (other than a </w:t>
      </w:r>
      <w:r w:rsidR="008E252B">
        <w:t>fixed</w:t>
      </w:r>
      <w:r w:rsidR="008E252B">
        <w:noBreakHyphen/>
        <w:t xml:space="preserve">line carriage </w:t>
      </w:r>
      <w:r>
        <w:t>service supplied using the national broadband network) that is supplied, or has been requested to be supplied, within a relevant ESA.</w:t>
      </w:r>
    </w:p>
    <w:p w14:paraId="74F587D2" w14:textId="77777777" w:rsidR="00386675" w:rsidRDefault="00386675" w:rsidP="00386675">
      <w:pPr>
        <w:pStyle w:val="Definition"/>
      </w:pPr>
      <w:proofErr w:type="gramStart"/>
      <w:r>
        <w:rPr>
          <w:b/>
          <w:i/>
        </w:rPr>
        <w:t>required</w:t>
      </w:r>
      <w:proofErr w:type="gramEnd"/>
      <w:r>
        <w:rPr>
          <w:b/>
          <w:i/>
        </w:rPr>
        <w:t xml:space="preserve"> information</w:t>
      </w:r>
      <w:r>
        <w:t>: see subsection 13</w:t>
      </w:r>
      <w:r w:rsidR="00B93E14">
        <w:t>D</w:t>
      </w:r>
      <w:r>
        <w:t>(</w:t>
      </w:r>
      <w:r w:rsidR="00B93E14">
        <w:t>4</w:t>
      </w:r>
      <w:r>
        <w:t>).</w:t>
      </w:r>
    </w:p>
    <w:p w14:paraId="0A68849E" w14:textId="77777777" w:rsidR="00386675" w:rsidRDefault="00386675" w:rsidP="00386675">
      <w:pPr>
        <w:pStyle w:val="Definition"/>
      </w:pPr>
      <w:proofErr w:type="gramStart"/>
      <w:r>
        <w:rPr>
          <w:b/>
          <w:i/>
        </w:rPr>
        <w:t>substantively</w:t>
      </w:r>
      <w:proofErr w:type="gramEnd"/>
      <w:r>
        <w:rPr>
          <w:b/>
          <w:i/>
        </w:rPr>
        <w:t xml:space="preserve"> </w:t>
      </w:r>
      <w:r w:rsidR="00F70505">
        <w:rPr>
          <w:b/>
          <w:i/>
        </w:rPr>
        <w:t>engaged with</w:t>
      </w:r>
      <w:r>
        <w:t xml:space="preserve">: a contact in relation to a reportable service is </w:t>
      </w:r>
      <w:r w:rsidRPr="00666F26">
        <w:rPr>
          <w:b/>
          <w:i/>
        </w:rPr>
        <w:t xml:space="preserve">substantively </w:t>
      </w:r>
      <w:r w:rsidR="00F70505">
        <w:rPr>
          <w:b/>
          <w:i/>
        </w:rPr>
        <w:t>engaged with</w:t>
      </w:r>
      <w:r w:rsidR="00F70505" w:rsidRPr="00F70505">
        <w:t xml:space="preserve"> </w:t>
      </w:r>
      <w:r>
        <w:t xml:space="preserve">by the licensee when an </w:t>
      </w:r>
      <w:r w:rsidR="00840C40">
        <w:t xml:space="preserve">individual </w:t>
      </w:r>
      <w:r>
        <w:t xml:space="preserve">operator first engages with the customer </w:t>
      </w:r>
      <w:r w:rsidR="00CE0788">
        <w:t xml:space="preserve">or proposed customer </w:t>
      </w:r>
      <w:r>
        <w:t>in relation to the substantive issue raised as part of the contact.</w:t>
      </w:r>
    </w:p>
    <w:p w14:paraId="66B468A7" w14:textId="77777777" w:rsidR="00386675" w:rsidRPr="006320C2" w:rsidRDefault="00386675" w:rsidP="00386675">
      <w:pPr>
        <w:pStyle w:val="notetext"/>
      </w:pPr>
      <w:r>
        <w:t>Note:</w:t>
      </w:r>
      <w:r>
        <w:tab/>
        <w:t xml:space="preserve">A contact is not </w:t>
      </w:r>
      <w:r>
        <w:rPr>
          <w:b/>
          <w:i/>
        </w:rPr>
        <w:t xml:space="preserve">substantively </w:t>
      </w:r>
      <w:r w:rsidR="00F70505">
        <w:rPr>
          <w:b/>
          <w:i/>
        </w:rPr>
        <w:t>engaged with</w:t>
      </w:r>
      <w:r w:rsidR="00F70505" w:rsidRPr="00F70505">
        <w:t xml:space="preserve"> </w:t>
      </w:r>
      <w:r>
        <w:t>by an operator merely because the operator has acknowledged the contact, such as by a reply email acknowledging receipt of the contact indicating an expected response timeframe, or by telling a caller that they will be placed on hold.</w:t>
      </w:r>
    </w:p>
    <w:p w14:paraId="321FC4E8" w14:textId="77777777" w:rsidR="00F36646" w:rsidRDefault="00386675" w:rsidP="00666F26">
      <w:pPr>
        <w:pStyle w:val="Definition"/>
      </w:pPr>
      <w:proofErr w:type="gramStart"/>
      <w:r w:rsidRPr="002231B9">
        <w:rPr>
          <w:b/>
          <w:i/>
        </w:rPr>
        <w:t>unique</w:t>
      </w:r>
      <w:proofErr w:type="gramEnd"/>
      <w:r w:rsidRPr="002231B9">
        <w:rPr>
          <w:b/>
          <w:i/>
        </w:rPr>
        <w:t xml:space="preserve"> </w:t>
      </w:r>
      <w:r w:rsidR="00F36646">
        <w:rPr>
          <w:b/>
          <w:i/>
        </w:rPr>
        <w:t xml:space="preserve">exemption event </w:t>
      </w:r>
      <w:r w:rsidRPr="002231B9">
        <w:rPr>
          <w:b/>
          <w:i/>
        </w:rPr>
        <w:t>identifier</w:t>
      </w:r>
      <w:r>
        <w:t xml:space="preserve"> in relation to </w:t>
      </w:r>
      <w:r w:rsidRPr="00353E08">
        <w:t>a</w:t>
      </w:r>
      <w:r w:rsidR="00F36646">
        <w:t>n</w:t>
      </w:r>
      <w:r w:rsidRPr="00353E08">
        <w:t xml:space="preserve"> </w:t>
      </w:r>
      <w:r w:rsidR="00F36646">
        <w:t>exemption</w:t>
      </w:r>
      <w:r>
        <w:t xml:space="preserve"> event </w:t>
      </w:r>
      <w:r w:rsidR="00F36646">
        <w:t>means:</w:t>
      </w:r>
    </w:p>
    <w:p w14:paraId="07D1C3E3" w14:textId="77777777" w:rsidR="00F36646" w:rsidRDefault="00F36646" w:rsidP="00662701">
      <w:pPr>
        <w:pStyle w:val="paragraph"/>
      </w:pPr>
      <w:r>
        <w:tab/>
        <w:t>(a)</w:t>
      </w:r>
      <w:r>
        <w:tab/>
        <w:t>if the event is a mass outage event—</w:t>
      </w:r>
      <w:r w:rsidR="00386675">
        <w:t>the unique numeric or alphanumeric identifier displayed, for the purposes of subsection </w:t>
      </w:r>
      <w:r w:rsidR="00386675" w:rsidRPr="00454A3E">
        <w:t xml:space="preserve">25(3) of </w:t>
      </w:r>
      <w:r w:rsidR="00386675">
        <w:t xml:space="preserve">the </w:t>
      </w:r>
      <w:r w:rsidR="00152FE0">
        <w:t>CSG Standard</w:t>
      </w:r>
      <w:r w:rsidR="00386675">
        <w:t>, in the notice published in relation to the event under subsection 25(1) of that standard</w:t>
      </w:r>
      <w:r>
        <w:t>;</w:t>
      </w:r>
      <w:r w:rsidR="004476AD">
        <w:t xml:space="preserve"> or</w:t>
      </w:r>
    </w:p>
    <w:p w14:paraId="15549982" w14:textId="77777777" w:rsidR="00386675" w:rsidRDefault="00F36646" w:rsidP="00662701">
      <w:pPr>
        <w:pStyle w:val="paragraph"/>
      </w:pPr>
      <w:r>
        <w:tab/>
        <w:t>(b)</w:t>
      </w:r>
      <w:r>
        <w:tab/>
      </w:r>
      <w:proofErr w:type="gramStart"/>
      <w:r>
        <w:t>in</w:t>
      </w:r>
      <w:proofErr w:type="gramEnd"/>
      <w:r>
        <w:t xml:space="preserve"> any other case—</w:t>
      </w:r>
      <w:r w:rsidR="004476AD">
        <w:t xml:space="preserve">a unique numeric or alphanumeric identifier </w:t>
      </w:r>
      <w:r>
        <w:t>for the event used</w:t>
      </w:r>
      <w:r w:rsidR="004476AD">
        <w:t xml:space="preserve"> by the licensee</w:t>
      </w:r>
      <w:r>
        <w:t>.</w:t>
      </w:r>
    </w:p>
    <w:p w14:paraId="6991D2FC" w14:textId="77777777" w:rsidR="00386675" w:rsidRDefault="00386675" w:rsidP="00666F26">
      <w:pPr>
        <w:pStyle w:val="Definition"/>
      </w:pPr>
      <w:proofErr w:type="gramStart"/>
      <w:r>
        <w:rPr>
          <w:b/>
          <w:i/>
        </w:rPr>
        <w:t>unique</w:t>
      </w:r>
      <w:proofErr w:type="gramEnd"/>
      <w:r>
        <w:rPr>
          <w:b/>
          <w:i/>
        </w:rPr>
        <w:t xml:space="preserve"> service identifier</w:t>
      </w:r>
      <w:r w:rsidDel="00C969F2">
        <w:t xml:space="preserve"> </w:t>
      </w:r>
      <w:r>
        <w:t>in relation to a reportable service means:</w:t>
      </w:r>
    </w:p>
    <w:p w14:paraId="1A5807AF" w14:textId="77777777" w:rsidR="00386675" w:rsidRDefault="00386675" w:rsidP="00666F26">
      <w:pPr>
        <w:pStyle w:val="paragraph"/>
      </w:pPr>
      <w:r>
        <w:tab/>
        <w:t>(a)</w:t>
      </w:r>
      <w:r>
        <w:tab/>
      </w:r>
      <w:proofErr w:type="gramStart"/>
      <w:r>
        <w:t>if</w:t>
      </w:r>
      <w:proofErr w:type="gramEnd"/>
      <w:r>
        <w:t xml:space="preserve"> there is a telephone number </w:t>
      </w:r>
      <w:r w:rsidR="00FE39ED">
        <w:t xml:space="preserve"> for the </w:t>
      </w:r>
      <w:r>
        <w:t>service</w:t>
      </w:r>
      <w:r w:rsidR="00FE39ED">
        <w:t xml:space="preserve"> (including before it is connected)</w:t>
      </w:r>
      <w:r>
        <w:t>—the number; or</w:t>
      </w:r>
    </w:p>
    <w:p w14:paraId="3E2B7AE6" w14:textId="77777777" w:rsidR="00386675" w:rsidRDefault="00386675" w:rsidP="00666F26">
      <w:pPr>
        <w:pStyle w:val="paragraph"/>
      </w:pPr>
      <w:r>
        <w:lastRenderedPageBreak/>
        <w:tab/>
        <w:t>(b)</w:t>
      </w:r>
      <w:r>
        <w:tab/>
      </w:r>
      <w:proofErr w:type="gramStart"/>
      <w:r>
        <w:t>if</w:t>
      </w:r>
      <w:proofErr w:type="gramEnd"/>
      <w:r>
        <w:t xml:space="preserve"> there is not a telephone number for the service—another unique numeric or alphanumeric identifier for the service that is not the same as any telephone number; or</w:t>
      </w:r>
    </w:p>
    <w:p w14:paraId="2516977B" w14:textId="77777777" w:rsidR="00386675" w:rsidRDefault="00386675" w:rsidP="00666F26">
      <w:pPr>
        <w:pStyle w:val="paragraph"/>
      </w:pPr>
      <w:r>
        <w:tab/>
        <w:t>(c)</w:t>
      </w:r>
      <w:r>
        <w:tab/>
      </w:r>
      <w:proofErr w:type="gramStart"/>
      <w:r>
        <w:t>in</w:t>
      </w:r>
      <w:proofErr w:type="gramEnd"/>
      <w:r>
        <w:t xml:space="preserve"> any case—any other unique identifier for the service agreed by the Secretary or an authorised officer.</w:t>
      </w:r>
    </w:p>
    <w:p w14:paraId="6EBE1FEC" w14:textId="77777777" w:rsidR="00A72F63" w:rsidRDefault="00A72F63" w:rsidP="00666F26">
      <w:pPr>
        <w:pStyle w:val="SubsectionHead"/>
      </w:pPr>
      <w:r>
        <w:t>Authorised officers</w:t>
      </w:r>
    </w:p>
    <w:p w14:paraId="0EDBA390" w14:textId="77777777" w:rsidR="00386675" w:rsidRPr="00670920" w:rsidRDefault="00386675" w:rsidP="00666F26">
      <w:pPr>
        <w:pStyle w:val="subsection"/>
      </w:pPr>
      <w:r>
        <w:tab/>
        <w:t>(2)</w:t>
      </w:r>
      <w:r>
        <w:tab/>
        <w:t>The Secretary may, by written notice given to the licensee</w:t>
      </w:r>
      <w:r w:rsidR="00A72F63">
        <w:t xml:space="preserve"> for the purposes of this subsection</w:t>
      </w:r>
      <w:r>
        <w:t xml:space="preserve">, designate an </w:t>
      </w:r>
      <w:r w:rsidRPr="00666F26">
        <w:t>SES</w:t>
      </w:r>
      <w:r>
        <w:t xml:space="preserve"> employee </w:t>
      </w:r>
      <w:r w:rsidRPr="00666F26">
        <w:t>or acting SES employee</w:t>
      </w:r>
      <w:r>
        <w:t xml:space="preserve"> in the Department as an </w:t>
      </w:r>
      <w:r w:rsidRPr="00C35370">
        <w:t xml:space="preserve">authorised </w:t>
      </w:r>
      <w:r w:rsidR="00A72F63" w:rsidRPr="00C35370">
        <w:t>officer</w:t>
      </w:r>
      <w:r>
        <w:t>.</w:t>
      </w:r>
    </w:p>
    <w:p w14:paraId="1B1E847C" w14:textId="77777777" w:rsidR="00F9381A" w:rsidRPr="009C2562" w:rsidRDefault="00386675" w:rsidP="00F9381A">
      <w:pPr>
        <w:pStyle w:val="ActHead5"/>
      </w:pPr>
      <w:bookmarkStart w:id="9" w:name="_Toc78551940"/>
      <w:proofErr w:type="gramStart"/>
      <w:r>
        <w:rPr>
          <w:rStyle w:val="CharSectno"/>
        </w:rPr>
        <w:t>13B</w:t>
      </w:r>
      <w:r w:rsidRPr="009C2562">
        <w:t xml:space="preserve">  </w:t>
      </w:r>
      <w:r w:rsidR="00F9381A">
        <w:t>Public</w:t>
      </w:r>
      <w:proofErr w:type="gramEnd"/>
      <w:r w:rsidR="00F9381A">
        <w:t xml:space="preserve"> information on </w:t>
      </w:r>
      <w:r w:rsidR="00752577">
        <w:t xml:space="preserve">names of </w:t>
      </w:r>
      <w:r w:rsidR="00F9381A">
        <w:t>ESA</w:t>
      </w:r>
      <w:r w:rsidR="00432973">
        <w:t>s</w:t>
      </w:r>
      <w:r w:rsidR="00F9381A">
        <w:t xml:space="preserve"> </w:t>
      </w:r>
      <w:r w:rsidR="00F9381A" w:rsidRPr="001824FF">
        <w:t>outside the fixed</w:t>
      </w:r>
      <w:r w:rsidR="00F9381A" w:rsidRPr="001824FF">
        <w:noBreakHyphen/>
        <w:t>line footprint</w:t>
      </w:r>
      <w:r w:rsidR="00432973">
        <w:t xml:space="preserve"> of the national broadband network</w:t>
      </w:r>
      <w:bookmarkEnd w:id="9"/>
    </w:p>
    <w:p w14:paraId="7CCD5339" w14:textId="77777777" w:rsidR="00C23FA8" w:rsidRDefault="00F9381A" w:rsidP="00F9381A">
      <w:pPr>
        <w:pStyle w:val="subsection"/>
      </w:pPr>
      <w:r w:rsidRPr="009C2562">
        <w:tab/>
      </w:r>
      <w:r>
        <w:t>(1)</w:t>
      </w:r>
      <w:r w:rsidRPr="009C2562">
        <w:tab/>
      </w:r>
      <w:r>
        <w:t>The licensee must, in accordance with this section, make available on a public part of its website</w:t>
      </w:r>
      <w:r w:rsidR="00C23FA8">
        <w:t xml:space="preserve"> a system that enables a user of the website to readily identify the relevant ESA for a premises in Australia.</w:t>
      </w:r>
    </w:p>
    <w:p w14:paraId="6BFEAB2A" w14:textId="77777777" w:rsidR="00F9381A" w:rsidRDefault="00C23FA8" w:rsidP="00F9381A">
      <w:pPr>
        <w:pStyle w:val="subsection"/>
      </w:pPr>
      <w:r>
        <w:tab/>
        <w:t>(2)</w:t>
      </w:r>
      <w:r>
        <w:tab/>
        <w:t>Unless otherwise notified in writing by the Secretary or an authorised officer, the system must be</w:t>
      </w:r>
      <w:r w:rsidR="00F9381A">
        <w:t xml:space="preserve"> an automatic system that provides a user of the website that enters an address in Australia or the telephone number of a reportable service with:</w:t>
      </w:r>
    </w:p>
    <w:p w14:paraId="23F95508" w14:textId="77777777" w:rsidR="00F9381A" w:rsidRDefault="00F9381A" w:rsidP="00F9381A">
      <w:pPr>
        <w:pStyle w:val="paragraph"/>
      </w:pPr>
      <w:r>
        <w:tab/>
        <w:t>(a)</w:t>
      </w:r>
      <w:r>
        <w:tab/>
      </w:r>
      <w:proofErr w:type="gramStart"/>
      <w:r>
        <w:t>the</w:t>
      </w:r>
      <w:proofErr w:type="gramEnd"/>
      <w:r>
        <w:t xml:space="preserve"> </w:t>
      </w:r>
      <w:r w:rsidR="007575FA">
        <w:t xml:space="preserve">name of the </w:t>
      </w:r>
      <w:r w:rsidRPr="001824FF">
        <w:t>relevant</w:t>
      </w:r>
      <w:r>
        <w:t xml:space="preserve"> ESA for the premises located at the address or for the service with that number; or</w:t>
      </w:r>
    </w:p>
    <w:p w14:paraId="2F3FE79A" w14:textId="77777777" w:rsidR="00F9381A" w:rsidRDefault="00F9381A" w:rsidP="00F9381A">
      <w:pPr>
        <w:pStyle w:val="paragraph"/>
      </w:pPr>
      <w:r>
        <w:tab/>
        <w:t>(b)</w:t>
      </w:r>
      <w:r>
        <w:tab/>
      </w:r>
      <w:proofErr w:type="gramStart"/>
      <w:r>
        <w:t>if</w:t>
      </w:r>
      <w:proofErr w:type="gramEnd"/>
      <w:r>
        <w:t xml:space="preserve"> there is not a relevant ESA for the premises or service—a statement to that effect</w:t>
      </w:r>
      <w:r w:rsidR="000C6213">
        <w:t xml:space="preserve"> and as to the reason why there is no relevant ESA for the premises or service</w:t>
      </w:r>
      <w:r>
        <w:t>.</w:t>
      </w:r>
    </w:p>
    <w:p w14:paraId="41A4D4AA" w14:textId="67BF4CAE" w:rsidR="00C969F2" w:rsidRPr="00C969F2" w:rsidRDefault="00F9381A" w:rsidP="00C969F2">
      <w:pPr>
        <w:pStyle w:val="subsection"/>
      </w:pPr>
      <w:r>
        <w:tab/>
        <w:t>(</w:t>
      </w:r>
      <w:r w:rsidR="00C23FA8">
        <w:t>3</w:t>
      </w:r>
      <w:r>
        <w:t>)</w:t>
      </w:r>
      <w:r>
        <w:tab/>
        <w:t xml:space="preserve">The system must be </w:t>
      </w:r>
      <w:r w:rsidR="00C969F2">
        <w:t xml:space="preserve">first </w:t>
      </w:r>
      <w:r>
        <w:t xml:space="preserve">made available </w:t>
      </w:r>
      <w:r w:rsidR="000C6213">
        <w:t>no later than</w:t>
      </w:r>
      <w:r>
        <w:t xml:space="preserve"> the </w:t>
      </w:r>
      <w:r w:rsidR="000C6213">
        <w:t>time at which the first report must be published for the purposes of sub</w:t>
      </w:r>
      <w:r>
        <w:t>section</w:t>
      </w:r>
      <w:r w:rsidR="00EF563B">
        <w:t> </w:t>
      </w:r>
      <w:proofErr w:type="gramStart"/>
      <w:r w:rsidR="000C6213">
        <w:t>13C(</w:t>
      </w:r>
      <w:proofErr w:type="gramEnd"/>
      <w:r w:rsidR="000C6213">
        <w:t>1)</w:t>
      </w:r>
      <w:r>
        <w:t>.</w:t>
      </w:r>
    </w:p>
    <w:p w14:paraId="6B7F4FCD" w14:textId="30EDAEBD" w:rsidR="00F9381A" w:rsidRDefault="00F9381A" w:rsidP="00F9381A">
      <w:pPr>
        <w:pStyle w:val="subsection"/>
      </w:pPr>
      <w:r>
        <w:tab/>
        <w:t>(</w:t>
      </w:r>
      <w:r w:rsidR="00C23FA8">
        <w:t>4</w:t>
      </w:r>
      <w:r>
        <w:t>)</w:t>
      </w:r>
      <w:r>
        <w:tab/>
        <w:t>The system must not require the user to do any of the following things in relation to the provision of the information:</w:t>
      </w:r>
    </w:p>
    <w:p w14:paraId="0E2567B5" w14:textId="77777777" w:rsidR="00F9381A" w:rsidRDefault="00F9381A" w:rsidP="00F9381A">
      <w:pPr>
        <w:pStyle w:val="paragraph"/>
      </w:pPr>
      <w:r>
        <w:tab/>
        <w:t>(a)</w:t>
      </w:r>
      <w:r>
        <w:tab/>
      </w:r>
      <w:proofErr w:type="gramStart"/>
      <w:r>
        <w:t>pay</w:t>
      </w:r>
      <w:proofErr w:type="gramEnd"/>
      <w:r>
        <w:t xml:space="preserve"> a fee or charge;</w:t>
      </w:r>
    </w:p>
    <w:p w14:paraId="4C084486" w14:textId="77777777" w:rsidR="00F9381A" w:rsidRDefault="00F9381A" w:rsidP="00F9381A">
      <w:pPr>
        <w:pStyle w:val="paragraph"/>
      </w:pPr>
      <w:r>
        <w:tab/>
        <w:t>(b)</w:t>
      </w:r>
      <w:r>
        <w:tab/>
      </w:r>
      <w:proofErr w:type="gramStart"/>
      <w:r>
        <w:t>register</w:t>
      </w:r>
      <w:proofErr w:type="gramEnd"/>
      <w:r>
        <w:t xml:space="preserve"> with the system;</w:t>
      </w:r>
    </w:p>
    <w:p w14:paraId="7439A43D" w14:textId="77777777" w:rsidR="00F9381A" w:rsidRPr="00666F26" w:rsidRDefault="00F9381A" w:rsidP="00F9381A">
      <w:pPr>
        <w:pStyle w:val="paragraph"/>
      </w:pPr>
      <w:r w:rsidRPr="00666F26">
        <w:tab/>
        <w:t>(c)</w:t>
      </w:r>
      <w:r w:rsidRPr="00666F26">
        <w:tab/>
      </w:r>
      <w:proofErr w:type="gramStart"/>
      <w:r w:rsidRPr="00666F26">
        <w:t>provide</w:t>
      </w:r>
      <w:proofErr w:type="gramEnd"/>
      <w:r w:rsidRPr="00666F26">
        <w:t xml:space="preserve"> </w:t>
      </w:r>
      <w:r w:rsidR="000E4027" w:rsidRPr="00666F26">
        <w:t xml:space="preserve">any </w:t>
      </w:r>
      <w:r w:rsidRPr="00666F26">
        <w:t xml:space="preserve">information </w:t>
      </w:r>
      <w:r w:rsidR="000E4027">
        <w:t xml:space="preserve">other than </w:t>
      </w:r>
      <w:r w:rsidR="00DE0939">
        <w:t>an</w:t>
      </w:r>
      <w:r w:rsidR="00DE0939" w:rsidRPr="00666F26">
        <w:t xml:space="preserve"> </w:t>
      </w:r>
      <w:r w:rsidR="000E4027">
        <w:t xml:space="preserve">address in Australia or </w:t>
      </w:r>
      <w:r w:rsidR="00037DC7">
        <w:t xml:space="preserve">a </w:t>
      </w:r>
      <w:r w:rsidR="000E4027">
        <w:t>telephone number</w:t>
      </w:r>
      <w:r w:rsidRPr="00666F26">
        <w:t>.</w:t>
      </w:r>
    </w:p>
    <w:p w14:paraId="625EB703" w14:textId="29556858" w:rsidR="00F9381A" w:rsidRDefault="00F9381A" w:rsidP="00F9381A">
      <w:pPr>
        <w:pStyle w:val="subsection"/>
      </w:pPr>
      <w:r>
        <w:tab/>
        <w:t>(</w:t>
      </w:r>
      <w:r w:rsidR="00C23FA8">
        <w:t>5</w:t>
      </w:r>
      <w:r>
        <w:t>)</w:t>
      </w:r>
      <w:r>
        <w:tab/>
        <w:t>The licensee must take all reasonable steps to ensure that:</w:t>
      </w:r>
    </w:p>
    <w:p w14:paraId="669FDBDC" w14:textId="77777777" w:rsidR="00F9381A" w:rsidRDefault="00F9381A" w:rsidP="00F9381A">
      <w:pPr>
        <w:pStyle w:val="paragraph"/>
      </w:pPr>
      <w:r>
        <w:tab/>
        <w:t>(a)</w:t>
      </w:r>
      <w:r>
        <w:tab/>
      </w:r>
      <w:proofErr w:type="gramStart"/>
      <w:r>
        <w:t>members</w:t>
      </w:r>
      <w:proofErr w:type="gramEnd"/>
      <w:r>
        <w:t xml:space="preserve"> of the public may access the system at any time of the day or night; and</w:t>
      </w:r>
    </w:p>
    <w:p w14:paraId="1DC264BC" w14:textId="77777777" w:rsidR="00F9381A" w:rsidRDefault="00F9381A" w:rsidP="00F9381A">
      <w:pPr>
        <w:pStyle w:val="paragraph"/>
      </w:pPr>
      <w:r>
        <w:tab/>
        <w:t>(b)</w:t>
      </w:r>
      <w:r>
        <w:tab/>
      </w:r>
      <w:proofErr w:type="gramStart"/>
      <w:r>
        <w:t>the</w:t>
      </w:r>
      <w:proofErr w:type="gramEnd"/>
      <w:r>
        <w:t xml:space="preserve"> system provides an immediate, or near</w:t>
      </w:r>
      <w:r>
        <w:noBreakHyphen/>
        <w:t>immediate, response to a request for information.</w:t>
      </w:r>
    </w:p>
    <w:p w14:paraId="459F43A8" w14:textId="77777777" w:rsidR="000E4027" w:rsidRDefault="000E4027" w:rsidP="000E4027">
      <w:pPr>
        <w:pStyle w:val="ActHead5"/>
      </w:pPr>
      <w:bookmarkStart w:id="10" w:name="_Toc78551941"/>
      <w:proofErr w:type="gramStart"/>
      <w:r>
        <w:rPr>
          <w:rStyle w:val="CharSectno"/>
        </w:rPr>
        <w:lastRenderedPageBreak/>
        <w:t>13</w:t>
      </w:r>
      <w:r w:rsidR="00386675">
        <w:rPr>
          <w:rStyle w:val="CharSectno"/>
        </w:rPr>
        <w:t>C</w:t>
      </w:r>
      <w:r w:rsidRPr="009C2562">
        <w:t xml:space="preserve">  </w:t>
      </w:r>
      <w:r>
        <w:t>Public</w:t>
      </w:r>
      <w:proofErr w:type="gramEnd"/>
      <w:r>
        <w:t xml:space="preserve"> reporting on certain CSG services </w:t>
      </w:r>
      <w:r w:rsidR="00432973">
        <w:t xml:space="preserve">in ESAs </w:t>
      </w:r>
      <w:r>
        <w:t xml:space="preserve">outside </w:t>
      </w:r>
      <w:r w:rsidRPr="001824FF">
        <w:t>the fixed</w:t>
      </w:r>
      <w:r w:rsidRPr="001824FF">
        <w:noBreakHyphen/>
        <w:t>line footprint</w:t>
      </w:r>
      <w:r w:rsidR="00432973">
        <w:t xml:space="preserve"> of the national broadband network</w:t>
      </w:r>
      <w:bookmarkEnd w:id="10"/>
    </w:p>
    <w:p w14:paraId="09F36930" w14:textId="6A8BA6D8" w:rsidR="000E4027" w:rsidRDefault="000E4027" w:rsidP="00666F26">
      <w:pPr>
        <w:pStyle w:val="subsection"/>
      </w:pPr>
      <w:r>
        <w:tab/>
      </w:r>
      <w:r w:rsidR="006B6CB9">
        <w:t>(1)</w:t>
      </w:r>
      <w:r>
        <w:tab/>
        <w:t xml:space="preserve">The licensee must, within 28 days of the end of each </w:t>
      </w:r>
      <w:r w:rsidR="006442B1">
        <w:t>quarter</w:t>
      </w:r>
      <w:r>
        <w:t xml:space="preserve">, </w:t>
      </w:r>
      <w:r w:rsidR="00E421E8">
        <w:t xml:space="preserve">or a longer period after the </w:t>
      </w:r>
      <w:r w:rsidR="00941182">
        <w:t xml:space="preserve">quarter </w:t>
      </w:r>
      <w:r w:rsidR="00E421E8">
        <w:t xml:space="preserve">approved by the Secretary or an authorised officer, </w:t>
      </w:r>
      <w:r>
        <w:t>publish a report on its website for each relevant ESA containing the following information:</w:t>
      </w:r>
    </w:p>
    <w:p w14:paraId="5A171227" w14:textId="77777777" w:rsidR="000E4027" w:rsidRDefault="000E4027" w:rsidP="00666F26">
      <w:pPr>
        <w:pStyle w:val="paragraph"/>
      </w:pPr>
      <w:r>
        <w:tab/>
        <w:t>(a)</w:t>
      </w:r>
      <w:r>
        <w:tab/>
      </w:r>
      <w:proofErr w:type="gramStart"/>
      <w:r>
        <w:t>the</w:t>
      </w:r>
      <w:proofErr w:type="gramEnd"/>
      <w:r>
        <w:t xml:space="preserve"> name of the relevant ESA;</w:t>
      </w:r>
    </w:p>
    <w:p w14:paraId="42205974" w14:textId="0A8C97EB" w:rsidR="000E4027" w:rsidRDefault="000E4027" w:rsidP="00666F26">
      <w:pPr>
        <w:pStyle w:val="paragraph"/>
      </w:pPr>
      <w:r>
        <w:tab/>
        <w:t>(b)</w:t>
      </w:r>
      <w:r>
        <w:tab/>
      </w:r>
      <w:proofErr w:type="gramStart"/>
      <w:r>
        <w:t>the</w:t>
      </w:r>
      <w:proofErr w:type="gramEnd"/>
      <w:r>
        <w:t xml:space="preserve"> number of reportable services supplied in the relevant ESA during the </w:t>
      </w:r>
      <w:r w:rsidR="006442B1">
        <w:t xml:space="preserve"> quarter</w:t>
      </w:r>
      <w:r>
        <w:t>;</w:t>
      </w:r>
    </w:p>
    <w:p w14:paraId="6E149792" w14:textId="4EACD7FB" w:rsidR="000E4027" w:rsidRDefault="000E4027" w:rsidP="00666F26">
      <w:pPr>
        <w:pStyle w:val="paragraph"/>
      </w:pPr>
      <w:r>
        <w:tab/>
        <w:t>(c)</w:t>
      </w:r>
      <w:r>
        <w:tab/>
      </w:r>
      <w:proofErr w:type="gramStart"/>
      <w:r w:rsidRPr="005F5D91">
        <w:t>the</w:t>
      </w:r>
      <w:proofErr w:type="gramEnd"/>
      <w:r w:rsidRPr="005F5D91">
        <w:t xml:space="preserve"> number of addresses</w:t>
      </w:r>
      <w:r>
        <w:t xml:space="preserve"> </w:t>
      </w:r>
      <w:r w:rsidRPr="00666F26">
        <w:t>of premises</w:t>
      </w:r>
      <w:r>
        <w:t xml:space="preserve"> to which services </w:t>
      </w:r>
      <w:r w:rsidR="000C6213">
        <w:t>mentioned in paragraph</w:t>
      </w:r>
      <w:r w:rsidR="00152FE0">
        <w:t> </w:t>
      </w:r>
      <w:r w:rsidR="000C6213">
        <w:t xml:space="preserve">(b) </w:t>
      </w:r>
      <w:r>
        <w:t xml:space="preserve">were supplied during the </w:t>
      </w:r>
      <w:r w:rsidR="006442B1">
        <w:t>quarter</w:t>
      </w:r>
      <w:r>
        <w:t>;</w:t>
      </w:r>
    </w:p>
    <w:p w14:paraId="2707B37A" w14:textId="57E68835" w:rsidR="000E4027" w:rsidRDefault="000E4027" w:rsidP="00666F26">
      <w:pPr>
        <w:pStyle w:val="paragraph"/>
      </w:pPr>
      <w:r>
        <w:tab/>
        <w:t>(d)</w:t>
      </w:r>
      <w:r>
        <w:tab/>
      </w:r>
      <w:proofErr w:type="gramStart"/>
      <w:r w:rsidR="00AD1326">
        <w:t>the</w:t>
      </w:r>
      <w:proofErr w:type="gramEnd"/>
      <w:r w:rsidR="00AD1326">
        <w:t xml:space="preserve"> average percentage of </w:t>
      </w:r>
      <w:r w:rsidR="00AD1326" w:rsidRPr="008A61D1">
        <w:t>time</w:t>
      </w:r>
      <w:r w:rsidR="00AD1326" w:rsidRPr="00666F26">
        <w:t xml:space="preserve"> during</w:t>
      </w:r>
      <w:r w:rsidR="00AD1326">
        <w:t xml:space="preserve"> the </w:t>
      </w:r>
      <w:r w:rsidR="006442B1">
        <w:t xml:space="preserve">quarter </w:t>
      </w:r>
      <w:r w:rsidR="00AD1326">
        <w:t xml:space="preserve">for which services </w:t>
      </w:r>
      <w:r w:rsidR="000C6213">
        <w:t>mentioned in paragraph</w:t>
      </w:r>
      <w:r w:rsidR="00152FE0">
        <w:t> </w:t>
      </w:r>
      <w:r w:rsidR="000C6213">
        <w:t xml:space="preserve">(b) </w:t>
      </w:r>
      <w:r w:rsidR="00AD1326">
        <w:t xml:space="preserve">were </w:t>
      </w:r>
      <w:r w:rsidR="008A61D1">
        <w:t>not affected by a fault or service difficulty</w:t>
      </w:r>
      <w:r w:rsidR="00AD1326" w:rsidRPr="00666F26">
        <w:t>;</w:t>
      </w:r>
    </w:p>
    <w:p w14:paraId="6D7D1779" w14:textId="77777777" w:rsidR="00E2256A" w:rsidRDefault="00AD1326" w:rsidP="00666F26">
      <w:pPr>
        <w:pStyle w:val="paragraph"/>
      </w:pPr>
      <w:r>
        <w:tab/>
        <w:t>(e)</w:t>
      </w:r>
      <w:r>
        <w:tab/>
      </w:r>
      <w:proofErr w:type="gramStart"/>
      <w:r>
        <w:t>the</w:t>
      </w:r>
      <w:proofErr w:type="gramEnd"/>
      <w:r>
        <w:t xml:space="preserve"> number of reportable services </w:t>
      </w:r>
      <w:r w:rsidR="00E2256A">
        <w:t>supplied in the relevant ESA where:</w:t>
      </w:r>
    </w:p>
    <w:p w14:paraId="72FA7A16" w14:textId="420432CB" w:rsidR="00E2256A" w:rsidRDefault="00E2256A" w:rsidP="00666F26">
      <w:pPr>
        <w:pStyle w:val="paragraphsub"/>
      </w:pPr>
      <w:r>
        <w:tab/>
        <w:t>(</w:t>
      </w:r>
      <w:proofErr w:type="spellStart"/>
      <w:r>
        <w:t>i</w:t>
      </w:r>
      <w:proofErr w:type="spellEnd"/>
      <w:r>
        <w:t>)</w:t>
      </w:r>
      <w:r>
        <w:tab/>
      </w:r>
      <w:proofErr w:type="gramStart"/>
      <w:r>
        <w:t>the</w:t>
      </w:r>
      <w:proofErr w:type="gramEnd"/>
      <w:r>
        <w:t xml:space="preserve"> service was </w:t>
      </w:r>
      <w:r w:rsidR="00AD1326">
        <w:t xml:space="preserve">connected </w:t>
      </w:r>
      <w:r>
        <w:t xml:space="preserve">during the </w:t>
      </w:r>
      <w:r w:rsidR="006442B1">
        <w:t>quarter</w:t>
      </w:r>
      <w:r>
        <w:t>; and</w:t>
      </w:r>
    </w:p>
    <w:p w14:paraId="0E2A8506" w14:textId="77777777" w:rsidR="000C6213" w:rsidRDefault="00E2256A" w:rsidP="00666F26">
      <w:pPr>
        <w:pStyle w:val="paragraphsub"/>
      </w:pPr>
      <w:r>
        <w:tab/>
        <w:t>(ii)</w:t>
      </w:r>
      <w:r>
        <w:tab/>
      </w:r>
      <w:proofErr w:type="gramStart"/>
      <w:r w:rsidR="00AD1326">
        <w:t>there</w:t>
      </w:r>
      <w:proofErr w:type="gramEnd"/>
      <w:r w:rsidR="00AD1326">
        <w:t xml:space="preserve"> was an in</w:t>
      </w:r>
      <w:r w:rsidR="00AD1326">
        <w:noBreakHyphen/>
        <w:t>place connection at the premises before the service was connected;</w:t>
      </w:r>
    </w:p>
    <w:p w14:paraId="103DE15E" w14:textId="77777777" w:rsidR="000C6213" w:rsidRDefault="000C6213" w:rsidP="00666F26">
      <w:pPr>
        <w:pStyle w:val="paragraph"/>
      </w:pPr>
      <w:r>
        <w:tab/>
        <w:t>(f)</w:t>
      </w:r>
      <w:r>
        <w:tab/>
      </w:r>
      <w:proofErr w:type="gramStart"/>
      <w:r>
        <w:t>the</w:t>
      </w:r>
      <w:proofErr w:type="gramEnd"/>
      <w:r>
        <w:t xml:space="preserve"> percentage of services mentioned in paragraph</w:t>
      </w:r>
      <w:r w:rsidR="00152FE0">
        <w:t> </w:t>
      </w:r>
      <w:r>
        <w:t xml:space="preserve">(e) that were connected within the timeframe (if any) required by the CSG </w:t>
      </w:r>
      <w:r w:rsidR="00152FE0">
        <w:t>S</w:t>
      </w:r>
      <w:r>
        <w:t>tandard;</w:t>
      </w:r>
    </w:p>
    <w:p w14:paraId="30FB90BE" w14:textId="77777777" w:rsidR="00AD1326" w:rsidRDefault="00AD1326" w:rsidP="00666F26">
      <w:pPr>
        <w:pStyle w:val="paragraph"/>
      </w:pPr>
      <w:r>
        <w:tab/>
        <w:t>(</w:t>
      </w:r>
      <w:r w:rsidR="000C6213">
        <w:t>g</w:t>
      </w:r>
      <w:r>
        <w:t>)</w:t>
      </w:r>
      <w:r>
        <w:tab/>
      </w:r>
      <w:proofErr w:type="gramStart"/>
      <w:r>
        <w:t>the</w:t>
      </w:r>
      <w:proofErr w:type="gramEnd"/>
      <w:r>
        <w:t xml:space="preserve"> number of reportable services </w:t>
      </w:r>
      <w:r w:rsidR="00E2256A">
        <w:t xml:space="preserve">supplied </w:t>
      </w:r>
      <w:r>
        <w:t>in the relevant ESA where</w:t>
      </w:r>
      <w:r w:rsidR="00E2256A">
        <w:t>:</w:t>
      </w:r>
    </w:p>
    <w:p w14:paraId="3DEC8857" w14:textId="361D71E9" w:rsidR="00E2256A" w:rsidRDefault="00E2256A" w:rsidP="00E2256A">
      <w:pPr>
        <w:pStyle w:val="paragraphsub"/>
      </w:pPr>
      <w:r>
        <w:tab/>
        <w:t>(</w:t>
      </w:r>
      <w:proofErr w:type="spellStart"/>
      <w:r>
        <w:t>i</w:t>
      </w:r>
      <w:proofErr w:type="spellEnd"/>
      <w:r>
        <w:t>)</w:t>
      </w:r>
      <w:r>
        <w:tab/>
      </w:r>
      <w:proofErr w:type="gramStart"/>
      <w:r>
        <w:t>the</w:t>
      </w:r>
      <w:proofErr w:type="gramEnd"/>
      <w:r>
        <w:t xml:space="preserve"> service was connected during the </w:t>
      </w:r>
      <w:r w:rsidR="006442B1">
        <w:t>quarter</w:t>
      </w:r>
      <w:r>
        <w:t>; and</w:t>
      </w:r>
    </w:p>
    <w:p w14:paraId="363737BD" w14:textId="77777777" w:rsidR="00E2256A" w:rsidRDefault="00E2256A" w:rsidP="00E2256A">
      <w:pPr>
        <w:pStyle w:val="paragraphsub"/>
      </w:pPr>
      <w:r>
        <w:tab/>
        <w:t>(ii)</w:t>
      </w:r>
      <w:r>
        <w:tab/>
      </w:r>
      <w:proofErr w:type="gramStart"/>
      <w:r>
        <w:t>there</w:t>
      </w:r>
      <w:proofErr w:type="gramEnd"/>
      <w:r>
        <w:t xml:space="preserve"> was not an in</w:t>
      </w:r>
      <w:r>
        <w:noBreakHyphen/>
        <w:t>place connection at the premises before the service was connected;</w:t>
      </w:r>
    </w:p>
    <w:p w14:paraId="7F622818" w14:textId="77777777" w:rsidR="00AD1326" w:rsidRDefault="00AD1326" w:rsidP="00666F26">
      <w:pPr>
        <w:pStyle w:val="paragraph"/>
      </w:pPr>
      <w:r>
        <w:tab/>
        <w:t>(</w:t>
      </w:r>
      <w:r w:rsidR="00152FE0">
        <w:t>h</w:t>
      </w:r>
      <w:r>
        <w:t>)</w:t>
      </w:r>
      <w:r>
        <w:tab/>
      </w:r>
      <w:proofErr w:type="gramStart"/>
      <w:r w:rsidR="0051507C">
        <w:t>the</w:t>
      </w:r>
      <w:proofErr w:type="gramEnd"/>
      <w:r w:rsidR="0051507C">
        <w:t xml:space="preserve"> percentage of services</w:t>
      </w:r>
      <w:r w:rsidR="00806699">
        <w:t xml:space="preserve"> </w:t>
      </w:r>
      <w:r w:rsidR="000C6213">
        <w:t>mentioned in paragraph</w:t>
      </w:r>
      <w:r w:rsidR="00152FE0">
        <w:t> </w:t>
      </w:r>
      <w:r w:rsidR="000C6213">
        <w:t xml:space="preserve">(g) </w:t>
      </w:r>
      <w:r w:rsidR="0051507C">
        <w:t xml:space="preserve">that were </w:t>
      </w:r>
      <w:r w:rsidR="00B04515">
        <w:t xml:space="preserve">connected within the timeframe (if any) required by the CSG </w:t>
      </w:r>
      <w:r w:rsidR="00152FE0">
        <w:t>S</w:t>
      </w:r>
      <w:r w:rsidR="00B04515">
        <w:t>tandard;</w:t>
      </w:r>
    </w:p>
    <w:p w14:paraId="73A92A22" w14:textId="22A7BB28" w:rsidR="00806699" w:rsidRDefault="00806699" w:rsidP="00666F26">
      <w:pPr>
        <w:pStyle w:val="paragraph"/>
      </w:pPr>
      <w:r>
        <w:tab/>
        <w:t>(</w:t>
      </w:r>
      <w:proofErr w:type="spellStart"/>
      <w:r w:rsidR="00152FE0">
        <w:t>i</w:t>
      </w:r>
      <w:proofErr w:type="spellEnd"/>
      <w:r>
        <w:t>)</w:t>
      </w:r>
      <w:r>
        <w:tab/>
      </w:r>
      <w:proofErr w:type="gramStart"/>
      <w:r>
        <w:t>the</w:t>
      </w:r>
      <w:proofErr w:type="gramEnd"/>
      <w:r>
        <w:t xml:space="preserve"> number of faults and service difficulties</w:t>
      </w:r>
      <w:r w:rsidR="0051507C">
        <w:t xml:space="preserve"> that </w:t>
      </w:r>
      <w:r w:rsidR="00152FE0">
        <w:t xml:space="preserve">affected, </w:t>
      </w:r>
      <w:r w:rsidR="0051507C">
        <w:t xml:space="preserve">at any time during the </w:t>
      </w:r>
      <w:r w:rsidR="006442B1">
        <w:t>quarter</w:t>
      </w:r>
      <w:r w:rsidR="00152FE0">
        <w:t>,</w:t>
      </w:r>
      <w:r w:rsidR="0051507C">
        <w:t xml:space="preserve"> </w:t>
      </w:r>
      <w:r w:rsidR="00152FE0">
        <w:t xml:space="preserve">any </w:t>
      </w:r>
      <w:r>
        <w:t xml:space="preserve">reportable services </w:t>
      </w:r>
      <w:r w:rsidR="0051507C">
        <w:t>supplied</w:t>
      </w:r>
      <w:r>
        <w:t xml:space="preserve"> in the relevant ESA;</w:t>
      </w:r>
    </w:p>
    <w:p w14:paraId="3BC25FA6" w14:textId="17C3BA43" w:rsidR="00152FE0" w:rsidRDefault="00152FE0" w:rsidP="00152FE0">
      <w:pPr>
        <w:pStyle w:val="paragraph"/>
      </w:pPr>
      <w:r>
        <w:tab/>
        <w:t>(j)</w:t>
      </w:r>
      <w:r>
        <w:tab/>
      </w:r>
      <w:proofErr w:type="gramStart"/>
      <w:r>
        <w:t>the</w:t>
      </w:r>
      <w:proofErr w:type="gramEnd"/>
      <w:r>
        <w:t xml:space="preserve"> number of faults or service difficulties mentioned in paragraph (</w:t>
      </w:r>
      <w:proofErr w:type="spellStart"/>
      <w:r>
        <w:t>i</w:t>
      </w:r>
      <w:proofErr w:type="spellEnd"/>
      <w:r>
        <w:t xml:space="preserve">) divided by the number reportable services supplied in the relevant ESA during the </w:t>
      </w:r>
      <w:r w:rsidR="006442B1">
        <w:t>quarter</w:t>
      </w:r>
      <w:r>
        <w:t>;</w:t>
      </w:r>
    </w:p>
    <w:p w14:paraId="2ADC428A" w14:textId="4ACD4FD1" w:rsidR="00152FE0" w:rsidRDefault="00152FE0" w:rsidP="00666F26">
      <w:pPr>
        <w:pStyle w:val="paragraph"/>
      </w:pPr>
      <w:r>
        <w:tab/>
        <w:t>(</w:t>
      </w:r>
      <w:r w:rsidR="00294E3F">
        <w:t>k</w:t>
      </w:r>
      <w:r>
        <w:t>)</w:t>
      </w:r>
      <w:r>
        <w:tab/>
      </w:r>
      <w:proofErr w:type="gramStart"/>
      <w:r>
        <w:t>the</w:t>
      </w:r>
      <w:proofErr w:type="gramEnd"/>
      <w:r>
        <w:t xml:space="preserve"> number of faults and service difficulties mentioned in paragraph (</w:t>
      </w:r>
      <w:proofErr w:type="spellStart"/>
      <w:r>
        <w:t>i</w:t>
      </w:r>
      <w:proofErr w:type="spellEnd"/>
      <w:r>
        <w:t xml:space="preserve">) that were </w:t>
      </w:r>
      <w:r w:rsidR="00590CE6">
        <w:t>rectified</w:t>
      </w:r>
      <w:r>
        <w:t xml:space="preserve"> during the </w:t>
      </w:r>
      <w:r w:rsidR="006442B1">
        <w:t>quarter</w:t>
      </w:r>
      <w:r>
        <w:t>;</w:t>
      </w:r>
    </w:p>
    <w:p w14:paraId="5EF17CCD" w14:textId="77777777" w:rsidR="00806699" w:rsidRDefault="00806699" w:rsidP="00666F26">
      <w:pPr>
        <w:pStyle w:val="paragraph"/>
      </w:pPr>
      <w:r>
        <w:tab/>
        <w:t>(</w:t>
      </w:r>
      <w:r w:rsidR="00294E3F">
        <w:t>l</w:t>
      </w:r>
      <w:r>
        <w:t>)</w:t>
      </w:r>
      <w:r>
        <w:tab/>
      </w:r>
      <w:proofErr w:type="gramStart"/>
      <w:r>
        <w:t>the</w:t>
      </w:r>
      <w:proofErr w:type="gramEnd"/>
      <w:r>
        <w:t xml:space="preserve"> </w:t>
      </w:r>
      <w:r w:rsidR="0051507C">
        <w:t>percentage</w:t>
      </w:r>
      <w:r>
        <w:t xml:space="preserve"> of fault</w:t>
      </w:r>
      <w:r w:rsidR="0051507C">
        <w:t>s</w:t>
      </w:r>
      <w:r>
        <w:t xml:space="preserve"> and service difficulties </w:t>
      </w:r>
      <w:r w:rsidR="00152FE0">
        <w:t xml:space="preserve">mentioned in paragraph (j) </w:t>
      </w:r>
      <w:r w:rsidR="0051507C">
        <w:t xml:space="preserve">that were </w:t>
      </w:r>
      <w:r w:rsidR="00152FE0">
        <w:t xml:space="preserve">rectified </w:t>
      </w:r>
      <w:r w:rsidR="00152FE0" w:rsidRPr="00152FE0">
        <w:t xml:space="preserve">within the timeframe (if any) required by the CSG </w:t>
      </w:r>
      <w:r w:rsidR="00152FE0">
        <w:t>S</w:t>
      </w:r>
      <w:r w:rsidR="00152FE0" w:rsidRPr="00152FE0">
        <w:t>tandard</w:t>
      </w:r>
      <w:r>
        <w:t>;</w:t>
      </w:r>
    </w:p>
    <w:p w14:paraId="714DA80D" w14:textId="417BD699" w:rsidR="00806699" w:rsidRDefault="00806699" w:rsidP="00666F26">
      <w:pPr>
        <w:pStyle w:val="paragraph"/>
      </w:pPr>
      <w:r>
        <w:tab/>
        <w:t>(</w:t>
      </w:r>
      <w:r w:rsidR="00294E3F">
        <w:t>m</w:t>
      </w:r>
      <w:r>
        <w:t>)</w:t>
      </w:r>
      <w:r>
        <w:tab/>
      </w:r>
      <w:proofErr w:type="gramStart"/>
      <w:r>
        <w:t>the</w:t>
      </w:r>
      <w:proofErr w:type="gramEnd"/>
      <w:r>
        <w:t xml:space="preserve"> number of appointments in relation to reportable services supplied, or proposed to be supplied, in the relevant ESA during the </w:t>
      </w:r>
      <w:r w:rsidR="006442B1">
        <w:t>quarter</w:t>
      </w:r>
      <w:r w:rsidR="00294E3F">
        <w:t>, where the appointment:</w:t>
      </w:r>
    </w:p>
    <w:p w14:paraId="4B34E3EC" w14:textId="46E484F9" w:rsidR="00294E3F" w:rsidRDefault="00294E3F" w:rsidP="00662701">
      <w:pPr>
        <w:pStyle w:val="paragraphsub"/>
      </w:pPr>
      <w:r>
        <w:tab/>
        <w:t>(</w:t>
      </w:r>
      <w:proofErr w:type="spellStart"/>
      <w:r>
        <w:t>i</w:t>
      </w:r>
      <w:proofErr w:type="spellEnd"/>
      <w:r>
        <w:t>)</w:t>
      </w:r>
      <w:r>
        <w:tab/>
      </w:r>
      <w:proofErr w:type="gramStart"/>
      <w:r w:rsidR="007048D5">
        <w:t>was</w:t>
      </w:r>
      <w:proofErr w:type="gramEnd"/>
      <w:r w:rsidR="007048D5">
        <w:t xml:space="preserve"> </w:t>
      </w:r>
      <w:r>
        <w:t xml:space="preserve">scheduled to take place during the </w:t>
      </w:r>
      <w:r w:rsidR="006442B1">
        <w:t>quarter</w:t>
      </w:r>
      <w:r>
        <w:t>; and</w:t>
      </w:r>
    </w:p>
    <w:p w14:paraId="4718AF79" w14:textId="77777777" w:rsidR="00294E3F" w:rsidRDefault="00294E3F" w:rsidP="00662701">
      <w:pPr>
        <w:pStyle w:val="paragraphsub"/>
      </w:pPr>
      <w:r>
        <w:tab/>
        <w:t>(ii)</w:t>
      </w:r>
      <w:r>
        <w:tab/>
      </w:r>
      <w:proofErr w:type="gramStart"/>
      <w:r w:rsidR="007048D5">
        <w:t>was</w:t>
      </w:r>
      <w:proofErr w:type="gramEnd"/>
      <w:r>
        <w:t xml:space="preserve"> not cancelled or rescheduled in accordance with Division 4 of Part 2 of the CSG Standard;</w:t>
      </w:r>
    </w:p>
    <w:p w14:paraId="19108D86" w14:textId="77777777" w:rsidR="00806699" w:rsidRDefault="00806699" w:rsidP="00666F26">
      <w:pPr>
        <w:pStyle w:val="paragraph"/>
      </w:pPr>
      <w:r>
        <w:tab/>
        <w:t>(</w:t>
      </w:r>
      <w:r w:rsidR="00294E3F">
        <w:t>n</w:t>
      </w:r>
      <w:r>
        <w:t>)</w:t>
      </w:r>
      <w:r>
        <w:tab/>
      </w:r>
      <w:proofErr w:type="gramStart"/>
      <w:r>
        <w:t>the</w:t>
      </w:r>
      <w:proofErr w:type="gramEnd"/>
      <w:r>
        <w:t xml:space="preserve"> </w:t>
      </w:r>
      <w:r w:rsidR="0051507C">
        <w:t>percentage</w:t>
      </w:r>
      <w:r>
        <w:t xml:space="preserve"> of appointments </w:t>
      </w:r>
      <w:r w:rsidR="00294E3F">
        <w:t xml:space="preserve">mentioned in paragraph (m) </w:t>
      </w:r>
      <w:r w:rsidR="0051507C">
        <w:t xml:space="preserve">that were </w:t>
      </w:r>
      <w:r w:rsidR="00294E3F">
        <w:t xml:space="preserve">kept </w:t>
      </w:r>
      <w:r w:rsidR="00E413D9">
        <w:t>by the licensee</w:t>
      </w:r>
      <w:r>
        <w:t>;</w:t>
      </w:r>
    </w:p>
    <w:p w14:paraId="2B121BFB" w14:textId="77777777" w:rsidR="00DD61AB" w:rsidRDefault="00DD61AB" w:rsidP="00666F26">
      <w:pPr>
        <w:pStyle w:val="paragraph"/>
      </w:pPr>
      <w:r>
        <w:tab/>
        <w:t>(</w:t>
      </w:r>
      <w:r w:rsidR="007048D5">
        <w:t>o</w:t>
      </w:r>
      <w:r>
        <w:t>)</w:t>
      </w:r>
      <w:r>
        <w:tab/>
      </w:r>
      <w:proofErr w:type="gramStart"/>
      <w:r>
        <w:t>the</w:t>
      </w:r>
      <w:proofErr w:type="gramEnd"/>
      <w:r>
        <w:t xml:space="preserve"> number of contacts received by the licensee in relation to reportable services supplied, or proposed to be supplied in the relevant ESA, where:</w:t>
      </w:r>
    </w:p>
    <w:p w14:paraId="70C83EE7" w14:textId="47CE12AF" w:rsidR="00DD61AB" w:rsidRDefault="00DD61AB" w:rsidP="00666F26">
      <w:pPr>
        <w:pStyle w:val="paragraphsub"/>
      </w:pPr>
      <w:r>
        <w:rPr>
          <w:bCs/>
          <w:color w:val="000000"/>
        </w:rPr>
        <w:lastRenderedPageBreak/>
        <w:tab/>
        <w:t>(</w:t>
      </w:r>
      <w:proofErr w:type="spellStart"/>
      <w:r>
        <w:rPr>
          <w:bCs/>
          <w:color w:val="000000"/>
        </w:rPr>
        <w:t>i</w:t>
      </w:r>
      <w:proofErr w:type="spellEnd"/>
      <w:r>
        <w:rPr>
          <w:bCs/>
          <w:color w:val="000000"/>
        </w:rPr>
        <w:t>)</w:t>
      </w:r>
      <w:r>
        <w:rPr>
          <w:bCs/>
          <w:color w:val="000000"/>
        </w:rPr>
        <w:tab/>
      </w:r>
      <w:proofErr w:type="gramStart"/>
      <w:r>
        <w:rPr>
          <w:bCs/>
          <w:color w:val="000000"/>
        </w:rPr>
        <w:t>for</w:t>
      </w:r>
      <w:proofErr w:type="gramEnd"/>
      <w:r>
        <w:rPr>
          <w:bCs/>
          <w:color w:val="000000"/>
        </w:rPr>
        <w:t xml:space="preserve"> </w:t>
      </w:r>
      <w:r w:rsidR="007048D5">
        <w:rPr>
          <w:bCs/>
          <w:color w:val="000000"/>
        </w:rPr>
        <w:t xml:space="preserve">a </w:t>
      </w:r>
      <w:r>
        <w:rPr>
          <w:bCs/>
          <w:color w:val="000000"/>
        </w:rPr>
        <w:t xml:space="preserve">call made to a contact centre—the call was made </w:t>
      </w:r>
      <w:r>
        <w:t xml:space="preserve">during the </w:t>
      </w:r>
      <w:r w:rsidR="006442B1">
        <w:t>quarter</w:t>
      </w:r>
      <w:r>
        <w:t>;</w:t>
      </w:r>
      <w:r w:rsidR="007048D5">
        <w:t xml:space="preserve"> or</w:t>
      </w:r>
    </w:p>
    <w:p w14:paraId="4D221223" w14:textId="47AF8F54" w:rsidR="00DD61AB" w:rsidRDefault="00DD61AB" w:rsidP="00666F26">
      <w:pPr>
        <w:pStyle w:val="paragraphsub"/>
        <w:rPr>
          <w:bCs/>
          <w:color w:val="000000"/>
        </w:rPr>
      </w:pPr>
      <w:r>
        <w:rPr>
          <w:bCs/>
          <w:color w:val="000000"/>
        </w:rPr>
        <w:tab/>
        <w:t>(ii)</w:t>
      </w:r>
      <w:r>
        <w:rPr>
          <w:bCs/>
          <w:color w:val="000000"/>
        </w:rPr>
        <w:tab/>
      </w:r>
      <w:proofErr w:type="gramStart"/>
      <w:r>
        <w:rPr>
          <w:bCs/>
          <w:color w:val="000000"/>
        </w:rPr>
        <w:t>for</w:t>
      </w:r>
      <w:proofErr w:type="gramEnd"/>
      <w:r>
        <w:rPr>
          <w:bCs/>
          <w:color w:val="000000"/>
        </w:rPr>
        <w:t xml:space="preserve"> </w:t>
      </w:r>
      <w:r w:rsidR="007048D5">
        <w:rPr>
          <w:bCs/>
          <w:color w:val="000000"/>
        </w:rPr>
        <w:t xml:space="preserve">a </w:t>
      </w:r>
      <w:r>
        <w:rPr>
          <w:bCs/>
          <w:color w:val="000000"/>
        </w:rPr>
        <w:t xml:space="preserve">chat session—the session was initiated during the </w:t>
      </w:r>
      <w:r w:rsidR="006442B1">
        <w:t>quarter</w:t>
      </w:r>
      <w:r>
        <w:rPr>
          <w:bCs/>
          <w:color w:val="000000"/>
        </w:rPr>
        <w:t>;</w:t>
      </w:r>
      <w:r w:rsidR="007048D5">
        <w:rPr>
          <w:bCs/>
          <w:color w:val="000000"/>
        </w:rPr>
        <w:t xml:space="preserve"> or</w:t>
      </w:r>
    </w:p>
    <w:p w14:paraId="2F1EAA0C" w14:textId="4E4EA3A8" w:rsidR="00DD61AB" w:rsidRDefault="00DD61AB" w:rsidP="00666F26">
      <w:pPr>
        <w:pStyle w:val="paragraphsub"/>
        <w:rPr>
          <w:bCs/>
          <w:color w:val="000000"/>
        </w:rPr>
      </w:pPr>
      <w:r>
        <w:rPr>
          <w:bCs/>
          <w:color w:val="000000"/>
        </w:rPr>
        <w:tab/>
        <w:t>(iii)</w:t>
      </w:r>
      <w:r>
        <w:rPr>
          <w:bCs/>
          <w:color w:val="000000"/>
        </w:rPr>
        <w:tab/>
        <w:t xml:space="preserve">for </w:t>
      </w:r>
      <w:r>
        <w:t xml:space="preserve">an email or a series or emails in a chain of correspondence—the email was an initial email received during the </w:t>
      </w:r>
      <w:r w:rsidR="006442B1">
        <w:t>quarter</w:t>
      </w:r>
      <w:r>
        <w:t>, or the chain of correspondence</w:t>
      </w:r>
      <w:r>
        <w:rPr>
          <w:bCs/>
          <w:color w:val="000000"/>
        </w:rPr>
        <w:t xml:space="preserve"> was not closed at the end of the </w:t>
      </w:r>
      <w:r w:rsidR="006442B1">
        <w:t>quarter</w:t>
      </w:r>
      <w:r>
        <w:rPr>
          <w:bCs/>
          <w:color w:val="000000"/>
        </w:rPr>
        <w:t>;</w:t>
      </w:r>
    </w:p>
    <w:p w14:paraId="466E6653" w14:textId="77777777" w:rsidR="0051507C" w:rsidRDefault="00806699" w:rsidP="00666F26">
      <w:pPr>
        <w:pStyle w:val="paragraph"/>
      </w:pPr>
      <w:r>
        <w:tab/>
        <w:t>(</w:t>
      </w:r>
      <w:r w:rsidR="007048D5">
        <w:t>p</w:t>
      </w:r>
      <w:r w:rsidR="00E421E8">
        <w:t>)</w:t>
      </w:r>
      <w:r w:rsidR="00E421E8">
        <w:tab/>
      </w:r>
      <w:proofErr w:type="gramStart"/>
      <w:r w:rsidR="00E421E8">
        <w:t>the</w:t>
      </w:r>
      <w:proofErr w:type="gramEnd"/>
      <w:r w:rsidR="00E421E8">
        <w:t xml:space="preserve"> proportion of </w:t>
      </w:r>
      <w:r w:rsidR="0051507C">
        <w:t>contacts</w:t>
      </w:r>
      <w:r w:rsidR="00E421E8">
        <w:t xml:space="preserve"> </w:t>
      </w:r>
      <w:r w:rsidR="003002BF">
        <w:t>mentioned in paragraph (</w:t>
      </w:r>
      <w:r w:rsidR="007048D5">
        <w:t>o</w:t>
      </w:r>
      <w:r w:rsidR="003002BF">
        <w:t xml:space="preserve">) </w:t>
      </w:r>
      <w:r w:rsidR="00E421E8">
        <w:t xml:space="preserve">that were </w:t>
      </w:r>
      <w:r w:rsidR="0051507C">
        <w:t xml:space="preserve">substantively </w:t>
      </w:r>
      <w:r w:rsidR="00F70505">
        <w:t>engaged with</w:t>
      </w:r>
      <w:r w:rsidR="0051507C">
        <w:t>:</w:t>
      </w:r>
    </w:p>
    <w:p w14:paraId="1458616F" w14:textId="77777777" w:rsidR="00806699" w:rsidRDefault="0051507C" w:rsidP="00666F26">
      <w:pPr>
        <w:pStyle w:val="paragraphsub"/>
      </w:pPr>
      <w:r>
        <w:tab/>
        <w:t>(</w:t>
      </w:r>
      <w:proofErr w:type="spellStart"/>
      <w:r>
        <w:t>i</w:t>
      </w:r>
      <w:proofErr w:type="spellEnd"/>
      <w:r>
        <w:t>)</w:t>
      </w:r>
      <w:r>
        <w:tab/>
      </w:r>
      <w:proofErr w:type="gramStart"/>
      <w:r>
        <w:t>for</w:t>
      </w:r>
      <w:proofErr w:type="gramEnd"/>
      <w:r>
        <w:t xml:space="preserve"> a call to a call centre or an online chat session—</w:t>
      </w:r>
      <w:r w:rsidR="00E421E8">
        <w:t xml:space="preserve">within 3 minutes of the start of the </w:t>
      </w:r>
      <w:r>
        <w:t>contact;</w:t>
      </w:r>
    </w:p>
    <w:p w14:paraId="1D9EACA7" w14:textId="77777777" w:rsidR="0051507C" w:rsidRDefault="0051507C" w:rsidP="00666F26">
      <w:pPr>
        <w:pStyle w:val="paragraphsub"/>
      </w:pPr>
      <w:r>
        <w:tab/>
        <w:t>(ii)</w:t>
      </w:r>
      <w:r>
        <w:tab/>
      </w:r>
      <w:proofErr w:type="gramStart"/>
      <w:r>
        <w:t>for</w:t>
      </w:r>
      <w:proofErr w:type="gramEnd"/>
      <w:r>
        <w:t xml:space="preserve"> </w:t>
      </w:r>
      <w:r w:rsidR="00A35A05">
        <w:t>an email or a series or emails in a chain of correspondence</w:t>
      </w:r>
      <w:r>
        <w:t>—w</w:t>
      </w:r>
      <w:r w:rsidR="00190C47">
        <w:t xml:space="preserve">ithin </w:t>
      </w:r>
      <w:r>
        <w:t>2 working days of the start of the first email being received by or on behalf of the licensee</w:t>
      </w:r>
      <w:r w:rsidR="007048D5">
        <w:t>;</w:t>
      </w:r>
    </w:p>
    <w:p w14:paraId="6B524786" w14:textId="39E9388D" w:rsidR="007048D5" w:rsidRDefault="007048D5" w:rsidP="007048D5">
      <w:pPr>
        <w:pStyle w:val="paragraph"/>
      </w:pPr>
      <w:r>
        <w:tab/>
        <w:t>(q)</w:t>
      </w:r>
      <w:r>
        <w:tab/>
      </w:r>
      <w:proofErr w:type="gramStart"/>
      <w:r>
        <w:t>the</w:t>
      </w:r>
      <w:proofErr w:type="gramEnd"/>
      <w:r>
        <w:t xml:space="preserve"> number of complaints made in relation to reportable services supplied, or proposed to be supplied, in the relevant ESA during the </w:t>
      </w:r>
      <w:r w:rsidR="006442B1">
        <w:t>quarter</w:t>
      </w:r>
      <w:r>
        <w:t>.</w:t>
      </w:r>
    </w:p>
    <w:p w14:paraId="4E8EDD1C" w14:textId="77777777" w:rsidR="00455C98" w:rsidRPr="00C14F7E" w:rsidRDefault="00455C98" w:rsidP="00455C98">
      <w:pPr>
        <w:pStyle w:val="notetext"/>
      </w:pPr>
      <w:r>
        <w:t>Note:</w:t>
      </w:r>
      <w:r>
        <w:tab/>
        <w:t xml:space="preserve">See the definition of </w:t>
      </w:r>
      <w:r w:rsidRPr="00455C98">
        <w:rPr>
          <w:b/>
          <w:i/>
        </w:rPr>
        <w:t>kept</w:t>
      </w:r>
      <w:r>
        <w:t xml:space="preserve"> in </w:t>
      </w:r>
      <w:r w:rsidRPr="00455C98">
        <w:t>subsection</w:t>
      </w:r>
      <w:r>
        <w:t xml:space="preserve"> </w:t>
      </w:r>
      <w:proofErr w:type="gramStart"/>
      <w:r>
        <w:t>13A(</w:t>
      </w:r>
      <w:proofErr w:type="gramEnd"/>
      <w:r>
        <w:t>1).</w:t>
      </w:r>
    </w:p>
    <w:p w14:paraId="59C557B5" w14:textId="432B4EDE" w:rsidR="006B6CB9" w:rsidRDefault="006B6CB9" w:rsidP="006B6CB9">
      <w:pPr>
        <w:pStyle w:val="subsection"/>
      </w:pPr>
      <w:r>
        <w:tab/>
        <w:t>(2)</w:t>
      </w:r>
      <w:r>
        <w:tab/>
        <w:t xml:space="preserve">A </w:t>
      </w:r>
      <w:r w:rsidR="00C9743C">
        <w:t xml:space="preserve">licensee </w:t>
      </w:r>
      <w:r>
        <w:t xml:space="preserve">must </w:t>
      </w:r>
      <w:r w:rsidR="00C35370">
        <w:t xml:space="preserve">take reasonable steps to ensure </w:t>
      </w:r>
      <w:r w:rsidR="00C9743C">
        <w:t xml:space="preserve">each report </w:t>
      </w:r>
      <w:r w:rsidR="00FD0324">
        <w:t xml:space="preserve">published in accordance with subsection (1) </w:t>
      </w:r>
      <w:r w:rsidR="007679CE">
        <w:t>remain</w:t>
      </w:r>
      <w:r w:rsidR="00C35370">
        <w:t>s</w:t>
      </w:r>
      <w:r>
        <w:t xml:space="preserve"> available on the licensee’s website</w:t>
      </w:r>
      <w:r w:rsidR="00C35370">
        <w:t xml:space="preserve"> </w:t>
      </w:r>
      <w:r w:rsidR="00C23FA8">
        <w:t xml:space="preserve">for </w:t>
      </w:r>
      <w:r w:rsidR="00C35370">
        <w:t xml:space="preserve">at </w:t>
      </w:r>
      <w:r w:rsidR="00C23FA8">
        <w:t xml:space="preserve">least 5 years </w:t>
      </w:r>
      <w:r>
        <w:t>after it is published.</w:t>
      </w:r>
    </w:p>
    <w:p w14:paraId="02C2A11C" w14:textId="77777777" w:rsidR="00F9381A" w:rsidRPr="006065DA" w:rsidRDefault="000E4027" w:rsidP="00F9381A">
      <w:pPr>
        <w:pStyle w:val="ActHead5"/>
      </w:pPr>
      <w:bookmarkStart w:id="11" w:name="_Toc78551942"/>
      <w:proofErr w:type="gramStart"/>
      <w:r>
        <w:t>13</w:t>
      </w:r>
      <w:r w:rsidR="00386675">
        <w:t>D</w:t>
      </w:r>
      <w:r w:rsidRPr="006065DA">
        <w:t xml:space="preserve">  </w:t>
      </w:r>
      <w:r w:rsidR="00F9381A">
        <w:t>Reporting</w:t>
      </w:r>
      <w:proofErr w:type="gramEnd"/>
      <w:r w:rsidR="00F9381A">
        <w:t xml:space="preserve"> </w:t>
      </w:r>
      <w:r>
        <w:t xml:space="preserve">to the ACMA and the </w:t>
      </w:r>
      <w:r w:rsidR="00E421E8">
        <w:t>Department</w:t>
      </w:r>
      <w:r>
        <w:t xml:space="preserve"> </w:t>
      </w:r>
      <w:r w:rsidR="00F9381A">
        <w:t xml:space="preserve">on </w:t>
      </w:r>
      <w:r w:rsidR="00D808AF">
        <w:t xml:space="preserve">certain </w:t>
      </w:r>
      <w:r w:rsidR="00F9381A">
        <w:t>CSG services</w:t>
      </w:r>
      <w:r w:rsidR="00432973">
        <w:t xml:space="preserve"> in ESAs</w:t>
      </w:r>
      <w:r w:rsidR="00F9381A">
        <w:t xml:space="preserve"> outside the fixed</w:t>
      </w:r>
      <w:r w:rsidR="00F9381A">
        <w:noBreakHyphen/>
        <w:t>line footprint</w:t>
      </w:r>
      <w:r w:rsidR="00432973">
        <w:t xml:space="preserve"> of the national broadband network</w:t>
      </w:r>
      <w:bookmarkEnd w:id="11"/>
    </w:p>
    <w:p w14:paraId="7FAB674A" w14:textId="77777777" w:rsidR="00F9381A" w:rsidRDefault="00F9381A" w:rsidP="00F9381A">
      <w:pPr>
        <w:pStyle w:val="SubsectionHead"/>
      </w:pPr>
      <w:r>
        <w:t>Licensee to give reports</w:t>
      </w:r>
      <w:r w:rsidR="000E4027">
        <w:t xml:space="preserve"> to the ACMA and the </w:t>
      </w:r>
      <w:r w:rsidR="00E421E8">
        <w:t>Department</w:t>
      </w:r>
    </w:p>
    <w:p w14:paraId="6DA683F5" w14:textId="77777777" w:rsidR="00F9381A" w:rsidRDefault="00F9381A" w:rsidP="00F9381A">
      <w:pPr>
        <w:pStyle w:val="subsection"/>
      </w:pPr>
      <w:r w:rsidRPr="006065DA">
        <w:tab/>
      </w:r>
      <w:r>
        <w:t>(1)</w:t>
      </w:r>
      <w:r w:rsidRPr="006065DA">
        <w:tab/>
      </w:r>
      <w:r>
        <w:t>The licensee must, within 3</w:t>
      </w:r>
      <w:r w:rsidRPr="00353E08">
        <w:t xml:space="preserve"> months</w:t>
      </w:r>
      <w:r>
        <w:t xml:space="preserve"> of the commencement of this section, give a report to the ACMA</w:t>
      </w:r>
      <w:r w:rsidR="00E421E8">
        <w:t>,</w:t>
      </w:r>
      <w:r>
        <w:t xml:space="preserve"> the Secretary</w:t>
      </w:r>
      <w:r w:rsidR="00E421E8">
        <w:t xml:space="preserve"> </w:t>
      </w:r>
      <w:r w:rsidR="00E1016E">
        <w:t xml:space="preserve">and </w:t>
      </w:r>
      <w:r w:rsidR="00E421E8">
        <w:t>an</w:t>
      </w:r>
      <w:r w:rsidR="00E1016E">
        <w:t>y</w:t>
      </w:r>
      <w:r w:rsidR="00E421E8">
        <w:t xml:space="preserve"> authorised officer</w:t>
      </w:r>
      <w:r>
        <w:t xml:space="preserve"> containing the </w:t>
      </w:r>
      <w:r w:rsidRPr="00607872">
        <w:t>required information</w:t>
      </w:r>
      <w:r>
        <w:t xml:space="preserve"> in relation to each month within the period (the </w:t>
      </w:r>
      <w:r>
        <w:rPr>
          <w:b/>
          <w:i/>
        </w:rPr>
        <w:t>initial reporting period</w:t>
      </w:r>
      <w:r>
        <w:t>):</w:t>
      </w:r>
    </w:p>
    <w:p w14:paraId="28214B83" w14:textId="77777777" w:rsidR="00F9381A" w:rsidRDefault="00F9381A" w:rsidP="00F9381A">
      <w:pPr>
        <w:pStyle w:val="paragraph"/>
      </w:pPr>
      <w:r>
        <w:tab/>
        <w:t>(a)</w:t>
      </w:r>
      <w:r>
        <w:tab/>
      </w:r>
      <w:proofErr w:type="gramStart"/>
      <w:r>
        <w:t>beginning</w:t>
      </w:r>
      <w:proofErr w:type="gramEnd"/>
      <w:r>
        <w:t xml:space="preserve"> on 1 January 2019; and</w:t>
      </w:r>
    </w:p>
    <w:p w14:paraId="205A9DA9" w14:textId="38B46A8F" w:rsidR="00F9381A" w:rsidRPr="00607872" w:rsidRDefault="00F9381A" w:rsidP="00F9381A">
      <w:pPr>
        <w:pStyle w:val="paragraph"/>
      </w:pPr>
      <w:r>
        <w:tab/>
        <w:t>(b)</w:t>
      </w:r>
      <w:r>
        <w:tab/>
      </w:r>
      <w:proofErr w:type="gramStart"/>
      <w:r>
        <w:t>ending</w:t>
      </w:r>
      <w:proofErr w:type="gramEnd"/>
      <w:r>
        <w:t xml:space="preserve"> at the end of the </w:t>
      </w:r>
      <w:r w:rsidR="00976E2F">
        <w:t>first quarter</w:t>
      </w:r>
      <w:r>
        <w:t xml:space="preserve"> that ends </w:t>
      </w:r>
      <w:r w:rsidR="00976E2F">
        <w:t xml:space="preserve">after </w:t>
      </w:r>
      <w:r>
        <w:t>this section commences.</w:t>
      </w:r>
    </w:p>
    <w:p w14:paraId="4F5F114B" w14:textId="5BF251F7" w:rsidR="00F9381A" w:rsidRDefault="00F9381A" w:rsidP="00F9381A">
      <w:pPr>
        <w:pStyle w:val="subsection"/>
      </w:pPr>
      <w:r>
        <w:tab/>
        <w:t>(2)</w:t>
      </w:r>
      <w:r>
        <w:tab/>
        <w:t xml:space="preserve">The licensee must, within 28 days of the end of each </w:t>
      </w:r>
      <w:r w:rsidR="002152FC">
        <w:t xml:space="preserve">quarter </w:t>
      </w:r>
      <w:r w:rsidRPr="00D041C6">
        <w:t>that</w:t>
      </w:r>
      <w:r>
        <w:t xml:space="preserve"> begins after the end of the initial reporting period, give a report to the ACMA</w:t>
      </w:r>
      <w:r w:rsidR="00E421E8">
        <w:t xml:space="preserve">, </w:t>
      </w:r>
      <w:r>
        <w:t>the Secretary</w:t>
      </w:r>
      <w:r w:rsidR="00E421E8">
        <w:t xml:space="preserve"> and any authorised officer</w:t>
      </w:r>
      <w:r>
        <w:t xml:space="preserve"> containing the </w:t>
      </w:r>
      <w:r w:rsidRPr="00607872">
        <w:t>required information</w:t>
      </w:r>
      <w:r>
        <w:t xml:space="preserve"> in relation to </w:t>
      </w:r>
      <w:r w:rsidR="00C4210E">
        <w:t xml:space="preserve">each calendar </w:t>
      </w:r>
      <w:r>
        <w:t>month</w:t>
      </w:r>
      <w:r w:rsidR="00C4210E">
        <w:t xml:space="preserve"> within </w:t>
      </w:r>
      <w:r w:rsidR="00ED1DAB">
        <w:t>the</w:t>
      </w:r>
      <w:r w:rsidR="00C4210E">
        <w:t xml:space="preserve"> quarter</w:t>
      </w:r>
      <w:r>
        <w:t>.</w:t>
      </w:r>
    </w:p>
    <w:p w14:paraId="0D274D3B" w14:textId="77777777" w:rsidR="00F9381A" w:rsidRDefault="00F9381A" w:rsidP="00F9381A">
      <w:pPr>
        <w:pStyle w:val="SubsectionHead"/>
      </w:pPr>
      <w:r>
        <w:t xml:space="preserve">Form </w:t>
      </w:r>
      <w:r w:rsidR="00E1016E">
        <w:t xml:space="preserve">and manner </w:t>
      </w:r>
      <w:r>
        <w:t xml:space="preserve">of </w:t>
      </w:r>
      <w:r w:rsidR="00E1016E">
        <w:t xml:space="preserve">providing </w:t>
      </w:r>
      <w:r>
        <w:t>reports</w:t>
      </w:r>
    </w:p>
    <w:p w14:paraId="37CA81E3" w14:textId="77777777" w:rsidR="00F9381A" w:rsidRDefault="00F9381A" w:rsidP="00F9381A">
      <w:pPr>
        <w:pStyle w:val="subsection"/>
      </w:pPr>
      <w:r>
        <w:tab/>
        <w:t>(</w:t>
      </w:r>
      <w:r w:rsidR="006A7A2E">
        <w:t>3</w:t>
      </w:r>
      <w:r>
        <w:t>)</w:t>
      </w:r>
      <w:r>
        <w:tab/>
        <w:t>A report under this section must be provided</w:t>
      </w:r>
      <w:r w:rsidR="00673956">
        <w:t xml:space="preserve"> by the licensee</w:t>
      </w:r>
      <w:r>
        <w:t>:</w:t>
      </w:r>
    </w:p>
    <w:p w14:paraId="6EE5B6CE" w14:textId="77777777" w:rsidR="00F9381A" w:rsidRDefault="00F9381A" w:rsidP="00F9381A">
      <w:pPr>
        <w:pStyle w:val="paragraph"/>
      </w:pPr>
      <w:r>
        <w:tab/>
        <w:t>(a)</w:t>
      </w:r>
      <w:r>
        <w:tab/>
      </w:r>
      <w:proofErr w:type="gramStart"/>
      <w:r>
        <w:t>in</w:t>
      </w:r>
      <w:proofErr w:type="gramEnd"/>
      <w:r>
        <w:t xml:space="preserve"> .</w:t>
      </w:r>
      <w:proofErr w:type="spellStart"/>
      <w:r>
        <w:t>xlsx</w:t>
      </w:r>
      <w:proofErr w:type="spellEnd"/>
      <w:r>
        <w:t xml:space="preserve"> format, or another electronic format approved by the Secretary</w:t>
      </w:r>
      <w:r w:rsidR="00E421E8">
        <w:t xml:space="preserve"> or an authorised officer</w:t>
      </w:r>
      <w:r>
        <w:t>; and</w:t>
      </w:r>
    </w:p>
    <w:p w14:paraId="7DA2F8C4" w14:textId="77777777" w:rsidR="00F9381A" w:rsidRDefault="00F9381A" w:rsidP="00F9381A">
      <w:pPr>
        <w:pStyle w:val="paragraph"/>
      </w:pPr>
      <w:r>
        <w:tab/>
        <w:t>(b)</w:t>
      </w:r>
      <w:r>
        <w:tab/>
      </w:r>
      <w:proofErr w:type="gramStart"/>
      <w:r>
        <w:t>using</w:t>
      </w:r>
      <w:proofErr w:type="gramEnd"/>
      <w:r w:rsidR="000248A7">
        <w:t xml:space="preserve"> </w:t>
      </w:r>
      <w:r>
        <w:t>a separate table (whether in a separate worksheet, file or equivalent)</w:t>
      </w:r>
      <w:r w:rsidR="000248A7">
        <w:t xml:space="preserve"> </w:t>
      </w:r>
      <w:r>
        <w:t xml:space="preserve">for each </w:t>
      </w:r>
      <w:r w:rsidR="007A5904">
        <w:t xml:space="preserve">set </w:t>
      </w:r>
      <w:r>
        <w:t>of</w:t>
      </w:r>
      <w:r w:rsidR="007A5904">
        <w:t xml:space="preserve"> required information in relation to</w:t>
      </w:r>
      <w:r>
        <w:t>:</w:t>
      </w:r>
    </w:p>
    <w:p w14:paraId="702E61D3" w14:textId="77777777" w:rsidR="00F9381A" w:rsidRDefault="00F9381A" w:rsidP="00F9381A">
      <w:pPr>
        <w:pStyle w:val="paragraphsub"/>
      </w:pPr>
      <w:r>
        <w:tab/>
        <w:t>(</w:t>
      </w:r>
      <w:proofErr w:type="spellStart"/>
      <w:r w:rsidR="000248A7">
        <w:t>i</w:t>
      </w:r>
      <w:proofErr w:type="spellEnd"/>
      <w:r>
        <w:t>)</w:t>
      </w:r>
      <w:r>
        <w:tab/>
      </w:r>
      <w:proofErr w:type="gramStart"/>
      <w:r>
        <w:t>a</w:t>
      </w:r>
      <w:proofErr w:type="gramEnd"/>
      <w:r>
        <w:t xml:space="preserve"> month covered by the report; and</w:t>
      </w:r>
    </w:p>
    <w:p w14:paraId="3E6BC7C6" w14:textId="77777777" w:rsidR="00E1016E" w:rsidRDefault="00F9381A" w:rsidP="00F9381A">
      <w:pPr>
        <w:pStyle w:val="paragraphsub"/>
      </w:pPr>
      <w:r>
        <w:tab/>
        <w:t>(</w:t>
      </w:r>
      <w:r w:rsidR="000248A7">
        <w:t>ii</w:t>
      </w:r>
      <w:r>
        <w:t>)</w:t>
      </w:r>
      <w:r>
        <w:tab/>
      </w:r>
      <w:proofErr w:type="gramStart"/>
      <w:r>
        <w:t>one</w:t>
      </w:r>
      <w:proofErr w:type="gramEnd"/>
      <w:r>
        <w:t xml:space="preserve"> of subsections (</w:t>
      </w:r>
      <w:r w:rsidR="000248A7">
        <w:t>5</w:t>
      </w:r>
      <w:r>
        <w:t>) to (</w:t>
      </w:r>
      <w:r w:rsidR="001A6B9A">
        <w:t>15</w:t>
      </w:r>
      <w:r>
        <w:t>)</w:t>
      </w:r>
      <w:r w:rsidR="00E1016E">
        <w:t>;</w:t>
      </w:r>
      <w:r w:rsidR="00811533">
        <w:t xml:space="preserve"> and</w:t>
      </w:r>
    </w:p>
    <w:p w14:paraId="47DBD4F7" w14:textId="77777777" w:rsidR="00673956" w:rsidRDefault="00673956" w:rsidP="00666F26">
      <w:pPr>
        <w:pStyle w:val="paragraph"/>
      </w:pPr>
      <w:r>
        <w:lastRenderedPageBreak/>
        <w:tab/>
        <w:t>(c)</w:t>
      </w:r>
      <w:r>
        <w:tab/>
      </w:r>
      <w:proofErr w:type="gramStart"/>
      <w:r w:rsidR="006C32E4">
        <w:t>with</w:t>
      </w:r>
      <w:proofErr w:type="gramEnd"/>
      <w:r w:rsidR="006C32E4">
        <w:t xml:space="preserve"> </w:t>
      </w:r>
      <w:r>
        <w:t xml:space="preserve">the required information </w:t>
      </w:r>
      <w:r w:rsidR="006C32E4">
        <w:t xml:space="preserve">being </w:t>
      </w:r>
      <w:r w:rsidR="00E7323F">
        <w:t xml:space="preserve">in a form that is </w:t>
      </w:r>
      <w:r w:rsidR="00617C50">
        <w:t xml:space="preserve">commonly understood and is </w:t>
      </w:r>
      <w:r>
        <w:t>readily machine readable;</w:t>
      </w:r>
      <w:r w:rsidR="00811533">
        <w:t xml:space="preserve"> and</w:t>
      </w:r>
    </w:p>
    <w:p w14:paraId="5785DFFF" w14:textId="77777777" w:rsidR="00673956" w:rsidRDefault="00E1016E" w:rsidP="00666F26">
      <w:pPr>
        <w:pStyle w:val="paragraph"/>
      </w:pPr>
      <w:r>
        <w:tab/>
        <w:t>(</w:t>
      </w:r>
      <w:r w:rsidR="00E7323F">
        <w:t>d</w:t>
      </w:r>
      <w:r>
        <w:t>)</w:t>
      </w:r>
      <w:r>
        <w:tab/>
      </w:r>
      <w:proofErr w:type="gramStart"/>
      <w:r w:rsidR="007D0813">
        <w:t>using</w:t>
      </w:r>
      <w:proofErr w:type="gramEnd"/>
      <w:r w:rsidR="00673956">
        <w:t xml:space="preserve"> </w:t>
      </w:r>
      <w:r>
        <w:t>electronic communication</w:t>
      </w:r>
      <w:r w:rsidR="00673956">
        <w:t>;</w:t>
      </w:r>
      <w:r w:rsidR="00811533">
        <w:t xml:space="preserve"> and</w:t>
      </w:r>
    </w:p>
    <w:p w14:paraId="45EF126D" w14:textId="77777777" w:rsidR="00F9381A" w:rsidRDefault="00673956" w:rsidP="00666F26">
      <w:pPr>
        <w:pStyle w:val="paragraph"/>
      </w:pPr>
      <w:r>
        <w:tab/>
        <w:t>(</w:t>
      </w:r>
      <w:r w:rsidR="00E7323F">
        <w:t>e</w:t>
      </w:r>
      <w:r>
        <w:t>)</w:t>
      </w:r>
      <w:r>
        <w:tab/>
        <w:t xml:space="preserve">if a </w:t>
      </w:r>
      <w:r w:rsidR="00AA5727">
        <w:t xml:space="preserve">particular </w:t>
      </w:r>
      <w:r>
        <w:t xml:space="preserve">form of electronic communication, and </w:t>
      </w:r>
      <w:r w:rsidR="00AA5727">
        <w:t xml:space="preserve">a particular </w:t>
      </w:r>
      <w:r w:rsidR="00E1016E">
        <w:t>address</w:t>
      </w:r>
      <w:r>
        <w:t xml:space="preserve"> to which that communication must be addressed, is notified in writing to the licensee </w:t>
      </w:r>
      <w:r w:rsidR="00E1016E">
        <w:t xml:space="preserve">by </w:t>
      </w:r>
      <w:r>
        <w:t xml:space="preserve">any </w:t>
      </w:r>
      <w:r w:rsidR="00E1016E">
        <w:t xml:space="preserve">of the ACMA, the Secretary </w:t>
      </w:r>
      <w:r>
        <w:t>or</w:t>
      </w:r>
      <w:r w:rsidR="00E1016E">
        <w:t xml:space="preserve"> any authorised officer</w:t>
      </w:r>
      <w:r>
        <w:t xml:space="preserve"> (a </w:t>
      </w:r>
      <w:r>
        <w:rPr>
          <w:b/>
          <w:i/>
        </w:rPr>
        <w:t xml:space="preserve">report </w:t>
      </w:r>
      <w:r w:rsidRPr="00666F26">
        <w:rPr>
          <w:b/>
          <w:i/>
        </w:rPr>
        <w:t>recipient</w:t>
      </w:r>
      <w:r>
        <w:t>)—by being sent to the report recipient using that form of communication sent to that address</w:t>
      </w:r>
      <w:r w:rsidR="00F9381A">
        <w:t>.</w:t>
      </w:r>
    </w:p>
    <w:p w14:paraId="7FA2C2CD" w14:textId="77777777" w:rsidR="00F9381A" w:rsidRDefault="00F9381A" w:rsidP="00F9381A">
      <w:pPr>
        <w:pStyle w:val="SubsectionHead"/>
      </w:pPr>
      <w:r>
        <w:t>Information required to be included in reports</w:t>
      </w:r>
    </w:p>
    <w:p w14:paraId="22181F32" w14:textId="77777777" w:rsidR="00F9381A" w:rsidRDefault="00F9381A" w:rsidP="00F9381A">
      <w:pPr>
        <w:pStyle w:val="subsection"/>
      </w:pPr>
      <w:r>
        <w:tab/>
        <w:t>(</w:t>
      </w:r>
      <w:r w:rsidR="000248A7">
        <w:t>4</w:t>
      </w:r>
      <w:r>
        <w:t>)</w:t>
      </w:r>
      <w:r>
        <w:tab/>
        <w:t xml:space="preserve">The </w:t>
      </w:r>
      <w:r>
        <w:rPr>
          <w:b/>
          <w:i/>
        </w:rPr>
        <w:t>required information</w:t>
      </w:r>
      <w:r>
        <w:t xml:space="preserve"> in relation to a month for a report under this section is the information in subsections (</w:t>
      </w:r>
      <w:r w:rsidR="000248A7">
        <w:t>5</w:t>
      </w:r>
      <w:r>
        <w:t>) to (</w:t>
      </w:r>
      <w:r w:rsidR="001A6B9A">
        <w:t>15</w:t>
      </w:r>
      <w:r>
        <w:t>).</w:t>
      </w:r>
    </w:p>
    <w:p w14:paraId="12718A39" w14:textId="77777777" w:rsidR="008A3937" w:rsidRDefault="00B36B28" w:rsidP="00F9381A">
      <w:pPr>
        <w:pStyle w:val="subsection"/>
      </w:pPr>
      <w:r>
        <w:tab/>
        <w:t>(5)</w:t>
      </w:r>
      <w:r>
        <w:tab/>
      </w:r>
      <w:r w:rsidR="00B65371">
        <w:t>In relation to the month beginning on 1 January 2019,</w:t>
      </w:r>
      <w:r>
        <w:t xml:space="preserve"> the first table must contain, for each relevant ESA</w:t>
      </w:r>
      <w:r w:rsidR="008A3937">
        <w:t>:</w:t>
      </w:r>
    </w:p>
    <w:p w14:paraId="28D06401" w14:textId="77777777" w:rsidR="008A3937" w:rsidRDefault="008A3937" w:rsidP="00662701">
      <w:pPr>
        <w:pStyle w:val="paragraph"/>
      </w:pPr>
      <w:r>
        <w:tab/>
        <w:t>(a)</w:t>
      </w:r>
      <w:r>
        <w:tab/>
      </w:r>
      <w:proofErr w:type="gramStart"/>
      <w:r>
        <w:t>the</w:t>
      </w:r>
      <w:proofErr w:type="gramEnd"/>
      <w:r>
        <w:t xml:space="preserve"> name of the relevant ESA; and</w:t>
      </w:r>
    </w:p>
    <w:p w14:paraId="5D995626" w14:textId="77777777" w:rsidR="00B36B28" w:rsidRDefault="008A3937" w:rsidP="00662701">
      <w:pPr>
        <w:pStyle w:val="paragraph"/>
      </w:pPr>
      <w:r>
        <w:tab/>
        <w:t>(b)</w:t>
      </w:r>
      <w:r>
        <w:tab/>
      </w:r>
      <w:proofErr w:type="gramStart"/>
      <w:r w:rsidR="00554B77">
        <w:t>geographic</w:t>
      </w:r>
      <w:proofErr w:type="gramEnd"/>
      <w:r w:rsidR="00554B77">
        <w:t xml:space="preserve"> </w:t>
      </w:r>
      <w:r w:rsidR="00A479DE">
        <w:t xml:space="preserve">coordinates </w:t>
      </w:r>
      <w:r w:rsidR="00B36B28">
        <w:t>identifying the boundaries of the relevant ESA</w:t>
      </w:r>
      <w:r w:rsidR="00CA635E">
        <w:t xml:space="preserve"> as at the end of the </w:t>
      </w:r>
      <w:r w:rsidR="00B65371">
        <w:t>month</w:t>
      </w:r>
      <w:r w:rsidR="00FD0324">
        <w:t>, in compliance with a standard or format (if any) notified to the licensee in writing by the Secretary or an authorised officer</w:t>
      </w:r>
      <w:r w:rsidR="00B36B28">
        <w:t>.</w:t>
      </w:r>
    </w:p>
    <w:p w14:paraId="5E8ADD33" w14:textId="77777777" w:rsidR="00B36B28" w:rsidRDefault="00B36B28" w:rsidP="00F9381A">
      <w:pPr>
        <w:pStyle w:val="subsection"/>
      </w:pPr>
      <w:r>
        <w:tab/>
        <w:t>(6)</w:t>
      </w:r>
      <w:r>
        <w:tab/>
      </w:r>
      <w:r w:rsidR="00B65371">
        <w:t>In relation to a month beginning on or after 1 February 2019,</w:t>
      </w:r>
      <w:r>
        <w:t xml:space="preserve"> the first table must contain</w:t>
      </w:r>
      <w:r w:rsidR="00B65371">
        <w:t>, for each relevant ESA</w:t>
      </w:r>
      <w:r>
        <w:t>:</w:t>
      </w:r>
    </w:p>
    <w:p w14:paraId="1054CEDD" w14:textId="77777777" w:rsidR="00F90952" w:rsidRDefault="00B36B28" w:rsidP="0028471D">
      <w:pPr>
        <w:pStyle w:val="paragraph"/>
      </w:pPr>
      <w:r>
        <w:tab/>
        <w:t>(a)</w:t>
      </w:r>
      <w:r>
        <w:tab/>
      </w:r>
      <w:proofErr w:type="gramStart"/>
      <w:r w:rsidR="00F90952">
        <w:t>the</w:t>
      </w:r>
      <w:proofErr w:type="gramEnd"/>
      <w:r w:rsidR="00F90952">
        <w:t xml:space="preserve"> name of the relevant ESA; and</w:t>
      </w:r>
    </w:p>
    <w:p w14:paraId="2090A5E4" w14:textId="77777777" w:rsidR="00F90952" w:rsidRDefault="00F90952" w:rsidP="0028471D">
      <w:pPr>
        <w:pStyle w:val="paragraph"/>
      </w:pPr>
      <w:r>
        <w:tab/>
        <w:t>(b)</w:t>
      </w:r>
      <w:r>
        <w:tab/>
      </w:r>
      <w:proofErr w:type="gramStart"/>
      <w:r>
        <w:t>either</w:t>
      </w:r>
      <w:proofErr w:type="gramEnd"/>
      <w:r>
        <w:t>:</w:t>
      </w:r>
    </w:p>
    <w:p w14:paraId="6838D8BE" w14:textId="77777777" w:rsidR="00B36B28" w:rsidRDefault="00F90952" w:rsidP="0028471D">
      <w:pPr>
        <w:pStyle w:val="paragraphsub"/>
      </w:pPr>
      <w:r>
        <w:tab/>
        <w:t>(</w:t>
      </w:r>
      <w:proofErr w:type="spellStart"/>
      <w:r>
        <w:t>i</w:t>
      </w:r>
      <w:proofErr w:type="spellEnd"/>
      <w:r>
        <w:t>)</w:t>
      </w:r>
      <w:r>
        <w:tab/>
        <w:t xml:space="preserve">if the boundaries </w:t>
      </w:r>
      <w:r w:rsidR="002B0EE4">
        <w:t>of</w:t>
      </w:r>
      <w:r w:rsidR="00B36B28">
        <w:t xml:space="preserve"> </w:t>
      </w:r>
      <w:r>
        <w:t>the</w:t>
      </w:r>
      <w:r w:rsidR="00B36B28">
        <w:t xml:space="preserve"> relevant ESA </w:t>
      </w:r>
      <w:r w:rsidR="0028471D">
        <w:t>were</w:t>
      </w:r>
      <w:r>
        <w:t xml:space="preserve"> established or </w:t>
      </w:r>
      <w:r w:rsidR="00B36B28">
        <w:t>changed during the month</w:t>
      </w:r>
      <w:r>
        <w:t>—</w:t>
      </w:r>
      <w:r w:rsidR="00554B77">
        <w:t xml:space="preserve">geographic </w:t>
      </w:r>
      <w:r w:rsidR="00A479DE">
        <w:t xml:space="preserve">coordinates </w:t>
      </w:r>
      <w:r w:rsidR="00B36B28">
        <w:t xml:space="preserve">identifying the </w:t>
      </w:r>
      <w:r w:rsidR="002B0EE4">
        <w:t xml:space="preserve">new or revised </w:t>
      </w:r>
      <w:r w:rsidR="00B36B28">
        <w:t>boundaries of the relevant ESA</w:t>
      </w:r>
      <w:r w:rsidR="00CA635E">
        <w:t xml:space="preserve"> as at the end of the month</w:t>
      </w:r>
      <w:r w:rsidR="00B36B28">
        <w:t>; or</w:t>
      </w:r>
    </w:p>
    <w:p w14:paraId="67DFE4B6" w14:textId="77777777" w:rsidR="00B36B28" w:rsidRDefault="00B36B28" w:rsidP="0028471D">
      <w:pPr>
        <w:pStyle w:val="paragraphsub"/>
      </w:pPr>
      <w:r>
        <w:tab/>
        <w:t>(</w:t>
      </w:r>
      <w:r w:rsidR="00F90952">
        <w:t>ii</w:t>
      </w:r>
      <w:r>
        <w:t>)</w:t>
      </w:r>
      <w:r>
        <w:tab/>
      </w:r>
      <w:proofErr w:type="gramStart"/>
      <w:r w:rsidR="00F90952">
        <w:t>otherwise—</w:t>
      </w:r>
      <w:proofErr w:type="gramEnd"/>
      <w:r>
        <w:t xml:space="preserve">a statement to </w:t>
      </w:r>
      <w:r w:rsidR="00F90952">
        <w:t>the effect that the boundaries of the relevant ESA remained unchanged during the month</w:t>
      </w:r>
      <w:r>
        <w:t>.</w:t>
      </w:r>
    </w:p>
    <w:p w14:paraId="13560558" w14:textId="77777777" w:rsidR="00F9381A" w:rsidRDefault="00F9381A" w:rsidP="00F9381A">
      <w:pPr>
        <w:pStyle w:val="subsection"/>
      </w:pPr>
      <w:r>
        <w:tab/>
        <w:t>(</w:t>
      </w:r>
      <w:r w:rsidR="00B36B28">
        <w:t>7</w:t>
      </w:r>
      <w:r>
        <w:t>)</w:t>
      </w:r>
      <w:r>
        <w:tab/>
        <w:t xml:space="preserve">The </w:t>
      </w:r>
      <w:r w:rsidR="00B36B28">
        <w:t xml:space="preserve">second </w:t>
      </w:r>
      <w:r>
        <w:t>table must contain, for each reportable service supplied during the month:</w:t>
      </w:r>
    </w:p>
    <w:p w14:paraId="6617B1AC" w14:textId="77777777" w:rsidR="00F9381A" w:rsidRDefault="00F9381A" w:rsidP="00F9381A">
      <w:pPr>
        <w:pStyle w:val="paragraph"/>
      </w:pPr>
      <w:r>
        <w:tab/>
        <w:t>(a)</w:t>
      </w:r>
      <w:r>
        <w:tab/>
      </w:r>
      <w:proofErr w:type="gramStart"/>
      <w:r>
        <w:t>the</w:t>
      </w:r>
      <w:proofErr w:type="gramEnd"/>
      <w:r>
        <w:t xml:space="preserve"> unique </w:t>
      </w:r>
      <w:r w:rsidR="00C969F2">
        <w:t xml:space="preserve">service </w:t>
      </w:r>
      <w:r>
        <w:t>identifier of the service; and</w:t>
      </w:r>
    </w:p>
    <w:p w14:paraId="3607EFDF" w14:textId="77777777" w:rsidR="00F9381A" w:rsidRDefault="00F9381A" w:rsidP="00F9381A">
      <w:pPr>
        <w:pStyle w:val="paragraph"/>
      </w:pPr>
      <w:r>
        <w:tab/>
        <w:t>(b)</w:t>
      </w:r>
      <w:r>
        <w:tab/>
      </w:r>
      <w:proofErr w:type="gramStart"/>
      <w:r>
        <w:t>the</w:t>
      </w:r>
      <w:proofErr w:type="gramEnd"/>
      <w:r>
        <w:t xml:space="preserve"> </w:t>
      </w:r>
      <w:r w:rsidR="008A3937">
        <w:t xml:space="preserve">name of the </w:t>
      </w:r>
      <w:r>
        <w:t>relevant ESA for the service; and</w:t>
      </w:r>
    </w:p>
    <w:p w14:paraId="698A166D" w14:textId="77777777" w:rsidR="00F9381A" w:rsidRDefault="00F9381A" w:rsidP="00F9381A">
      <w:pPr>
        <w:pStyle w:val="paragraph"/>
      </w:pPr>
      <w:r>
        <w:tab/>
        <w:t>(c)</w:t>
      </w:r>
      <w:r>
        <w:tab/>
      </w:r>
      <w:proofErr w:type="gramStart"/>
      <w:r>
        <w:t>the</w:t>
      </w:r>
      <w:proofErr w:type="gramEnd"/>
      <w:r>
        <w:t xml:space="preserve"> local access technology used to supply the service; and</w:t>
      </w:r>
    </w:p>
    <w:p w14:paraId="718B3A52" w14:textId="77777777" w:rsidR="00F9381A" w:rsidRDefault="00F9381A" w:rsidP="00F9381A">
      <w:pPr>
        <w:pStyle w:val="paragraph"/>
      </w:pPr>
      <w:r>
        <w:tab/>
        <w:t>(d)</w:t>
      </w:r>
      <w:r>
        <w:tab/>
      </w:r>
      <w:proofErr w:type="gramStart"/>
      <w:r>
        <w:t>the</w:t>
      </w:r>
      <w:proofErr w:type="gramEnd"/>
      <w:r>
        <w:t xml:space="preserve"> CSG geographic category for </w:t>
      </w:r>
      <w:r w:rsidR="00670A35">
        <w:t xml:space="preserve">the area in which </w:t>
      </w:r>
      <w:r>
        <w:t>the service</w:t>
      </w:r>
      <w:r w:rsidR="00670A35">
        <w:t xml:space="preserve"> is supplied</w:t>
      </w:r>
      <w:r>
        <w:t>.</w:t>
      </w:r>
    </w:p>
    <w:p w14:paraId="05495D1F" w14:textId="77777777" w:rsidR="00F9381A" w:rsidRPr="00D318E3" w:rsidRDefault="00F9381A" w:rsidP="00F9381A">
      <w:pPr>
        <w:pStyle w:val="subsection"/>
      </w:pPr>
      <w:r>
        <w:tab/>
        <w:t>(</w:t>
      </w:r>
      <w:r w:rsidR="00B36B28">
        <w:t>8</w:t>
      </w:r>
      <w:r>
        <w:t>)</w:t>
      </w:r>
      <w:r>
        <w:tab/>
        <w:t xml:space="preserve">The </w:t>
      </w:r>
      <w:r w:rsidR="00B36B28">
        <w:t xml:space="preserve">third </w:t>
      </w:r>
      <w:r>
        <w:t xml:space="preserve">table must contain, </w:t>
      </w:r>
      <w:r w:rsidRPr="00D318E3">
        <w:t xml:space="preserve">for each </w:t>
      </w:r>
      <w:r w:rsidR="008A3937">
        <w:t>relevant ESA</w:t>
      </w:r>
      <w:r>
        <w:t>:</w:t>
      </w:r>
    </w:p>
    <w:p w14:paraId="6A860F27" w14:textId="77777777" w:rsidR="008A3937" w:rsidRDefault="008A3937" w:rsidP="00F9381A">
      <w:pPr>
        <w:pStyle w:val="paragraph"/>
      </w:pPr>
      <w:r>
        <w:tab/>
        <w:t>(a)</w:t>
      </w:r>
      <w:r>
        <w:tab/>
      </w:r>
      <w:proofErr w:type="gramStart"/>
      <w:r>
        <w:t>the</w:t>
      </w:r>
      <w:proofErr w:type="gramEnd"/>
      <w:r>
        <w:t xml:space="preserve"> name of the relevant ESA;</w:t>
      </w:r>
      <w:r w:rsidR="00393080">
        <w:t xml:space="preserve"> and</w:t>
      </w:r>
    </w:p>
    <w:p w14:paraId="34004168" w14:textId="77777777" w:rsidR="00393080" w:rsidRDefault="00393080" w:rsidP="00F9381A">
      <w:pPr>
        <w:pStyle w:val="paragraph"/>
      </w:pPr>
      <w:r>
        <w:tab/>
        <w:t>(b)</w:t>
      </w:r>
      <w:r>
        <w:tab/>
      </w:r>
      <w:proofErr w:type="gramStart"/>
      <w:r>
        <w:t>for</w:t>
      </w:r>
      <w:proofErr w:type="gramEnd"/>
      <w:r>
        <w:t xml:space="preserve"> each CSG geographic category:</w:t>
      </w:r>
    </w:p>
    <w:p w14:paraId="08D9FE63" w14:textId="77777777" w:rsidR="00F9381A" w:rsidRDefault="00F9381A" w:rsidP="00662701">
      <w:pPr>
        <w:pStyle w:val="paragraphsub"/>
        <w:rPr>
          <w:rStyle w:val="CommentReference"/>
          <w:rFonts w:eastAsiaTheme="minorHAnsi"/>
          <w:sz w:val="22"/>
          <w:szCs w:val="20"/>
        </w:rPr>
      </w:pPr>
      <w:r>
        <w:tab/>
        <w:t>(</w:t>
      </w:r>
      <w:proofErr w:type="spellStart"/>
      <w:r w:rsidR="00393080">
        <w:t>i</w:t>
      </w:r>
      <w:proofErr w:type="spellEnd"/>
      <w:r>
        <w:t>)</w:t>
      </w:r>
      <w:r>
        <w:tab/>
      </w:r>
      <w:proofErr w:type="gramStart"/>
      <w:r w:rsidRPr="00D318E3">
        <w:t>the</w:t>
      </w:r>
      <w:proofErr w:type="gramEnd"/>
      <w:r w:rsidRPr="00D318E3">
        <w:t xml:space="preserve"> number of reportable services supplied </w:t>
      </w:r>
      <w:r w:rsidR="002772AD">
        <w:t xml:space="preserve">to an area </w:t>
      </w:r>
      <w:r w:rsidRPr="00D318E3">
        <w:t xml:space="preserve">within the </w:t>
      </w:r>
      <w:r w:rsidR="00393080">
        <w:t xml:space="preserve">relevant ESA for the </w:t>
      </w:r>
      <w:r w:rsidRPr="00D318E3">
        <w:t xml:space="preserve">category during the </w:t>
      </w:r>
      <w:r>
        <w:t>month</w:t>
      </w:r>
      <w:r w:rsidRPr="00D318E3">
        <w:t>; and</w:t>
      </w:r>
    </w:p>
    <w:p w14:paraId="2E00DA02" w14:textId="77777777" w:rsidR="00F9381A" w:rsidRDefault="00F9381A" w:rsidP="00662701">
      <w:pPr>
        <w:pStyle w:val="paragraphsub"/>
      </w:pPr>
      <w:r>
        <w:tab/>
        <w:t>(</w:t>
      </w:r>
      <w:r w:rsidR="00393080">
        <w:t>ii</w:t>
      </w:r>
      <w:r>
        <w:t>)</w:t>
      </w:r>
      <w:r>
        <w:tab/>
      </w:r>
      <w:proofErr w:type="gramStart"/>
      <w:r w:rsidRPr="005F5D91">
        <w:t>the</w:t>
      </w:r>
      <w:proofErr w:type="gramEnd"/>
      <w:r w:rsidRPr="005F5D91">
        <w:t xml:space="preserve"> number of addresses</w:t>
      </w:r>
      <w:r>
        <w:t xml:space="preserve"> </w:t>
      </w:r>
      <w:r w:rsidRPr="00666F26">
        <w:t>of premises</w:t>
      </w:r>
      <w:r>
        <w:t xml:space="preserve"> to which </w:t>
      </w:r>
      <w:r w:rsidR="002772AD">
        <w:t xml:space="preserve">those </w:t>
      </w:r>
      <w:r>
        <w:t>services were supplied during the month.</w:t>
      </w:r>
    </w:p>
    <w:p w14:paraId="71B8417C" w14:textId="77777777" w:rsidR="00F9381A" w:rsidRDefault="00F9381A" w:rsidP="00F9381A">
      <w:pPr>
        <w:pStyle w:val="subsection"/>
      </w:pPr>
      <w:r>
        <w:tab/>
        <w:t>(</w:t>
      </w:r>
      <w:r w:rsidR="00B36B28">
        <w:t>9</w:t>
      </w:r>
      <w:r>
        <w:t>)</w:t>
      </w:r>
      <w:r>
        <w:tab/>
        <w:t xml:space="preserve">The </w:t>
      </w:r>
      <w:r w:rsidR="00B36B28">
        <w:t xml:space="preserve">fourth </w:t>
      </w:r>
      <w:r>
        <w:t xml:space="preserve">table must contain, for each </w:t>
      </w:r>
      <w:r w:rsidR="00393080">
        <w:t>relevant ESA</w:t>
      </w:r>
      <w:r>
        <w:t>:</w:t>
      </w:r>
    </w:p>
    <w:p w14:paraId="44B52C2E" w14:textId="77777777" w:rsidR="00393080" w:rsidRDefault="00393080" w:rsidP="00F9381A">
      <w:pPr>
        <w:pStyle w:val="paragraph"/>
      </w:pPr>
      <w:r>
        <w:tab/>
        <w:t>(a)</w:t>
      </w:r>
      <w:r>
        <w:tab/>
      </w:r>
      <w:proofErr w:type="gramStart"/>
      <w:r>
        <w:t>the</w:t>
      </w:r>
      <w:proofErr w:type="gramEnd"/>
      <w:r>
        <w:t xml:space="preserve"> name of the relevant ESA; and</w:t>
      </w:r>
    </w:p>
    <w:p w14:paraId="756CBD8B" w14:textId="77777777" w:rsidR="00393080" w:rsidRDefault="00393080" w:rsidP="00F9381A">
      <w:pPr>
        <w:pStyle w:val="paragraph"/>
      </w:pPr>
      <w:r>
        <w:lastRenderedPageBreak/>
        <w:tab/>
        <w:t>(b)</w:t>
      </w:r>
      <w:r>
        <w:tab/>
      </w:r>
      <w:proofErr w:type="gramStart"/>
      <w:r>
        <w:t>for</w:t>
      </w:r>
      <w:proofErr w:type="gramEnd"/>
      <w:r>
        <w:t xml:space="preserve"> each </w:t>
      </w:r>
      <w:r w:rsidR="00074FEA">
        <w:t xml:space="preserve">kind of </w:t>
      </w:r>
      <w:r>
        <w:t>local access technology:</w:t>
      </w:r>
    </w:p>
    <w:p w14:paraId="67B07FB8" w14:textId="77777777" w:rsidR="00F9381A" w:rsidRDefault="00F9381A" w:rsidP="00662701">
      <w:pPr>
        <w:pStyle w:val="paragraphsub"/>
      </w:pPr>
      <w:r>
        <w:tab/>
        <w:t>(</w:t>
      </w:r>
      <w:proofErr w:type="spellStart"/>
      <w:r w:rsidR="00393080">
        <w:t>i</w:t>
      </w:r>
      <w:proofErr w:type="spellEnd"/>
      <w:r>
        <w:t>)</w:t>
      </w:r>
      <w:r>
        <w:tab/>
      </w:r>
      <w:proofErr w:type="gramStart"/>
      <w:r>
        <w:t>the</w:t>
      </w:r>
      <w:proofErr w:type="gramEnd"/>
      <w:r>
        <w:t xml:space="preserve"> number of reportable services supplied using the technology during the month; and</w:t>
      </w:r>
    </w:p>
    <w:p w14:paraId="7920AA5B" w14:textId="77777777" w:rsidR="00F9381A" w:rsidRDefault="00F9381A" w:rsidP="00662701">
      <w:pPr>
        <w:pStyle w:val="paragraphsub"/>
      </w:pPr>
      <w:r>
        <w:tab/>
        <w:t>(</w:t>
      </w:r>
      <w:r w:rsidR="00393080">
        <w:t>ii</w:t>
      </w:r>
      <w:r>
        <w:t>)</w:t>
      </w:r>
      <w:r>
        <w:tab/>
      </w:r>
      <w:proofErr w:type="gramStart"/>
      <w:r w:rsidRPr="005F5D91">
        <w:t>the</w:t>
      </w:r>
      <w:proofErr w:type="gramEnd"/>
      <w:r w:rsidRPr="005F5D91">
        <w:t xml:space="preserve"> number of addresses</w:t>
      </w:r>
      <w:r>
        <w:t xml:space="preserve"> </w:t>
      </w:r>
      <w:r w:rsidRPr="00666F26">
        <w:t>of premises</w:t>
      </w:r>
      <w:r>
        <w:rPr>
          <w:i/>
        </w:rPr>
        <w:t xml:space="preserve"> </w:t>
      </w:r>
      <w:r>
        <w:t>to which these reportable services were supplied during the month</w:t>
      </w:r>
      <w:r w:rsidR="00C35370">
        <w:t>.</w:t>
      </w:r>
    </w:p>
    <w:p w14:paraId="75345034" w14:textId="77777777" w:rsidR="00F9381A" w:rsidRDefault="00F9381A" w:rsidP="00F9381A">
      <w:pPr>
        <w:pStyle w:val="subsection"/>
      </w:pPr>
      <w:r>
        <w:tab/>
        <w:t>(</w:t>
      </w:r>
      <w:r w:rsidR="001A6B9A">
        <w:t>10</w:t>
      </w:r>
      <w:r>
        <w:t>)</w:t>
      </w:r>
      <w:r>
        <w:tab/>
        <w:t xml:space="preserve">The </w:t>
      </w:r>
      <w:r w:rsidR="00B36B28">
        <w:t xml:space="preserve">fifth </w:t>
      </w:r>
      <w:r>
        <w:t>table must contain, for each request for the connection of a reportable service where the connection of the service was:</w:t>
      </w:r>
    </w:p>
    <w:p w14:paraId="72F5D180" w14:textId="77777777" w:rsidR="00F9381A" w:rsidRDefault="00F9381A" w:rsidP="00F9381A">
      <w:pPr>
        <w:pStyle w:val="paragraph"/>
      </w:pPr>
      <w:r>
        <w:tab/>
        <w:t>(a)</w:t>
      </w:r>
      <w:r>
        <w:tab/>
      </w:r>
      <w:proofErr w:type="gramStart"/>
      <w:r>
        <w:t>completed</w:t>
      </w:r>
      <w:proofErr w:type="gramEnd"/>
      <w:r>
        <w:t xml:space="preserve"> during the month; or</w:t>
      </w:r>
    </w:p>
    <w:p w14:paraId="5B730A05" w14:textId="77777777" w:rsidR="00F9381A" w:rsidRDefault="00F9381A" w:rsidP="00F9381A">
      <w:pPr>
        <w:pStyle w:val="paragraph"/>
      </w:pPr>
      <w:r>
        <w:tab/>
        <w:t>(b)</w:t>
      </w:r>
      <w:r>
        <w:tab/>
      </w:r>
      <w:proofErr w:type="gramStart"/>
      <w:r>
        <w:t>incomplete</w:t>
      </w:r>
      <w:proofErr w:type="gramEnd"/>
      <w:r>
        <w:t xml:space="preserve"> at the end of the month; or</w:t>
      </w:r>
    </w:p>
    <w:p w14:paraId="675438A8" w14:textId="77777777" w:rsidR="00F9381A" w:rsidRPr="00666F26" w:rsidRDefault="00F9381A" w:rsidP="00F9381A">
      <w:pPr>
        <w:pStyle w:val="paragraph"/>
      </w:pPr>
      <w:r w:rsidRPr="00666F26">
        <w:tab/>
        <w:t>(</w:t>
      </w:r>
      <w:proofErr w:type="gramStart"/>
      <w:r w:rsidRPr="00666F26">
        <w:t>c</w:t>
      </w:r>
      <w:proofErr w:type="gramEnd"/>
      <w:r w:rsidRPr="00666F26">
        <w:t>)</w:t>
      </w:r>
      <w:r w:rsidRPr="00666F26">
        <w:tab/>
        <w:t xml:space="preserve">cancelled during the </w:t>
      </w:r>
      <w:r w:rsidRPr="001C1CB6">
        <w:t>month</w:t>
      </w:r>
      <w:r w:rsidRPr="00666F26">
        <w:t>;</w:t>
      </w:r>
    </w:p>
    <w:p w14:paraId="250E72E1" w14:textId="77777777" w:rsidR="00F9381A" w:rsidRDefault="00F9381A" w:rsidP="00F9381A">
      <w:pPr>
        <w:pStyle w:val="subsection2"/>
      </w:pPr>
      <w:proofErr w:type="gramStart"/>
      <w:r>
        <w:t>the</w:t>
      </w:r>
      <w:proofErr w:type="gramEnd"/>
      <w:r>
        <w:t xml:space="preserve"> following information:</w:t>
      </w:r>
    </w:p>
    <w:p w14:paraId="3659E028" w14:textId="77777777" w:rsidR="00F9381A" w:rsidRDefault="00F9381A" w:rsidP="00F9381A">
      <w:pPr>
        <w:pStyle w:val="paragraph"/>
      </w:pPr>
      <w:r>
        <w:tab/>
        <w:t>(d)</w:t>
      </w:r>
      <w:r>
        <w:tab/>
      </w:r>
      <w:proofErr w:type="gramStart"/>
      <w:r>
        <w:t>the</w:t>
      </w:r>
      <w:proofErr w:type="gramEnd"/>
      <w:r>
        <w:t xml:space="preserve"> unique </w:t>
      </w:r>
      <w:r w:rsidR="00C969F2">
        <w:t xml:space="preserve">service </w:t>
      </w:r>
      <w:r>
        <w:t>identifier of the service;</w:t>
      </w:r>
    </w:p>
    <w:p w14:paraId="30F91DC6" w14:textId="77777777" w:rsidR="00401EEB" w:rsidRDefault="00F9381A" w:rsidP="00F9381A">
      <w:pPr>
        <w:pStyle w:val="paragraph"/>
      </w:pPr>
      <w:r>
        <w:tab/>
        <w:t>(e)</w:t>
      </w:r>
      <w:r>
        <w:tab/>
      </w:r>
      <w:proofErr w:type="gramStart"/>
      <w:r w:rsidRPr="00C26C2B">
        <w:t>the</w:t>
      </w:r>
      <w:proofErr w:type="gramEnd"/>
      <w:r w:rsidRPr="00C26C2B">
        <w:t xml:space="preserve"> </w:t>
      </w:r>
      <w:r>
        <w:t>date of the day by which connection of the service</w:t>
      </w:r>
      <w:r w:rsidR="00401EEB">
        <w:t>:</w:t>
      </w:r>
    </w:p>
    <w:p w14:paraId="5FF7F418" w14:textId="77777777" w:rsidR="00F9381A" w:rsidRDefault="00401EEB" w:rsidP="00666F26">
      <w:pPr>
        <w:pStyle w:val="paragraphsub"/>
      </w:pPr>
      <w:r>
        <w:tab/>
        <w:t>(</w:t>
      </w:r>
      <w:proofErr w:type="spellStart"/>
      <w:r>
        <w:t>i</w:t>
      </w:r>
      <w:proofErr w:type="spellEnd"/>
      <w:r>
        <w:t>)</w:t>
      </w:r>
      <w:r>
        <w:tab/>
      </w:r>
      <w:proofErr w:type="gramStart"/>
      <w:r w:rsidR="00E81F41">
        <w:t>is</w:t>
      </w:r>
      <w:proofErr w:type="gramEnd"/>
      <w:r w:rsidR="00E81F41">
        <w:t xml:space="preserve"> or </w:t>
      </w:r>
      <w:r>
        <w:t xml:space="preserve">was </w:t>
      </w:r>
      <w:r w:rsidR="00F9381A">
        <w:t>required</w:t>
      </w:r>
      <w:r>
        <w:t xml:space="preserve"> under Division 2 of Part 2 of the</w:t>
      </w:r>
      <w:r w:rsidR="00152FE0">
        <w:t xml:space="preserve"> CSG Standard</w:t>
      </w:r>
      <w:r w:rsidR="00F9381A">
        <w:t>;</w:t>
      </w:r>
      <w:r>
        <w:t xml:space="preserve"> or</w:t>
      </w:r>
    </w:p>
    <w:p w14:paraId="465C1B47" w14:textId="77777777" w:rsidR="00401EEB" w:rsidRDefault="00401EEB" w:rsidP="00666F26">
      <w:pPr>
        <w:pStyle w:val="paragraphsub"/>
      </w:pPr>
      <w:r>
        <w:tab/>
        <w:t>(ii)</w:t>
      </w:r>
      <w:r>
        <w:tab/>
      </w:r>
      <w:proofErr w:type="gramStart"/>
      <w:r>
        <w:t>would</w:t>
      </w:r>
      <w:proofErr w:type="gramEnd"/>
      <w:r>
        <w:t xml:space="preserve"> have been required, disregarding any relevant exemption that applies to the timeframe for connection of the service;</w:t>
      </w:r>
    </w:p>
    <w:p w14:paraId="568F5579" w14:textId="77777777" w:rsidR="00F9381A" w:rsidRDefault="00F9381A" w:rsidP="00F9381A">
      <w:pPr>
        <w:pStyle w:val="paragraph"/>
      </w:pPr>
      <w:r>
        <w:tab/>
        <w:t>(f)</w:t>
      </w:r>
      <w:r>
        <w:tab/>
      </w:r>
      <w:proofErr w:type="gramStart"/>
      <w:r>
        <w:t>a</w:t>
      </w:r>
      <w:proofErr w:type="gramEnd"/>
      <w:r>
        <w:t xml:space="preserve"> statement of whether there is an in</w:t>
      </w:r>
      <w:r>
        <w:noBreakHyphen/>
        <w:t>place connection at the premises at which the service would be connected;</w:t>
      </w:r>
    </w:p>
    <w:p w14:paraId="53CEE543" w14:textId="77777777" w:rsidR="00F9381A" w:rsidRDefault="00F9381A" w:rsidP="00F9381A">
      <w:pPr>
        <w:pStyle w:val="paragraph"/>
      </w:pPr>
      <w:r>
        <w:tab/>
        <w:t>(g)</w:t>
      </w:r>
      <w:r>
        <w:tab/>
      </w:r>
      <w:proofErr w:type="gramStart"/>
      <w:r>
        <w:t>either</w:t>
      </w:r>
      <w:proofErr w:type="gramEnd"/>
      <w:r>
        <w:t>:</w:t>
      </w:r>
    </w:p>
    <w:p w14:paraId="433E212B" w14:textId="77777777" w:rsidR="00F9381A" w:rsidRDefault="00F9381A" w:rsidP="00F9381A">
      <w:pPr>
        <w:pStyle w:val="paragraphsub"/>
      </w:pPr>
      <w:r w:rsidRPr="00A13174">
        <w:tab/>
        <w:t>(</w:t>
      </w:r>
      <w:proofErr w:type="spellStart"/>
      <w:r>
        <w:t>i</w:t>
      </w:r>
      <w:proofErr w:type="spellEnd"/>
      <w:r>
        <w:t>)</w:t>
      </w:r>
      <w:r>
        <w:tab/>
      </w:r>
      <w:proofErr w:type="gramStart"/>
      <w:r>
        <w:t>if</w:t>
      </w:r>
      <w:proofErr w:type="gramEnd"/>
      <w:r>
        <w:t xml:space="preserve"> paragraph (a) applies—</w:t>
      </w:r>
      <w:r w:rsidRPr="00917764">
        <w:t xml:space="preserve">the </w:t>
      </w:r>
      <w:r>
        <w:t xml:space="preserve">date on which </w:t>
      </w:r>
      <w:r w:rsidRPr="00917764">
        <w:t>connection</w:t>
      </w:r>
      <w:r>
        <w:t xml:space="preserve"> of the service was</w:t>
      </w:r>
      <w:r w:rsidRPr="00917764">
        <w:t xml:space="preserve"> </w:t>
      </w:r>
      <w:r>
        <w:t>completed; or</w:t>
      </w:r>
    </w:p>
    <w:p w14:paraId="418B42B1" w14:textId="77777777" w:rsidR="00F9381A" w:rsidRDefault="00F9381A" w:rsidP="00F9381A">
      <w:pPr>
        <w:pStyle w:val="paragraphsub"/>
      </w:pPr>
      <w:r>
        <w:tab/>
        <w:t>(ii)</w:t>
      </w:r>
      <w:r>
        <w:tab/>
      </w:r>
      <w:proofErr w:type="gramStart"/>
      <w:r>
        <w:t>if</w:t>
      </w:r>
      <w:proofErr w:type="gramEnd"/>
      <w:r>
        <w:t xml:space="preserve"> paragraph (b) </w:t>
      </w:r>
      <w:r w:rsidRPr="00666F26">
        <w:t>or (c)</w:t>
      </w:r>
      <w:r>
        <w:t xml:space="preserve"> applies—a statement to that effect;</w:t>
      </w:r>
    </w:p>
    <w:p w14:paraId="168A5280" w14:textId="77777777" w:rsidR="00F9381A" w:rsidRDefault="00F9381A" w:rsidP="00F9381A">
      <w:pPr>
        <w:pStyle w:val="paragraph"/>
      </w:pPr>
      <w:r>
        <w:tab/>
        <w:t>(h)</w:t>
      </w:r>
      <w:r>
        <w:tab/>
      </w:r>
      <w:proofErr w:type="gramStart"/>
      <w:r>
        <w:t>what</w:t>
      </w:r>
      <w:proofErr w:type="gramEnd"/>
      <w:r>
        <w:t xml:space="preserve"> relevant exemption (if any) applies </w:t>
      </w:r>
      <w:r w:rsidRPr="00666F26">
        <w:t>to the timeframe for connection of the service</w:t>
      </w:r>
      <w:r>
        <w:t>;</w:t>
      </w:r>
    </w:p>
    <w:p w14:paraId="538BB5F1" w14:textId="77777777" w:rsidR="00F9381A" w:rsidRDefault="00F9381A" w:rsidP="00F9381A">
      <w:pPr>
        <w:pStyle w:val="paragraph"/>
      </w:pPr>
      <w:r>
        <w:tab/>
        <w:t>(</w:t>
      </w:r>
      <w:proofErr w:type="spellStart"/>
      <w:r>
        <w:t>i</w:t>
      </w:r>
      <w:proofErr w:type="spellEnd"/>
      <w:r>
        <w:t>)</w:t>
      </w:r>
      <w:r>
        <w:tab/>
      </w:r>
      <w:proofErr w:type="gramStart"/>
      <w:r>
        <w:t>if</w:t>
      </w:r>
      <w:proofErr w:type="gramEnd"/>
      <w:r>
        <w:t xml:space="preserve"> a relevant exemption </w:t>
      </w:r>
      <w:r w:rsidR="00092BEE">
        <w:t>applies because of</w:t>
      </w:r>
      <w:r>
        <w:t xml:space="preserve"> </w:t>
      </w:r>
      <w:r w:rsidR="00F36646">
        <w:t>an exemption</w:t>
      </w:r>
      <w:r w:rsidR="00910CD1">
        <w:t xml:space="preserve"> event</w:t>
      </w:r>
      <w:r>
        <w:t xml:space="preserve">—the unique </w:t>
      </w:r>
      <w:r w:rsidR="00F36646">
        <w:t xml:space="preserve">exemption event </w:t>
      </w:r>
      <w:r>
        <w:t xml:space="preserve">identifier for the </w:t>
      </w:r>
      <w:r w:rsidR="0092516A">
        <w:t>event</w:t>
      </w:r>
      <w:r>
        <w:t>;</w:t>
      </w:r>
    </w:p>
    <w:p w14:paraId="31CFB64B" w14:textId="77777777" w:rsidR="00F9381A" w:rsidRPr="00666F26" w:rsidRDefault="00F9381A" w:rsidP="00F9381A">
      <w:pPr>
        <w:pStyle w:val="paragraph"/>
      </w:pPr>
      <w:r w:rsidRPr="00666F26">
        <w:tab/>
        <w:t>(j)</w:t>
      </w:r>
      <w:r w:rsidRPr="00666F26">
        <w:tab/>
      </w:r>
      <w:proofErr w:type="gramStart"/>
      <w:r w:rsidRPr="00666F26">
        <w:t>if</w:t>
      </w:r>
      <w:proofErr w:type="gramEnd"/>
      <w:r w:rsidRPr="00666F26">
        <w:t xml:space="preserve"> paragraph (c) applies—the reason for the cancellation.</w:t>
      </w:r>
    </w:p>
    <w:p w14:paraId="089129A0" w14:textId="77777777" w:rsidR="00F9381A" w:rsidRDefault="00F9381A" w:rsidP="00F9381A">
      <w:pPr>
        <w:pStyle w:val="subsection"/>
      </w:pPr>
      <w:r>
        <w:tab/>
        <w:t>(</w:t>
      </w:r>
      <w:r w:rsidR="001A6B9A">
        <w:t>11</w:t>
      </w:r>
      <w:r>
        <w:t>)</w:t>
      </w:r>
      <w:r>
        <w:tab/>
        <w:t xml:space="preserve">The </w:t>
      </w:r>
      <w:r w:rsidR="00B36B28">
        <w:t xml:space="preserve">sixth </w:t>
      </w:r>
      <w:r>
        <w:t>table must contain, for each fault or service difficulty relating to a reportable service where the fault or service difficulty was:</w:t>
      </w:r>
    </w:p>
    <w:p w14:paraId="43F69273" w14:textId="77777777" w:rsidR="001C1CB6" w:rsidRDefault="00F9381A" w:rsidP="00F6641F">
      <w:pPr>
        <w:pStyle w:val="paragraph"/>
      </w:pPr>
      <w:r>
        <w:tab/>
        <w:t>(a)</w:t>
      </w:r>
      <w:r>
        <w:tab/>
      </w:r>
      <w:proofErr w:type="gramStart"/>
      <w:r>
        <w:t>rectified</w:t>
      </w:r>
      <w:proofErr w:type="gramEnd"/>
      <w:r>
        <w:t xml:space="preserve"> during the month; or</w:t>
      </w:r>
    </w:p>
    <w:p w14:paraId="655D2FE0" w14:textId="77777777" w:rsidR="00F9381A" w:rsidRDefault="00F9381A" w:rsidP="00F9381A">
      <w:pPr>
        <w:pStyle w:val="paragraph"/>
      </w:pPr>
      <w:r>
        <w:tab/>
        <w:t>(b)</w:t>
      </w:r>
      <w:r>
        <w:tab/>
      </w:r>
      <w:proofErr w:type="gramStart"/>
      <w:r>
        <w:t>not</w:t>
      </w:r>
      <w:proofErr w:type="gramEnd"/>
      <w:r>
        <w:t xml:space="preserve"> rectified at the end of the month;</w:t>
      </w:r>
    </w:p>
    <w:p w14:paraId="43028602" w14:textId="77777777" w:rsidR="00F6641F" w:rsidRDefault="00F6641F" w:rsidP="00F9381A">
      <w:pPr>
        <w:pStyle w:val="paragraph"/>
      </w:pPr>
      <w:r>
        <w:tab/>
        <w:t>(c)</w:t>
      </w:r>
      <w:r>
        <w:tab/>
      </w:r>
      <w:proofErr w:type="gramStart"/>
      <w:r>
        <w:t>closed</w:t>
      </w:r>
      <w:proofErr w:type="gramEnd"/>
      <w:r w:rsidR="00617C50">
        <w:t xml:space="preserve"> by the licensee</w:t>
      </w:r>
      <w:r>
        <w:t xml:space="preserve"> during the month (otherwise than because the fault or service difficulty was rectified); </w:t>
      </w:r>
    </w:p>
    <w:p w14:paraId="52DBC834" w14:textId="77777777" w:rsidR="00F9381A" w:rsidRDefault="00F9381A" w:rsidP="00F9381A">
      <w:pPr>
        <w:pStyle w:val="subsection2"/>
      </w:pPr>
      <w:proofErr w:type="gramStart"/>
      <w:r>
        <w:t>the</w:t>
      </w:r>
      <w:proofErr w:type="gramEnd"/>
      <w:r>
        <w:t xml:space="preserve"> following information:</w:t>
      </w:r>
    </w:p>
    <w:p w14:paraId="549C45AF" w14:textId="77777777" w:rsidR="00F9381A" w:rsidRDefault="00F9381A" w:rsidP="00F9381A">
      <w:pPr>
        <w:pStyle w:val="paragraph"/>
      </w:pPr>
      <w:r>
        <w:tab/>
        <w:t>(</w:t>
      </w:r>
      <w:r w:rsidR="00F6641F">
        <w:t>d</w:t>
      </w:r>
      <w:r>
        <w:t>)</w:t>
      </w:r>
      <w:r>
        <w:tab/>
      </w:r>
      <w:proofErr w:type="gramStart"/>
      <w:r>
        <w:t>the</w:t>
      </w:r>
      <w:proofErr w:type="gramEnd"/>
      <w:r>
        <w:t xml:space="preserve"> unique </w:t>
      </w:r>
      <w:r w:rsidR="00C969F2">
        <w:t xml:space="preserve">service </w:t>
      </w:r>
      <w:r>
        <w:t>identifier of the service;</w:t>
      </w:r>
    </w:p>
    <w:p w14:paraId="0A2A3FC4" w14:textId="77777777" w:rsidR="00F9381A" w:rsidRDefault="00F9381A" w:rsidP="00F9381A">
      <w:pPr>
        <w:pStyle w:val="paragraph"/>
      </w:pPr>
      <w:r>
        <w:tab/>
        <w:t>(</w:t>
      </w:r>
      <w:r w:rsidR="00F6641F">
        <w:t>e</w:t>
      </w:r>
      <w:r>
        <w:t>)</w:t>
      </w:r>
      <w:r>
        <w:tab/>
      </w:r>
      <w:proofErr w:type="gramStart"/>
      <w:r w:rsidRPr="00E6561A">
        <w:t>the</w:t>
      </w:r>
      <w:proofErr w:type="gramEnd"/>
      <w:r w:rsidRPr="00E6561A">
        <w:t xml:space="preserve"> </w:t>
      </w:r>
      <w:r>
        <w:t xml:space="preserve">date of the day by which </w:t>
      </w:r>
      <w:r w:rsidR="007A5BB2">
        <w:t xml:space="preserve">rectification of </w:t>
      </w:r>
      <w:r w:rsidR="00BF240B">
        <w:t>the fault or service difficulty</w:t>
      </w:r>
    </w:p>
    <w:p w14:paraId="11DCF8FB" w14:textId="77777777" w:rsidR="00401EEB" w:rsidRDefault="00401EEB" w:rsidP="00401EEB">
      <w:pPr>
        <w:pStyle w:val="paragraphsub"/>
      </w:pPr>
      <w:r>
        <w:tab/>
        <w:t>(</w:t>
      </w:r>
      <w:proofErr w:type="spellStart"/>
      <w:r>
        <w:t>i</w:t>
      </w:r>
      <w:proofErr w:type="spellEnd"/>
      <w:r>
        <w:t>)</w:t>
      </w:r>
      <w:r>
        <w:tab/>
      </w:r>
      <w:proofErr w:type="gramStart"/>
      <w:r w:rsidR="00E81F41">
        <w:t>is</w:t>
      </w:r>
      <w:proofErr w:type="gramEnd"/>
      <w:r w:rsidR="00E81F41">
        <w:t xml:space="preserve"> or </w:t>
      </w:r>
      <w:r>
        <w:t>was required under Division 3 of Part 2 of the</w:t>
      </w:r>
      <w:r w:rsidR="00152FE0">
        <w:t xml:space="preserve"> CSG Standard</w:t>
      </w:r>
      <w:r>
        <w:t>; or</w:t>
      </w:r>
    </w:p>
    <w:p w14:paraId="65486031" w14:textId="77777777" w:rsidR="00401EEB" w:rsidRDefault="00401EEB" w:rsidP="00401EEB">
      <w:pPr>
        <w:pStyle w:val="paragraphsub"/>
      </w:pPr>
      <w:r>
        <w:tab/>
        <w:t>(ii)</w:t>
      </w:r>
      <w:r>
        <w:tab/>
      </w:r>
      <w:proofErr w:type="gramStart"/>
      <w:r>
        <w:t>would</w:t>
      </w:r>
      <w:proofErr w:type="gramEnd"/>
      <w:r>
        <w:t xml:space="preserve"> have been required, disregarding any relevant exemption that applies to the timeframe for rectification of the fault or service difficulty;</w:t>
      </w:r>
    </w:p>
    <w:p w14:paraId="249F1BAF" w14:textId="77777777" w:rsidR="00F9381A" w:rsidRDefault="00F9381A" w:rsidP="00F9381A">
      <w:pPr>
        <w:pStyle w:val="paragraph"/>
      </w:pPr>
      <w:r>
        <w:tab/>
        <w:t>(</w:t>
      </w:r>
      <w:r w:rsidR="00F6641F">
        <w:t>f</w:t>
      </w:r>
      <w:r>
        <w:t>)</w:t>
      </w:r>
      <w:r>
        <w:tab/>
      </w:r>
      <w:proofErr w:type="gramStart"/>
      <w:r w:rsidRPr="00917764">
        <w:t>the</w:t>
      </w:r>
      <w:proofErr w:type="gramEnd"/>
      <w:r w:rsidRPr="00917764">
        <w:t xml:space="preserve"> </w:t>
      </w:r>
      <w:r>
        <w:t>cause of the fault;</w:t>
      </w:r>
    </w:p>
    <w:p w14:paraId="06F5C0ED" w14:textId="77777777" w:rsidR="00F9381A" w:rsidRDefault="00F9381A" w:rsidP="00F9381A">
      <w:pPr>
        <w:pStyle w:val="paragraph"/>
      </w:pPr>
      <w:r>
        <w:tab/>
        <w:t>(</w:t>
      </w:r>
      <w:r w:rsidR="00F6641F">
        <w:t>g</w:t>
      </w:r>
      <w:r>
        <w:t>)</w:t>
      </w:r>
      <w:r>
        <w:tab/>
      </w:r>
      <w:proofErr w:type="gramStart"/>
      <w:r>
        <w:t>either</w:t>
      </w:r>
      <w:proofErr w:type="gramEnd"/>
      <w:r>
        <w:t>;</w:t>
      </w:r>
    </w:p>
    <w:p w14:paraId="1CF6E7FE" w14:textId="77777777" w:rsidR="00F9381A" w:rsidRDefault="00F9381A" w:rsidP="00F9381A">
      <w:pPr>
        <w:pStyle w:val="paragraphsub"/>
      </w:pPr>
      <w:r w:rsidRPr="00A13174">
        <w:lastRenderedPageBreak/>
        <w:tab/>
        <w:t>(</w:t>
      </w:r>
      <w:proofErr w:type="spellStart"/>
      <w:r>
        <w:t>i</w:t>
      </w:r>
      <w:proofErr w:type="spellEnd"/>
      <w:r>
        <w:t>)</w:t>
      </w:r>
      <w:r>
        <w:tab/>
      </w:r>
      <w:proofErr w:type="gramStart"/>
      <w:r>
        <w:t>if</w:t>
      </w:r>
      <w:proofErr w:type="gramEnd"/>
      <w:r>
        <w:t xml:space="preserve"> paragraph (a) applies—the date on which the fault or service difficulty was rectified; or</w:t>
      </w:r>
    </w:p>
    <w:p w14:paraId="472EAEF9" w14:textId="77777777" w:rsidR="00F9381A" w:rsidRDefault="00F9381A" w:rsidP="00F9381A">
      <w:pPr>
        <w:pStyle w:val="paragraphsub"/>
      </w:pPr>
      <w:r>
        <w:tab/>
        <w:t>(ii)</w:t>
      </w:r>
      <w:r>
        <w:tab/>
      </w:r>
      <w:proofErr w:type="gramStart"/>
      <w:r>
        <w:t>if</w:t>
      </w:r>
      <w:proofErr w:type="gramEnd"/>
      <w:r>
        <w:t xml:space="preserve"> paragraph (b)</w:t>
      </w:r>
      <w:r w:rsidR="001C1CB6">
        <w:t xml:space="preserve"> or (c)</w:t>
      </w:r>
      <w:r>
        <w:t xml:space="preserve"> applies—a statement to that effect;</w:t>
      </w:r>
    </w:p>
    <w:p w14:paraId="64FB6D08" w14:textId="77777777" w:rsidR="00F9381A" w:rsidRDefault="00F9381A" w:rsidP="00F9381A">
      <w:pPr>
        <w:pStyle w:val="paragraph"/>
      </w:pPr>
      <w:r>
        <w:tab/>
        <w:t>(</w:t>
      </w:r>
      <w:r w:rsidR="00F6641F">
        <w:t>h</w:t>
      </w:r>
      <w:r>
        <w:t>)</w:t>
      </w:r>
      <w:r>
        <w:tab/>
      </w:r>
      <w:proofErr w:type="gramStart"/>
      <w:r>
        <w:t>what</w:t>
      </w:r>
      <w:proofErr w:type="gramEnd"/>
      <w:r>
        <w:t xml:space="preserve"> relevant exemption (if any) applies </w:t>
      </w:r>
      <w:r w:rsidRPr="00666F26">
        <w:t>to the timeframe for rectification of the fault or service difficulty</w:t>
      </w:r>
      <w:r>
        <w:t>;</w:t>
      </w:r>
    </w:p>
    <w:p w14:paraId="1C92BF4C" w14:textId="77777777" w:rsidR="001C1CB6" w:rsidRDefault="00F9381A" w:rsidP="00F9381A">
      <w:pPr>
        <w:pStyle w:val="paragraph"/>
      </w:pPr>
      <w:r>
        <w:tab/>
        <w:t>(</w:t>
      </w:r>
      <w:proofErr w:type="spellStart"/>
      <w:r w:rsidR="00F6641F">
        <w:t>i</w:t>
      </w:r>
      <w:proofErr w:type="spellEnd"/>
      <w:r>
        <w:t>)</w:t>
      </w:r>
      <w:r>
        <w:tab/>
      </w:r>
      <w:proofErr w:type="gramStart"/>
      <w:r>
        <w:t>if</w:t>
      </w:r>
      <w:proofErr w:type="gramEnd"/>
      <w:r>
        <w:t xml:space="preserve"> a relevant exemption </w:t>
      </w:r>
      <w:r w:rsidR="00092BEE">
        <w:t xml:space="preserve">applies because of </w:t>
      </w:r>
      <w:r w:rsidR="008B1D49">
        <w:t>an exemption</w:t>
      </w:r>
      <w:r w:rsidR="00910CD1">
        <w:t xml:space="preserve"> event</w:t>
      </w:r>
      <w:r>
        <w:t xml:space="preserve">—the unique </w:t>
      </w:r>
      <w:r w:rsidR="008B1D49">
        <w:t xml:space="preserve">exemption event </w:t>
      </w:r>
      <w:r>
        <w:t xml:space="preserve">identifier for the </w:t>
      </w:r>
      <w:r w:rsidR="00910CD1">
        <w:t>event</w:t>
      </w:r>
      <w:r w:rsidR="001C1CB6">
        <w:t>;</w:t>
      </w:r>
    </w:p>
    <w:p w14:paraId="44C195F5" w14:textId="77777777" w:rsidR="00F9381A" w:rsidRDefault="001C1CB6" w:rsidP="00F9381A">
      <w:pPr>
        <w:pStyle w:val="paragraph"/>
      </w:pPr>
      <w:r w:rsidRPr="006320C2">
        <w:tab/>
        <w:t>(</w:t>
      </w:r>
      <w:r w:rsidR="00F6641F">
        <w:t>j</w:t>
      </w:r>
      <w:r w:rsidRPr="006320C2">
        <w:t>)</w:t>
      </w:r>
      <w:r w:rsidRPr="006320C2">
        <w:tab/>
      </w:r>
      <w:proofErr w:type="gramStart"/>
      <w:r w:rsidRPr="006320C2">
        <w:t>if</w:t>
      </w:r>
      <w:proofErr w:type="gramEnd"/>
      <w:r w:rsidRPr="006320C2">
        <w:t xml:space="preserve"> paragraph (c) applies—the reason </w:t>
      </w:r>
      <w:r w:rsidR="006F77A3">
        <w:t xml:space="preserve">why </w:t>
      </w:r>
      <w:r>
        <w:t>the fault or service difficulty</w:t>
      </w:r>
      <w:r w:rsidR="006F77A3">
        <w:t xml:space="preserve"> was closed</w:t>
      </w:r>
      <w:r w:rsidR="00F9381A">
        <w:t>.</w:t>
      </w:r>
    </w:p>
    <w:p w14:paraId="51A2BF8E" w14:textId="77777777" w:rsidR="006F77A3" w:rsidRDefault="00F9381A" w:rsidP="00F9381A">
      <w:pPr>
        <w:pStyle w:val="subsection"/>
      </w:pPr>
      <w:r>
        <w:tab/>
        <w:t>(</w:t>
      </w:r>
      <w:r w:rsidR="001A6B9A">
        <w:t>12</w:t>
      </w:r>
      <w:r>
        <w:t>)</w:t>
      </w:r>
      <w:r>
        <w:tab/>
        <w:t xml:space="preserve">The </w:t>
      </w:r>
      <w:r w:rsidR="00B36B28">
        <w:t xml:space="preserve">seventh </w:t>
      </w:r>
      <w:r>
        <w:t>table must contain, for each appointment in relation to a reportable service where the appointment</w:t>
      </w:r>
      <w:r w:rsidR="006F77A3">
        <w:t>:</w:t>
      </w:r>
    </w:p>
    <w:p w14:paraId="6B9B8579" w14:textId="77777777" w:rsidR="006F77A3" w:rsidRDefault="006F77A3" w:rsidP="00666F26">
      <w:pPr>
        <w:pStyle w:val="paragraph"/>
      </w:pPr>
      <w:r>
        <w:tab/>
        <w:t>(a)</w:t>
      </w:r>
      <w:r>
        <w:tab/>
      </w:r>
      <w:proofErr w:type="gramStart"/>
      <w:r w:rsidR="00F9381A">
        <w:t>was</w:t>
      </w:r>
      <w:proofErr w:type="gramEnd"/>
      <w:r w:rsidR="00F9381A">
        <w:t xml:space="preserve"> scheduled to take place during the month</w:t>
      </w:r>
      <w:r>
        <w:t>; and</w:t>
      </w:r>
    </w:p>
    <w:p w14:paraId="485C5975" w14:textId="77777777" w:rsidR="006F77A3" w:rsidRDefault="006F77A3" w:rsidP="00666F26">
      <w:pPr>
        <w:pStyle w:val="paragraph"/>
      </w:pPr>
      <w:r>
        <w:tab/>
        <w:t>(b)</w:t>
      </w:r>
      <w:r>
        <w:tab/>
      </w:r>
      <w:proofErr w:type="gramStart"/>
      <w:r w:rsidR="00221F28">
        <w:t>was</w:t>
      </w:r>
      <w:proofErr w:type="gramEnd"/>
      <w:r w:rsidR="00221F28">
        <w:t xml:space="preserve"> not cancelled</w:t>
      </w:r>
      <w:r w:rsidR="00976E2F">
        <w:t>,</w:t>
      </w:r>
      <w:r w:rsidR="00221F28">
        <w:t xml:space="preserve"> or rescheduled </w:t>
      </w:r>
      <w:r w:rsidR="00976E2F">
        <w:t xml:space="preserve">to take place after the end of the month, </w:t>
      </w:r>
      <w:r w:rsidR="00221F28">
        <w:t xml:space="preserve">in accordance with </w:t>
      </w:r>
      <w:r w:rsidR="00617C50">
        <w:t xml:space="preserve">Division 4 of Part 2 of the </w:t>
      </w:r>
      <w:r w:rsidR="00152FE0">
        <w:t>CSG Standard</w:t>
      </w:r>
      <w:r>
        <w:t>;</w:t>
      </w:r>
    </w:p>
    <w:p w14:paraId="19E0C9EE" w14:textId="77777777" w:rsidR="00F9381A" w:rsidRDefault="006F77A3" w:rsidP="00666F26">
      <w:pPr>
        <w:pStyle w:val="subsection2"/>
      </w:pPr>
      <w:proofErr w:type="gramStart"/>
      <w:r>
        <w:t>the</w:t>
      </w:r>
      <w:proofErr w:type="gramEnd"/>
      <w:r>
        <w:t xml:space="preserve"> following information</w:t>
      </w:r>
      <w:r w:rsidR="00F9381A">
        <w:t>:</w:t>
      </w:r>
    </w:p>
    <w:p w14:paraId="5FAF5C91" w14:textId="77777777" w:rsidR="00F9381A" w:rsidRDefault="00F9381A" w:rsidP="00F9381A">
      <w:pPr>
        <w:pStyle w:val="paragraph"/>
      </w:pPr>
      <w:r>
        <w:tab/>
        <w:t>(</w:t>
      </w:r>
      <w:r w:rsidR="006F77A3">
        <w:t>c</w:t>
      </w:r>
      <w:r>
        <w:t>)</w:t>
      </w:r>
      <w:r>
        <w:tab/>
      </w:r>
      <w:proofErr w:type="gramStart"/>
      <w:r>
        <w:t>the</w:t>
      </w:r>
      <w:proofErr w:type="gramEnd"/>
      <w:r>
        <w:t xml:space="preserve"> unique </w:t>
      </w:r>
      <w:r w:rsidR="00C969F2">
        <w:t xml:space="preserve">service </w:t>
      </w:r>
      <w:r>
        <w:t>identifier of the service to which the appointment relates;</w:t>
      </w:r>
    </w:p>
    <w:p w14:paraId="657F0DDA" w14:textId="77777777" w:rsidR="00F9381A" w:rsidRDefault="00F9381A" w:rsidP="00F9381A">
      <w:pPr>
        <w:pStyle w:val="paragraph"/>
      </w:pPr>
      <w:r>
        <w:tab/>
        <w:t>(</w:t>
      </w:r>
      <w:r w:rsidR="006F77A3">
        <w:t>d</w:t>
      </w:r>
      <w:r>
        <w:t>)</w:t>
      </w:r>
      <w:r>
        <w:tab/>
      </w:r>
      <w:proofErr w:type="gramStart"/>
      <w:r w:rsidRPr="002D0FAB">
        <w:t>the</w:t>
      </w:r>
      <w:proofErr w:type="gramEnd"/>
      <w:r w:rsidRPr="002D0FAB">
        <w:t xml:space="preserve"> appointment date</w:t>
      </w:r>
      <w:r>
        <w:t>;</w:t>
      </w:r>
    </w:p>
    <w:p w14:paraId="5643429B" w14:textId="77777777" w:rsidR="00221F28" w:rsidRDefault="00221F28" w:rsidP="00F9381A">
      <w:pPr>
        <w:pStyle w:val="paragraph"/>
      </w:pPr>
      <w:r>
        <w:tab/>
        <w:t>(</w:t>
      </w:r>
      <w:r w:rsidR="006F77A3">
        <w:t>e</w:t>
      </w:r>
      <w:r>
        <w:t>)</w:t>
      </w:r>
      <w:r>
        <w:tab/>
      </w:r>
      <w:proofErr w:type="gramStart"/>
      <w:r>
        <w:t>a</w:t>
      </w:r>
      <w:proofErr w:type="gramEnd"/>
      <w:r>
        <w:t xml:space="preserve"> statement as to </w:t>
      </w:r>
      <w:r w:rsidR="006F77A3">
        <w:t xml:space="preserve">whether </w:t>
      </w:r>
      <w:r>
        <w:t>the appointment was for:</w:t>
      </w:r>
    </w:p>
    <w:p w14:paraId="6D5F090D" w14:textId="77777777" w:rsidR="00221F28" w:rsidRDefault="00221F28" w:rsidP="00666F26">
      <w:pPr>
        <w:pStyle w:val="paragraphsub"/>
      </w:pPr>
      <w:r>
        <w:tab/>
        <w:t>(</w:t>
      </w:r>
      <w:proofErr w:type="spellStart"/>
      <w:r>
        <w:t>i</w:t>
      </w:r>
      <w:proofErr w:type="spellEnd"/>
      <w:r>
        <w:t>)</w:t>
      </w:r>
      <w:r>
        <w:tab/>
      </w:r>
      <w:proofErr w:type="gramStart"/>
      <w:r>
        <w:t>connection</w:t>
      </w:r>
      <w:proofErr w:type="gramEnd"/>
      <w:r>
        <w:t xml:space="preserve"> of the service;</w:t>
      </w:r>
      <w:r w:rsidR="006F77A3">
        <w:t xml:space="preserve"> or</w:t>
      </w:r>
    </w:p>
    <w:p w14:paraId="71EB2245" w14:textId="77777777" w:rsidR="00221F28" w:rsidRDefault="00221F28" w:rsidP="00666F26">
      <w:pPr>
        <w:pStyle w:val="paragraphsub"/>
      </w:pPr>
      <w:r>
        <w:tab/>
        <w:t>(ii)</w:t>
      </w:r>
      <w:r>
        <w:tab/>
      </w:r>
      <w:proofErr w:type="gramStart"/>
      <w:r>
        <w:t>rectification</w:t>
      </w:r>
      <w:proofErr w:type="gramEnd"/>
      <w:r>
        <w:t xml:space="preserve"> of a fault or service difficulty in relation to the service;</w:t>
      </w:r>
    </w:p>
    <w:p w14:paraId="648E964B" w14:textId="77777777" w:rsidR="007A5904" w:rsidRDefault="00F9381A" w:rsidP="00F9381A">
      <w:pPr>
        <w:pStyle w:val="paragraph"/>
      </w:pPr>
      <w:r>
        <w:tab/>
        <w:t>(</w:t>
      </w:r>
      <w:r w:rsidR="006F77A3">
        <w:t>f</w:t>
      </w:r>
      <w:r>
        <w:t>)</w:t>
      </w:r>
      <w:r>
        <w:tab/>
      </w:r>
      <w:proofErr w:type="gramStart"/>
      <w:r w:rsidR="007A5904">
        <w:t>either</w:t>
      </w:r>
      <w:proofErr w:type="gramEnd"/>
      <w:r w:rsidR="007A5904">
        <w:t>:</w:t>
      </w:r>
    </w:p>
    <w:p w14:paraId="4D28A45F" w14:textId="77777777" w:rsidR="007A5904" w:rsidRDefault="007A5904" w:rsidP="00446940">
      <w:pPr>
        <w:pStyle w:val="paragraphsub"/>
      </w:pPr>
      <w:r>
        <w:tab/>
        <w:t>(</w:t>
      </w:r>
      <w:proofErr w:type="spellStart"/>
      <w:r>
        <w:t>i</w:t>
      </w:r>
      <w:proofErr w:type="spellEnd"/>
      <w:r>
        <w:t>)</w:t>
      </w:r>
      <w:r>
        <w:tab/>
      </w:r>
      <w:proofErr w:type="gramStart"/>
      <w:r w:rsidR="00F9381A" w:rsidRPr="002D0FAB">
        <w:t>the</w:t>
      </w:r>
      <w:proofErr w:type="gramEnd"/>
      <w:r w:rsidR="00F9381A" w:rsidRPr="002D0FAB">
        <w:t xml:space="preserve"> </w:t>
      </w:r>
      <w:r>
        <w:t xml:space="preserve">time of the </w:t>
      </w:r>
      <w:r w:rsidR="00F9381A" w:rsidRPr="002D0FAB">
        <w:t>appointment</w:t>
      </w:r>
      <w:r>
        <w:t>; or</w:t>
      </w:r>
    </w:p>
    <w:p w14:paraId="2B36A448" w14:textId="77777777" w:rsidR="00F9381A" w:rsidRDefault="007A5904" w:rsidP="00446940">
      <w:pPr>
        <w:pStyle w:val="paragraphsub"/>
      </w:pPr>
      <w:r>
        <w:tab/>
        <w:t>(ii)</w:t>
      </w:r>
      <w:r>
        <w:tab/>
      </w:r>
      <w:proofErr w:type="gramStart"/>
      <w:r>
        <w:t>the</w:t>
      </w:r>
      <w:proofErr w:type="gramEnd"/>
      <w:r>
        <w:t xml:space="preserve"> start and end of the period of time in which the appointment is scheduled to </w:t>
      </w:r>
      <w:r w:rsidR="00221F28">
        <w:t>occur</w:t>
      </w:r>
      <w:r w:rsidR="00F9381A">
        <w:t>;</w:t>
      </w:r>
    </w:p>
    <w:p w14:paraId="6A493AD7" w14:textId="77777777" w:rsidR="00C14F7E" w:rsidRDefault="00C14F7E" w:rsidP="00F9381A">
      <w:pPr>
        <w:pStyle w:val="paragraph"/>
      </w:pPr>
      <w:r>
        <w:tab/>
        <w:t>(g)</w:t>
      </w:r>
      <w:r>
        <w:tab/>
      </w:r>
      <w:proofErr w:type="gramStart"/>
      <w:r>
        <w:t>a</w:t>
      </w:r>
      <w:proofErr w:type="gramEnd"/>
      <w:r>
        <w:t xml:space="preserve"> statement as to whether the licensee kept </w:t>
      </w:r>
      <w:r w:rsidR="00455C98">
        <w:t xml:space="preserve">or missed </w:t>
      </w:r>
      <w:r>
        <w:t>the appointment;</w:t>
      </w:r>
    </w:p>
    <w:p w14:paraId="16633E66" w14:textId="77777777" w:rsidR="00F9381A" w:rsidRDefault="00F9381A" w:rsidP="00F9381A">
      <w:pPr>
        <w:pStyle w:val="paragraph"/>
      </w:pPr>
      <w:r>
        <w:tab/>
        <w:t>(</w:t>
      </w:r>
      <w:r w:rsidR="00455C98">
        <w:t>h</w:t>
      </w:r>
      <w:r>
        <w:t>)</w:t>
      </w:r>
      <w:r>
        <w:tab/>
      </w:r>
      <w:proofErr w:type="gramStart"/>
      <w:r>
        <w:t>either</w:t>
      </w:r>
      <w:proofErr w:type="gramEnd"/>
      <w:r>
        <w:t>:</w:t>
      </w:r>
    </w:p>
    <w:p w14:paraId="785D7EEE" w14:textId="77777777" w:rsidR="00F9381A" w:rsidRPr="00E0642C" w:rsidRDefault="00F9381A" w:rsidP="00F9381A">
      <w:pPr>
        <w:pStyle w:val="paragraphsub"/>
      </w:pPr>
      <w:r w:rsidRPr="00A13174">
        <w:tab/>
      </w:r>
      <w:r w:rsidRPr="00E0642C">
        <w:t>(</w:t>
      </w:r>
      <w:proofErr w:type="spellStart"/>
      <w:r w:rsidRPr="00E0642C">
        <w:t>i</w:t>
      </w:r>
      <w:proofErr w:type="spellEnd"/>
      <w:r w:rsidRPr="00E0642C">
        <w:t>)</w:t>
      </w:r>
      <w:r w:rsidRPr="00E0642C">
        <w:tab/>
      </w:r>
      <w:proofErr w:type="gramStart"/>
      <w:r w:rsidRPr="00E0642C">
        <w:t>the</w:t>
      </w:r>
      <w:proofErr w:type="gramEnd"/>
      <w:r w:rsidRPr="00E0642C">
        <w:t xml:space="preserve"> time the licensee attended the appointment; or</w:t>
      </w:r>
    </w:p>
    <w:p w14:paraId="35DB7349" w14:textId="77777777" w:rsidR="00F9381A" w:rsidRDefault="00F9381A" w:rsidP="00F9381A">
      <w:pPr>
        <w:pStyle w:val="paragraphsub"/>
      </w:pPr>
      <w:r>
        <w:tab/>
        <w:t>(ii)</w:t>
      </w:r>
      <w:r>
        <w:tab/>
      </w:r>
      <w:proofErr w:type="gramStart"/>
      <w:r>
        <w:t>if</w:t>
      </w:r>
      <w:proofErr w:type="gramEnd"/>
      <w:r>
        <w:t xml:space="preserve"> the licensee did not attend the appointment—a statement to that effect.</w:t>
      </w:r>
    </w:p>
    <w:p w14:paraId="3EE2970E" w14:textId="77777777" w:rsidR="00C14F7E" w:rsidRPr="00C14F7E" w:rsidRDefault="00C14F7E" w:rsidP="00662701">
      <w:pPr>
        <w:pStyle w:val="notetext"/>
      </w:pPr>
      <w:r>
        <w:t>Note:</w:t>
      </w:r>
      <w:r>
        <w:tab/>
        <w:t>See the definition</w:t>
      </w:r>
      <w:r w:rsidR="00455C98">
        <w:t>s</w:t>
      </w:r>
      <w:r>
        <w:t xml:space="preserve"> of </w:t>
      </w:r>
      <w:r>
        <w:rPr>
          <w:b/>
          <w:i/>
        </w:rPr>
        <w:t>kept</w:t>
      </w:r>
      <w:r w:rsidR="00455C98">
        <w:t xml:space="preserve"> and </w:t>
      </w:r>
      <w:r w:rsidR="00455C98" w:rsidRPr="00662701">
        <w:rPr>
          <w:b/>
          <w:i/>
        </w:rPr>
        <w:t>missed</w:t>
      </w:r>
      <w:r w:rsidR="00455C98">
        <w:t xml:space="preserve"> in subsection </w:t>
      </w:r>
      <w:proofErr w:type="gramStart"/>
      <w:r w:rsidR="00455C98">
        <w:t>13A(</w:t>
      </w:r>
      <w:proofErr w:type="gramEnd"/>
      <w:r w:rsidR="00455C98">
        <w:t>1)</w:t>
      </w:r>
      <w:r>
        <w:t>.</w:t>
      </w:r>
    </w:p>
    <w:p w14:paraId="15C9BE45" w14:textId="77777777" w:rsidR="00F9381A" w:rsidRPr="001D6115" w:rsidRDefault="00F9381A" w:rsidP="00F9381A">
      <w:pPr>
        <w:pStyle w:val="subsection"/>
        <w:rPr>
          <w:i/>
        </w:rPr>
      </w:pPr>
      <w:r w:rsidRPr="00B95971">
        <w:tab/>
        <w:t>(</w:t>
      </w:r>
      <w:r w:rsidR="00B36B28">
        <w:t>1</w:t>
      </w:r>
      <w:r w:rsidR="001A6B9A">
        <w:t>3</w:t>
      </w:r>
      <w:r w:rsidRPr="00B95971">
        <w:t>)</w:t>
      </w:r>
      <w:r w:rsidRPr="00B95971">
        <w:tab/>
        <w:t xml:space="preserve">The </w:t>
      </w:r>
      <w:r w:rsidR="00B36B28">
        <w:t>eighth</w:t>
      </w:r>
      <w:r w:rsidR="00B36B28" w:rsidRPr="00B95971">
        <w:t xml:space="preserve"> </w:t>
      </w:r>
      <w:r w:rsidRPr="00B95971">
        <w:t>table must</w:t>
      </w:r>
      <w:r>
        <w:t xml:space="preserve"> contain,</w:t>
      </w:r>
      <w:r w:rsidRPr="00B95971">
        <w:t xml:space="preserve"> for</w:t>
      </w:r>
      <w:r>
        <w:t xml:space="preserve"> </w:t>
      </w:r>
      <w:r w:rsidRPr="00313799">
        <w:t xml:space="preserve">each </w:t>
      </w:r>
      <w:r w:rsidR="00BC1270">
        <w:t>exemption</w:t>
      </w:r>
      <w:r>
        <w:t xml:space="preserve"> </w:t>
      </w:r>
      <w:r w:rsidR="00910CD1">
        <w:t xml:space="preserve">event </w:t>
      </w:r>
      <w:r>
        <w:t>which affected some or all reportable services during the month:</w:t>
      </w:r>
    </w:p>
    <w:p w14:paraId="779509CC" w14:textId="77777777" w:rsidR="00BC1270" w:rsidRDefault="00BC1270" w:rsidP="00F9381A">
      <w:pPr>
        <w:pStyle w:val="paragraph"/>
      </w:pPr>
      <w:r>
        <w:tab/>
        <w:t>(a)</w:t>
      </w:r>
      <w:r>
        <w:tab/>
      </w:r>
      <w:proofErr w:type="gramStart"/>
      <w:r>
        <w:t>a</w:t>
      </w:r>
      <w:proofErr w:type="gramEnd"/>
      <w:r>
        <w:t xml:space="preserve"> statement as to whether the event is a mass outage event; and</w:t>
      </w:r>
    </w:p>
    <w:p w14:paraId="2BA5C1CF" w14:textId="77777777" w:rsidR="00F9381A" w:rsidRDefault="00F9381A" w:rsidP="00F36646">
      <w:pPr>
        <w:pStyle w:val="paragraph"/>
      </w:pPr>
      <w:r>
        <w:tab/>
        <w:t>(</w:t>
      </w:r>
      <w:r w:rsidR="00BC1270">
        <w:t>b</w:t>
      </w:r>
      <w:r>
        <w:t>)</w:t>
      </w:r>
      <w:r>
        <w:tab/>
      </w:r>
      <w:proofErr w:type="gramStart"/>
      <w:r>
        <w:t>the</w:t>
      </w:r>
      <w:proofErr w:type="gramEnd"/>
      <w:r>
        <w:t xml:space="preserve"> unique </w:t>
      </w:r>
      <w:r w:rsidR="00F36646">
        <w:t xml:space="preserve">exemption event </w:t>
      </w:r>
      <w:r>
        <w:t xml:space="preserve">identifier for the </w:t>
      </w:r>
      <w:r w:rsidR="00C969F2">
        <w:t>event</w:t>
      </w:r>
      <w:r>
        <w:t>; and</w:t>
      </w:r>
    </w:p>
    <w:p w14:paraId="1108EEDB" w14:textId="77777777" w:rsidR="00F36646" w:rsidRDefault="00590CE6" w:rsidP="00F36646">
      <w:pPr>
        <w:pStyle w:val="paragraph"/>
      </w:pPr>
      <w:r>
        <w:tab/>
        <w:t>(</w:t>
      </w:r>
      <w:r w:rsidR="00F36646">
        <w:t>c</w:t>
      </w:r>
      <w:r>
        <w:t>)</w:t>
      </w:r>
      <w:r>
        <w:tab/>
      </w:r>
      <w:proofErr w:type="gramStart"/>
      <w:r w:rsidR="007C5621">
        <w:t>a</w:t>
      </w:r>
      <w:proofErr w:type="gramEnd"/>
      <w:r w:rsidR="007C5621">
        <w:t xml:space="preserve"> brief description of the nature of the event</w:t>
      </w:r>
      <w:r>
        <w:t>;</w:t>
      </w:r>
      <w:r w:rsidR="007C5621">
        <w:t xml:space="preserve"> and</w:t>
      </w:r>
    </w:p>
    <w:p w14:paraId="1EBFF412" w14:textId="77777777" w:rsidR="00F36646" w:rsidRDefault="00F36646" w:rsidP="00F36646">
      <w:pPr>
        <w:pStyle w:val="paragraph"/>
      </w:pPr>
      <w:r>
        <w:tab/>
        <w:t>(d)</w:t>
      </w:r>
      <w:r>
        <w:tab/>
      </w:r>
      <w:proofErr w:type="gramStart"/>
      <w:r>
        <w:t>the</w:t>
      </w:r>
      <w:proofErr w:type="gramEnd"/>
      <w:r>
        <w:t xml:space="preserve"> date on which the event first affected a reportable service; and</w:t>
      </w:r>
    </w:p>
    <w:p w14:paraId="450305F8" w14:textId="77777777" w:rsidR="00590CE6" w:rsidRDefault="00F36646" w:rsidP="00F36646">
      <w:pPr>
        <w:pStyle w:val="paragraph"/>
      </w:pPr>
      <w:r>
        <w:tab/>
        <w:t>(e)</w:t>
      </w:r>
      <w:r>
        <w:tab/>
      </w:r>
      <w:proofErr w:type="gramStart"/>
      <w:r>
        <w:t>if</w:t>
      </w:r>
      <w:proofErr w:type="gramEnd"/>
      <w:r>
        <w:t xml:space="preserve"> the event has ended—the date on which the event ended; and</w:t>
      </w:r>
    </w:p>
    <w:p w14:paraId="2008D41C" w14:textId="77777777" w:rsidR="00F36646" w:rsidRDefault="00F36646" w:rsidP="00F36646">
      <w:pPr>
        <w:pStyle w:val="paragraph"/>
      </w:pPr>
      <w:r>
        <w:tab/>
        <w:t>(f)</w:t>
      </w:r>
      <w:r>
        <w:tab/>
        <w:t>geographic coordinates identifying the boundaries of the geographic area of event, in compliance with a standard or format (if any) notified to the licensee in writing by the Secretary or an authorised officer; and</w:t>
      </w:r>
    </w:p>
    <w:p w14:paraId="0DBE07EC" w14:textId="77777777" w:rsidR="00F9381A" w:rsidRDefault="00F9381A" w:rsidP="00F9381A">
      <w:pPr>
        <w:pStyle w:val="paragraph"/>
      </w:pPr>
      <w:r>
        <w:tab/>
        <w:t>(</w:t>
      </w:r>
      <w:r w:rsidR="00F36646">
        <w:t>g</w:t>
      </w:r>
      <w:r>
        <w:t>)</w:t>
      </w:r>
      <w:r>
        <w:tab/>
      </w:r>
      <w:proofErr w:type="gramStart"/>
      <w:r w:rsidRPr="002231B9">
        <w:t>the</w:t>
      </w:r>
      <w:proofErr w:type="gramEnd"/>
      <w:r w:rsidRPr="002231B9">
        <w:t xml:space="preserve"> number of </w:t>
      </w:r>
      <w:r>
        <w:t>reportable services</w:t>
      </w:r>
      <w:r w:rsidRPr="002231B9">
        <w:t xml:space="preserve"> </w:t>
      </w:r>
      <w:r>
        <w:t xml:space="preserve">affected </w:t>
      </w:r>
      <w:r w:rsidRPr="002231B9">
        <w:t xml:space="preserve">by the </w:t>
      </w:r>
      <w:r w:rsidR="00910CD1">
        <w:t>event</w:t>
      </w:r>
      <w:r>
        <w:t>; and</w:t>
      </w:r>
    </w:p>
    <w:p w14:paraId="4E42A2BA" w14:textId="77777777" w:rsidR="00F9381A" w:rsidRDefault="00F9381A" w:rsidP="00F9381A">
      <w:pPr>
        <w:pStyle w:val="paragraph"/>
      </w:pPr>
      <w:r>
        <w:lastRenderedPageBreak/>
        <w:tab/>
        <w:t>(</w:t>
      </w:r>
      <w:r w:rsidR="00F36646">
        <w:t>h</w:t>
      </w:r>
      <w:r>
        <w:t>)</w:t>
      </w:r>
      <w:r>
        <w:tab/>
      </w:r>
      <w:proofErr w:type="gramStart"/>
      <w:r w:rsidRPr="002231B9">
        <w:t>the</w:t>
      </w:r>
      <w:proofErr w:type="gramEnd"/>
      <w:r w:rsidRPr="002231B9">
        <w:t xml:space="preserve"> number of </w:t>
      </w:r>
      <w:r w:rsidR="00BC1270">
        <w:t>faults and service difficulties</w:t>
      </w:r>
      <w:r w:rsidR="00BC1270" w:rsidRPr="002231B9">
        <w:t xml:space="preserve"> </w:t>
      </w:r>
      <w:r w:rsidR="00BC1270">
        <w:t>affecting services mentioned in paragraph (</w:t>
      </w:r>
      <w:r w:rsidR="00F36646">
        <w:t>g</w:t>
      </w:r>
      <w:r w:rsidR="00BC1270">
        <w:t>)</w:t>
      </w:r>
      <w:r w:rsidR="00590CE6">
        <w:t xml:space="preserve"> during the month</w:t>
      </w:r>
      <w:r>
        <w:t>; and</w:t>
      </w:r>
    </w:p>
    <w:p w14:paraId="6D69AA09" w14:textId="77777777" w:rsidR="00BC1270" w:rsidRDefault="00BC1270" w:rsidP="00BC1270">
      <w:pPr>
        <w:pStyle w:val="paragraph"/>
      </w:pPr>
      <w:r>
        <w:tab/>
        <w:t>(</w:t>
      </w:r>
      <w:proofErr w:type="spellStart"/>
      <w:r w:rsidR="00F36646">
        <w:t>i</w:t>
      </w:r>
      <w:proofErr w:type="spellEnd"/>
      <w:r>
        <w:t>)</w:t>
      </w:r>
      <w:r>
        <w:tab/>
      </w:r>
      <w:proofErr w:type="gramStart"/>
      <w:r>
        <w:t>the</w:t>
      </w:r>
      <w:proofErr w:type="gramEnd"/>
      <w:r>
        <w:t xml:space="preserve"> number of faults and service difficulties mentioned in paragraph (</w:t>
      </w:r>
      <w:r w:rsidR="00F36646">
        <w:t>h</w:t>
      </w:r>
      <w:r>
        <w:t xml:space="preserve">) that were </w:t>
      </w:r>
      <w:r w:rsidR="00590CE6">
        <w:t>rectified</w:t>
      </w:r>
      <w:r>
        <w:t xml:space="preserve"> during the month;</w:t>
      </w:r>
      <w:r w:rsidR="00590CE6">
        <w:t xml:space="preserve"> and</w:t>
      </w:r>
    </w:p>
    <w:p w14:paraId="09AD0DC3" w14:textId="77777777" w:rsidR="00590CE6" w:rsidRDefault="00BC1270" w:rsidP="00F659A0">
      <w:pPr>
        <w:pStyle w:val="paragraph"/>
      </w:pPr>
      <w:r>
        <w:tab/>
        <w:t>(</w:t>
      </w:r>
      <w:r w:rsidR="00F36646">
        <w:t>j</w:t>
      </w:r>
      <w:r>
        <w:t>)</w:t>
      </w:r>
      <w:r>
        <w:tab/>
        <w:t>the percentage of faults and service difficulties mentioned in paragraph (</w:t>
      </w:r>
      <w:proofErr w:type="spellStart"/>
      <w:r w:rsidR="008B1D49">
        <w:t>i</w:t>
      </w:r>
      <w:proofErr w:type="spellEnd"/>
      <w:r>
        <w:t xml:space="preserve">) that were rectified </w:t>
      </w:r>
      <w:r w:rsidRPr="00152FE0">
        <w:t>within</w:t>
      </w:r>
      <w:r w:rsidR="00F659A0">
        <w:t xml:space="preserve"> </w:t>
      </w:r>
      <w:r w:rsidR="00590CE6">
        <w:t>the timeframe that would have been required</w:t>
      </w:r>
      <w:r w:rsidR="00F659A0">
        <w:t xml:space="preserve"> by the CSG Standard</w:t>
      </w:r>
      <w:r w:rsidR="00590CE6">
        <w:t xml:space="preserve">, disregarding </w:t>
      </w:r>
      <w:r w:rsidR="004476AD">
        <w:t>the</w:t>
      </w:r>
      <w:r w:rsidR="00590CE6">
        <w:t xml:space="preserve"> relevant exemption that applie</w:t>
      </w:r>
      <w:r w:rsidR="004476AD">
        <w:t>d</w:t>
      </w:r>
      <w:r w:rsidR="00590CE6">
        <w:t xml:space="preserve"> to the timeframe for rectification of the fault or service difficulty; and</w:t>
      </w:r>
    </w:p>
    <w:p w14:paraId="4EF5BA4B" w14:textId="77777777" w:rsidR="00590CE6" w:rsidRDefault="00F9381A" w:rsidP="00F9381A">
      <w:pPr>
        <w:pStyle w:val="paragraph"/>
      </w:pPr>
      <w:r>
        <w:tab/>
        <w:t>(</w:t>
      </w:r>
      <w:r w:rsidR="008B1D49">
        <w:t>k</w:t>
      </w:r>
      <w:r>
        <w:t>)</w:t>
      </w:r>
      <w:r>
        <w:tab/>
      </w:r>
      <w:proofErr w:type="gramStart"/>
      <w:r w:rsidRPr="002231B9">
        <w:t>the</w:t>
      </w:r>
      <w:proofErr w:type="gramEnd"/>
      <w:r w:rsidRPr="002231B9">
        <w:t xml:space="preserve"> number of requests </w:t>
      </w:r>
      <w:r w:rsidR="00590CE6">
        <w:t xml:space="preserve">for the connection of a reportable service within an area affected by the event that were </w:t>
      </w:r>
      <w:r w:rsidR="0060208C">
        <w:t xml:space="preserve">outstanding at any time </w:t>
      </w:r>
      <w:r w:rsidRPr="002231B9">
        <w:t xml:space="preserve">during the </w:t>
      </w:r>
      <w:r>
        <w:t>month</w:t>
      </w:r>
      <w:r w:rsidR="00590CE6">
        <w:t>; and</w:t>
      </w:r>
    </w:p>
    <w:p w14:paraId="43F8C1E3" w14:textId="77777777" w:rsidR="00590CE6" w:rsidRDefault="00590CE6" w:rsidP="00F9381A">
      <w:pPr>
        <w:pStyle w:val="paragraph"/>
      </w:pPr>
      <w:r>
        <w:tab/>
        <w:t>(</w:t>
      </w:r>
      <w:r w:rsidR="008B1D49">
        <w:t>l</w:t>
      </w:r>
      <w:r>
        <w:t>)</w:t>
      </w:r>
      <w:r>
        <w:tab/>
      </w:r>
      <w:proofErr w:type="gramStart"/>
      <w:r>
        <w:t>the</w:t>
      </w:r>
      <w:proofErr w:type="gramEnd"/>
      <w:r>
        <w:t xml:space="preserve"> number of requests mentioned in paragraph (</w:t>
      </w:r>
      <w:r w:rsidR="008B1D49">
        <w:t>k</w:t>
      </w:r>
      <w:r>
        <w:t>) for which the service was connected during the month; and</w:t>
      </w:r>
    </w:p>
    <w:p w14:paraId="3932F7DC" w14:textId="77777777" w:rsidR="00F9381A" w:rsidRDefault="00590CE6" w:rsidP="00F659A0">
      <w:pPr>
        <w:pStyle w:val="paragraph"/>
      </w:pPr>
      <w:r>
        <w:tab/>
        <w:t>(</w:t>
      </w:r>
      <w:r w:rsidR="008B1D49">
        <w:t>m</w:t>
      </w:r>
      <w:r>
        <w:t>)</w:t>
      </w:r>
      <w:r>
        <w:tab/>
        <w:t>the percentage of services mentioned in paragraph (</w:t>
      </w:r>
      <w:r w:rsidR="008B1D49">
        <w:t>l</w:t>
      </w:r>
      <w:r>
        <w:t>) that were connected within</w:t>
      </w:r>
      <w:r w:rsidR="00F659A0">
        <w:t xml:space="preserve"> </w:t>
      </w:r>
      <w:r w:rsidR="0060208C">
        <w:t>the timeframe that would have been required</w:t>
      </w:r>
      <w:r w:rsidR="00F659A0">
        <w:t xml:space="preserve"> by the CSG Standard</w:t>
      </w:r>
      <w:r w:rsidR="0060208C">
        <w:t xml:space="preserve">, disregarding </w:t>
      </w:r>
      <w:r w:rsidR="004476AD">
        <w:t>the</w:t>
      </w:r>
      <w:r w:rsidR="0060208C">
        <w:t xml:space="preserve"> relevant exemption that applie</w:t>
      </w:r>
      <w:r w:rsidR="004476AD">
        <w:t>d</w:t>
      </w:r>
      <w:r w:rsidR="0060208C">
        <w:t xml:space="preserve"> to the timeframe for connection of the service</w:t>
      </w:r>
      <w:r w:rsidR="00F9381A">
        <w:t>.</w:t>
      </w:r>
    </w:p>
    <w:p w14:paraId="735B76F4" w14:textId="77777777" w:rsidR="00EE0FA4" w:rsidRDefault="00F9381A" w:rsidP="00F9381A">
      <w:pPr>
        <w:pStyle w:val="subsection"/>
        <w:rPr>
          <w:bCs/>
          <w:color w:val="000000"/>
        </w:rPr>
      </w:pPr>
      <w:r>
        <w:tab/>
        <w:t>(</w:t>
      </w:r>
      <w:r w:rsidR="001A6B9A">
        <w:t>14</w:t>
      </w:r>
      <w:r>
        <w:t>)</w:t>
      </w:r>
      <w:r>
        <w:tab/>
        <w:t xml:space="preserve">The ninth table must contain, </w:t>
      </w:r>
      <w:r>
        <w:rPr>
          <w:bCs/>
          <w:color w:val="000000"/>
        </w:rPr>
        <w:t xml:space="preserve">in relation to </w:t>
      </w:r>
      <w:r w:rsidR="00EE0FA4">
        <w:rPr>
          <w:bCs/>
          <w:color w:val="000000"/>
        </w:rPr>
        <w:t xml:space="preserve">each of the following kinds of contacts </w:t>
      </w:r>
      <w:r w:rsidR="0033738D">
        <w:rPr>
          <w:bCs/>
          <w:color w:val="000000"/>
        </w:rPr>
        <w:t xml:space="preserve">received </w:t>
      </w:r>
      <w:r w:rsidR="00516588">
        <w:rPr>
          <w:bCs/>
          <w:color w:val="000000"/>
        </w:rPr>
        <w:t>from customers</w:t>
      </w:r>
      <w:r w:rsidR="00C55D25">
        <w:rPr>
          <w:bCs/>
          <w:color w:val="000000"/>
        </w:rPr>
        <w:t xml:space="preserve"> or proposed customers</w:t>
      </w:r>
      <w:r w:rsidR="00516588">
        <w:rPr>
          <w:bCs/>
          <w:color w:val="000000"/>
        </w:rPr>
        <w:t xml:space="preserve"> </w:t>
      </w:r>
      <w:r w:rsidR="00EE0FA4">
        <w:rPr>
          <w:bCs/>
          <w:color w:val="000000"/>
        </w:rPr>
        <w:t>in relation to reportable services:</w:t>
      </w:r>
    </w:p>
    <w:p w14:paraId="16EF6C26" w14:textId="77777777" w:rsidR="00F9381A" w:rsidRDefault="00EE0FA4" w:rsidP="00666F26">
      <w:pPr>
        <w:pStyle w:val="paragraph"/>
      </w:pPr>
      <w:r>
        <w:rPr>
          <w:bCs/>
          <w:color w:val="000000"/>
        </w:rPr>
        <w:tab/>
        <w:t>(a)</w:t>
      </w:r>
      <w:r>
        <w:rPr>
          <w:bCs/>
          <w:color w:val="000000"/>
        </w:rPr>
        <w:tab/>
      </w:r>
      <w:proofErr w:type="gramStart"/>
      <w:r w:rsidR="00F9381A">
        <w:rPr>
          <w:bCs/>
          <w:color w:val="000000"/>
        </w:rPr>
        <w:t>calls</w:t>
      </w:r>
      <w:proofErr w:type="gramEnd"/>
      <w:r w:rsidR="00F9381A">
        <w:rPr>
          <w:bCs/>
          <w:color w:val="000000"/>
        </w:rPr>
        <w:t xml:space="preserve"> made </w:t>
      </w:r>
      <w:r w:rsidR="00F9381A">
        <w:t xml:space="preserve">during the month </w:t>
      </w:r>
      <w:r w:rsidR="00F9381A">
        <w:rPr>
          <w:bCs/>
          <w:color w:val="000000"/>
        </w:rPr>
        <w:t xml:space="preserve">to a </w:t>
      </w:r>
      <w:r w:rsidR="00F9381A">
        <w:t>contact centre</w:t>
      </w:r>
      <w:r>
        <w:t>;</w:t>
      </w:r>
    </w:p>
    <w:p w14:paraId="7A14AADE" w14:textId="77777777" w:rsidR="00EE0FA4" w:rsidRDefault="00EE0FA4" w:rsidP="00666F26">
      <w:pPr>
        <w:pStyle w:val="paragraph"/>
        <w:rPr>
          <w:bCs/>
          <w:color w:val="000000"/>
        </w:rPr>
      </w:pPr>
      <w:r>
        <w:rPr>
          <w:bCs/>
          <w:color w:val="000000"/>
        </w:rPr>
        <w:tab/>
        <w:t>(b)</w:t>
      </w:r>
      <w:r>
        <w:rPr>
          <w:bCs/>
          <w:color w:val="000000"/>
        </w:rPr>
        <w:tab/>
      </w:r>
      <w:proofErr w:type="gramStart"/>
      <w:r>
        <w:rPr>
          <w:bCs/>
          <w:color w:val="000000"/>
        </w:rPr>
        <w:t>chat</w:t>
      </w:r>
      <w:proofErr w:type="gramEnd"/>
      <w:r>
        <w:rPr>
          <w:bCs/>
          <w:color w:val="000000"/>
        </w:rPr>
        <w:t xml:space="preserve"> sessions </w:t>
      </w:r>
      <w:r w:rsidR="0087171D">
        <w:rPr>
          <w:bCs/>
          <w:color w:val="000000"/>
        </w:rPr>
        <w:t>initiated during the month;</w:t>
      </w:r>
    </w:p>
    <w:p w14:paraId="05EC0847" w14:textId="77777777" w:rsidR="00840C40" w:rsidRDefault="00840C40" w:rsidP="00666F26">
      <w:pPr>
        <w:pStyle w:val="paragraph"/>
        <w:rPr>
          <w:bCs/>
          <w:color w:val="000000"/>
        </w:rPr>
      </w:pPr>
      <w:r>
        <w:rPr>
          <w:bCs/>
          <w:color w:val="000000"/>
        </w:rPr>
        <w:tab/>
        <w:t>(c)</w:t>
      </w:r>
      <w:r>
        <w:rPr>
          <w:bCs/>
          <w:color w:val="000000"/>
        </w:rPr>
        <w:tab/>
      </w:r>
      <w:proofErr w:type="gramStart"/>
      <w:r w:rsidR="00A35A05">
        <w:t>chains</w:t>
      </w:r>
      <w:proofErr w:type="gramEnd"/>
      <w:r w:rsidR="00A35A05">
        <w:t xml:space="preserve"> of correspondence</w:t>
      </w:r>
      <w:r w:rsidR="00A35A05">
        <w:rPr>
          <w:bCs/>
          <w:color w:val="000000"/>
        </w:rPr>
        <w:t xml:space="preserve"> by email that were </w:t>
      </w:r>
      <w:r w:rsidR="0087171D">
        <w:rPr>
          <w:bCs/>
          <w:color w:val="000000"/>
        </w:rPr>
        <w:t>not closed at the end of the month</w:t>
      </w:r>
      <w:r w:rsidR="00A35A05">
        <w:rPr>
          <w:bCs/>
          <w:color w:val="000000"/>
        </w:rPr>
        <w:t>, and initial emails received during the month</w:t>
      </w:r>
      <w:r w:rsidR="0087171D">
        <w:rPr>
          <w:bCs/>
          <w:color w:val="000000"/>
        </w:rPr>
        <w:t>;</w:t>
      </w:r>
    </w:p>
    <w:p w14:paraId="4B06488F" w14:textId="77777777" w:rsidR="00840C40" w:rsidRDefault="00840C40" w:rsidP="00666F26">
      <w:pPr>
        <w:pStyle w:val="subsection2"/>
      </w:pPr>
      <w:proofErr w:type="gramStart"/>
      <w:r>
        <w:t>the</w:t>
      </w:r>
      <w:proofErr w:type="gramEnd"/>
      <w:r>
        <w:t xml:space="preserve"> following information:</w:t>
      </w:r>
    </w:p>
    <w:p w14:paraId="4B1A7BB4" w14:textId="77777777" w:rsidR="00F9381A" w:rsidRDefault="00F9381A" w:rsidP="00F9381A">
      <w:pPr>
        <w:pStyle w:val="paragraph"/>
      </w:pPr>
      <w:r>
        <w:tab/>
        <w:t>(</w:t>
      </w:r>
      <w:r w:rsidR="0033738D">
        <w:t>d</w:t>
      </w:r>
      <w:r>
        <w:t>)</w:t>
      </w:r>
      <w:r>
        <w:tab/>
      </w:r>
      <w:proofErr w:type="gramStart"/>
      <w:r w:rsidRPr="002231B9">
        <w:t>the</w:t>
      </w:r>
      <w:proofErr w:type="gramEnd"/>
      <w:r w:rsidRPr="002231B9">
        <w:t xml:space="preserve"> number of </w:t>
      </w:r>
      <w:r w:rsidR="006F77A3">
        <w:t>contacts</w:t>
      </w:r>
      <w:r w:rsidR="006F77A3" w:rsidRPr="002231B9">
        <w:t xml:space="preserve"> </w:t>
      </w:r>
      <w:r w:rsidR="000335BA">
        <w:t>received</w:t>
      </w:r>
      <w:r>
        <w:t>; and</w:t>
      </w:r>
    </w:p>
    <w:p w14:paraId="5208757E" w14:textId="77777777" w:rsidR="00F9381A" w:rsidRDefault="00F9381A" w:rsidP="00F9381A">
      <w:pPr>
        <w:pStyle w:val="paragraph"/>
      </w:pPr>
      <w:r>
        <w:tab/>
        <w:t>(</w:t>
      </w:r>
      <w:r w:rsidR="0033738D">
        <w:t>e</w:t>
      </w:r>
      <w:r>
        <w:t>)</w:t>
      </w:r>
      <w:r>
        <w:tab/>
      </w:r>
      <w:proofErr w:type="gramStart"/>
      <w:r w:rsidRPr="002231B9">
        <w:t>the</w:t>
      </w:r>
      <w:proofErr w:type="gramEnd"/>
      <w:r w:rsidRPr="002231B9">
        <w:t xml:space="preserve"> number of </w:t>
      </w:r>
      <w:r w:rsidR="006F77A3">
        <w:t>contacts</w:t>
      </w:r>
      <w:r w:rsidR="006F77A3" w:rsidRPr="002231B9">
        <w:t xml:space="preserve"> </w:t>
      </w:r>
      <w:r w:rsidR="00C75356">
        <w:t xml:space="preserve">substantively </w:t>
      </w:r>
      <w:r w:rsidR="00F70505">
        <w:t xml:space="preserve">engaged with </w:t>
      </w:r>
      <w:r w:rsidR="00B8566A">
        <w:t>by</w:t>
      </w:r>
      <w:r w:rsidR="000335BA">
        <w:t xml:space="preserve"> </w:t>
      </w:r>
      <w:r w:rsidR="00B8566A">
        <w:t>the licensee</w:t>
      </w:r>
      <w:r>
        <w:t>; and</w:t>
      </w:r>
    </w:p>
    <w:p w14:paraId="29903918" w14:textId="77777777" w:rsidR="00EE0FA4" w:rsidRDefault="00F9381A" w:rsidP="00F9381A">
      <w:pPr>
        <w:pStyle w:val="paragraph"/>
      </w:pPr>
      <w:r>
        <w:tab/>
        <w:t>(</w:t>
      </w:r>
      <w:r w:rsidR="0033738D">
        <w:t>f</w:t>
      </w:r>
      <w:r>
        <w:t>)</w:t>
      </w:r>
      <w:r>
        <w:tab/>
      </w:r>
      <w:proofErr w:type="gramStart"/>
      <w:r w:rsidRPr="002231B9">
        <w:t>the</w:t>
      </w:r>
      <w:proofErr w:type="gramEnd"/>
      <w:r w:rsidRPr="002231B9">
        <w:t xml:space="preserve"> number of </w:t>
      </w:r>
      <w:r w:rsidR="006F77A3">
        <w:t xml:space="preserve">contacts </w:t>
      </w:r>
      <w:r w:rsidR="00C75356">
        <w:t xml:space="preserve">where the licensee did not substantively </w:t>
      </w:r>
      <w:r w:rsidR="00F70505">
        <w:t xml:space="preserve">engage with </w:t>
      </w:r>
      <w:r w:rsidR="00C75356">
        <w:t>the contact</w:t>
      </w:r>
      <w:r w:rsidR="00EE0FA4">
        <w:t>:</w:t>
      </w:r>
    </w:p>
    <w:p w14:paraId="1CEB0ACA" w14:textId="77777777" w:rsidR="00EE0FA4" w:rsidRDefault="00EE0FA4" w:rsidP="00EE0FA4">
      <w:pPr>
        <w:pStyle w:val="paragraphsub"/>
      </w:pPr>
      <w:r>
        <w:tab/>
        <w:t>(</w:t>
      </w:r>
      <w:proofErr w:type="spellStart"/>
      <w:r>
        <w:t>i</w:t>
      </w:r>
      <w:proofErr w:type="spellEnd"/>
      <w:r>
        <w:t>)</w:t>
      </w:r>
      <w:r>
        <w:tab/>
      </w:r>
      <w:proofErr w:type="gramStart"/>
      <w:r>
        <w:t>for</w:t>
      </w:r>
      <w:proofErr w:type="gramEnd"/>
      <w:r>
        <w:t xml:space="preserve"> calls to a call centre or an online chat sessions—</w:t>
      </w:r>
      <w:r w:rsidRPr="00375C45">
        <w:t>before the contact was disconnected or closed</w:t>
      </w:r>
      <w:r>
        <w:t>;</w:t>
      </w:r>
    </w:p>
    <w:p w14:paraId="00099C49" w14:textId="77777777" w:rsidR="00F9381A" w:rsidRDefault="00EE0FA4" w:rsidP="00666F26">
      <w:pPr>
        <w:pStyle w:val="paragraphsub"/>
      </w:pPr>
      <w:r>
        <w:tab/>
        <w:t>(ii)</w:t>
      </w:r>
      <w:r>
        <w:tab/>
      </w:r>
      <w:r w:rsidR="00CD6D71">
        <w:t>for an email or a series or emails in a chain of correspondence</w:t>
      </w:r>
      <w:r>
        <w:t>—within 2 working days of the start of the first email being received by or on behalf of the licensee</w:t>
      </w:r>
      <w:r w:rsidR="00F9381A">
        <w:t>; and</w:t>
      </w:r>
    </w:p>
    <w:p w14:paraId="0BBD5924" w14:textId="77777777" w:rsidR="00F9381A" w:rsidRDefault="00F9381A" w:rsidP="00F9381A">
      <w:pPr>
        <w:pStyle w:val="paragraph"/>
      </w:pPr>
      <w:r>
        <w:tab/>
        <w:t>(</w:t>
      </w:r>
      <w:r w:rsidR="0033738D">
        <w:t>g</w:t>
      </w:r>
      <w:r>
        <w:t>)</w:t>
      </w:r>
      <w:r>
        <w:tab/>
      </w:r>
      <w:proofErr w:type="gramStart"/>
      <w:r w:rsidR="007C5621">
        <w:t>in</w:t>
      </w:r>
      <w:proofErr w:type="gramEnd"/>
      <w:r w:rsidR="007C5621">
        <w:t xml:space="preserve"> relation to contacts mentioned in paragraph (e), </w:t>
      </w:r>
      <w:r w:rsidRPr="002231B9">
        <w:t>the average</w:t>
      </w:r>
      <w:r>
        <w:t xml:space="preserve"> time before </w:t>
      </w:r>
      <w:r w:rsidR="007C5621">
        <w:t xml:space="preserve">those </w:t>
      </w:r>
      <w:r w:rsidR="006F77A3">
        <w:t>contact</w:t>
      </w:r>
      <w:r w:rsidR="007C5621">
        <w:t>s</w:t>
      </w:r>
      <w:r w:rsidR="006F77A3">
        <w:t xml:space="preserve"> </w:t>
      </w:r>
      <w:r w:rsidR="007C5621">
        <w:t xml:space="preserve">are </w:t>
      </w:r>
      <w:r w:rsidR="00C75356">
        <w:t xml:space="preserve">substantively </w:t>
      </w:r>
      <w:r w:rsidR="00F70505">
        <w:t>engaged with</w:t>
      </w:r>
      <w:r w:rsidR="007C5621">
        <w:t xml:space="preserve"> </w:t>
      </w:r>
      <w:r>
        <w:t xml:space="preserve">by </w:t>
      </w:r>
      <w:r w:rsidR="00C75356">
        <w:t>the licensee</w:t>
      </w:r>
      <w:r>
        <w:t>; and</w:t>
      </w:r>
    </w:p>
    <w:p w14:paraId="7A116B87" w14:textId="77777777" w:rsidR="00F9381A" w:rsidRDefault="00F9381A" w:rsidP="00F9381A">
      <w:pPr>
        <w:pStyle w:val="paragraph"/>
      </w:pPr>
      <w:r>
        <w:tab/>
      </w:r>
      <w:r w:rsidRPr="00EE0FA4">
        <w:t>(</w:t>
      </w:r>
      <w:r w:rsidR="0033738D">
        <w:t>h</w:t>
      </w:r>
      <w:r w:rsidRPr="00EE0FA4">
        <w:t>)</w:t>
      </w:r>
      <w:r w:rsidRPr="00EE0FA4">
        <w:tab/>
      </w:r>
      <w:r w:rsidR="00EE0FA4" w:rsidRPr="000B0225">
        <w:t xml:space="preserve">in relation to </w:t>
      </w:r>
      <w:r w:rsidR="007C5621">
        <w:t>contacts mentioned in subparagraph (f)(</w:t>
      </w:r>
      <w:proofErr w:type="spellStart"/>
      <w:r w:rsidR="007C5621">
        <w:t>i</w:t>
      </w:r>
      <w:proofErr w:type="spellEnd"/>
      <w:r w:rsidR="007C5621">
        <w:t>)</w:t>
      </w:r>
      <w:r w:rsidR="00EE0FA4" w:rsidRPr="000B0225">
        <w:t xml:space="preserve">, </w:t>
      </w:r>
      <w:r w:rsidRPr="00EE0FA4">
        <w:t xml:space="preserve">the average time before </w:t>
      </w:r>
      <w:r w:rsidR="007C5621">
        <w:t xml:space="preserve">those </w:t>
      </w:r>
      <w:r w:rsidR="006F77A3" w:rsidRPr="00EE0FA4">
        <w:t>contact</w:t>
      </w:r>
      <w:r w:rsidR="007C5621">
        <w:t>s</w:t>
      </w:r>
      <w:r w:rsidR="006F77A3" w:rsidRPr="00EE0FA4">
        <w:t xml:space="preserve"> </w:t>
      </w:r>
      <w:r w:rsidR="007C5621">
        <w:t xml:space="preserve">are </w:t>
      </w:r>
      <w:r w:rsidR="00B8566A" w:rsidRPr="00EE0FA4">
        <w:t>disconnected</w:t>
      </w:r>
      <w:r w:rsidR="00EE0FA4" w:rsidRPr="000B0225">
        <w:t xml:space="preserve"> or closed</w:t>
      </w:r>
      <w:r w:rsidRPr="00EE0FA4">
        <w:t>; and</w:t>
      </w:r>
    </w:p>
    <w:p w14:paraId="09572369" w14:textId="77777777" w:rsidR="00F9381A" w:rsidRPr="000B0225" w:rsidRDefault="00F9381A" w:rsidP="00F9381A">
      <w:pPr>
        <w:pStyle w:val="paragraph"/>
      </w:pPr>
      <w:r w:rsidRPr="000B0225">
        <w:tab/>
        <w:t>(</w:t>
      </w:r>
      <w:proofErr w:type="spellStart"/>
      <w:r w:rsidR="0033738D">
        <w:t>i</w:t>
      </w:r>
      <w:proofErr w:type="spellEnd"/>
      <w:r w:rsidRPr="000B0225">
        <w:t>)</w:t>
      </w:r>
      <w:r w:rsidRPr="000B0225">
        <w:tab/>
      </w:r>
      <w:proofErr w:type="gramStart"/>
      <w:r w:rsidR="007C5621">
        <w:t>in</w:t>
      </w:r>
      <w:proofErr w:type="gramEnd"/>
      <w:r w:rsidR="007C5621">
        <w:t xml:space="preserve"> relation to contacts mentioned in paragraph (e), </w:t>
      </w:r>
      <w:r w:rsidRPr="000B0225">
        <w:t xml:space="preserve">the average duration of </w:t>
      </w:r>
      <w:r w:rsidR="007C5621">
        <w:t xml:space="preserve">those </w:t>
      </w:r>
      <w:r w:rsidR="00CF4D2B" w:rsidRPr="000B0225">
        <w:t xml:space="preserve">contacts </w:t>
      </w:r>
      <w:r w:rsidR="00F70505">
        <w:t xml:space="preserve">measured </w:t>
      </w:r>
      <w:r w:rsidR="005322AB">
        <w:t xml:space="preserve">from the time they are </w:t>
      </w:r>
      <w:r w:rsidR="007C1F30" w:rsidRPr="000B0225">
        <w:t xml:space="preserve">substantively </w:t>
      </w:r>
      <w:r w:rsidR="00F70505">
        <w:t xml:space="preserve">engaged with </w:t>
      </w:r>
      <w:r w:rsidR="00EE0FA4">
        <w:t>until the contact is concluded</w:t>
      </w:r>
      <w:r w:rsidRPr="000B0225">
        <w:t>;</w:t>
      </w:r>
    </w:p>
    <w:p w14:paraId="6EF61CE1" w14:textId="77777777" w:rsidR="00EE0FA4" w:rsidRPr="000B0225" w:rsidRDefault="00F9381A" w:rsidP="00F9381A">
      <w:pPr>
        <w:pStyle w:val="paragraph"/>
      </w:pPr>
      <w:r w:rsidRPr="000B0225">
        <w:tab/>
        <w:t>(</w:t>
      </w:r>
      <w:r w:rsidR="0033738D">
        <w:t>j</w:t>
      </w:r>
      <w:r w:rsidRPr="000B0225">
        <w:t>)</w:t>
      </w:r>
      <w:r w:rsidRPr="000B0225">
        <w:tab/>
      </w:r>
      <w:proofErr w:type="gramStart"/>
      <w:r w:rsidR="00F70505">
        <w:t>in</w:t>
      </w:r>
      <w:proofErr w:type="gramEnd"/>
      <w:r w:rsidR="00F70505">
        <w:t xml:space="preserve"> relation to </w:t>
      </w:r>
      <w:r w:rsidR="00CF4D2B" w:rsidRPr="000B0225">
        <w:t xml:space="preserve">contacts </w:t>
      </w:r>
      <w:r w:rsidR="007C5621">
        <w:t>mentioned in paragraph (e)</w:t>
      </w:r>
      <w:r w:rsidR="00F70505">
        <w:t xml:space="preserve">, the percentage of those contacts </w:t>
      </w:r>
      <w:r w:rsidRPr="000B0225">
        <w:t xml:space="preserve">for which the query or issue raised during the </w:t>
      </w:r>
      <w:r w:rsidR="00EE0FA4" w:rsidRPr="000B0225">
        <w:t xml:space="preserve">initial contact </w:t>
      </w:r>
      <w:r w:rsidRPr="000B0225">
        <w:t>was resolved</w:t>
      </w:r>
      <w:r w:rsidR="00EE0FA4" w:rsidRPr="000B0225">
        <w:t>:</w:t>
      </w:r>
    </w:p>
    <w:p w14:paraId="72BEC43E" w14:textId="77777777" w:rsidR="00EE0FA4" w:rsidRDefault="00EE0FA4" w:rsidP="00EE0FA4">
      <w:pPr>
        <w:pStyle w:val="paragraphsub"/>
      </w:pPr>
      <w:r>
        <w:lastRenderedPageBreak/>
        <w:tab/>
        <w:t>(</w:t>
      </w:r>
      <w:proofErr w:type="spellStart"/>
      <w:r>
        <w:t>i</w:t>
      </w:r>
      <w:proofErr w:type="spellEnd"/>
      <w:r>
        <w:t>)</w:t>
      </w:r>
      <w:r>
        <w:tab/>
      </w:r>
      <w:proofErr w:type="gramStart"/>
      <w:r>
        <w:t>for</w:t>
      </w:r>
      <w:proofErr w:type="gramEnd"/>
      <w:r>
        <w:t xml:space="preserve"> calls to a call centre or an online chat sessions—</w:t>
      </w:r>
      <w:r w:rsidR="00840C40">
        <w:t>during that call or chat session</w:t>
      </w:r>
      <w:r>
        <w:t>;</w:t>
      </w:r>
    </w:p>
    <w:p w14:paraId="1B7B7CEE" w14:textId="77777777" w:rsidR="00840C40" w:rsidRDefault="00EE0FA4" w:rsidP="00EE0FA4">
      <w:pPr>
        <w:pStyle w:val="paragraphsub"/>
      </w:pPr>
      <w:r>
        <w:tab/>
        <w:t>(ii)</w:t>
      </w:r>
      <w:r>
        <w:tab/>
      </w:r>
      <w:r w:rsidR="00CD6D71">
        <w:t>for an email or a series or emails in a chain of correspondence</w:t>
      </w:r>
      <w:r>
        <w:t>—</w:t>
      </w:r>
      <w:r w:rsidR="00840C40">
        <w:t>by the first substantive reply by or on behalf of the licensee in relation to the query or issue;</w:t>
      </w:r>
    </w:p>
    <w:p w14:paraId="6B747A6B" w14:textId="77777777" w:rsidR="00EE0FA4" w:rsidRDefault="00840C40" w:rsidP="00666F26">
      <w:pPr>
        <w:pStyle w:val="paragraph"/>
      </w:pPr>
      <w:r>
        <w:tab/>
        <w:t>(</w:t>
      </w:r>
      <w:r w:rsidR="0033738D">
        <w:t>k</w:t>
      </w:r>
      <w:r>
        <w:t>)</w:t>
      </w:r>
      <w:r>
        <w:tab/>
      </w:r>
      <w:proofErr w:type="gramStart"/>
      <w:r>
        <w:t>the</w:t>
      </w:r>
      <w:proofErr w:type="gramEnd"/>
      <w:r>
        <w:t xml:space="preserve"> number of contacts</w:t>
      </w:r>
      <w:r w:rsidR="00ED3057">
        <w:t xml:space="preserve"> that the licensee was reasonably satisfied were resolved</w:t>
      </w:r>
      <w:r>
        <w:t xml:space="preserve"> to the satisfaction of the </w:t>
      </w:r>
      <w:r w:rsidR="005322AB">
        <w:t>customer</w:t>
      </w:r>
      <w:r>
        <w:t xml:space="preserve"> by any information </w:t>
      </w:r>
      <w:r w:rsidR="005449D2">
        <w:t xml:space="preserve">automatically </w:t>
      </w:r>
      <w:r>
        <w:t xml:space="preserve">provided by the licensee </w:t>
      </w:r>
      <w:r w:rsidR="00790537">
        <w:t xml:space="preserve">in response to the contact </w:t>
      </w:r>
      <w:r>
        <w:t xml:space="preserve">before the contact is substantively </w:t>
      </w:r>
      <w:r w:rsidR="000C6213">
        <w:t xml:space="preserve">engaged with </w:t>
      </w:r>
      <w:r>
        <w:t>by the licensee.</w:t>
      </w:r>
    </w:p>
    <w:p w14:paraId="6E895168" w14:textId="77777777" w:rsidR="00811533" w:rsidRDefault="00811533" w:rsidP="00811533">
      <w:pPr>
        <w:pStyle w:val="subsection"/>
      </w:pPr>
      <w:r w:rsidRPr="00B95971">
        <w:tab/>
        <w:t>(</w:t>
      </w:r>
      <w:r>
        <w:t>1</w:t>
      </w:r>
      <w:r w:rsidR="001A6B9A">
        <w:t>5</w:t>
      </w:r>
      <w:r w:rsidRPr="00B95971">
        <w:t>)</w:t>
      </w:r>
      <w:r w:rsidRPr="00B95971">
        <w:tab/>
        <w:t xml:space="preserve">The </w:t>
      </w:r>
      <w:r w:rsidR="00B36B28">
        <w:t>ten</w:t>
      </w:r>
      <w:r>
        <w:t>th</w:t>
      </w:r>
      <w:r w:rsidRPr="00B95971">
        <w:t xml:space="preserve"> table must</w:t>
      </w:r>
      <w:r>
        <w:t xml:space="preserve"> contain, for each complaint made by a customer or proposed customer of a reportable service in relation to the service</w:t>
      </w:r>
      <w:r w:rsidRPr="00E0642C">
        <w:t xml:space="preserve"> </w:t>
      </w:r>
      <w:r>
        <w:t>where the complaint was:</w:t>
      </w:r>
    </w:p>
    <w:p w14:paraId="2504EA69" w14:textId="77777777" w:rsidR="00811533" w:rsidRDefault="00811533" w:rsidP="00811533">
      <w:pPr>
        <w:pStyle w:val="paragraph"/>
      </w:pPr>
      <w:r>
        <w:tab/>
        <w:t>(a)</w:t>
      </w:r>
      <w:r>
        <w:tab/>
      </w:r>
      <w:proofErr w:type="gramStart"/>
      <w:r>
        <w:t>resolved</w:t>
      </w:r>
      <w:proofErr w:type="gramEnd"/>
      <w:r>
        <w:t xml:space="preserve"> during the month; or</w:t>
      </w:r>
    </w:p>
    <w:p w14:paraId="48A179B6" w14:textId="77777777" w:rsidR="00811533" w:rsidRDefault="00811533" w:rsidP="00811533">
      <w:pPr>
        <w:pStyle w:val="paragraph"/>
      </w:pPr>
      <w:r>
        <w:tab/>
        <w:t>(b)</w:t>
      </w:r>
      <w:r>
        <w:tab/>
      </w:r>
      <w:proofErr w:type="gramStart"/>
      <w:r>
        <w:t>unresolved</w:t>
      </w:r>
      <w:proofErr w:type="gramEnd"/>
      <w:r>
        <w:t xml:space="preserve"> at the end of the month; or</w:t>
      </w:r>
    </w:p>
    <w:p w14:paraId="75C72477" w14:textId="77777777" w:rsidR="00811533" w:rsidRDefault="00811533" w:rsidP="00811533">
      <w:pPr>
        <w:pStyle w:val="paragraph"/>
      </w:pPr>
      <w:r>
        <w:tab/>
        <w:t>(c)</w:t>
      </w:r>
      <w:r>
        <w:tab/>
      </w:r>
      <w:proofErr w:type="gramStart"/>
      <w:r>
        <w:t>closed</w:t>
      </w:r>
      <w:proofErr w:type="gramEnd"/>
      <w:r>
        <w:t xml:space="preserve"> during the month (otherwise than because the complaint was resolved); or</w:t>
      </w:r>
    </w:p>
    <w:p w14:paraId="73CED1E7" w14:textId="77777777" w:rsidR="00811533" w:rsidRPr="004D5762" w:rsidRDefault="00811533" w:rsidP="00811533">
      <w:pPr>
        <w:pStyle w:val="subsection2"/>
      </w:pPr>
      <w:proofErr w:type="gramStart"/>
      <w:r w:rsidRPr="004D5762">
        <w:t>the</w:t>
      </w:r>
      <w:proofErr w:type="gramEnd"/>
      <w:r w:rsidRPr="004D5762">
        <w:t xml:space="preserve"> following information</w:t>
      </w:r>
      <w:r>
        <w:t>;</w:t>
      </w:r>
    </w:p>
    <w:p w14:paraId="605781AD" w14:textId="77777777" w:rsidR="00811533" w:rsidRDefault="00811533" w:rsidP="00811533">
      <w:pPr>
        <w:pStyle w:val="paragraph"/>
      </w:pPr>
      <w:r>
        <w:tab/>
        <w:t>(d)</w:t>
      </w:r>
      <w:r>
        <w:tab/>
      </w:r>
      <w:proofErr w:type="gramStart"/>
      <w:r>
        <w:t>the</w:t>
      </w:r>
      <w:proofErr w:type="gramEnd"/>
      <w:r>
        <w:t xml:space="preserve"> unique service identifier of the service;</w:t>
      </w:r>
    </w:p>
    <w:p w14:paraId="1816C64E" w14:textId="77777777" w:rsidR="00811533" w:rsidRDefault="00811533" w:rsidP="00811533">
      <w:pPr>
        <w:pStyle w:val="paragraph"/>
      </w:pPr>
      <w:r>
        <w:tab/>
        <w:t>(e)</w:t>
      </w:r>
      <w:r>
        <w:tab/>
      </w:r>
      <w:proofErr w:type="gramStart"/>
      <w:r w:rsidRPr="004370DA">
        <w:t>the</w:t>
      </w:r>
      <w:proofErr w:type="gramEnd"/>
      <w:r w:rsidRPr="004370DA">
        <w:t xml:space="preserve"> date the complaint</w:t>
      </w:r>
      <w:r>
        <w:t xml:space="preserve"> was made;</w:t>
      </w:r>
    </w:p>
    <w:p w14:paraId="3CC26CDC" w14:textId="77777777" w:rsidR="00811533" w:rsidRDefault="00811533" w:rsidP="00811533">
      <w:pPr>
        <w:pStyle w:val="paragraph"/>
      </w:pPr>
      <w:r>
        <w:tab/>
        <w:t>(f)</w:t>
      </w:r>
      <w:r>
        <w:tab/>
      </w:r>
      <w:proofErr w:type="gramStart"/>
      <w:r>
        <w:t>either</w:t>
      </w:r>
      <w:proofErr w:type="gramEnd"/>
      <w:r>
        <w:t>:</w:t>
      </w:r>
    </w:p>
    <w:p w14:paraId="09D71B8D" w14:textId="77777777" w:rsidR="00811533" w:rsidRDefault="00811533" w:rsidP="00811533">
      <w:pPr>
        <w:pStyle w:val="paragraphsub"/>
      </w:pPr>
      <w:r w:rsidRPr="00A13174">
        <w:tab/>
        <w:t>(</w:t>
      </w:r>
      <w:proofErr w:type="spellStart"/>
      <w:r>
        <w:t>i</w:t>
      </w:r>
      <w:proofErr w:type="spellEnd"/>
      <w:r>
        <w:t>)</w:t>
      </w:r>
      <w:r>
        <w:tab/>
      </w:r>
      <w:proofErr w:type="gramStart"/>
      <w:r>
        <w:t>if</w:t>
      </w:r>
      <w:proofErr w:type="gramEnd"/>
      <w:r>
        <w:t xml:space="preserve"> paragraph (a) applies—the date on which the complaint was resolved; or</w:t>
      </w:r>
    </w:p>
    <w:p w14:paraId="1C48ABB8" w14:textId="77777777" w:rsidR="00811533" w:rsidRDefault="00811533" w:rsidP="00811533">
      <w:pPr>
        <w:pStyle w:val="paragraphsub"/>
      </w:pPr>
      <w:r>
        <w:tab/>
        <w:t>(ii)</w:t>
      </w:r>
      <w:r>
        <w:tab/>
      </w:r>
      <w:proofErr w:type="gramStart"/>
      <w:r>
        <w:t>if</w:t>
      </w:r>
      <w:proofErr w:type="gramEnd"/>
      <w:r>
        <w:t xml:space="preserve"> paragraph (b) or (c) applies—a statement to that effect;</w:t>
      </w:r>
    </w:p>
    <w:p w14:paraId="2AF06DDD" w14:textId="77777777" w:rsidR="00811533" w:rsidRDefault="00811533" w:rsidP="00811533">
      <w:pPr>
        <w:pStyle w:val="paragraph"/>
      </w:pPr>
      <w:r>
        <w:tab/>
        <w:t>(g)</w:t>
      </w:r>
      <w:r>
        <w:tab/>
      </w:r>
      <w:proofErr w:type="gramStart"/>
      <w:r w:rsidRPr="004370DA">
        <w:t>the</w:t>
      </w:r>
      <w:proofErr w:type="gramEnd"/>
      <w:r w:rsidRPr="004370DA">
        <w:t xml:space="preserve"> </w:t>
      </w:r>
      <w:r>
        <w:t>complaint category</w:t>
      </w:r>
      <w:r w:rsidRPr="004370DA">
        <w:t xml:space="preserve"> </w:t>
      </w:r>
      <w:r>
        <w:t xml:space="preserve">for </w:t>
      </w:r>
      <w:r w:rsidRPr="004370DA">
        <w:t>the complaint</w:t>
      </w:r>
      <w:r>
        <w:t>;</w:t>
      </w:r>
    </w:p>
    <w:p w14:paraId="64B37DB7" w14:textId="77777777" w:rsidR="00811533" w:rsidRDefault="00811533" w:rsidP="00811533">
      <w:pPr>
        <w:pStyle w:val="paragraph"/>
      </w:pPr>
      <w:r>
        <w:tab/>
        <w:t>(h)</w:t>
      </w:r>
      <w:r>
        <w:tab/>
      </w:r>
      <w:proofErr w:type="gramStart"/>
      <w:r>
        <w:t>if</w:t>
      </w:r>
      <w:proofErr w:type="gramEnd"/>
      <w:r>
        <w:t xml:space="preserve"> paragraph (c) applies—the reason why the complaint was closed.</w:t>
      </w:r>
    </w:p>
    <w:p w14:paraId="54EACBCB" w14:textId="7A3F61F2" w:rsidR="00A22050" w:rsidRDefault="00A22050" w:rsidP="00666F26">
      <w:pPr>
        <w:pStyle w:val="ItemHead"/>
      </w:pPr>
      <w:proofErr w:type="gramStart"/>
      <w:r>
        <w:t>3  Subsection</w:t>
      </w:r>
      <w:proofErr w:type="gramEnd"/>
      <w:r>
        <w:t xml:space="preserve"> 14(1) (definitions of </w:t>
      </w:r>
      <w:r>
        <w:rPr>
          <w:i/>
        </w:rPr>
        <w:t>CSG service</w:t>
      </w:r>
      <w:r w:rsidR="00941182">
        <w:t>,</w:t>
      </w:r>
      <w:r>
        <w:t xml:space="preserve"> </w:t>
      </w:r>
      <w:r>
        <w:rPr>
          <w:i/>
        </w:rPr>
        <w:t>fault or service difficulty</w:t>
      </w:r>
      <w:r w:rsidR="00941182">
        <w:t xml:space="preserve"> and </w:t>
      </w:r>
      <w:r w:rsidR="00941182">
        <w:rPr>
          <w:i/>
        </w:rPr>
        <w:t>quarter</w:t>
      </w:r>
      <w:r>
        <w:t>)</w:t>
      </w:r>
    </w:p>
    <w:p w14:paraId="4E98FD51" w14:textId="77777777" w:rsidR="00267612" w:rsidRDefault="00A22050" w:rsidP="00666F26">
      <w:pPr>
        <w:pStyle w:val="Item"/>
      </w:pPr>
      <w:r>
        <w:t>Repeal the definitions.</w:t>
      </w:r>
    </w:p>
    <w:p w14:paraId="5E3AECB5" w14:textId="77777777" w:rsidR="000C6213" w:rsidRDefault="000C6213" w:rsidP="00662701">
      <w:pPr>
        <w:pStyle w:val="ItemHead"/>
      </w:pPr>
      <w:proofErr w:type="gramStart"/>
      <w:r>
        <w:t>4  Item</w:t>
      </w:r>
      <w:proofErr w:type="gramEnd"/>
      <w:r>
        <w:t xml:space="preserve"> (1A) of Schedule 1</w:t>
      </w:r>
    </w:p>
    <w:p w14:paraId="1597C541" w14:textId="77777777" w:rsidR="000C6213" w:rsidRPr="000C6213" w:rsidRDefault="000C6213">
      <w:pPr>
        <w:pStyle w:val="Item"/>
      </w:pPr>
      <w:r>
        <w:t>Repeal the item.</w:t>
      </w:r>
    </w:p>
    <w:sectPr w:rsidR="000C6213" w:rsidRPr="000C6213"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3A7A" w14:textId="77777777" w:rsidR="00E310B3" w:rsidRDefault="00E310B3" w:rsidP="0048364F">
      <w:pPr>
        <w:spacing w:line="240" w:lineRule="auto"/>
      </w:pPr>
      <w:r>
        <w:separator/>
      </w:r>
    </w:p>
  </w:endnote>
  <w:endnote w:type="continuationSeparator" w:id="0">
    <w:p w14:paraId="559EC4C8" w14:textId="77777777" w:rsidR="00E310B3" w:rsidRDefault="00E310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23FA8" w14:paraId="024D0057" w14:textId="77777777" w:rsidTr="00F9381A">
      <w:tc>
        <w:tcPr>
          <w:tcW w:w="5000" w:type="pct"/>
        </w:tcPr>
        <w:p w14:paraId="792101BF" w14:textId="77777777" w:rsidR="00C23FA8" w:rsidRDefault="00C23FA8" w:rsidP="00F9381A">
          <w:pPr>
            <w:rPr>
              <w:sz w:val="18"/>
            </w:rPr>
          </w:pPr>
        </w:p>
      </w:tc>
    </w:tr>
  </w:tbl>
  <w:p w14:paraId="5F12B822" w14:textId="77777777" w:rsidR="00C23FA8" w:rsidRPr="005F1388" w:rsidRDefault="00C23FA8"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C23FA8" w14:paraId="53582013" w14:textId="77777777" w:rsidTr="00F9381A">
      <w:tc>
        <w:tcPr>
          <w:tcW w:w="5000" w:type="pct"/>
        </w:tcPr>
        <w:p w14:paraId="5EA74D94" w14:textId="77777777" w:rsidR="00C23FA8" w:rsidRDefault="00C23FA8" w:rsidP="00F9381A">
          <w:pPr>
            <w:rPr>
              <w:sz w:val="18"/>
            </w:rPr>
          </w:pPr>
        </w:p>
      </w:tc>
    </w:tr>
  </w:tbl>
  <w:p w14:paraId="76D355A9" w14:textId="77777777" w:rsidR="00C23FA8" w:rsidRPr="006D3667" w:rsidRDefault="00C23FA8" w:rsidP="00F93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9876" w14:textId="77777777" w:rsidR="00C23FA8" w:rsidRDefault="00C23FA8" w:rsidP="00F9381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23FA8" w14:paraId="549833E6" w14:textId="77777777" w:rsidTr="00F9381A">
      <w:tc>
        <w:tcPr>
          <w:tcW w:w="5000" w:type="pct"/>
        </w:tcPr>
        <w:p w14:paraId="25309A32" w14:textId="77777777" w:rsidR="00C23FA8" w:rsidRDefault="00C23FA8" w:rsidP="00F9381A">
          <w:pPr>
            <w:rPr>
              <w:sz w:val="18"/>
            </w:rPr>
          </w:pPr>
        </w:p>
      </w:tc>
    </w:tr>
  </w:tbl>
  <w:p w14:paraId="6E0BE02F" w14:textId="6E52F18A" w:rsidR="00C23FA8" w:rsidRPr="00486382" w:rsidRDefault="000C6D1F" w:rsidP="00666F26">
    <w:pPr>
      <w:jc w:val="center"/>
    </w:pPr>
    <w:r w:rsidRPr="000C6D1F">
      <w:rPr>
        <w:rFonts w:ascii="Arial" w:hAnsi="Arial"/>
        <w:b/>
        <w:sz w:val="40"/>
      </w:rPr>
      <w:t>EXPOSURE DRAFT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F8EA" w14:textId="77777777" w:rsidR="00C23FA8" w:rsidRPr="00E33C1C" w:rsidRDefault="00C23FA8" w:rsidP="00F9381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C23FA8" w14:paraId="467032D8" w14:textId="77777777" w:rsidTr="00F9381A">
      <w:tc>
        <w:tcPr>
          <w:tcW w:w="365" w:type="pct"/>
          <w:tcBorders>
            <w:top w:val="nil"/>
            <w:left w:val="nil"/>
            <w:bottom w:val="nil"/>
            <w:right w:val="nil"/>
          </w:tcBorders>
        </w:tcPr>
        <w:p w14:paraId="775AEA01" w14:textId="77777777" w:rsidR="00C23FA8" w:rsidRDefault="00C23FA8" w:rsidP="00F9381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5D02B60" w14:textId="6DD9642D" w:rsidR="00C23FA8" w:rsidRDefault="00C23FA8" w:rsidP="00F9381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52E2">
            <w:rPr>
              <w:i/>
              <w:noProof/>
              <w:sz w:val="18"/>
            </w:rPr>
            <w:t>Telecommunications (Carrier Licence Conditions - Telstra Corporation Limited) Amendment (Regional Service Information) Instrument 2021</w:t>
          </w:r>
          <w:r w:rsidRPr="00B20990">
            <w:rPr>
              <w:i/>
              <w:sz w:val="18"/>
            </w:rPr>
            <w:fldChar w:fldCharType="end"/>
          </w:r>
        </w:p>
      </w:tc>
      <w:tc>
        <w:tcPr>
          <w:tcW w:w="947" w:type="pct"/>
          <w:tcBorders>
            <w:top w:val="nil"/>
            <w:left w:val="nil"/>
            <w:bottom w:val="nil"/>
            <w:right w:val="nil"/>
          </w:tcBorders>
        </w:tcPr>
        <w:p w14:paraId="4E1CEB00" w14:textId="77777777" w:rsidR="00C23FA8" w:rsidRDefault="00C23FA8" w:rsidP="00F9381A">
          <w:pPr>
            <w:spacing w:line="0" w:lineRule="atLeast"/>
            <w:jc w:val="right"/>
            <w:rPr>
              <w:sz w:val="18"/>
            </w:rPr>
          </w:pPr>
        </w:p>
      </w:tc>
    </w:tr>
    <w:tr w:rsidR="00C23FA8" w14:paraId="234FD16E" w14:textId="77777777" w:rsidTr="00F93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95B6C1F" w14:textId="77777777" w:rsidR="00C23FA8" w:rsidRDefault="00C23FA8" w:rsidP="00F9381A">
          <w:pPr>
            <w:jc w:val="right"/>
            <w:rPr>
              <w:sz w:val="18"/>
            </w:rPr>
          </w:pPr>
        </w:p>
      </w:tc>
    </w:tr>
  </w:tbl>
  <w:p w14:paraId="48223F94" w14:textId="77777777" w:rsidR="00C23FA8" w:rsidRPr="00ED79B6" w:rsidRDefault="00C23FA8" w:rsidP="00F9381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8F89" w14:textId="77777777" w:rsidR="00C23FA8" w:rsidRPr="00E33C1C" w:rsidRDefault="00C23FA8" w:rsidP="00F9381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C23FA8" w14:paraId="7176D79F" w14:textId="77777777" w:rsidTr="00F9381A">
      <w:tc>
        <w:tcPr>
          <w:tcW w:w="947" w:type="pct"/>
          <w:tcBorders>
            <w:top w:val="nil"/>
            <w:left w:val="nil"/>
            <w:bottom w:val="nil"/>
            <w:right w:val="nil"/>
          </w:tcBorders>
        </w:tcPr>
        <w:p w14:paraId="202E38E3" w14:textId="77777777" w:rsidR="00C23FA8" w:rsidRDefault="00C23FA8" w:rsidP="00F9381A">
          <w:pPr>
            <w:spacing w:line="0" w:lineRule="atLeast"/>
            <w:rPr>
              <w:sz w:val="18"/>
            </w:rPr>
          </w:pPr>
        </w:p>
      </w:tc>
      <w:tc>
        <w:tcPr>
          <w:tcW w:w="3688" w:type="pct"/>
          <w:tcBorders>
            <w:top w:val="nil"/>
            <w:left w:val="nil"/>
            <w:bottom w:val="nil"/>
            <w:right w:val="nil"/>
          </w:tcBorders>
        </w:tcPr>
        <w:p w14:paraId="28492632" w14:textId="74CDA6F7" w:rsidR="00C23FA8" w:rsidRPr="00B20990" w:rsidRDefault="00C23FA8" w:rsidP="00F9381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52E2">
            <w:rPr>
              <w:i/>
              <w:noProof/>
              <w:sz w:val="18"/>
            </w:rPr>
            <w:t>Telecommunications (Carrier Licence Conditions - Telstra Corporation Limited) Amendment (Regional Service Information) Instrument 2021</w:t>
          </w:r>
          <w:r w:rsidRPr="00B20990">
            <w:rPr>
              <w:i/>
              <w:sz w:val="18"/>
            </w:rPr>
            <w:fldChar w:fldCharType="end"/>
          </w:r>
        </w:p>
      </w:tc>
      <w:tc>
        <w:tcPr>
          <w:tcW w:w="365" w:type="pct"/>
          <w:tcBorders>
            <w:top w:val="nil"/>
            <w:left w:val="nil"/>
            <w:bottom w:val="nil"/>
            <w:right w:val="nil"/>
          </w:tcBorders>
        </w:tcPr>
        <w:p w14:paraId="194B1BD1" w14:textId="4B06F8AE" w:rsidR="00C23FA8" w:rsidRDefault="00C23FA8" w:rsidP="00F938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2E2">
            <w:rPr>
              <w:i/>
              <w:noProof/>
              <w:sz w:val="18"/>
            </w:rPr>
            <w:t>i</w:t>
          </w:r>
          <w:r w:rsidRPr="00ED79B6">
            <w:rPr>
              <w:i/>
              <w:sz w:val="18"/>
            </w:rPr>
            <w:fldChar w:fldCharType="end"/>
          </w:r>
        </w:p>
      </w:tc>
    </w:tr>
    <w:tr w:rsidR="00C23FA8" w14:paraId="289E261F" w14:textId="77777777" w:rsidTr="00F93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3ADF87" w14:textId="77777777" w:rsidR="00C23FA8" w:rsidRDefault="00C23FA8" w:rsidP="00F9381A">
          <w:pPr>
            <w:rPr>
              <w:sz w:val="18"/>
            </w:rPr>
          </w:pPr>
        </w:p>
      </w:tc>
    </w:tr>
  </w:tbl>
  <w:p w14:paraId="56293246" w14:textId="20D71CC0" w:rsidR="00C23FA8" w:rsidRPr="00ED79B6" w:rsidRDefault="000C6D1F" w:rsidP="00666F26">
    <w:pPr>
      <w:jc w:val="center"/>
      <w:rPr>
        <w:i/>
        <w:sz w:val="18"/>
      </w:rPr>
    </w:pPr>
    <w:r w:rsidRPr="000C6D1F">
      <w:rPr>
        <w:rFonts w:ascii="Arial" w:hAnsi="Arial"/>
        <w:b/>
        <w:sz w:val="40"/>
      </w:rPr>
      <w:t>EXPOSURE DRAFT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4E14" w14:textId="77777777" w:rsidR="00C23FA8" w:rsidRPr="00E33C1C" w:rsidRDefault="00C23FA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C23FA8" w14:paraId="725D8415" w14:textId="77777777" w:rsidTr="0061741D">
      <w:tc>
        <w:tcPr>
          <w:tcW w:w="709" w:type="dxa"/>
          <w:tcBorders>
            <w:top w:val="nil"/>
            <w:left w:val="nil"/>
            <w:bottom w:val="nil"/>
            <w:right w:val="nil"/>
          </w:tcBorders>
        </w:tcPr>
        <w:p w14:paraId="48724E80" w14:textId="500FFA0F" w:rsidR="00C23FA8" w:rsidRDefault="00C23FA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2E2">
            <w:rPr>
              <w:i/>
              <w:noProof/>
              <w:sz w:val="18"/>
            </w:rPr>
            <w:t>12</w:t>
          </w:r>
          <w:r w:rsidRPr="00ED79B6">
            <w:rPr>
              <w:i/>
              <w:sz w:val="18"/>
            </w:rPr>
            <w:fldChar w:fldCharType="end"/>
          </w:r>
        </w:p>
      </w:tc>
      <w:tc>
        <w:tcPr>
          <w:tcW w:w="6379" w:type="dxa"/>
          <w:tcBorders>
            <w:top w:val="nil"/>
            <w:left w:val="nil"/>
            <w:bottom w:val="nil"/>
            <w:right w:val="nil"/>
          </w:tcBorders>
        </w:tcPr>
        <w:p w14:paraId="643A5A4A" w14:textId="5D5E50EC" w:rsidR="00C23FA8" w:rsidRDefault="00C23FA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52E2">
            <w:rPr>
              <w:i/>
              <w:noProof/>
              <w:sz w:val="18"/>
            </w:rPr>
            <w:t>Telecommunications (Carrier Licence Conditions - Telstra Corporation Limited) Amendment (Regional Service Information) Instrument 2021</w:t>
          </w:r>
          <w:r w:rsidRPr="00B20990">
            <w:rPr>
              <w:i/>
              <w:sz w:val="18"/>
            </w:rPr>
            <w:fldChar w:fldCharType="end"/>
          </w:r>
        </w:p>
      </w:tc>
      <w:tc>
        <w:tcPr>
          <w:tcW w:w="1384" w:type="dxa"/>
          <w:tcBorders>
            <w:top w:val="nil"/>
            <w:left w:val="nil"/>
            <w:bottom w:val="nil"/>
            <w:right w:val="nil"/>
          </w:tcBorders>
        </w:tcPr>
        <w:p w14:paraId="2DA6C843" w14:textId="77777777" w:rsidR="00C23FA8" w:rsidRDefault="00C23FA8" w:rsidP="00EE57E8">
          <w:pPr>
            <w:spacing w:line="0" w:lineRule="atLeast"/>
            <w:jc w:val="right"/>
            <w:rPr>
              <w:sz w:val="18"/>
            </w:rPr>
          </w:pPr>
        </w:p>
      </w:tc>
    </w:tr>
    <w:tr w:rsidR="00C23FA8" w14:paraId="2862E6F3" w14:textId="77777777" w:rsidTr="00617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8A1205B" w14:textId="77777777" w:rsidR="00C23FA8" w:rsidRDefault="00C23FA8" w:rsidP="00EE57E8">
          <w:pPr>
            <w:jc w:val="right"/>
            <w:rPr>
              <w:sz w:val="18"/>
            </w:rPr>
          </w:pPr>
        </w:p>
      </w:tc>
    </w:tr>
  </w:tbl>
  <w:p w14:paraId="7542D257" w14:textId="183F30D2" w:rsidR="00C23FA8" w:rsidRPr="00ED79B6" w:rsidRDefault="000C6D1F" w:rsidP="00666F26">
    <w:pPr>
      <w:jc w:val="center"/>
      <w:rPr>
        <w:i/>
        <w:sz w:val="18"/>
      </w:rPr>
    </w:pPr>
    <w:r w:rsidRPr="000C6D1F">
      <w:rPr>
        <w:rFonts w:ascii="Arial" w:hAnsi="Arial"/>
        <w:b/>
        <w:sz w:val="40"/>
      </w:rPr>
      <w:t>EXPOSURE DRAFT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EA2C" w14:textId="77777777" w:rsidR="00C23FA8" w:rsidRPr="00E33C1C" w:rsidRDefault="00C23FA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C23FA8" w14:paraId="7389E4E0" w14:textId="77777777" w:rsidTr="0061741D">
      <w:tc>
        <w:tcPr>
          <w:tcW w:w="1384" w:type="dxa"/>
          <w:tcBorders>
            <w:top w:val="nil"/>
            <w:left w:val="nil"/>
            <w:bottom w:val="nil"/>
            <w:right w:val="nil"/>
          </w:tcBorders>
        </w:tcPr>
        <w:p w14:paraId="754496AA" w14:textId="77777777" w:rsidR="00C23FA8" w:rsidRDefault="00C23FA8" w:rsidP="00EE57E8">
          <w:pPr>
            <w:spacing w:line="0" w:lineRule="atLeast"/>
            <w:rPr>
              <w:sz w:val="18"/>
            </w:rPr>
          </w:pPr>
        </w:p>
      </w:tc>
      <w:tc>
        <w:tcPr>
          <w:tcW w:w="6379" w:type="dxa"/>
          <w:tcBorders>
            <w:top w:val="nil"/>
            <w:left w:val="nil"/>
            <w:bottom w:val="nil"/>
            <w:right w:val="nil"/>
          </w:tcBorders>
        </w:tcPr>
        <w:p w14:paraId="6354DB30" w14:textId="7AF2D2E5" w:rsidR="00C23FA8" w:rsidRDefault="00C23FA8"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52E2">
            <w:rPr>
              <w:i/>
              <w:noProof/>
              <w:sz w:val="18"/>
            </w:rPr>
            <w:t>Telecommunications (Carrier Licence Conditions - Telstra Corporation Limited) Amendment (Regional Service Information) Instrument 2021</w:t>
          </w:r>
          <w:r w:rsidRPr="00B20990">
            <w:rPr>
              <w:i/>
              <w:sz w:val="18"/>
            </w:rPr>
            <w:fldChar w:fldCharType="end"/>
          </w:r>
        </w:p>
      </w:tc>
      <w:tc>
        <w:tcPr>
          <w:tcW w:w="709" w:type="dxa"/>
          <w:tcBorders>
            <w:top w:val="nil"/>
            <w:left w:val="nil"/>
            <w:bottom w:val="nil"/>
            <w:right w:val="nil"/>
          </w:tcBorders>
        </w:tcPr>
        <w:p w14:paraId="49699BC6" w14:textId="7E4814BF" w:rsidR="00C23FA8" w:rsidRDefault="00C23FA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52E2">
            <w:rPr>
              <w:i/>
              <w:noProof/>
              <w:sz w:val="18"/>
            </w:rPr>
            <w:t>11</w:t>
          </w:r>
          <w:r w:rsidRPr="00ED79B6">
            <w:rPr>
              <w:i/>
              <w:sz w:val="18"/>
            </w:rPr>
            <w:fldChar w:fldCharType="end"/>
          </w:r>
        </w:p>
      </w:tc>
    </w:tr>
    <w:tr w:rsidR="00C23FA8" w14:paraId="043FFB1F" w14:textId="77777777" w:rsidTr="00617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1E5F70" w14:textId="77777777" w:rsidR="00C23FA8" w:rsidRDefault="00C23FA8" w:rsidP="00EE57E8">
          <w:pPr>
            <w:rPr>
              <w:sz w:val="18"/>
            </w:rPr>
          </w:pPr>
        </w:p>
      </w:tc>
    </w:tr>
  </w:tbl>
  <w:p w14:paraId="259186EA" w14:textId="4B4095B2" w:rsidR="00C23FA8" w:rsidRPr="00ED79B6" w:rsidRDefault="000C6D1F" w:rsidP="00666F26">
    <w:pPr>
      <w:jc w:val="center"/>
      <w:rPr>
        <w:i/>
        <w:sz w:val="18"/>
      </w:rPr>
    </w:pPr>
    <w:r w:rsidRPr="000C6D1F">
      <w:rPr>
        <w:rFonts w:ascii="Arial" w:hAnsi="Arial"/>
        <w:b/>
        <w:sz w:val="40"/>
      </w:rPr>
      <w:t>EXPOSURE DRAFT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1C7A" w14:textId="77777777" w:rsidR="00C23FA8" w:rsidRPr="00E33C1C" w:rsidRDefault="00C23FA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23FA8" w14:paraId="6EC77F2C" w14:textId="77777777" w:rsidTr="007A6863">
      <w:tc>
        <w:tcPr>
          <w:tcW w:w="1384" w:type="dxa"/>
          <w:tcBorders>
            <w:top w:val="nil"/>
            <w:left w:val="nil"/>
            <w:bottom w:val="nil"/>
            <w:right w:val="nil"/>
          </w:tcBorders>
        </w:tcPr>
        <w:p w14:paraId="5C90180F" w14:textId="77777777" w:rsidR="00C23FA8" w:rsidRDefault="00C23FA8" w:rsidP="00EE57E8">
          <w:pPr>
            <w:spacing w:line="0" w:lineRule="atLeast"/>
            <w:rPr>
              <w:sz w:val="18"/>
            </w:rPr>
          </w:pPr>
        </w:p>
      </w:tc>
      <w:tc>
        <w:tcPr>
          <w:tcW w:w="6379" w:type="dxa"/>
          <w:tcBorders>
            <w:top w:val="nil"/>
            <w:left w:val="nil"/>
            <w:bottom w:val="nil"/>
            <w:right w:val="nil"/>
          </w:tcBorders>
        </w:tcPr>
        <w:p w14:paraId="1EF7E9F2" w14:textId="06564E3B" w:rsidR="00C23FA8" w:rsidRDefault="00C23FA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52E2">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7D69965" w14:textId="77777777" w:rsidR="00C23FA8" w:rsidRDefault="00C23FA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C23FA8" w14:paraId="5A0BE18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669FC3" w14:textId="60DFCBE9" w:rsidR="00C23FA8" w:rsidRDefault="00C23FA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552E2">
            <w:rPr>
              <w:i/>
              <w:noProof/>
              <w:sz w:val="18"/>
            </w:rPr>
            <w:t>\\dept.gov.au\DFS\Home\TODRISCOLL\Desktop\Telstra CLC - regional service information - exposure draft.docx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552E2">
            <w:rPr>
              <w:i/>
              <w:noProof/>
              <w:sz w:val="18"/>
            </w:rPr>
            <w:t>27/9/2021 3:51 PM</w:t>
          </w:r>
          <w:r w:rsidRPr="00ED79B6">
            <w:rPr>
              <w:i/>
              <w:sz w:val="18"/>
            </w:rPr>
            <w:fldChar w:fldCharType="end"/>
          </w:r>
        </w:p>
      </w:tc>
    </w:tr>
  </w:tbl>
  <w:p w14:paraId="14D77187" w14:textId="77777777" w:rsidR="00C23FA8" w:rsidRPr="00ED79B6" w:rsidRDefault="00C23FA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C7E7" w14:textId="77777777" w:rsidR="00E310B3" w:rsidRDefault="00E310B3" w:rsidP="0048364F">
      <w:pPr>
        <w:spacing w:line="240" w:lineRule="auto"/>
      </w:pPr>
      <w:r>
        <w:separator/>
      </w:r>
    </w:p>
  </w:footnote>
  <w:footnote w:type="continuationSeparator" w:id="0">
    <w:p w14:paraId="20B504E4" w14:textId="77777777" w:rsidR="00E310B3" w:rsidRDefault="00E310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6842" w14:textId="77777777" w:rsidR="00C23FA8" w:rsidRPr="005F1388" w:rsidRDefault="00C23FA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058F" w14:textId="77777777" w:rsidR="00C23FA8" w:rsidRPr="005F1388" w:rsidRDefault="00C23FA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EBDD" w14:textId="6C9D6C5C" w:rsidR="00C23FA8" w:rsidRDefault="000C6D1F" w:rsidP="0061741D">
    <w:pPr>
      <w:jc w:val="center"/>
      <w:rPr>
        <w:b/>
        <w:sz w:val="40"/>
      </w:rPr>
    </w:pPr>
    <w:r w:rsidRPr="000C6D1F">
      <w:rPr>
        <w:rFonts w:ascii="Arial" w:hAnsi="Arial"/>
        <w:b/>
        <w:sz w:val="40"/>
      </w:rPr>
      <w:t>EXPOSURE DRAFT</w:t>
    </w:r>
  </w:p>
  <w:p w14:paraId="5C2F6117" w14:textId="77777777" w:rsidR="00C23FA8" w:rsidRPr="005F1388" w:rsidRDefault="00C23FA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09F4" w14:textId="77777777" w:rsidR="00C23FA8" w:rsidRPr="00ED79B6" w:rsidRDefault="00C23FA8" w:rsidP="00F9381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EE51" w14:textId="7F093F87" w:rsidR="00C23FA8" w:rsidRPr="00ED79B6" w:rsidRDefault="000C6D1F" w:rsidP="00666F26">
    <w:pPr>
      <w:jc w:val="center"/>
    </w:pPr>
    <w:r w:rsidRPr="000C6D1F">
      <w:rPr>
        <w:rFonts w:ascii="Arial" w:hAnsi="Arial"/>
        <w:b/>
        <w:sz w:val="40"/>
      </w:rPr>
      <w:t>EXPOSURE DRAFT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336E" w14:textId="77777777" w:rsidR="00C23FA8" w:rsidRPr="00ED79B6" w:rsidRDefault="00C23FA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88D2" w14:textId="7776AB38" w:rsidR="00C23FA8" w:rsidRDefault="000C6D1F" w:rsidP="0061741D">
    <w:pPr>
      <w:jc w:val="center"/>
      <w:rPr>
        <w:b/>
        <w:sz w:val="40"/>
      </w:rPr>
    </w:pPr>
    <w:r w:rsidRPr="000C6D1F">
      <w:rPr>
        <w:rFonts w:ascii="Arial" w:hAnsi="Arial"/>
        <w:b/>
        <w:sz w:val="40"/>
      </w:rPr>
      <w:t>EXPOSURE DRAFT</w:t>
    </w:r>
  </w:p>
  <w:p w14:paraId="38E1DDA5" w14:textId="77777777" w:rsidR="00C23FA8" w:rsidRPr="00A961C4" w:rsidRDefault="00C23FA8" w:rsidP="0048364F">
    <w:pPr>
      <w:rPr>
        <w:b/>
        <w:sz w:val="20"/>
      </w:rPr>
    </w:pPr>
  </w:p>
  <w:p w14:paraId="4C00D86F" w14:textId="77777777" w:rsidR="00C23FA8" w:rsidRPr="00A961C4" w:rsidRDefault="00C23FA8" w:rsidP="0048364F">
    <w:pPr>
      <w:rPr>
        <w:b/>
        <w:sz w:val="20"/>
      </w:rPr>
    </w:pPr>
  </w:p>
  <w:p w14:paraId="577BFDD4" w14:textId="77777777" w:rsidR="00C23FA8" w:rsidRPr="00A961C4" w:rsidRDefault="00C23FA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9FC0" w14:textId="1E936966" w:rsidR="00C23FA8" w:rsidRDefault="000C6D1F" w:rsidP="0061741D">
    <w:pPr>
      <w:jc w:val="center"/>
      <w:rPr>
        <w:b/>
        <w:sz w:val="40"/>
      </w:rPr>
    </w:pPr>
    <w:r w:rsidRPr="000C6D1F">
      <w:rPr>
        <w:rFonts w:ascii="Arial" w:hAnsi="Arial"/>
        <w:b/>
        <w:sz w:val="40"/>
      </w:rPr>
      <w:t>EXPOSURE DRAFT</w:t>
    </w:r>
  </w:p>
  <w:p w14:paraId="426C3A94" w14:textId="77777777" w:rsidR="00C23FA8" w:rsidRPr="00A961C4" w:rsidRDefault="00C23FA8" w:rsidP="0048364F">
    <w:pPr>
      <w:jc w:val="right"/>
      <w:rPr>
        <w:sz w:val="20"/>
      </w:rPr>
    </w:pPr>
  </w:p>
  <w:p w14:paraId="4D101196" w14:textId="77777777" w:rsidR="00C23FA8" w:rsidRPr="00A961C4" w:rsidRDefault="00C23FA8" w:rsidP="0048364F">
    <w:pPr>
      <w:jc w:val="right"/>
      <w:rPr>
        <w:b/>
        <w:sz w:val="20"/>
      </w:rPr>
    </w:pPr>
  </w:p>
  <w:p w14:paraId="7C7F8ED1" w14:textId="77777777" w:rsidR="00C23FA8" w:rsidRPr="00A961C4" w:rsidRDefault="00C23FA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ACF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F6F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0D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E2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F0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AE66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C4D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21F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F1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8A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51D32"/>
    <w:multiLevelType w:val="hybridMultilevel"/>
    <w:tmpl w:val="1A2EA7E6"/>
    <w:lvl w:ilvl="0" w:tplc="AFF00C9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2" w15:restartNumberingAfterBreak="0">
    <w:nsid w:val="12405F86"/>
    <w:multiLevelType w:val="hybridMultilevel"/>
    <w:tmpl w:val="ACC81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493CA6"/>
    <w:multiLevelType w:val="hybridMultilevel"/>
    <w:tmpl w:val="B97C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DF160B"/>
    <w:multiLevelType w:val="hybridMultilevel"/>
    <w:tmpl w:val="1A2EA7E6"/>
    <w:lvl w:ilvl="0" w:tplc="AFF00C9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0260BA0"/>
    <w:multiLevelType w:val="hybridMultilevel"/>
    <w:tmpl w:val="60FA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C0499"/>
    <w:multiLevelType w:val="hybridMultilevel"/>
    <w:tmpl w:val="17125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23162F"/>
    <w:multiLevelType w:val="hybridMultilevel"/>
    <w:tmpl w:val="6ACC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062222"/>
    <w:multiLevelType w:val="hybridMultilevel"/>
    <w:tmpl w:val="E86E7D04"/>
    <w:lvl w:ilvl="0" w:tplc="B5EEF28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1" w15:restartNumberingAfterBreak="0">
    <w:nsid w:val="7B7F1705"/>
    <w:multiLevelType w:val="hybridMultilevel"/>
    <w:tmpl w:val="B76E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2"/>
  </w:num>
  <w:num w:numId="15">
    <w:abstractNumId w:val="14"/>
  </w:num>
  <w:num w:numId="16">
    <w:abstractNumId w:val="15"/>
  </w:num>
  <w:num w:numId="17">
    <w:abstractNumId w:val="20"/>
  </w:num>
  <w:num w:numId="18">
    <w:abstractNumId w:val="11"/>
  </w:num>
  <w:num w:numId="19">
    <w:abstractNumId w:val="21"/>
  </w:num>
  <w:num w:numId="20">
    <w:abstractNumId w:val="19"/>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6B"/>
    <w:rsid w:val="00000263"/>
    <w:rsid w:val="00002BCC"/>
    <w:rsid w:val="000113BC"/>
    <w:rsid w:val="000136AF"/>
    <w:rsid w:val="000248A7"/>
    <w:rsid w:val="000335BA"/>
    <w:rsid w:val="00033780"/>
    <w:rsid w:val="00037DC7"/>
    <w:rsid w:val="0004044E"/>
    <w:rsid w:val="0005120E"/>
    <w:rsid w:val="00054577"/>
    <w:rsid w:val="000552E2"/>
    <w:rsid w:val="000614BF"/>
    <w:rsid w:val="00066CA1"/>
    <w:rsid w:val="0007169C"/>
    <w:rsid w:val="00074FEA"/>
    <w:rsid w:val="00077593"/>
    <w:rsid w:val="00083F48"/>
    <w:rsid w:val="00092BEE"/>
    <w:rsid w:val="000A246F"/>
    <w:rsid w:val="000A479A"/>
    <w:rsid w:val="000A7DF9"/>
    <w:rsid w:val="000B0225"/>
    <w:rsid w:val="000B249B"/>
    <w:rsid w:val="000C6213"/>
    <w:rsid w:val="000C6D1F"/>
    <w:rsid w:val="000D05EF"/>
    <w:rsid w:val="000D3FB9"/>
    <w:rsid w:val="000D5485"/>
    <w:rsid w:val="000E4027"/>
    <w:rsid w:val="000E598E"/>
    <w:rsid w:val="000E5A3D"/>
    <w:rsid w:val="000F0ADA"/>
    <w:rsid w:val="000F21C1"/>
    <w:rsid w:val="000F2545"/>
    <w:rsid w:val="001060B7"/>
    <w:rsid w:val="0010745C"/>
    <w:rsid w:val="001122FF"/>
    <w:rsid w:val="00115C6A"/>
    <w:rsid w:val="00152FE0"/>
    <w:rsid w:val="00156B52"/>
    <w:rsid w:val="00160BD7"/>
    <w:rsid w:val="001643C9"/>
    <w:rsid w:val="00165568"/>
    <w:rsid w:val="00166082"/>
    <w:rsid w:val="00166C2F"/>
    <w:rsid w:val="001716C9"/>
    <w:rsid w:val="00184261"/>
    <w:rsid w:val="001844D5"/>
    <w:rsid w:val="00190C47"/>
    <w:rsid w:val="00193461"/>
    <w:rsid w:val="001939E1"/>
    <w:rsid w:val="0019452E"/>
    <w:rsid w:val="00195382"/>
    <w:rsid w:val="001A296E"/>
    <w:rsid w:val="001A3B9F"/>
    <w:rsid w:val="001A5520"/>
    <w:rsid w:val="001A65C0"/>
    <w:rsid w:val="001A6B9A"/>
    <w:rsid w:val="001A78F7"/>
    <w:rsid w:val="001B7A5D"/>
    <w:rsid w:val="001C1CB6"/>
    <w:rsid w:val="001C69C4"/>
    <w:rsid w:val="001E0A8D"/>
    <w:rsid w:val="001E3590"/>
    <w:rsid w:val="001E7407"/>
    <w:rsid w:val="001F1A46"/>
    <w:rsid w:val="00201D27"/>
    <w:rsid w:val="0021153A"/>
    <w:rsid w:val="002152FC"/>
    <w:rsid w:val="00221F28"/>
    <w:rsid w:val="002245A6"/>
    <w:rsid w:val="0022553B"/>
    <w:rsid w:val="002302EA"/>
    <w:rsid w:val="00237614"/>
    <w:rsid w:val="00240749"/>
    <w:rsid w:val="002468D7"/>
    <w:rsid w:val="00247E97"/>
    <w:rsid w:val="0025326F"/>
    <w:rsid w:val="00256C81"/>
    <w:rsid w:val="00263BBF"/>
    <w:rsid w:val="00267612"/>
    <w:rsid w:val="0027494C"/>
    <w:rsid w:val="002772AD"/>
    <w:rsid w:val="0028471D"/>
    <w:rsid w:val="00285CDD"/>
    <w:rsid w:val="00291167"/>
    <w:rsid w:val="0029489E"/>
    <w:rsid w:val="00294E3F"/>
    <w:rsid w:val="00297ECB"/>
    <w:rsid w:val="002B0EE4"/>
    <w:rsid w:val="002C152A"/>
    <w:rsid w:val="002D043A"/>
    <w:rsid w:val="003002BF"/>
    <w:rsid w:val="003110C4"/>
    <w:rsid w:val="0031713F"/>
    <w:rsid w:val="003222D1"/>
    <w:rsid w:val="0032750F"/>
    <w:rsid w:val="0033738D"/>
    <w:rsid w:val="003415D3"/>
    <w:rsid w:val="003442F6"/>
    <w:rsid w:val="00346335"/>
    <w:rsid w:val="0035104E"/>
    <w:rsid w:val="00352B0F"/>
    <w:rsid w:val="003561B0"/>
    <w:rsid w:val="0036060E"/>
    <w:rsid w:val="00366A73"/>
    <w:rsid w:val="00375C45"/>
    <w:rsid w:val="00386675"/>
    <w:rsid w:val="00390FD1"/>
    <w:rsid w:val="00393080"/>
    <w:rsid w:val="00396B23"/>
    <w:rsid w:val="00397893"/>
    <w:rsid w:val="003A15AC"/>
    <w:rsid w:val="003B0627"/>
    <w:rsid w:val="003B2FD7"/>
    <w:rsid w:val="003C5F2B"/>
    <w:rsid w:val="003C7D35"/>
    <w:rsid w:val="003D0BFE"/>
    <w:rsid w:val="003D5700"/>
    <w:rsid w:val="003E026F"/>
    <w:rsid w:val="003E29AC"/>
    <w:rsid w:val="003F13C1"/>
    <w:rsid w:val="003F494F"/>
    <w:rsid w:val="003F6F52"/>
    <w:rsid w:val="003F7267"/>
    <w:rsid w:val="00401EEB"/>
    <w:rsid w:val="004022CA"/>
    <w:rsid w:val="004077CA"/>
    <w:rsid w:val="004116CD"/>
    <w:rsid w:val="00414ADE"/>
    <w:rsid w:val="00424CA9"/>
    <w:rsid w:val="004257BB"/>
    <w:rsid w:val="00432973"/>
    <w:rsid w:val="00442705"/>
    <w:rsid w:val="0044291A"/>
    <w:rsid w:val="00446940"/>
    <w:rsid w:val="004476AD"/>
    <w:rsid w:val="00455C98"/>
    <w:rsid w:val="004600B0"/>
    <w:rsid w:val="00460499"/>
    <w:rsid w:val="00460FBA"/>
    <w:rsid w:val="00474835"/>
    <w:rsid w:val="00475ADB"/>
    <w:rsid w:val="004819C7"/>
    <w:rsid w:val="0048364F"/>
    <w:rsid w:val="004877FC"/>
    <w:rsid w:val="00490F2E"/>
    <w:rsid w:val="00496F97"/>
    <w:rsid w:val="004A53EA"/>
    <w:rsid w:val="004B35E7"/>
    <w:rsid w:val="004E026E"/>
    <w:rsid w:val="004F1FAC"/>
    <w:rsid w:val="004F222B"/>
    <w:rsid w:val="004F676E"/>
    <w:rsid w:val="004F71C0"/>
    <w:rsid w:val="00510214"/>
    <w:rsid w:val="00514FC2"/>
    <w:rsid w:val="0051507C"/>
    <w:rsid w:val="00516588"/>
    <w:rsid w:val="00516B8D"/>
    <w:rsid w:val="00517EB3"/>
    <w:rsid w:val="0052756C"/>
    <w:rsid w:val="00530230"/>
    <w:rsid w:val="00530CC9"/>
    <w:rsid w:val="00531B46"/>
    <w:rsid w:val="005322AB"/>
    <w:rsid w:val="00533C7C"/>
    <w:rsid w:val="00537FBC"/>
    <w:rsid w:val="00541D73"/>
    <w:rsid w:val="00543469"/>
    <w:rsid w:val="005449D2"/>
    <w:rsid w:val="00546E06"/>
    <w:rsid w:val="00546FA3"/>
    <w:rsid w:val="00554B77"/>
    <w:rsid w:val="00557C7A"/>
    <w:rsid w:val="00562A58"/>
    <w:rsid w:val="00563D50"/>
    <w:rsid w:val="0056541A"/>
    <w:rsid w:val="005748C1"/>
    <w:rsid w:val="00581211"/>
    <w:rsid w:val="00584811"/>
    <w:rsid w:val="00590451"/>
    <w:rsid w:val="00590CE6"/>
    <w:rsid w:val="00593AA6"/>
    <w:rsid w:val="00594161"/>
    <w:rsid w:val="00594749"/>
    <w:rsid w:val="00594956"/>
    <w:rsid w:val="005A2215"/>
    <w:rsid w:val="005A68A1"/>
    <w:rsid w:val="005B1555"/>
    <w:rsid w:val="005B4067"/>
    <w:rsid w:val="005C3F41"/>
    <w:rsid w:val="005C4EF0"/>
    <w:rsid w:val="005D5EA1"/>
    <w:rsid w:val="005E098C"/>
    <w:rsid w:val="005E1F8D"/>
    <w:rsid w:val="005E317F"/>
    <w:rsid w:val="005E61D3"/>
    <w:rsid w:val="00600219"/>
    <w:rsid w:val="0060208C"/>
    <w:rsid w:val="00604E44"/>
    <w:rsid w:val="00605747"/>
    <w:rsid w:val="006065DA"/>
    <w:rsid w:val="00606AA4"/>
    <w:rsid w:val="0061741D"/>
    <w:rsid w:val="00617C50"/>
    <w:rsid w:val="00622B42"/>
    <w:rsid w:val="006310A7"/>
    <w:rsid w:val="00634BFC"/>
    <w:rsid w:val="00640402"/>
    <w:rsid w:val="00640F78"/>
    <w:rsid w:val="006442B1"/>
    <w:rsid w:val="00654955"/>
    <w:rsid w:val="00655D6A"/>
    <w:rsid w:val="00656DE9"/>
    <w:rsid w:val="00662701"/>
    <w:rsid w:val="00666F26"/>
    <w:rsid w:val="00670A35"/>
    <w:rsid w:val="00672876"/>
    <w:rsid w:val="00673956"/>
    <w:rsid w:val="00677CC2"/>
    <w:rsid w:val="00685F42"/>
    <w:rsid w:val="0069207B"/>
    <w:rsid w:val="006A19F8"/>
    <w:rsid w:val="006A304E"/>
    <w:rsid w:val="006A7A2E"/>
    <w:rsid w:val="006B66AD"/>
    <w:rsid w:val="006B6CB9"/>
    <w:rsid w:val="006B7006"/>
    <w:rsid w:val="006C32E4"/>
    <w:rsid w:val="006C7F8C"/>
    <w:rsid w:val="006D7AB9"/>
    <w:rsid w:val="006E60E7"/>
    <w:rsid w:val="006F77A3"/>
    <w:rsid w:val="00700B2C"/>
    <w:rsid w:val="007048D5"/>
    <w:rsid w:val="00713084"/>
    <w:rsid w:val="00717463"/>
    <w:rsid w:val="007201F9"/>
    <w:rsid w:val="00720FC2"/>
    <w:rsid w:val="007227F7"/>
    <w:rsid w:val="00722E89"/>
    <w:rsid w:val="0072507E"/>
    <w:rsid w:val="00731B0D"/>
    <w:rsid w:val="00731E00"/>
    <w:rsid w:val="007339C7"/>
    <w:rsid w:val="00736697"/>
    <w:rsid w:val="007440B7"/>
    <w:rsid w:val="00747993"/>
    <w:rsid w:val="00752577"/>
    <w:rsid w:val="0075582B"/>
    <w:rsid w:val="007575FA"/>
    <w:rsid w:val="007634AD"/>
    <w:rsid w:val="007679CE"/>
    <w:rsid w:val="00770A4F"/>
    <w:rsid w:val="007715C9"/>
    <w:rsid w:val="00772F39"/>
    <w:rsid w:val="00774EDD"/>
    <w:rsid w:val="007757EC"/>
    <w:rsid w:val="0078280A"/>
    <w:rsid w:val="00790537"/>
    <w:rsid w:val="00794F08"/>
    <w:rsid w:val="007A5904"/>
    <w:rsid w:val="007A5BB2"/>
    <w:rsid w:val="007A6863"/>
    <w:rsid w:val="007B2882"/>
    <w:rsid w:val="007B4E5E"/>
    <w:rsid w:val="007C1F30"/>
    <w:rsid w:val="007C5621"/>
    <w:rsid w:val="007C78B4"/>
    <w:rsid w:val="007D0813"/>
    <w:rsid w:val="007E32B6"/>
    <w:rsid w:val="007E486B"/>
    <w:rsid w:val="007E7D4A"/>
    <w:rsid w:val="007F48ED"/>
    <w:rsid w:val="007F5E3F"/>
    <w:rsid w:val="00806699"/>
    <w:rsid w:val="00811533"/>
    <w:rsid w:val="00812F45"/>
    <w:rsid w:val="00825940"/>
    <w:rsid w:val="00836FE9"/>
    <w:rsid w:val="00840C40"/>
    <w:rsid w:val="0084172C"/>
    <w:rsid w:val="0085175E"/>
    <w:rsid w:val="00856A31"/>
    <w:rsid w:val="0087171D"/>
    <w:rsid w:val="00873FD4"/>
    <w:rsid w:val="008754D0"/>
    <w:rsid w:val="00877C69"/>
    <w:rsid w:val="00877D48"/>
    <w:rsid w:val="0088345B"/>
    <w:rsid w:val="00883FD4"/>
    <w:rsid w:val="008955D8"/>
    <w:rsid w:val="008A16A5"/>
    <w:rsid w:val="008A3937"/>
    <w:rsid w:val="008A5C57"/>
    <w:rsid w:val="008A61D1"/>
    <w:rsid w:val="008B1D49"/>
    <w:rsid w:val="008C0629"/>
    <w:rsid w:val="008D0EE0"/>
    <w:rsid w:val="008D649A"/>
    <w:rsid w:val="008D7A27"/>
    <w:rsid w:val="008E1A43"/>
    <w:rsid w:val="008E252B"/>
    <w:rsid w:val="008E4702"/>
    <w:rsid w:val="008E69AA"/>
    <w:rsid w:val="008F4F1C"/>
    <w:rsid w:val="009069AD"/>
    <w:rsid w:val="00910CD1"/>
    <w:rsid w:val="00910E64"/>
    <w:rsid w:val="00922764"/>
    <w:rsid w:val="00922A40"/>
    <w:rsid w:val="0092516A"/>
    <w:rsid w:val="009278C1"/>
    <w:rsid w:val="00932121"/>
    <w:rsid w:val="00932377"/>
    <w:rsid w:val="00933781"/>
    <w:rsid w:val="009346E3"/>
    <w:rsid w:val="00941182"/>
    <w:rsid w:val="0094523D"/>
    <w:rsid w:val="00976A63"/>
    <w:rsid w:val="00976E2F"/>
    <w:rsid w:val="009B04AD"/>
    <w:rsid w:val="009B2490"/>
    <w:rsid w:val="009B50E5"/>
    <w:rsid w:val="009C3431"/>
    <w:rsid w:val="009C5989"/>
    <w:rsid w:val="009C6A32"/>
    <w:rsid w:val="009C72FC"/>
    <w:rsid w:val="009D08DA"/>
    <w:rsid w:val="009E7155"/>
    <w:rsid w:val="009F69FE"/>
    <w:rsid w:val="00A02D8D"/>
    <w:rsid w:val="00A05A5F"/>
    <w:rsid w:val="00A06860"/>
    <w:rsid w:val="00A136F5"/>
    <w:rsid w:val="00A22050"/>
    <w:rsid w:val="00A231E2"/>
    <w:rsid w:val="00A2550D"/>
    <w:rsid w:val="00A27A7F"/>
    <w:rsid w:val="00A31A14"/>
    <w:rsid w:val="00A35A05"/>
    <w:rsid w:val="00A379BB"/>
    <w:rsid w:val="00A37D58"/>
    <w:rsid w:val="00A37F27"/>
    <w:rsid w:val="00A4169B"/>
    <w:rsid w:val="00A438A1"/>
    <w:rsid w:val="00A4593F"/>
    <w:rsid w:val="00A479DE"/>
    <w:rsid w:val="00A50D55"/>
    <w:rsid w:val="00A52FDA"/>
    <w:rsid w:val="00A53318"/>
    <w:rsid w:val="00A57687"/>
    <w:rsid w:val="00A640B8"/>
    <w:rsid w:val="00A64912"/>
    <w:rsid w:val="00A70A74"/>
    <w:rsid w:val="00A719B1"/>
    <w:rsid w:val="00A72CE9"/>
    <w:rsid w:val="00A72F63"/>
    <w:rsid w:val="00A82297"/>
    <w:rsid w:val="00A86067"/>
    <w:rsid w:val="00A9231A"/>
    <w:rsid w:val="00A95BC7"/>
    <w:rsid w:val="00AA0343"/>
    <w:rsid w:val="00AA15C6"/>
    <w:rsid w:val="00AA1F4C"/>
    <w:rsid w:val="00AA5727"/>
    <w:rsid w:val="00AA744D"/>
    <w:rsid w:val="00AA78CE"/>
    <w:rsid w:val="00AA7B26"/>
    <w:rsid w:val="00AC66F5"/>
    <w:rsid w:val="00AC767C"/>
    <w:rsid w:val="00AD1326"/>
    <w:rsid w:val="00AD2F56"/>
    <w:rsid w:val="00AD3467"/>
    <w:rsid w:val="00AD5641"/>
    <w:rsid w:val="00AE27E6"/>
    <w:rsid w:val="00AF33DB"/>
    <w:rsid w:val="00B032D8"/>
    <w:rsid w:val="00B04515"/>
    <w:rsid w:val="00B05D72"/>
    <w:rsid w:val="00B20990"/>
    <w:rsid w:val="00B23FAF"/>
    <w:rsid w:val="00B33B3C"/>
    <w:rsid w:val="00B36B28"/>
    <w:rsid w:val="00B40D74"/>
    <w:rsid w:val="00B42516"/>
    <w:rsid w:val="00B42649"/>
    <w:rsid w:val="00B46467"/>
    <w:rsid w:val="00B50C6B"/>
    <w:rsid w:val="00B52663"/>
    <w:rsid w:val="00B538AC"/>
    <w:rsid w:val="00B56DCB"/>
    <w:rsid w:val="00B61728"/>
    <w:rsid w:val="00B65154"/>
    <w:rsid w:val="00B65371"/>
    <w:rsid w:val="00B770D2"/>
    <w:rsid w:val="00B8566A"/>
    <w:rsid w:val="00B86999"/>
    <w:rsid w:val="00B900E1"/>
    <w:rsid w:val="00B93212"/>
    <w:rsid w:val="00B93516"/>
    <w:rsid w:val="00B93E14"/>
    <w:rsid w:val="00B96776"/>
    <w:rsid w:val="00B973E5"/>
    <w:rsid w:val="00BA47A3"/>
    <w:rsid w:val="00BA5026"/>
    <w:rsid w:val="00BA7B5B"/>
    <w:rsid w:val="00BB6E79"/>
    <w:rsid w:val="00BB6F31"/>
    <w:rsid w:val="00BC1270"/>
    <w:rsid w:val="00BE1422"/>
    <w:rsid w:val="00BE42C5"/>
    <w:rsid w:val="00BE719A"/>
    <w:rsid w:val="00BE720A"/>
    <w:rsid w:val="00BF0723"/>
    <w:rsid w:val="00BF240B"/>
    <w:rsid w:val="00BF4D43"/>
    <w:rsid w:val="00BF6650"/>
    <w:rsid w:val="00C006EE"/>
    <w:rsid w:val="00C067E5"/>
    <w:rsid w:val="00C07A15"/>
    <w:rsid w:val="00C12331"/>
    <w:rsid w:val="00C14F7E"/>
    <w:rsid w:val="00C164CA"/>
    <w:rsid w:val="00C23FA8"/>
    <w:rsid w:val="00C26051"/>
    <w:rsid w:val="00C30764"/>
    <w:rsid w:val="00C35370"/>
    <w:rsid w:val="00C4210E"/>
    <w:rsid w:val="00C42BF8"/>
    <w:rsid w:val="00C460AE"/>
    <w:rsid w:val="00C50043"/>
    <w:rsid w:val="00C5015F"/>
    <w:rsid w:val="00C50A0F"/>
    <w:rsid w:val="00C50F4A"/>
    <w:rsid w:val="00C55D25"/>
    <w:rsid w:val="00C72D10"/>
    <w:rsid w:val="00C74823"/>
    <w:rsid w:val="00C75356"/>
    <w:rsid w:val="00C7573B"/>
    <w:rsid w:val="00C76CF3"/>
    <w:rsid w:val="00C8184B"/>
    <w:rsid w:val="00C93205"/>
    <w:rsid w:val="00C945DC"/>
    <w:rsid w:val="00C969F2"/>
    <w:rsid w:val="00C9743C"/>
    <w:rsid w:val="00CA635E"/>
    <w:rsid w:val="00CA7236"/>
    <w:rsid w:val="00CA7844"/>
    <w:rsid w:val="00CB58EF"/>
    <w:rsid w:val="00CB69FE"/>
    <w:rsid w:val="00CD6D71"/>
    <w:rsid w:val="00CE0788"/>
    <w:rsid w:val="00CE0A93"/>
    <w:rsid w:val="00CF0BB2"/>
    <w:rsid w:val="00CF4D2B"/>
    <w:rsid w:val="00D12B0D"/>
    <w:rsid w:val="00D13441"/>
    <w:rsid w:val="00D243A3"/>
    <w:rsid w:val="00D27F93"/>
    <w:rsid w:val="00D33440"/>
    <w:rsid w:val="00D52EFE"/>
    <w:rsid w:val="00D56A0D"/>
    <w:rsid w:val="00D63EF6"/>
    <w:rsid w:val="00D65E7E"/>
    <w:rsid w:val="00D66518"/>
    <w:rsid w:val="00D67E98"/>
    <w:rsid w:val="00D70DFB"/>
    <w:rsid w:val="00D71EEA"/>
    <w:rsid w:val="00D735CD"/>
    <w:rsid w:val="00D766DF"/>
    <w:rsid w:val="00D808AF"/>
    <w:rsid w:val="00D80C30"/>
    <w:rsid w:val="00D90841"/>
    <w:rsid w:val="00DA169D"/>
    <w:rsid w:val="00DA2439"/>
    <w:rsid w:val="00DA6F05"/>
    <w:rsid w:val="00DB64FC"/>
    <w:rsid w:val="00DC3F46"/>
    <w:rsid w:val="00DD3689"/>
    <w:rsid w:val="00DD61AB"/>
    <w:rsid w:val="00DE0939"/>
    <w:rsid w:val="00DE149E"/>
    <w:rsid w:val="00DE15C5"/>
    <w:rsid w:val="00DE708B"/>
    <w:rsid w:val="00DF7430"/>
    <w:rsid w:val="00E034DB"/>
    <w:rsid w:val="00E05704"/>
    <w:rsid w:val="00E1016E"/>
    <w:rsid w:val="00E12F1A"/>
    <w:rsid w:val="00E2256A"/>
    <w:rsid w:val="00E22935"/>
    <w:rsid w:val="00E26AD3"/>
    <w:rsid w:val="00E310B3"/>
    <w:rsid w:val="00E413D9"/>
    <w:rsid w:val="00E421E8"/>
    <w:rsid w:val="00E427AD"/>
    <w:rsid w:val="00E471AD"/>
    <w:rsid w:val="00E47E7C"/>
    <w:rsid w:val="00E54292"/>
    <w:rsid w:val="00E6007D"/>
    <w:rsid w:val="00E60191"/>
    <w:rsid w:val="00E7323F"/>
    <w:rsid w:val="00E74DC7"/>
    <w:rsid w:val="00E81F41"/>
    <w:rsid w:val="00E87699"/>
    <w:rsid w:val="00E92E27"/>
    <w:rsid w:val="00E9586B"/>
    <w:rsid w:val="00E97334"/>
    <w:rsid w:val="00EA2976"/>
    <w:rsid w:val="00EB3A99"/>
    <w:rsid w:val="00EB65F8"/>
    <w:rsid w:val="00EC15D5"/>
    <w:rsid w:val="00ED1DAB"/>
    <w:rsid w:val="00ED3057"/>
    <w:rsid w:val="00ED4928"/>
    <w:rsid w:val="00EE0FA4"/>
    <w:rsid w:val="00EE3FFE"/>
    <w:rsid w:val="00EE57E8"/>
    <w:rsid w:val="00EE6190"/>
    <w:rsid w:val="00EF2E3A"/>
    <w:rsid w:val="00EF563B"/>
    <w:rsid w:val="00EF57B8"/>
    <w:rsid w:val="00EF6402"/>
    <w:rsid w:val="00F00D2E"/>
    <w:rsid w:val="00F047E2"/>
    <w:rsid w:val="00F0491B"/>
    <w:rsid w:val="00F04D57"/>
    <w:rsid w:val="00F078DC"/>
    <w:rsid w:val="00F13E86"/>
    <w:rsid w:val="00F20B52"/>
    <w:rsid w:val="00F22B9E"/>
    <w:rsid w:val="00F32FCB"/>
    <w:rsid w:val="00F33523"/>
    <w:rsid w:val="00F36646"/>
    <w:rsid w:val="00F659A0"/>
    <w:rsid w:val="00F6641F"/>
    <w:rsid w:val="00F677A9"/>
    <w:rsid w:val="00F70505"/>
    <w:rsid w:val="00F8121C"/>
    <w:rsid w:val="00F8487B"/>
    <w:rsid w:val="00F84CF5"/>
    <w:rsid w:val="00F8612E"/>
    <w:rsid w:val="00F90952"/>
    <w:rsid w:val="00F9381A"/>
    <w:rsid w:val="00F94583"/>
    <w:rsid w:val="00FA2C44"/>
    <w:rsid w:val="00FA420B"/>
    <w:rsid w:val="00FB27C4"/>
    <w:rsid w:val="00FB6AEE"/>
    <w:rsid w:val="00FC3EAC"/>
    <w:rsid w:val="00FC732C"/>
    <w:rsid w:val="00FD0324"/>
    <w:rsid w:val="00FE39ED"/>
    <w:rsid w:val="00FF39DE"/>
    <w:rsid w:val="00FF6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EB1AE"/>
  <w15:docId w15:val="{AB44BA76-0130-4B79-A832-5BE5EE6B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FB27C4"/>
    <w:rPr>
      <w:sz w:val="16"/>
      <w:szCs w:val="16"/>
    </w:rPr>
  </w:style>
  <w:style w:type="paragraph" w:styleId="CommentText">
    <w:name w:val="annotation text"/>
    <w:basedOn w:val="Normal"/>
    <w:link w:val="CommentTextChar"/>
    <w:uiPriority w:val="99"/>
    <w:semiHidden/>
    <w:unhideWhenUsed/>
    <w:rsid w:val="00FB27C4"/>
    <w:pPr>
      <w:spacing w:line="240" w:lineRule="auto"/>
    </w:pPr>
    <w:rPr>
      <w:sz w:val="20"/>
    </w:rPr>
  </w:style>
  <w:style w:type="character" w:customStyle="1" w:styleId="CommentTextChar">
    <w:name w:val="Comment Text Char"/>
    <w:basedOn w:val="DefaultParagraphFont"/>
    <w:link w:val="CommentText"/>
    <w:uiPriority w:val="99"/>
    <w:semiHidden/>
    <w:rsid w:val="00FB27C4"/>
  </w:style>
  <w:style w:type="paragraph" w:styleId="CommentSubject">
    <w:name w:val="annotation subject"/>
    <w:basedOn w:val="CommentText"/>
    <w:next w:val="CommentText"/>
    <w:link w:val="CommentSubjectChar"/>
    <w:uiPriority w:val="99"/>
    <w:semiHidden/>
    <w:unhideWhenUsed/>
    <w:rsid w:val="00FB27C4"/>
    <w:rPr>
      <w:b/>
      <w:bCs/>
    </w:rPr>
  </w:style>
  <w:style w:type="character" w:customStyle="1" w:styleId="CommentSubjectChar">
    <w:name w:val="Comment Subject Char"/>
    <w:basedOn w:val="CommentTextChar"/>
    <w:link w:val="CommentSubject"/>
    <w:uiPriority w:val="99"/>
    <w:semiHidden/>
    <w:rsid w:val="00FB27C4"/>
    <w:rPr>
      <w:b/>
      <w:bCs/>
    </w:rPr>
  </w:style>
  <w:style w:type="character" w:styleId="Hyperlink">
    <w:name w:val="Hyperlink"/>
    <w:basedOn w:val="DefaultParagraphFont"/>
    <w:uiPriority w:val="99"/>
    <w:unhideWhenUsed/>
    <w:rsid w:val="00F9381A"/>
    <w:rPr>
      <w:color w:val="0000FF" w:themeColor="hyperlink"/>
      <w:u w:val="single"/>
    </w:rPr>
  </w:style>
  <w:style w:type="paragraph" w:styleId="ListParagraph">
    <w:name w:val="List Paragraph"/>
    <w:basedOn w:val="Normal"/>
    <w:uiPriority w:val="34"/>
    <w:qFormat/>
    <w:rsid w:val="004077CA"/>
    <w:pPr>
      <w:spacing w:after="160" w:line="259" w:lineRule="auto"/>
      <w:ind w:left="720"/>
      <w:contextualSpacing/>
    </w:pPr>
    <w:rPr>
      <w:rFonts w:asciiTheme="minorHAnsi" w:hAnsiTheme="minorHAnsi"/>
      <w:szCs w:val="22"/>
    </w:rPr>
  </w:style>
  <w:style w:type="paragraph" w:styleId="Revision">
    <w:name w:val="Revision"/>
    <w:hidden/>
    <w:uiPriority w:val="99"/>
    <w:semiHidden/>
    <w:rsid w:val="00FC73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7307">
      <w:bodyDiv w:val="1"/>
      <w:marLeft w:val="0"/>
      <w:marRight w:val="0"/>
      <w:marTop w:val="0"/>
      <w:marBottom w:val="0"/>
      <w:divBdr>
        <w:top w:val="none" w:sz="0" w:space="0" w:color="auto"/>
        <w:left w:val="none" w:sz="0" w:space="0" w:color="auto"/>
        <w:bottom w:val="none" w:sz="0" w:space="0" w:color="auto"/>
        <w:right w:val="none" w:sz="0" w:space="0" w:color="auto"/>
      </w:divBdr>
    </w:div>
    <w:div w:id="76440816">
      <w:bodyDiv w:val="1"/>
      <w:marLeft w:val="0"/>
      <w:marRight w:val="0"/>
      <w:marTop w:val="0"/>
      <w:marBottom w:val="0"/>
      <w:divBdr>
        <w:top w:val="none" w:sz="0" w:space="0" w:color="auto"/>
        <w:left w:val="none" w:sz="0" w:space="0" w:color="auto"/>
        <w:bottom w:val="none" w:sz="0" w:space="0" w:color="auto"/>
        <w:right w:val="none" w:sz="0" w:space="0" w:color="auto"/>
      </w:divBdr>
    </w:div>
    <w:div w:id="76441029">
      <w:bodyDiv w:val="1"/>
      <w:marLeft w:val="0"/>
      <w:marRight w:val="0"/>
      <w:marTop w:val="0"/>
      <w:marBottom w:val="0"/>
      <w:divBdr>
        <w:top w:val="none" w:sz="0" w:space="0" w:color="auto"/>
        <w:left w:val="none" w:sz="0" w:space="0" w:color="auto"/>
        <w:bottom w:val="none" w:sz="0" w:space="0" w:color="auto"/>
        <w:right w:val="none" w:sz="0" w:space="0" w:color="auto"/>
      </w:divBdr>
    </w:div>
    <w:div w:id="165485730">
      <w:bodyDiv w:val="1"/>
      <w:marLeft w:val="0"/>
      <w:marRight w:val="0"/>
      <w:marTop w:val="0"/>
      <w:marBottom w:val="0"/>
      <w:divBdr>
        <w:top w:val="none" w:sz="0" w:space="0" w:color="auto"/>
        <w:left w:val="none" w:sz="0" w:space="0" w:color="auto"/>
        <w:bottom w:val="none" w:sz="0" w:space="0" w:color="auto"/>
        <w:right w:val="none" w:sz="0" w:space="0" w:color="auto"/>
      </w:divBdr>
    </w:div>
    <w:div w:id="719135425">
      <w:bodyDiv w:val="1"/>
      <w:marLeft w:val="0"/>
      <w:marRight w:val="0"/>
      <w:marTop w:val="0"/>
      <w:marBottom w:val="0"/>
      <w:divBdr>
        <w:top w:val="none" w:sz="0" w:space="0" w:color="auto"/>
        <w:left w:val="none" w:sz="0" w:space="0" w:color="auto"/>
        <w:bottom w:val="none" w:sz="0" w:space="0" w:color="auto"/>
        <w:right w:val="none" w:sz="0" w:space="0" w:color="auto"/>
      </w:divBdr>
    </w:div>
    <w:div w:id="1015375858">
      <w:bodyDiv w:val="1"/>
      <w:marLeft w:val="0"/>
      <w:marRight w:val="0"/>
      <w:marTop w:val="0"/>
      <w:marBottom w:val="0"/>
      <w:divBdr>
        <w:top w:val="none" w:sz="0" w:space="0" w:color="auto"/>
        <w:left w:val="none" w:sz="0" w:space="0" w:color="auto"/>
        <w:bottom w:val="none" w:sz="0" w:space="0" w:color="auto"/>
        <w:right w:val="none" w:sz="0" w:space="0" w:color="auto"/>
      </w:divBdr>
    </w:div>
    <w:div w:id="1134906324">
      <w:bodyDiv w:val="1"/>
      <w:marLeft w:val="0"/>
      <w:marRight w:val="0"/>
      <w:marTop w:val="0"/>
      <w:marBottom w:val="0"/>
      <w:divBdr>
        <w:top w:val="none" w:sz="0" w:space="0" w:color="auto"/>
        <w:left w:val="none" w:sz="0" w:space="0" w:color="auto"/>
        <w:bottom w:val="none" w:sz="0" w:space="0" w:color="auto"/>
        <w:right w:val="none" w:sz="0" w:space="0" w:color="auto"/>
      </w:divBdr>
    </w:div>
    <w:div w:id="1148589961">
      <w:bodyDiv w:val="1"/>
      <w:marLeft w:val="0"/>
      <w:marRight w:val="0"/>
      <w:marTop w:val="0"/>
      <w:marBottom w:val="0"/>
      <w:divBdr>
        <w:top w:val="none" w:sz="0" w:space="0" w:color="auto"/>
        <w:left w:val="none" w:sz="0" w:space="0" w:color="auto"/>
        <w:bottom w:val="none" w:sz="0" w:space="0" w:color="auto"/>
        <w:right w:val="none" w:sz="0" w:space="0" w:color="auto"/>
      </w:divBdr>
    </w:div>
    <w:div w:id="1171259608">
      <w:bodyDiv w:val="1"/>
      <w:marLeft w:val="0"/>
      <w:marRight w:val="0"/>
      <w:marTop w:val="0"/>
      <w:marBottom w:val="0"/>
      <w:divBdr>
        <w:top w:val="none" w:sz="0" w:space="0" w:color="auto"/>
        <w:left w:val="none" w:sz="0" w:space="0" w:color="auto"/>
        <w:bottom w:val="none" w:sz="0" w:space="0" w:color="auto"/>
        <w:right w:val="none" w:sz="0" w:space="0" w:color="auto"/>
      </w:divBdr>
    </w:div>
    <w:div w:id="1401101338">
      <w:bodyDiv w:val="1"/>
      <w:marLeft w:val="0"/>
      <w:marRight w:val="0"/>
      <w:marTop w:val="0"/>
      <w:marBottom w:val="0"/>
      <w:divBdr>
        <w:top w:val="none" w:sz="0" w:space="0" w:color="auto"/>
        <w:left w:val="none" w:sz="0" w:space="0" w:color="auto"/>
        <w:bottom w:val="none" w:sz="0" w:space="0" w:color="auto"/>
        <w:right w:val="none" w:sz="0" w:space="0" w:color="auto"/>
      </w:divBdr>
    </w:div>
    <w:div w:id="1674726107">
      <w:bodyDiv w:val="1"/>
      <w:marLeft w:val="0"/>
      <w:marRight w:val="0"/>
      <w:marTop w:val="0"/>
      <w:marBottom w:val="0"/>
      <w:divBdr>
        <w:top w:val="none" w:sz="0" w:space="0" w:color="auto"/>
        <w:left w:val="none" w:sz="0" w:space="0" w:color="auto"/>
        <w:bottom w:val="none" w:sz="0" w:space="0" w:color="auto"/>
        <w:right w:val="none" w:sz="0" w:space="0" w:color="auto"/>
      </w:divBdr>
    </w:div>
    <w:div w:id="18980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F082D9-C990-4C1C-8CD8-931AAEF8F2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D981984FDB58468C82BEC8FFFF4D3C" ma:contentTypeVersion="" ma:contentTypeDescription="PDMS Document Site Content Type" ma:contentTypeScope="" ma:versionID="7af01787c16fcdabd597b7a01fbbd21e">
  <xsd:schema xmlns:xsd="http://www.w3.org/2001/XMLSchema" xmlns:xs="http://www.w3.org/2001/XMLSchema" xmlns:p="http://schemas.microsoft.com/office/2006/metadata/properties" xmlns:ns2="68F082D9-C990-4C1C-8CD8-931AAEF8F2D9" targetNamespace="http://schemas.microsoft.com/office/2006/metadata/properties" ma:root="true" ma:fieldsID="75d2e64f0fc470f2c7696899bbc3a18a" ns2:_="">
    <xsd:import namespace="68F082D9-C990-4C1C-8CD8-931AAEF8F2D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82D9-C990-4C1C-8CD8-931AAEF8F2D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5171-7BCC-4A5F-883C-174442411F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F082D9-C990-4C1C-8CD8-931AAEF8F2D9"/>
    <ds:schemaRef ds:uri="http://www.w3.org/XML/1998/namespace"/>
    <ds:schemaRef ds:uri="http://purl.org/dc/dcmitype/"/>
  </ds:schemaRefs>
</ds:datastoreItem>
</file>

<file path=customXml/itemProps2.xml><?xml version="1.0" encoding="utf-8"?>
<ds:datastoreItem xmlns:ds="http://schemas.openxmlformats.org/officeDocument/2006/customXml" ds:itemID="{3F2716F3-6E25-4D2E-9316-64FBDCAB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82D9-C990-4C1C-8CD8-931AAEF8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3BC65-EE80-4F22-BD5B-7C7C780457F0}">
  <ds:schemaRefs>
    <ds:schemaRef ds:uri="http://schemas.microsoft.com/sharepoint/v3/contenttype/forms"/>
  </ds:schemaRefs>
</ds:datastoreItem>
</file>

<file path=customXml/itemProps4.xml><?xml version="1.0" encoding="utf-8"?>
<ds:datastoreItem xmlns:ds="http://schemas.openxmlformats.org/officeDocument/2006/customXml" ds:itemID="{E30465CC-72CE-4575-B869-F9788BF1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4410</Words>
  <Characters>25141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Sousa, Chantelle</dc:creator>
  <cp:lastModifiedBy>Driscoll, Tom</cp:lastModifiedBy>
  <cp:revision>3</cp:revision>
  <cp:lastPrinted>2021-09-27T05:51:00Z</cp:lastPrinted>
  <dcterms:created xsi:type="dcterms:W3CDTF">2021-09-27T05:07:00Z</dcterms:created>
  <dcterms:modified xsi:type="dcterms:W3CDTF">2021-09-27T05:52:00Z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0x010100266966F133664895A6EE3632470D45F5008FD981984FDB58468C82BEC8FFFF4D3C</vt:lpwstr>
  </property>
</Properties>
</file>