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AA5EA" w14:textId="77777777" w:rsidR="00615E4D" w:rsidRDefault="00615E4D" w:rsidP="00615E4D">
      <w:pPr>
        <w:pStyle w:val="NormalBold"/>
        <w:jc w:val="center"/>
        <w:rPr>
          <w:rFonts w:ascii="Times New Roman" w:hAnsi="Times New Roman" w:cs="Times New Roman"/>
          <w:sz w:val="28"/>
          <w:szCs w:val="28"/>
          <w:u w:val="single"/>
        </w:rPr>
      </w:pPr>
      <w:r>
        <w:rPr>
          <w:rFonts w:ascii="Times New Roman" w:hAnsi="Times New Roman" w:cs="Times New Roman"/>
          <w:sz w:val="28"/>
          <w:szCs w:val="28"/>
          <w:u w:val="single"/>
        </w:rPr>
        <w:t>EXPLANATORY STATEMENT</w:t>
      </w:r>
    </w:p>
    <w:p w14:paraId="50D90C72" w14:textId="31559442" w:rsidR="00F02D0D" w:rsidRPr="00F02D0D" w:rsidRDefault="00F02D0D" w:rsidP="00F02D0D">
      <w:pPr>
        <w:shd w:val="clear" w:color="auto" w:fill="FFFFFF"/>
        <w:spacing w:after="0" w:line="260" w:lineRule="atLeast"/>
        <w:jc w:val="center"/>
        <w:outlineLvl w:val="1"/>
        <w:rPr>
          <w:rFonts w:ascii="Times New Roman" w:hAnsi="Times New Roman"/>
          <w:color w:val="000000"/>
          <w:u w:val="single"/>
        </w:rPr>
      </w:pPr>
      <w:r w:rsidRPr="00F02D0D">
        <w:rPr>
          <w:rFonts w:ascii="Times New Roman" w:hAnsi="Times New Roman"/>
          <w:color w:val="000000"/>
          <w:u w:val="single"/>
        </w:rPr>
        <w:t xml:space="preserve">Issued by the </w:t>
      </w:r>
      <w:r>
        <w:rPr>
          <w:rFonts w:ascii="Times New Roman" w:hAnsi="Times New Roman"/>
          <w:color w:val="000000"/>
          <w:u w:val="single"/>
        </w:rPr>
        <w:t>a</w:t>
      </w:r>
      <w:r w:rsidRPr="00F02D0D">
        <w:rPr>
          <w:rFonts w:ascii="Times New Roman" w:hAnsi="Times New Roman"/>
          <w:color w:val="000000"/>
          <w:u w:val="single"/>
        </w:rPr>
        <w:t>uthority of the Minister for Communications</w:t>
      </w:r>
    </w:p>
    <w:p w14:paraId="2FF6FC15" w14:textId="77777777" w:rsidR="00F02D0D" w:rsidRDefault="00F02D0D" w:rsidP="00615E4D">
      <w:pPr>
        <w:shd w:val="clear" w:color="auto" w:fill="FFFFFF"/>
        <w:spacing w:after="0"/>
        <w:jc w:val="center"/>
        <w:rPr>
          <w:rFonts w:ascii="Times New Roman" w:hAnsi="Times New Roman"/>
          <w:i/>
          <w:iCs/>
          <w:color w:val="000000"/>
        </w:rPr>
      </w:pPr>
    </w:p>
    <w:p w14:paraId="40EBCB10" w14:textId="31318DDE" w:rsidR="00615E4D" w:rsidRDefault="00615E4D" w:rsidP="00615E4D">
      <w:pPr>
        <w:shd w:val="clear" w:color="auto" w:fill="FFFFFF"/>
        <w:spacing w:after="0"/>
        <w:jc w:val="center"/>
        <w:rPr>
          <w:rFonts w:ascii="Times New Roman" w:hAnsi="Times New Roman"/>
          <w:color w:val="000000"/>
        </w:rPr>
      </w:pPr>
      <w:r>
        <w:rPr>
          <w:rFonts w:ascii="Times New Roman" w:hAnsi="Times New Roman"/>
          <w:i/>
          <w:iCs/>
          <w:color w:val="000000"/>
        </w:rPr>
        <w:t>Telecommunications (Consumer Protection and Service Standards) Act 1999</w:t>
      </w:r>
    </w:p>
    <w:p w14:paraId="30DA0279" w14:textId="561ACE92" w:rsidR="00615E4D" w:rsidRDefault="00615E4D" w:rsidP="00615E4D">
      <w:pPr>
        <w:shd w:val="clear" w:color="auto" w:fill="FFFFFF"/>
        <w:spacing w:after="0"/>
        <w:jc w:val="center"/>
        <w:rPr>
          <w:rFonts w:ascii="Times New Roman" w:hAnsi="Times New Roman"/>
          <w:color w:val="000000"/>
        </w:rPr>
      </w:pPr>
    </w:p>
    <w:p w14:paraId="37E3401B" w14:textId="24B21EDA" w:rsidR="00F02D0D" w:rsidRDefault="00F27DE4" w:rsidP="00F02D0D">
      <w:pPr>
        <w:jc w:val="center"/>
        <w:rPr>
          <w:rFonts w:ascii="Times New Roman" w:hAnsi="Times New Roman"/>
          <w:i/>
          <w:iCs/>
        </w:rPr>
      </w:pPr>
      <w:r>
        <w:rPr>
          <w:rFonts w:ascii="Times New Roman" w:hAnsi="Times New Roman"/>
          <w:i/>
          <w:iCs/>
        </w:rPr>
        <w:t xml:space="preserve">Telecommunications Universal Service Obligation (Standard Telephone Service – Requirements and Circumstances) Amendment Determination 2026 </w:t>
      </w:r>
    </w:p>
    <w:p w14:paraId="3826430D" w14:textId="77777777" w:rsidR="007559CC" w:rsidRDefault="007559CC" w:rsidP="007559CC">
      <w:pPr>
        <w:spacing w:before="240"/>
        <w:rPr>
          <w:rFonts w:ascii="Times New Roman" w:hAnsi="Times New Roman"/>
          <w:b/>
          <w:u w:val="single"/>
        </w:rPr>
      </w:pPr>
      <w:r w:rsidRPr="000D0E22">
        <w:rPr>
          <w:rFonts w:ascii="Times New Roman" w:hAnsi="Times New Roman"/>
          <w:b/>
          <w:u w:val="single"/>
        </w:rPr>
        <w:t>Purpose and Operation</w:t>
      </w:r>
    </w:p>
    <w:p w14:paraId="75EF9E2B" w14:textId="0D1A2854" w:rsidR="00615E4D" w:rsidRDefault="00615E4D" w:rsidP="00615E4D">
      <w:pPr>
        <w:shd w:val="clear" w:color="auto" w:fill="FFFFFF"/>
        <w:spacing w:after="0"/>
        <w:rPr>
          <w:rFonts w:ascii="Times New Roman" w:hAnsi="Times New Roman"/>
          <w:color w:val="000000"/>
        </w:rPr>
      </w:pPr>
      <w:r>
        <w:rPr>
          <w:rFonts w:ascii="Times New Roman" w:hAnsi="Times New Roman"/>
          <w:iCs/>
          <w:color w:val="000000"/>
        </w:rPr>
        <w:t xml:space="preserve">The </w:t>
      </w:r>
      <w:r w:rsidR="00274763" w:rsidRPr="00274763">
        <w:rPr>
          <w:rFonts w:ascii="Times New Roman" w:hAnsi="Times New Roman"/>
          <w:i/>
          <w:iCs/>
          <w:color w:val="000000"/>
        </w:rPr>
        <w:t xml:space="preserve">Telecommunications Universal Service Obligation (Standard Telephone Service – Requirements and Circumstances) </w:t>
      </w:r>
      <w:r w:rsidR="00CD175B">
        <w:rPr>
          <w:rFonts w:ascii="Times New Roman" w:hAnsi="Times New Roman"/>
          <w:i/>
          <w:iCs/>
          <w:color w:val="000000"/>
        </w:rPr>
        <w:t>Determination</w:t>
      </w:r>
      <w:r w:rsidR="00274763" w:rsidRPr="00274763" w:rsidDel="00274763">
        <w:rPr>
          <w:rFonts w:ascii="Times New Roman" w:hAnsi="Times New Roman"/>
          <w:i/>
          <w:iCs/>
          <w:color w:val="000000"/>
        </w:rPr>
        <w:t xml:space="preserve"> </w:t>
      </w:r>
      <w:r w:rsidR="00274763">
        <w:rPr>
          <w:rFonts w:ascii="Times New Roman" w:hAnsi="Times New Roman"/>
          <w:i/>
          <w:iCs/>
          <w:color w:val="000000"/>
        </w:rPr>
        <w:t>2026</w:t>
      </w:r>
      <w:r w:rsidR="006C713E">
        <w:rPr>
          <w:rFonts w:ascii="Times New Roman" w:hAnsi="Times New Roman"/>
          <w:i/>
          <w:iCs/>
          <w:color w:val="000000"/>
        </w:rPr>
        <w:t xml:space="preserve"> </w:t>
      </w:r>
      <w:r>
        <w:rPr>
          <w:rFonts w:ascii="Times New Roman" w:hAnsi="Times New Roman"/>
          <w:color w:val="000000"/>
        </w:rPr>
        <w:t xml:space="preserve">(the </w:t>
      </w:r>
      <w:r w:rsidR="00F27DE4">
        <w:rPr>
          <w:rFonts w:ascii="Times New Roman" w:hAnsi="Times New Roman"/>
          <w:color w:val="000000"/>
        </w:rPr>
        <w:t>Amendment Determination</w:t>
      </w:r>
      <w:r>
        <w:rPr>
          <w:rFonts w:ascii="Times New Roman" w:hAnsi="Times New Roman"/>
          <w:color w:val="000000"/>
        </w:rPr>
        <w:t xml:space="preserve">) is made by the Minister for Communications (the </w:t>
      </w:r>
      <w:r w:rsidRPr="00BE591F">
        <w:rPr>
          <w:rFonts w:ascii="Times New Roman" w:hAnsi="Times New Roman"/>
          <w:color w:val="000000"/>
        </w:rPr>
        <w:t>Minister) pursuant to subsections 9(2D) and 9(3) of the </w:t>
      </w:r>
      <w:r w:rsidRPr="00BE591F">
        <w:rPr>
          <w:rFonts w:ascii="Times New Roman" w:hAnsi="Times New Roman"/>
          <w:i/>
          <w:iCs/>
          <w:color w:val="000000"/>
        </w:rPr>
        <w:t>Telecommunications (Consumer Protection a</w:t>
      </w:r>
      <w:r>
        <w:rPr>
          <w:rFonts w:ascii="Times New Roman" w:hAnsi="Times New Roman"/>
          <w:i/>
          <w:iCs/>
          <w:color w:val="000000"/>
        </w:rPr>
        <w:t>nd Service Standards) Act 1999</w:t>
      </w:r>
      <w:r>
        <w:rPr>
          <w:rFonts w:ascii="Times New Roman" w:hAnsi="Times New Roman"/>
          <w:color w:val="000000"/>
        </w:rPr>
        <w:t> (the Act).</w:t>
      </w:r>
    </w:p>
    <w:p w14:paraId="0493E0F8" w14:textId="77777777" w:rsidR="00615E4D" w:rsidRDefault="00615E4D" w:rsidP="00615E4D">
      <w:pPr>
        <w:shd w:val="clear" w:color="auto" w:fill="FFFFFF"/>
        <w:spacing w:after="0"/>
        <w:rPr>
          <w:rFonts w:ascii="Times New Roman" w:hAnsi="Times New Roman"/>
          <w:color w:val="000000"/>
        </w:rPr>
      </w:pPr>
      <w:r>
        <w:rPr>
          <w:rFonts w:ascii="Times New Roman" w:hAnsi="Times New Roman"/>
          <w:color w:val="000000"/>
        </w:rPr>
        <w:t> </w:t>
      </w:r>
    </w:p>
    <w:p w14:paraId="5BDD717C" w14:textId="6305B787" w:rsidR="00900684" w:rsidRDefault="00615E4D" w:rsidP="00615E4D">
      <w:pPr>
        <w:shd w:val="clear" w:color="auto" w:fill="FFFFFF"/>
        <w:spacing w:after="0"/>
        <w:rPr>
          <w:rFonts w:ascii="Times New Roman" w:hAnsi="Times New Roman"/>
          <w:color w:val="000000"/>
        </w:rPr>
      </w:pPr>
      <w:r>
        <w:rPr>
          <w:rFonts w:ascii="Times New Roman" w:hAnsi="Times New Roman"/>
          <w:color w:val="000000"/>
        </w:rPr>
        <w:t xml:space="preserve">The </w:t>
      </w:r>
      <w:r w:rsidR="00F27DE4">
        <w:rPr>
          <w:rFonts w:ascii="Times New Roman" w:hAnsi="Times New Roman"/>
          <w:color w:val="000000"/>
        </w:rPr>
        <w:t>Amendment Determination</w:t>
      </w:r>
      <w:r>
        <w:rPr>
          <w:rFonts w:ascii="Times New Roman" w:hAnsi="Times New Roman"/>
          <w:color w:val="000000"/>
        </w:rPr>
        <w:t xml:space="preserve"> </w:t>
      </w:r>
      <w:r w:rsidR="007453C0">
        <w:rPr>
          <w:rFonts w:ascii="Times New Roman" w:hAnsi="Times New Roman"/>
          <w:color w:val="000000"/>
        </w:rPr>
        <w:t>extends the operation and makes some minor adjustments to the</w:t>
      </w:r>
      <w:r w:rsidR="00900684">
        <w:rPr>
          <w:rFonts w:ascii="Times New Roman" w:hAnsi="Times New Roman"/>
          <w:color w:val="000000"/>
        </w:rPr>
        <w:t xml:space="preserve"> </w:t>
      </w:r>
      <w:r w:rsidR="00900684" w:rsidRPr="00900684">
        <w:rPr>
          <w:rFonts w:ascii="Times New Roman" w:hAnsi="Times New Roman"/>
          <w:i/>
          <w:color w:val="000000"/>
        </w:rPr>
        <w:t>Telecommunications Universal Service Obligation (Standard Telephone Service – Requirements and Circumstances) Determination 2023</w:t>
      </w:r>
      <w:r w:rsidR="00900684">
        <w:rPr>
          <w:rFonts w:ascii="Times New Roman" w:hAnsi="Times New Roman"/>
          <w:color w:val="000000"/>
        </w:rPr>
        <w:t xml:space="preserve"> (</w:t>
      </w:r>
      <w:r w:rsidR="00142AE5">
        <w:rPr>
          <w:rFonts w:ascii="Times New Roman" w:hAnsi="Times New Roman"/>
          <w:color w:val="000000"/>
        </w:rPr>
        <w:t xml:space="preserve">the </w:t>
      </w:r>
      <w:r w:rsidR="007453C0">
        <w:rPr>
          <w:rFonts w:ascii="Times New Roman" w:hAnsi="Times New Roman"/>
          <w:color w:val="000000"/>
        </w:rPr>
        <w:t xml:space="preserve">2023 </w:t>
      </w:r>
      <w:r w:rsidR="00900684">
        <w:rPr>
          <w:rFonts w:ascii="Times New Roman" w:hAnsi="Times New Roman"/>
          <w:color w:val="000000"/>
        </w:rPr>
        <w:t>Determination)</w:t>
      </w:r>
      <w:r w:rsidR="007F2206">
        <w:rPr>
          <w:rFonts w:ascii="Times New Roman" w:hAnsi="Times New Roman"/>
          <w:color w:val="000000"/>
        </w:rPr>
        <w:t xml:space="preserve">. First, it </w:t>
      </w:r>
      <w:r w:rsidR="003E4CA9">
        <w:rPr>
          <w:rFonts w:ascii="Times New Roman" w:hAnsi="Times New Roman"/>
          <w:color w:val="000000"/>
        </w:rPr>
        <w:t>expands</w:t>
      </w:r>
      <w:r w:rsidR="007F2206">
        <w:rPr>
          <w:rFonts w:ascii="Times New Roman" w:hAnsi="Times New Roman"/>
          <w:color w:val="000000"/>
        </w:rPr>
        <w:t xml:space="preserve"> the definition of ‘request’ to include </w:t>
      </w:r>
      <w:r w:rsidR="00D57F8D">
        <w:rPr>
          <w:rFonts w:ascii="Times New Roman" w:hAnsi="Times New Roman"/>
          <w:color w:val="000000"/>
        </w:rPr>
        <w:t xml:space="preserve">a request for a standard telephone service </w:t>
      </w:r>
      <w:r w:rsidR="003E4CA9">
        <w:rPr>
          <w:rFonts w:ascii="Times New Roman" w:hAnsi="Times New Roman"/>
          <w:color w:val="000000"/>
        </w:rPr>
        <w:t xml:space="preserve">(STS) </w:t>
      </w:r>
      <w:r w:rsidR="00D57F8D">
        <w:rPr>
          <w:rFonts w:ascii="Times New Roman" w:hAnsi="Times New Roman"/>
          <w:color w:val="000000"/>
        </w:rPr>
        <w:t>made by a customer</w:t>
      </w:r>
      <w:r w:rsidR="007453C0">
        <w:rPr>
          <w:rFonts w:ascii="Times New Roman" w:hAnsi="Times New Roman"/>
          <w:color w:val="000000"/>
        </w:rPr>
        <w:t xml:space="preserve">, and to </w:t>
      </w:r>
      <w:r w:rsidR="007F7291">
        <w:rPr>
          <w:rFonts w:ascii="Times New Roman" w:hAnsi="Times New Roman"/>
          <w:color w:val="000000"/>
        </w:rPr>
        <w:t>make explicit a request also includes the situation where</w:t>
      </w:r>
      <w:r w:rsidR="00D57F8D">
        <w:rPr>
          <w:rFonts w:ascii="Times New Roman" w:hAnsi="Times New Roman"/>
          <w:color w:val="000000"/>
        </w:rPr>
        <w:t xml:space="preserve"> </w:t>
      </w:r>
      <w:r w:rsidR="00815104">
        <w:rPr>
          <w:rFonts w:ascii="Times New Roman" w:hAnsi="Times New Roman"/>
          <w:color w:val="000000"/>
        </w:rPr>
        <w:t>Telstra</w:t>
      </w:r>
      <w:r w:rsidR="00D57F8D">
        <w:rPr>
          <w:rFonts w:ascii="Times New Roman" w:hAnsi="Times New Roman"/>
          <w:color w:val="000000"/>
        </w:rPr>
        <w:t xml:space="preserve"> withdraws </w:t>
      </w:r>
      <w:r w:rsidR="00815104">
        <w:rPr>
          <w:rFonts w:ascii="Times New Roman" w:hAnsi="Times New Roman"/>
          <w:color w:val="000000"/>
        </w:rPr>
        <w:t xml:space="preserve">or otherwise ceases </w:t>
      </w:r>
      <w:r w:rsidR="003E4CA9">
        <w:rPr>
          <w:rFonts w:ascii="Times New Roman" w:hAnsi="Times New Roman"/>
          <w:color w:val="000000"/>
        </w:rPr>
        <w:t xml:space="preserve">providing </w:t>
      </w:r>
      <w:r w:rsidR="007F7291">
        <w:rPr>
          <w:rFonts w:ascii="Times New Roman" w:hAnsi="Times New Roman"/>
          <w:color w:val="000000"/>
        </w:rPr>
        <w:t xml:space="preserve">a </w:t>
      </w:r>
      <w:r w:rsidR="009D611E">
        <w:rPr>
          <w:rFonts w:ascii="Times New Roman" w:hAnsi="Times New Roman"/>
          <w:color w:val="000000"/>
        </w:rPr>
        <w:t>U</w:t>
      </w:r>
      <w:r w:rsidR="00DB3D91">
        <w:rPr>
          <w:rFonts w:ascii="Times New Roman" w:hAnsi="Times New Roman"/>
          <w:color w:val="000000"/>
        </w:rPr>
        <w:t xml:space="preserve">niversal </w:t>
      </w:r>
      <w:r w:rsidR="009D611E">
        <w:rPr>
          <w:rFonts w:ascii="Times New Roman" w:hAnsi="Times New Roman"/>
          <w:color w:val="000000"/>
        </w:rPr>
        <w:t>S</w:t>
      </w:r>
      <w:r w:rsidR="00DB3D91">
        <w:rPr>
          <w:rFonts w:ascii="Times New Roman" w:hAnsi="Times New Roman"/>
          <w:color w:val="000000"/>
        </w:rPr>
        <w:t xml:space="preserve">ervice </w:t>
      </w:r>
      <w:r w:rsidR="009D611E">
        <w:rPr>
          <w:rFonts w:ascii="Times New Roman" w:hAnsi="Times New Roman"/>
          <w:color w:val="000000"/>
        </w:rPr>
        <w:t>O</w:t>
      </w:r>
      <w:r w:rsidR="00DB3D91">
        <w:rPr>
          <w:rFonts w:ascii="Times New Roman" w:hAnsi="Times New Roman"/>
          <w:color w:val="000000"/>
        </w:rPr>
        <w:t>bligation (</w:t>
      </w:r>
      <w:r w:rsidR="007F7291">
        <w:rPr>
          <w:rFonts w:ascii="Times New Roman" w:hAnsi="Times New Roman"/>
          <w:color w:val="000000"/>
        </w:rPr>
        <w:t>USO</w:t>
      </w:r>
      <w:r w:rsidR="00DB3D91">
        <w:rPr>
          <w:rFonts w:ascii="Times New Roman" w:hAnsi="Times New Roman"/>
          <w:color w:val="000000"/>
        </w:rPr>
        <w:t>)</w:t>
      </w:r>
      <w:r w:rsidR="007F7291">
        <w:rPr>
          <w:rFonts w:ascii="Times New Roman" w:hAnsi="Times New Roman"/>
          <w:color w:val="000000"/>
        </w:rPr>
        <w:t xml:space="preserve"> </w:t>
      </w:r>
      <w:r w:rsidR="003E4CA9">
        <w:rPr>
          <w:rFonts w:ascii="Times New Roman" w:hAnsi="Times New Roman"/>
          <w:color w:val="000000"/>
        </w:rPr>
        <w:t xml:space="preserve">STS </w:t>
      </w:r>
      <w:r w:rsidR="007F7291">
        <w:rPr>
          <w:rFonts w:ascii="Times New Roman" w:hAnsi="Times New Roman"/>
          <w:color w:val="000000"/>
        </w:rPr>
        <w:t xml:space="preserve">service </w:t>
      </w:r>
      <w:r w:rsidR="007453C0">
        <w:rPr>
          <w:rFonts w:ascii="Times New Roman" w:hAnsi="Times New Roman"/>
          <w:color w:val="000000"/>
        </w:rPr>
        <w:t>via a particular</w:t>
      </w:r>
      <w:r w:rsidR="003E4CA9">
        <w:rPr>
          <w:rFonts w:ascii="Times New Roman" w:hAnsi="Times New Roman"/>
          <w:color w:val="000000"/>
        </w:rPr>
        <w:t xml:space="preserve"> technology, thereby necessitating </w:t>
      </w:r>
      <w:r w:rsidR="003C4EF9">
        <w:rPr>
          <w:rFonts w:ascii="Times New Roman" w:hAnsi="Times New Roman"/>
          <w:color w:val="000000"/>
        </w:rPr>
        <w:t>the customer make a subsequent request for an alternative technology to provide an STS.</w:t>
      </w:r>
      <w:r w:rsidR="00E42380">
        <w:rPr>
          <w:rFonts w:ascii="Times New Roman" w:hAnsi="Times New Roman"/>
          <w:color w:val="000000"/>
        </w:rPr>
        <w:t xml:space="preserve"> Second, the Amend</w:t>
      </w:r>
      <w:r w:rsidR="003F4672">
        <w:rPr>
          <w:rFonts w:ascii="Times New Roman" w:hAnsi="Times New Roman"/>
          <w:color w:val="000000"/>
        </w:rPr>
        <w:t>ment Determination</w:t>
      </w:r>
      <w:r w:rsidR="00E42380">
        <w:rPr>
          <w:rFonts w:ascii="Times New Roman" w:hAnsi="Times New Roman"/>
          <w:color w:val="000000"/>
        </w:rPr>
        <w:t xml:space="preserve"> </w:t>
      </w:r>
      <w:r w:rsidR="007F7291">
        <w:rPr>
          <w:rFonts w:ascii="Times New Roman" w:hAnsi="Times New Roman"/>
          <w:color w:val="000000"/>
        </w:rPr>
        <w:t xml:space="preserve">makes a minor change to </w:t>
      </w:r>
      <w:r w:rsidR="00E42380">
        <w:rPr>
          <w:rFonts w:ascii="Times New Roman" w:hAnsi="Times New Roman"/>
          <w:color w:val="000000"/>
        </w:rPr>
        <w:t xml:space="preserve">require </w:t>
      </w:r>
      <w:r w:rsidR="007453C0">
        <w:rPr>
          <w:rFonts w:ascii="Times New Roman" w:hAnsi="Times New Roman"/>
          <w:color w:val="000000"/>
        </w:rPr>
        <w:t>Telstra</w:t>
      </w:r>
      <w:r w:rsidR="00E42380">
        <w:rPr>
          <w:rFonts w:ascii="Times New Roman" w:hAnsi="Times New Roman"/>
          <w:color w:val="000000"/>
        </w:rPr>
        <w:t xml:space="preserve"> </w:t>
      </w:r>
      <w:r w:rsidR="007453C0">
        <w:rPr>
          <w:rFonts w:ascii="Times New Roman" w:hAnsi="Times New Roman"/>
          <w:color w:val="000000"/>
        </w:rPr>
        <w:t xml:space="preserve">to </w:t>
      </w:r>
      <w:r w:rsidR="00E42380">
        <w:rPr>
          <w:rFonts w:ascii="Times New Roman" w:hAnsi="Times New Roman"/>
          <w:color w:val="000000"/>
        </w:rPr>
        <w:t xml:space="preserve">provide advice to a customer on the technical and other requirements necessary for the provision of electricity to provide sufficient power to </w:t>
      </w:r>
      <w:r w:rsidR="00F5591D">
        <w:rPr>
          <w:rFonts w:ascii="Times New Roman" w:hAnsi="Times New Roman"/>
          <w:color w:val="000000"/>
        </w:rPr>
        <w:t xml:space="preserve">a </w:t>
      </w:r>
      <w:r w:rsidR="00E42380">
        <w:rPr>
          <w:rFonts w:ascii="Times New Roman" w:hAnsi="Times New Roman"/>
          <w:color w:val="000000"/>
        </w:rPr>
        <w:t xml:space="preserve">technology to deliver </w:t>
      </w:r>
      <w:r w:rsidR="007F7291">
        <w:rPr>
          <w:rFonts w:ascii="Times New Roman" w:hAnsi="Times New Roman"/>
          <w:color w:val="000000"/>
        </w:rPr>
        <w:t>a USO</w:t>
      </w:r>
      <w:r w:rsidR="00E42380">
        <w:rPr>
          <w:rFonts w:ascii="Times New Roman" w:hAnsi="Times New Roman"/>
          <w:color w:val="000000"/>
        </w:rPr>
        <w:t xml:space="preserve"> STS, and a reasonable timeframe in which the customer can obtain a </w:t>
      </w:r>
      <w:r w:rsidR="007F7291">
        <w:rPr>
          <w:rFonts w:ascii="Times New Roman" w:hAnsi="Times New Roman"/>
          <w:color w:val="000000"/>
        </w:rPr>
        <w:t xml:space="preserve">suitable </w:t>
      </w:r>
      <w:r w:rsidR="00E42380">
        <w:rPr>
          <w:rFonts w:ascii="Times New Roman" w:hAnsi="Times New Roman"/>
          <w:color w:val="000000"/>
        </w:rPr>
        <w:t>power supply.</w:t>
      </w:r>
      <w:r w:rsidR="001A7B08">
        <w:rPr>
          <w:rFonts w:ascii="Times New Roman" w:hAnsi="Times New Roman"/>
          <w:color w:val="000000"/>
        </w:rPr>
        <w:t xml:space="preserve"> Thirdly, the </w:t>
      </w:r>
      <w:r w:rsidR="00F27DE4">
        <w:rPr>
          <w:rFonts w:ascii="Times New Roman" w:hAnsi="Times New Roman"/>
          <w:color w:val="000000"/>
        </w:rPr>
        <w:t>Amendment Determination</w:t>
      </w:r>
      <w:r w:rsidR="001A7B08">
        <w:rPr>
          <w:rFonts w:ascii="Times New Roman" w:hAnsi="Times New Roman"/>
          <w:color w:val="000000"/>
        </w:rPr>
        <w:t xml:space="preserve"> makes </w:t>
      </w:r>
      <w:r w:rsidR="00BF5CD3">
        <w:rPr>
          <w:rFonts w:ascii="Times New Roman" w:hAnsi="Times New Roman"/>
          <w:color w:val="000000"/>
        </w:rPr>
        <w:t xml:space="preserve">a number of </w:t>
      </w:r>
      <w:proofErr w:type="gramStart"/>
      <w:r w:rsidR="001A7B08">
        <w:rPr>
          <w:rFonts w:ascii="Times New Roman" w:hAnsi="Times New Roman"/>
          <w:color w:val="000000"/>
        </w:rPr>
        <w:t>minor</w:t>
      </w:r>
      <w:proofErr w:type="gramEnd"/>
      <w:r w:rsidR="00BF5CD3">
        <w:rPr>
          <w:rFonts w:ascii="Times New Roman" w:hAnsi="Times New Roman"/>
          <w:color w:val="000000"/>
        </w:rPr>
        <w:t xml:space="preserve">, </w:t>
      </w:r>
      <w:r w:rsidR="007453C0">
        <w:rPr>
          <w:rFonts w:ascii="Times New Roman" w:hAnsi="Times New Roman"/>
          <w:color w:val="000000"/>
        </w:rPr>
        <w:t xml:space="preserve">consequential </w:t>
      </w:r>
      <w:r w:rsidR="00BF5CD3">
        <w:rPr>
          <w:rFonts w:ascii="Times New Roman" w:hAnsi="Times New Roman"/>
          <w:color w:val="000000"/>
        </w:rPr>
        <w:t>updates to replace outdated references to the</w:t>
      </w:r>
      <w:r w:rsidR="00BF5CD3" w:rsidRPr="00BF5CD3">
        <w:rPr>
          <w:rFonts w:ascii="Times New Roman" w:hAnsi="Times New Roman"/>
          <w:color w:val="000000"/>
        </w:rPr>
        <w:t xml:space="preserve"> </w:t>
      </w:r>
      <w:r w:rsidR="00BF5CD3" w:rsidRPr="00CD2727">
        <w:rPr>
          <w:rFonts w:ascii="Times New Roman" w:hAnsi="Times New Roman"/>
          <w:i/>
          <w:iCs/>
          <w:color w:val="000000"/>
        </w:rPr>
        <w:t>Telecommunications (Customer Service Guarantee) Standard 2011</w:t>
      </w:r>
      <w:r w:rsidR="00BF5CD3" w:rsidRPr="00BF5CD3">
        <w:rPr>
          <w:rFonts w:ascii="Times New Roman" w:hAnsi="Times New Roman"/>
          <w:color w:val="000000"/>
        </w:rPr>
        <w:t xml:space="preserve"> </w:t>
      </w:r>
      <w:r w:rsidR="00BF5CD3">
        <w:rPr>
          <w:rFonts w:ascii="Times New Roman" w:hAnsi="Times New Roman"/>
          <w:color w:val="000000"/>
        </w:rPr>
        <w:t xml:space="preserve">to the </w:t>
      </w:r>
      <w:r w:rsidR="00BF5CD3" w:rsidRPr="00BF5CD3">
        <w:rPr>
          <w:rFonts w:ascii="Times New Roman" w:hAnsi="Times New Roman"/>
          <w:color w:val="000000"/>
        </w:rPr>
        <w:t xml:space="preserve">current </w:t>
      </w:r>
      <w:r w:rsidR="00BF5CD3" w:rsidRPr="00CD2727">
        <w:rPr>
          <w:rFonts w:ascii="Times New Roman" w:hAnsi="Times New Roman"/>
          <w:i/>
          <w:iCs/>
          <w:color w:val="000000"/>
        </w:rPr>
        <w:t>Telecommunications (Customer Service Guarantee) Standard 2023</w:t>
      </w:r>
      <w:r w:rsidR="00BF5CD3">
        <w:rPr>
          <w:rFonts w:ascii="Times New Roman" w:hAnsi="Times New Roman"/>
          <w:color w:val="000000"/>
        </w:rPr>
        <w:t>.</w:t>
      </w:r>
    </w:p>
    <w:p w14:paraId="0DC2536C" w14:textId="77777777" w:rsidR="00900684" w:rsidRDefault="00900684" w:rsidP="00615E4D">
      <w:pPr>
        <w:shd w:val="clear" w:color="auto" w:fill="FFFFFF"/>
        <w:spacing w:after="0"/>
        <w:rPr>
          <w:rFonts w:ascii="Times New Roman" w:hAnsi="Times New Roman"/>
          <w:color w:val="000000"/>
        </w:rPr>
      </w:pPr>
    </w:p>
    <w:p w14:paraId="4A9C2E9C" w14:textId="67409372" w:rsidR="00C83B17" w:rsidRDefault="007453C0" w:rsidP="00615E4D">
      <w:pPr>
        <w:shd w:val="clear" w:color="auto" w:fill="FFFFFF"/>
        <w:spacing w:after="0"/>
        <w:rPr>
          <w:rFonts w:ascii="Times New Roman" w:hAnsi="Times New Roman"/>
          <w:color w:val="000000"/>
        </w:rPr>
      </w:pPr>
      <w:r>
        <w:rPr>
          <w:rFonts w:ascii="Times New Roman" w:hAnsi="Times New Roman"/>
          <w:color w:val="000000"/>
        </w:rPr>
        <w:t>Otherwise, all other existing</w:t>
      </w:r>
      <w:r w:rsidR="00900684">
        <w:rPr>
          <w:rFonts w:ascii="Times New Roman" w:hAnsi="Times New Roman"/>
          <w:color w:val="000000"/>
        </w:rPr>
        <w:t xml:space="preserve"> provisions under the </w:t>
      </w:r>
      <w:r>
        <w:rPr>
          <w:rFonts w:ascii="Times New Roman" w:hAnsi="Times New Roman"/>
          <w:color w:val="000000"/>
        </w:rPr>
        <w:t xml:space="preserve">2023 </w:t>
      </w:r>
      <w:r w:rsidR="00900684">
        <w:rPr>
          <w:rFonts w:ascii="Times New Roman" w:hAnsi="Times New Roman"/>
          <w:color w:val="000000"/>
        </w:rPr>
        <w:t xml:space="preserve">Determination </w:t>
      </w:r>
      <w:r>
        <w:rPr>
          <w:rFonts w:ascii="Times New Roman" w:hAnsi="Times New Roman"/>
          <w:color w:val="000000"/>
        </w:rPr>
        <w:t>will continue</w:t>
      </w:r>
      <w:r w:rsidR="00900684">
        <w:rPr>
          <w:rFonts w:ascii="Times New Roman" w:hAnsi="Times New Roman"/>
          <w:color w:val="000000"/>
        </w:rPr>
        <w:t xml:space="preserve"> have ongoing effect, namely, to </w:t>
      </w:r>
      <w:r w:rsidR="00615E4D">
        <w:rPr>
          <w:rFonts w:ascii="Times New Roman" w:hAnsi="Times New Roman"/>
          <w:color w:val="000000"/>
        </w:rPr>
        <w:t>set out circumstances in which the primary universal service provider is not required to provide a standard telephone service under the USO and requirements for a valid request.</w:t>
      </w:r>
      <w:r w:rsidR="00F5591D">
        <w:rPr>
          <w:rFonts w:ascii="Times New Roman" w:hAnsi="Times New Roman"/>
          <w:color w:val="000000"/>
        </w:rPr>
        <w:t xml:space="preserve"> In so doing, this also provides ongoing certainty, clarity, guidance and protection for </w:t>
      </w:r>
      <w:r>
        <w:rPr>
          <w:rFonts w:ascii="Times New Roman" w:hAnsi="Times New Roman"/>
          <w:color w:val="000000"/>
        </w:rPr>
        <w:t>consumers</w:t>
      </w:r>
      <w:r w:rsidR="00F5591D">
        <w:rPr>
          <w:rFonts w:ascii="Times New Roman" w:hAnsi="Times New Roman"/>
          <w:color w:val="000000"/>
        </w:rPr>
        <w:t xml:space="preserve">, the Australian Media and Communications Authority and </w:t>
      </w:r>
      <w:r w:rsidR="005F0390">
        <w:rPr>
          <w:rFonts w:ascii="Times New Roman" w:hAnsi="Times New Roman"/>
          <w:color w:val="000000"/>
        </w:rPr>
        <w:t xml:space="preserve">the </w:t>
      </w:r>
      <w:r w:rsidR="00F5591D">
        <w:rPr>
          <w:rFonts w:ascii="Times New Roman" w:hAnsi="Times New Roman"/>
          <w:color w:val="000000"/>
        </w:rPr>
        <w:t xml:space="preserve">Telecommunications Industry Ombudsman, </w:t>
      </w:r>
      <w:proofErr w:type="gramStart"/>
      <w:r w:rsidR="00F5591D">
        <w:rPr>
          <w:rFonts w:ascii="Times New Roman" w:hAnsi="Times New Roman"/>
          <w:color w:val="000000"/>
        </w:rPr>
        <w:t>with regard to</w:t>
      </w:r>
      <w:proofErr w:type="gramEnd"/>
      <w:r w:rsidR="00F5591D">
        <w:rPr>
          <w:rFonts w:ascii="Times New Roman" w:hAnsi="Times New Roman"/>
          <w:color w:val="000000"/>
        </w:rPr>
        <w:t xml:space="preserve"> </w:t>
      </w:r>
      <w:r w:rsidR="00173F26">
        <w:rPr>
          <w:rFonts w:ascii="Times New Roman" w:hAnsi="Times New Roman"/>
          <w:color w:val="000000"/>
        </w:rPr>
        <w:t>the provision of important aspects of the STS delivered in accordance with the USO.</w:t>
      </w:r>
    </w:p>
    <w:p w14:paraId="473E1F13" w14:textId="77777777" w:rsidR="00615E4D" w:rsidRDefault="00615E4D" w:rsidP="00615E4D">
      <w:pPr>
        <w:shd w:val="clear" w:color="auto" w:fill="FFFFFF"/>
        <w:spacing w:after="0"/>
        <w:rPr>
          <w:rFonts w:ascii="Times New Roman" w:hAnsi="Times New Roman"/>
          <w:color w:val="000000"/>
        </w:rPr>
      </w:pPr>
    </w:p>
    <w:p w14:paraId="353AED5A" w14:textId="443B0369" w:rsidR="00615E4D" w:rsidRDefault="00615E4D" w:rsidP="00615E4D">
      <w:pPr>
        <w:shd w:val="clear" w:color="auto" w:fill="FFFFFF"/>
        <w:spacing w:after="0"/>
        <w:rPr>
          <w:rFonts w:ascii="Times New Roman" w:hAnsi="Times New Roman"/>
          <w:color w:val="000000"/>
          <w:shd w:val="clear" w:color="auto" w:fill="FFFFFF"/>
        </w:rPr>
      </w:pPr>
      <w:r>
        <w:rPr>
          <w:rFonts w:ascii="Times New Roman" w:hAnsi="Times New Roman"/>
          <w:color w:val="000000"/>
          <w:shd w:val="clear" w:color="auto" w:fill="FFFFFF"/>
        </w:rPr>
        <w:t>Th</w:t>
      </w:r>
      <w:r w:rsidR="00D66930">
        <w:rPr>
          <w:rFonts w:ascii="Times New Roman" w:hAnsi="Times New Roman"/>
          <w:color w:val="000000"/>
          <w:shd w:val="clear" w:color="auto" w:fill="FFFFFF"/>
        </w:rPr>
        <w:t>e</w:t>
      </w:r>
      <w:r w:rsidR="00634F67">
        <w:rPr>
          <w:rFonts w:ascii="Times New Roman" w:hAnsi="Times New Roman"/>
          <w:color w:val="000000"/>
          <w:shd w:val="clear" w:color="auto" w:fill="FFFFFF"/>
        </w:rPr>
        <w:t xml:space="preserve"> </w:t>
      </w:r>
      <w:r w:rsidR="00F27DE4">
        <w:rPr>
          <w:rFonts w:ascii="Times New Roman" w:hAnsi="Times New Roman"/>
          <w:color w:val="000000"/>
          <w:shd w:val="clear" w:color="auto" w:fill="FFFFFF"/>
        </w:rPr>
        <w:t>Amendment Determination</w:t>
      </w:r>
      <w:r w:rsidR="00634F67">
        <w:rPr>
          <w:rFonts w:ascii="Times New Roman" w:hAnsi="Times New Roman"/>
          <w:color w:val="000000"/>
          <w:shd w:val="clear" w:color="auto" w:fill="FFFFFF"/>
        </w:rPr>
        <w:t xml:space="preserve"> </w:t>
      </w:r>
      <w:r>
        <w:rPr>
          <w:rFonts w:ascii="Times New Roman" w:hAnsi="Times New Roman"/>
          <w:color w:val="000000"/>
          <w:shd w:val="clear" w:color="auto" w:fill="FFFFFF"/>
        </w:rPr>
        <w:t>is a legislative instrument for the purposes of the </w:t>
      </w:r>
      <w:r>
        <w:rPr>
          <w:rFonts w:ascii="Times New Roman" w:hAnsi="Times New Roman"/>
          <w:i/>
          <w:iCs/>
          <w:color w:val="000000"/>
          <w:shd w:val="clear" w:color="auto" w:fill="FFFFFF"/>
        </w:rPr>
        <w:t>Legislation</w:t>
      </w:r>
      <w:r w:rsidR="00197ADD">
        <w:rPr>
          <w:rFonts w:ascii="Times New Roman" w:hAnsi="Times New Roman"/>
          <w:i/>
          <w:iCs/>
          <w:color w:val="000000"/>
          <w:shd w:val="clear" w:color="auto" w:fill="FFFFFF"/>
        </w:rPr>
        <w:t> </w:t>
      </w:r>
      <w:r>
        <w:rPr>
          <w:rFonts w:ascii="Times New Roman" w:hAnsi="Times New Roman"/>
          <w:i/>
          <w:iCs/>
          <w:color w:val="000000"/>
          <w:shd w:val="clear" w:color="auto" w:fill="FFFFFF"/>
        </w:rPr>
        <w:t>Act</w:t>
      </w:r>
      <w:r w:rsidR="00197ADD">
        <w:rPr>
          <w:rFonts w:ascii="Times New Roman" w:hAnsi="Times New Roman"/>
          <w:i/>
          <w:iCs/>
          <w:color w:val="000000"/>
          <w:shd w:val="clear" w:color="auto" w:fill="FFFFFF"/>
        </w:rPr>
        <w:t> </w:t>
      </w:r>
      <w:r>
        <w:rPr>
          <w:rFonts w:ascii="Times New Roman" w:hAnsi="Times New Roman"/>
          <w:i/>
          <w:iCs/>
          <w:color w:val="000000"/>
          <w:shd w:val="clear" w:color="auto" w:fill="FFFFFF"/>
        </w:rPr>
        <w:t>2003</w:t>
      </w:r>
      <w:r w:rsidR="00634F67">
        <w:rPr>
          <w:rFonts w:ascii="Times New Roman" w:hAnsi="Times New Roman"/>
          <w:color w:val="000000"/>
          <w:shd w:val="clear" w:color="auto" w:fill="FFFFFF"/>
        </w:rPr>
        <w:t xml:space="preserve">. </w:t>
      </w:r>
    </w:p>
    <w:p w14:paraId="7FFFDAEE" w14:textId="77777777" w:rsidR="000D05F2" w:rsidRDefault="000D05F2" w:rsidP="00615E4D">
      <w:pPr>
        <w:shd w:val="clear" w:color="auto" w:fill="FFFFFF"/>
        <w:spacing w:after="0"/>
        <w:rPr>
          <w:rFonts w:ascii="Times New Roman" w:hAnsi="Times New Roman"/>
          <w:color w:val="000000"/>
          <w:shd w:val="clear" w:color="auto" w:fill="FFFFFF"/>
        </w:rPr>
      </w:pPr>
    </w:p>
    <w:p w14:paraId="6DC7979E" w14:textId="5F7BDEC1" w:rsidR="000D05F2" w:rsidRDefault="00A544F6" w:rsidP="00615E4D">
      <w:pPr>
        <w:shd w:val="clear" w:color="auto" w:fill="FFFFFF"/>
        <w:spacing w:after="0"/>
        <w:rPr>
          <w:rFonts w:ascii="Times New Roman" w:hAnsi="Times New Roman"/>
          <w:color w:val="000000"/>
        </w:rPr>
      </w:pPr>
      <w:r>
        <w:rPr>
          <w:rFonts w:ascii="Times New Roman" w:hAnsi="Times New Roman"/>
        </w:rPr>
        <w:t xml:space="preserve">Further details of the </w:t>
      </w:r>
      <w:r w:rsidR="00CD175B">
        <w:rPr>
          <w:rFonts w:ascii="Times New Roman" w:hAnsi="Times New Roman"/>
        </w:rPr>
        <w:t>Amendment Determination</w:t>
      </w:r>
      <w:r>
        <w:rPr>
          <w:rFonts w:ascii="Times New Roman" w:hAnsi="Times New Roman"/>
        </w:rPr>
        <w:t xml:space="preserve"> are outlined in </w:t>
      </w:r>
      <w:r w:rsidRPr="00785D15">
        <w:rPr>
          <w:rFonts w:ascii="Times New Roman" w:hAnsi="Times New Roman"/>
          <w:u w:val="single"/>
        </w:rPr>
        <w:t>Attachment A</w:t>
      </w:r>
      <w:r>
        <w:rPr>
          <w:rFonts w:ascii="Times New Roman" w:hAnsi="Times New Roman"/>
          <w:u w:val="single"/>
        </w:rPr>
        <w:t>.</w:t>
      </w:r>
    </w:p>
    <w:p w14:paraId="149FD476" w14:textId="77777777" w:rsidR="00A544F6" w:rsidRDefault="00A544F6" w:rsidP="001D006C">
      <w:pPr>
        <w:widowControl w:val="0"/>
        <w:spacing w:before="240"/>
        <w:rPr>
          <w:rFonts w:ascii="Times New Roman" w:hAnsi="Times New Roman"/>
          <w:b/>
          <w:u w:val="single"/>
        </w:rPr>
      </w:pPr>
    </w:p>
    <w:p w14:paraId="10764033" w14:textId="77777777" w:rsidR="00A544F6" w:rsidRDefault="00A544F6" w:rsidP="001D006C">
      <w:pPr>
        <w:widowControl w:val="0"/>
        <w:spacing w:before="240"/>
        <w:rPr>
          <w:rFonts w:ascii="Times New Roman" w:hAnsi="Times New Roman"/>
          <w:b/>
          <w:u w:val="single"/>
        </w:rPr>
      </w:pPr>
    </w:p>
    <w:p w14:paraId="6B111285" w14:textId="5334177F" w:rsidR="001D006C" w:rsidRDefault="001D006C" w:rsidP="006C713E">
      <w:pPr>
        <w:keepNext/>
        <w:keepLines/>
        <w:widowControl w:val="0"/>
        <w:spacing w:before="240"/>
        <w:rPr>
          <w:rFonts w:ascii="Times New Roman" w:hAnsi="Times New Roman"/>
          <w:b/>
          <w:u w:val="single"/>
        </w:rPr>
      </w:pPr>
      <w:r>
        <w:rPr>
          <w:rFonts w:ascii="Times New Roman" w:hAnsi="Times New Roman"/>
          <w:b/>
          <w:u w:val="single"/>
        </w:rPr>
        <w:lastRenderedPageBreak/>
        <w:t>Background</w:t>
      </w:r>
    </w:p>
    <w:p w14:paraId="21221095" w14:textId="51E68543" w:rsidR="00F50AC0" w:rsidRDefault="007453C0" w:rsidP="006C713E">
      <w:pPr>
        <w:keepNext/>
        <w:keepLines/>
        <w:widowControl w:val="0"/>
        <w:shd w:val="clear" w:color="auto" w:fill="FFFFFF"/>
        <w:spacing w:after="0"/>
        <w:rPr>
          <w:rFonts w:ascii="Times New Roman" w:hAnsi="Times New Roman"/>
          <w:color w:val="000000"/>
        </w:rPr>
      </w:pPr>
      <w:r>
        <w:rPr>
          <w:rFonts w:ascii="Times New Roman" w:hAnsi="Times New Roman"/>
          <w:color w:val="000000"/>
        </w:rPr>
        <w:t>The</w:t>
      </w:r>
      <w:r w:rsidR="00676972">
        <w:rPr>
          <w:rFonts w:ascii="Times New Roman" w:hAnsi="Times New Roman"/>
          <w:color w:val="000000"/>
        </w:rPr>
        <w:t xml:space="preserve"> </w:t>
      </w:r>
      <w:r>
        <w:rPr>
          <w:rFonts w:ascii="Times New Roman" w:hAnsi="Times New Roman"/>
          <w:color w:val="000000"/>
        </w:rPr>
        <w:t xml:space="preserve">2023 </w:t>
      </w:r>
      <w:r w:rsidR="00676972">
        <w:rPr>
          <w:rFonts w:ascii="Times New Roman" w:hAnsi="Times New Roman"/>
          <w:color w:val="000000"/>
        </w:rPr>
        <w:t xml:space="preserve">Determination has a self-repeal date of 1 July 2026. </w:t>
      </w:r>
      <w:r w:rsidR="002623A4">
        <w:rPr>
          <w:rFonts w:ascii="Times New Roman" w:hAnsi="Times New Roman"/>
          <w:color w:val="000000"/>
        </w:rPr>
        <w:t>The explanatory statement</w:t>
      </w:r>
      <w:r w:rsidR="002623A4">
        <w:rPr>
          <w:rStyle w:val="FootnoteReference"/>
          <w:rFonts w:ascii="Times New Roman" w:hAnsi="Times New Roman"/>
          <w:color w:val="000000"/>
        </w:rPr>
        <w:footnoteReference w:id="2"/>
      </w:r>
      <w:r w:rsidR="002623A4">
        <w:rPr>
          <w:rFonts w:ascii="Times New Roman" w:hAnsi="Times New Roman"/>
          <w:color w:val="000000"/>
        </w:rPr>
        <w:t xml:space="preserve"> to the </w:t>
      </w:r>
      <w:r>
        <w:rPr>
          <w:rFonts w:ascii="Times New Roman" w:hAnsi="Times New Roman"/>
          <w:color w:val="000000"/>
        </w:rPr>
        <w:t xml:space="preserve">2023 </w:t>
      </w:r>
      <w:r w:rsidR="002623A4">
        <w:rPr>
          <w:rFonts w:ascii="Times New Roman" w:hAnsi="Times New Roman"/>
          <w:color w:val="000000"/>
        </w:rPr>
        <w:t xml:space="preserve">Determination </w:t>
      </w:r>
      <w:r w:rsidR="00192CEA">
        <w:rPr>
          <w:rFonts w:ascii="Times New Roman" w:hAnsi="Times New Roman"/>
          <w:color w:val="000000"/>
        </w:rPr>
        <w:t>states</w:t>
      </w:r>
      <w:r w:rsidR="00F50AC0">
        <w:rPr>
          <w:rFonts w:ascii="Times New Roman" w:hAnsi="Times New Roman"/>
          <w:color w:val="000000"/>
        </w:rPr>
        <w:t>:</w:t>
      </w:r>
    </w:p>
    <w:p w14:paraId="443F5DED" w14:textId="77777777" w:rsidR="00F50AC0" w:rsidRDefault="00F50AC0" w:rsidP="001D006C">
      <w:pPr>
        <w:widowControl w:val="0"/>
        <w:shd w:val="clear" w:color="auto" w:fill="FFFFFF"/>
        <w:spacing w:after="0"/>
        <w:rPr>
          <w:rFonts w:ascii="Times New Roman" w:hAnsi="Times New Roman"/>
          <w:color w:val="000000"/>
        </w:rPr>
      </w:pPr>
    </w:p>
    <w:p w14:paraId="1C2464A2" w14:textId="06896403" w:rsidR="00F50AC0" w:rsidRPr="00F50AC0" w:rsidRDefault="00F50AC0" w:rsidP="00F50AC0">
      <w:pPr>
        <w:shd w:val="clear" w:color="auto" w:fill="FFFFFF"/>
        <w:spacing w:after="0"/>
        <w:ind w:left="720"/>
        <w:rPr>
          <w:rFonts w:ascii="Times New Roman" w:hAnsi="Times New Roman"/>
          <w:i/>
          <w:iCs/>
          <w:color w:val="000000"/>
        </w:rPr>
      </w:pPr>
      <w:r w:rsidRPr="00F50AC0">
        <w:rPr>
          <w:rFonts w:ascii="Times New Roman" w:hAnsi="Times New Roman"/>
          <w:i/>
          <w:iCs/>
          <w:color w:val="000000"/>
        </w:rPr>
        <w:t xml:space="preserve">In the absence of arrangements being determined under subsection 9(2D) of the Act, the primary universal service provider would have considerable discretion to determine the valid form of a request for a standard telephone service. Similarly, in the absence of a determination under subsection 9(3) of the Act, the primary universal service provider would have a general obligation to seek to meet </w:t>
      </w:r>
      <w:proofErr w:type="gramStart"/>
      <w:r w:rsidRPr="00F50AC0">
        <w:rPr>
          <w:rFonts w:ascii="Times New Roman" w:hAnsi="Times New Roman"/>
          <w:i/>
          <w:iCs/>
          <w:color w:val="000000"/>
        </w:rPr>
        <w:t>each and every</w:t>
      </w:r>
      <w:proofErr w:type="gramEnd"/>
      <w:r w:rsidRPr="00F50AC0">
        <w:rPr>
          <w:rFonts w:ascii="Times New Roman" w:hAnsi="Times New Roman"/>
          <w:i/>
          <w:iCs/>
          <w:color w:val="000000"/>
        </w:rPr>
        <w:t xml:space="preserve"> request for a universal service standard telephone service </w:t>
      </w:r>
      <w:proofErr w:type="gramStart"/>
      <w:r w:rsidRPr="00F50AC0">
        <w:rPr>
          <w:rFonts w:ascii="Times New Roman" w:hAnsi="Times New Roman"/>
          <w:i/>
          <w:iCs/>
          <w:color w:val="000000"/>
        </w:rPr>
        <w:t>whether or not</w:t>
      </w:r>
      <w:proofErr w:type="gramEnd"/>
      <w:r w:rsidRPr="00F50AC0">
        <w:rPr>
          <w:rFonts w:ascii="Times New Roman" w:hAnsi="Times New Roman"/>
          <w:i/>
          <w:iCs/>
          <w:color w:val="000000"/>
        </w:rPr>
        <w:t xml:space="preserve"> it was reasonable to do so. </w:t>
      </w:r>
    </w:p>
    <w:p w14:paraId="642C7584" w14:textId="3B354AF5" w:rsidR="002D37E2" w:rsidRDefault="00F50AC0" w:rsidP="001D006C">
      <w:pPr>
        <w:widowControl w:val="0"/>
        <w:shd w:val="clear" w:color="auto" w:fill="FFFFFF"/>
        <w:spacing w:after="0"/>
        <w:rPr>
          <w:rFonts w:ascii="Times New Roman" w:hAnsi="Times New Roman"/>
          <w:color w:val="000000"/>
        </w:rPr>
      </w:pPr>
      <w:r>
        <w:rPr>
          <w:rFonts w:ascii="Times New Roman" w:hAnsi="Times New Roman"/>
          <w:color w:val="000000"/>
        </w:rPr>
        <w:t xml:space="preserve"> </w:t>
      </w:r>
      <w:r w:rsidR="002623A4">
        <w:rPr>
          <w:rFonts w:ascii="Times New Roman" w:hAnsi="Times New Roman"/>
          <w:color w:val="000000"/>
        </w:rPr>
        <w:t xml:space="preserve"> </w:t>
      </w:r>
    </w:p>
    <w:p w14:paraId="1E8C61AE" w14:textId="45DB350F" w:rsidR="00615E4D" w:rsidRDefault="005F0390" w:rsidP="00615E4D">
      <w:pPr>
        <w:spacing w:after="0"/>
        <w:rPr>
          <w:rFonts w:ascii="Times New Roman" w:hAnsi="Times New Roman"/>
          <w:color w:val="000000"/>
        </w:rPr>
      </w:pPr>
      <w:r w:rsidRPr="005F0390">
        <w:rPr>
          <w:rFonts w:ascii="Times New Roman" w:hAnsi="Times New Roman"/>
        </w:rPr>
        <w:t xml:space="preserve">This, and other important aspects of the </w:t>
      </w:r>
      <w:r w:rsidR="00192CEA">
        <w:rPr>
          <w:rFonts w:ascii="Times New Roman" w:hAnsi="Times New Roman"/>
        </w:rPr>
        <w:t xml:space="preserve">2023 </w:t>
      </w:r>
      <w:r w:rsidRPr="005F0390">
        <w:rPr>
          <w:rFonts w:ascii="Times New Roman" w:hAnsi="Times New Roman"/>
        </w:rPr>
        <w:t xml:space="preserve">Determination  and earlier </w:t>
      </w:r>
      <w:r w:rsidR="00164BBC" w:rsidRPr="00900684">
        <w:rPr>
          <w:rFonts w:ascii="Times New Roman" w:hAnsi="Times New Roman"/>
          <w:i/>
          <w:color w:val="000000"/>
        </w:rPr>
        <w:t xml:space="preserve">Telecommunications Universal Service Obligation (Standard Telephone Service – Requirements and Circumstances) Determination </w:t>
      </w:r>
      <w:r w:rsidR="00835D84">
        <w:rPr>
          <w:rFonts w:ascii="Times New Roman" w:hAnsi="Times New Roman"/>
          <w:i/>
          <w:color w:val="000000"/>
        </w:rPr>
        <w:t xml:space="preserve">(No.1) </w:t>
      </w:r>
      <w:r w:rsidR="00164BBC" w:rsidRPr="00900684">
        <w:rPr>
          <w:rFonts w:ascii="Times New Roman" w:hAnsi="Times New Roman"/>
          <w:i/>
          <w:color w:val="000000"/>
        </w:rPr>
        <w:t>20</w:t>
      </w:r>
      <w:r w:rsidR="00164BBC">
        <w:rPr>
          <w:rFonts w:ascii="Times New Roman" w:hAnsi="Times New Roman"/>
          <w:i/>
          <w:color w:val="000000"/>
        </w:rPr>
        <w:t>11</w:t>
      </w:r>
      <w:r w:rsidR="00FB5664">
        <w:rPr>
          <w:rFonts w:ascii="Times New Roman" w:hAnsi="Times New Roman"/>
          <w:i/>
          <w:color w:val="000000"/>
        </w:rPr>
        <w:t xml:space="preserve"> (</w:t>
      </w:r>
      <w:r w:rsidR="00FB5664" w:rsidRPr="006620B9">
        <w:rPr>
          <w:rFonts w:ascii="Times New Roman" w:hAnsi="Times New Roman"/>
          <w:iCs/>
          <w:color w:val="000000"/>
        </w:rPr>
        <w:t xml:space="preserve">the </w:t>
      </w:r>
      <w:r w:rsidR="00653F22">
        <w:rPr>
          <w:rFonts w:ascii="Times New Roman" w:hAnsi="Times New Roman"/>
        </w:rPr>
        <w:t xml:space="preserve">2011 </w:t>
      </w:r>
      <w:r w:rsidRPr="005F0390">
        <w:rPr>
          <w:rFonts w:ascii="Times New Roman" w:hAnsi="Times New Roman"/>
        </w:rPr>
        <w:t>Determination</w:t>
      </w:r>
      <w:r w:rsidR="00FB5664">
        <w:rPr>
          <w:rFonts w:ascii="Times New Roman" w:hAnsi="Times New Roman"/>
        </w:rPr>
        <w:t>)</w:t>
      </w:r>
      <w:r>
        <w:rPr>
          <w:rFonts w:ascii="Times New Roman" w:hAnsi="Times New Roman"/>
        </w:rPr>
        <w:t xml:space="preserve">, </w:t>
      </w:r>
      <w:r w:rsidR="00C40CF8">
        <w:rPr>
          <w:rFonts w:ascii="Times New Roman" w:hAnsi="Times New Roman"/>
        </w:rPr>
        <w:t>are</w:t>
      </w:r>
      <w:r>
        <w:rPr>
          <w:rFonts w:ascii="Times New Roman" w:hAnsi="Times New Roman"/>
        </w:rPr>
        <w:t xml:space="preserve"> necessary conditions in provision of the USO, and given continued effect through the provisions of the </w:t>
      </w:r>
      <w:r w:rsidR="00F27DE4">
        <w:rPr>
          <w:rFonts w:ascii="Times New Roman" w:hAnsi="Times New Roman"/>
        </w:rPr>
        <w:t>Amendment Determination</w:t>
      </w:r>
      <w:r>
        <w:rPr>
          <w:rFonts w:ascii="Times New Roman" w:hAnsi="Times New Roman"/>
        </w:rPr>
        <w:t>.</w:t>
      </w:r>
    </w:p>
    <w:p w14:paraId="4DDFA2F8" w14:textId="77777777" w:rsidR="001D006C" w:rsidRDefault="001D006C" w:rsidP="001D006C">
      <w:pPr>
        <w:widowControl w:val="0"/>
        <w:spacing w:before="240"/>
        <w:rPr>
          <w:rFonts w:ascii="Times New Roman" w:hAnsi="Times New Roman"/>
          <w:b/>
          <w:u w:val="single"/>
        </w:rPr>
      </w:pPr>
      <w:r>
        <w:rPr>
          <w:rFonts w:ascii="Times New Roman" w:hAnsi="Times New Roman"/>
          <w:b/>
          <w:u w:val="single"/>
        </w:rPr>
        <w:t>Authority</w:t>
      </w:r>
    </w:p>
    <w:p w14:paraId="177BDF0F" w14:textId="68BE0C96" w:rsidR="001D006C" w:rsidRPr="0072540E" w:rsidRDefault="00557DCD" w:rsidP="001D006C">
      <w:pPr>
        <w:spacing w:before="120" w:after="120"/>
        <w:rPr>
          <w:rFonts w:ascii="Times New Roman" w:hAnsi="Times New Roman"/>
        </w:rPr>
      </w:pPr>
      <w:r>
        <w:rPr>
          <w:rFonts w:ascii="Times New Roman" w:hAnsi="Times New Roman"/>
        </w:rPr>
        <w:t>S</w:t>
      </w:r>
      <w:r w:rsidRPr="00641225">
        <w:rPr>
          <w:rFonts w:ascii="Times New Roman" w:hAnsi="Times New Roman"/>
        </w:rPr>
        <w:t xml:space="preserve">ubsections 9(2D) and 9(3) of the </w:t>
      </w:r>
      <w:r w:rsidRPr="00641225">
        <w:rPr>
          <w:rFonts w:ascii="Times New Roman" w:hAnsi="Times New Roman"/>
          <w:i/>
        </w:rPr>
        <w:t>Telecommunications (Consumer Protection and Service Standards) Act 1999</w:t>
      </w:r>
      <w:r w:rsidR="001D006C">
        <w:rPr>
          <w:rFonts w:ascii="Times New Roman" w:hAnsi="Times New Roman"/>
        </w:rPr>
        <w:t xml:space="preserve"> provide authority for the </w:t>
      </w:r>
      <w:r w:rsidR="00F27DE4">
        <w:rPr>
          <w:rFonts w:ascii="Times New Roman" w:hAnsi="Times New Roman"/>
        </w:rPr>
        <w:t>Amendment Determination</w:t>
      </w:r>
      <w:r>
        <w:rPr>
          <w:rFonts w:ascii="Times New Roman" w:hAnsi="Times New Roman"/>
        </w:rPr>
        <w:t>.</w:t>
      </w:r>
    </w:p>
    <w:p w14:paraId="0D9EFC1A" w14:textId="5C46B122" w:rsidR="001D006C" w:rsidRDefault="001D006C" w:rsidP="001D006C">
      <w:pPr>
        <w:widowControl w:val="0"/>
        <w:spacing w:before="240"/>
        <w:rPr>
          <w:rFonts w:ascii="Times New Roman" w:hAnsi="Times New Roman"/>
          <w:b/>
          <w:u w:val="single"/>
        </w:rPr>
      </w:pPr>
      <w:r>
        <w:rPr>
          <w:rFonts w:ascii="Times New Roman" w:hAnsi="Times New Roman"/>
          <w:b/>
          <w:u w:val="single"/>
        </w:rPr>
        <w:t>Consultation</w:t>
      </w:r>
    </w:p>
    <w:p w14:paraId="4A79B31D" w14:textId="7D219F5B" w:rsidR="00615E4D" w:rsidRPr="00FA36E3" w:rsidRDefault="001D006C" w:rsidP="00FA36E3">
      <w:pPr>
        <w:widowControl w:val="0"/>
        <w:shd w:val="clear" w:color="auto" w:fill="FFFFFF"/>
        <w:spacing w:after="0"/>
        <w:rPr>
          <w:rFonts w:ascii="Times New Roman" w:hAnsi="Times New Roman"/>
          <w:color w:val="000000"/>
        </w:rPr>
      </w:pPr>
      <w:r w:rsidRPr="00C40CF8">
        <w:rPr>
          <w:rFonts w:ascii="Times New Roman" w:hAnsi="Times New Roman"/>
          <w:color w:val="000000"/>
          <w:highlight w:val="yellow"/>
        </w:rPr>
        <w:t>To be completed.</w:t>
      </w:r>
    </w:p>
    <w:p w14:paraId="39D92FB6" w14:textId="77777777" w:rsidR="000D7728" w:rsidRDefault="00B64CC4" w:rsidP="00FA36E3">
      <w:pPr>
        <w:keepNext/>
        <w:spacing w:before="100" w:beforeAutospacing="1" w:after="100" w:afterAutospacing="1" w:line="276" w:lineRule="auto"/>
        <w:rPr>
          <w:rFonts w:ascii="Times New Roman" w:hAnsi="Times New Roman"/>
          <w:u w:val="single"/>
        </w:rPr>
      </w:pPr>
      <w:r>
        <w:rPr>
          <w:rFonts w:ascii="Times New Roman" w:hAnsi="Times New Roman"/>
          <w:u w:val="single"/>
        </w:rPr>
        <w:t>Legislative instrument and primary legislation</w:t>
      </w:r>
    </w:p>
    <w:p w14:paraId="5C081A3A" w14:textId="1D0D0CEA" w:rsidR="00DE53F7" w:rsidRDefault="00DE53F7" w:rsidP="00FA36E3">
      <w:pPr>
        <w:keepNext/>
        <w:shd w:val="clear" w:color="auto" w:fill="FFFFFF"/>
        <w:spacing w:after="0"/>
        <w:rPr>
          <w:rFonts w:ascii="Times New Roman" w:hAnsi="Times New Roman"/>
          <w:color w:val="000000"/>
        </w:rPr>
      </w:pPr>
      <w:r w:rsidRPr="00FA36E3">
        <w:rPr>
          <w:rFonts w:ascii="Times New Roman" w:hAnsi="Times New Roman"/>
          <w:color w:val="000000"/>
        </w:rPr>
        <w:t xml:space="preserve">Delegated legislation rather than primary legislation has been used because the primary legislation provides for this </w:t>
      </w:r>
      <w:r w:rsidR="00AB0A44" w:rsidRPr="00FA36E3">
        <w:rPr>
          <w:rFonts w:ascii="Times New Roman" w:hAnsi="Times New Roman"/>
          <w:color w:val="000000"/>
        </w:rPr>
        <w:t>under subsections 9(2D) and 9(3) of the Act.</w:t>
      </w:r>
      <w:r w:rsidR="00AB0A44">
        <w:rPr>
          <w:rFonts w:ascii="Times New Roman" w:hAnsi="Times New Roman"/>
          <w:color w:val="000000"/>
        </w:rPr>
        <w:t xml:space="preserve"> This </w:t>
      </w:r>
      <w:r w:rsidRPr="00FA36E3">
        <w:rPr>
          <w:rFonts w:ascii="Times New Roman" w:hAnsi="Times New Roman"/>
          <w:color w:val="000000"/>
        </w:rPr>
        <w:t>recogni</w:t>
      </w:r>
      <w:r w:rsidR="00AB0A44">
        <w:rPr>
          <w:rFonts w:ascii="Times New Roman" w:hAnsi="Times New Roman"/>
          <w:color w:val="000000"/>
        </w:rPr>
        <w:t>ses</w:t>
      </w:r>
      <w:r w:rsidRPr="00FA36E3">
        <w:rPr>
          <w:rFonts w:ascii="Times New Roman" w:hAnsi="Times New Roman"/>
          <w:color w:val="000000"/>
        </w:rPr>
        <w:t xml:space="preserve"> the likely level of detailed drafting that would </w:t>
      </w:r>
      <w:r w:rsidR="00D43D39" w:rsidRPr="00FA36E3">
        <w:rPr>
          <w:rFonts w:ascii="Times New Roman" w:hAnsi="Times New Roman"/>
          <w:color w:val="000000"/>
        </w:rPr>
        <w:t xml:space="preserve">otherwise </w:t>
      </w:r>
      <w:r w:rsidRPr="00FA36E3">
        <w:rPr>
          <w:rFonts w:ascii="Times New Roman" w:hAnsi="Times New Roman"/>
          <w:color w:val="000000"/>
        </w:rPr>
        <w:t xml:space="preserve">be required </w:t>
      </w:r>
      <w:r w:rsidR="00AB0A44">
        <w:rPr>
          <w:rFonts w:ascii="Times New Roman" w:hAnsi="Times New Roman"/>
          <w:color w:val="000000"/>
        </w:rPr>
        <w:t>in</w:t>
      </w:r>
      <w:r w:rsidR="00AB0A44" w:rsidRPr="00FA36E3">
        <w:rPr>
          <w:rFonts w:ascii="Times New Roman" w:hAnsi="Times New Roman"/>
          <w:color w:val="000000"/>
        </w:rPr>
        <w:t xml:space="preserve"> </w:t>
      </w:r>
      <w:r w:rsidR="00D43D39" w:rsidRPr="00FA36E3">
        <w:rPr>
          <w:rFonts w:ascii="Times New Roman" w:hAnsi="Times New Roman"/>
          <w:color w:val="000000"/>
        </w:rPr>
        <w:t xml:space="preserve">the Act, </w:t>
      </w:r>
      <w:r w:rsidRPr="00FA36E3">
        <w:rPr>
          <w:rFonts w:ascii="Times New Roman" w:hAnsi="Times New Roman"/>
          <w:color w:val="000000"/>
        </w:rPr>
        <w:t>and the need for flexibility</w:t>
      </w:r>
      <w:r w:rsidR="00D43D39" w:rsidRPr="00FA36E3">
        <w:rPr>
          <w:rFonts w:ascii="Times New Roman" w:hAnsi="Times New Roman"/>
          <w:color w:val="000000"/>
        </w:rPr>
        <w:t xml:space="preserve"> in responding to any possible changes in criteria against which a request for a standard telephone service under the USO may be made</w:t>
      </w:r>
      <w:r w:rsidR="006D2333">
        <w:rPr>
          <w:rFonts w:ascii="Times New Roman" w:hAnsi="Times New Roman"/>
          <w:color w:val="000000"/>
        </w:rPr>
        <w:t>, or the minimum requirements for a request for a USO service</w:t>
      </w:r>
      <w:r w:rsidRPr="00FA36E3">
        <w:rPr>
          <w:rFonts w:ascii="Times New Roman" w:hAnsi="Times New Roman"/>
          <w:color w:val="000000"/>
        </w:rPr>
        <w:t xml:space="preserve">. </w:t>
      </w:r>
    </w:p>
    <w:p w14:paraId="45B53F79" w14:textId="77777777" w:rsidR="00615E4D" w:rsidRDefault="00615E4D" w:rsidP="001D006C">
      <w:pPr>
        <w:widowControl w:val="0"/>
        <w:spacing w:before="240"/>
        <w:rPr>
          <w:rFonts w:ascii="Times New Roman" w:hAnsi="Times New Roman"/>
          <w:bCs/>
          <w:u w:val="single"/>
        </w:rPr>
      </w:pPr>
      <w:r w:rsidRPr="001D006C">
        <w:rPr>
          <w:rFonts w:ascii="Times New Roman" w:hAnsi="Times New Roman"/>
          <w:b/>
          <w:u w:val="single"/>
        </w:rPr>
        <w:t>Statement of compatibility with human rights</w:t>
      </w:r>
    </w:p>
    <w:p w14:paraId="5E4FBDE8" w14:textId="77777777" w:rsidR="003918CF" w:rsidRDefault="003918CF" w:rsidP="003918CF">
      <w:pPr>
        <w:spacing w:before="120" w:after="120"/>
        <w:rPr>
          <w:rFonts w:ascii="Times New Roman" w:hAnsi="Times New Roman"/>
        </w:rPr>
      </w:pPr>
      <w:r>
        <w:rPr>
          <w:rFonts w:ascii="Times New Roman" w:hAnsi="Times New Roman"/>
        </w:rPr>
        <w:t xml:space="preserve">A Statement of Compatibility with Human Rights is set out at </w:t>
      </w:r>
      <w:r w:rsidRPr="00B51C70">
        <w:rPr>
          <w:rFonts w:ascii="Times New Roman" w:hAnsi="Times New Roman"/>
          <w:b/>
          <w:bCs/>
          <w:u w:val="single"/>
        </w:rPr>
        <w:t>Attachment B</w:t>
      </w:r>
      <w:r w:rsidRPr="00B51C70">
        <w:rPr>
          <w:rFonts w:ascii="Times New Roman" w:hAnsi="Times New Roman"/>
        </w:rPr>
        <w:t>.</w:t>
      </w:r>
    </w:p>
    <w:p w14:paraId="5550DBF3" w14:textId="020B437F" w:rsidR="002E7177" w:rsidRDefault="002E7177" w:rsidP="00FB4793">
      <w:pPr>
        <w:widowControl w:val="0"/>
        <w:spacing w:before="100" w:beforeAutospacing="1" w:after="100" w:afterAutospacing="1"/>
        <w:rPr>
          <w:rFonts w:ascii="Times New Roman" w:hAnsi="Times New Roman"/>
        </w:rPr>
        <w:sectPr w:rsidR="002E7177" w:rsidSect="000A2F7D">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20" w:footer="720" w:gutter="0"/>
          <w:cols w:space="720"/>
          <w:docGrid w:linePitch="360"/>
        </w:sectPr>
      </w:pPr>
    </w:p>
    <w:p w14:paraId="1A12CEB3" w14:textId="77777777" w:rsidR="00E42F3E" w:rsidRPr="00592BCC" w:rsidRDefault="00E42F3E" w:rsidP="00E42F3E">
      <w:pPr>
        <w:ind w:right="91"/>
        <w:jc w:val="right"/>
        <w:rPr>
          <w:rFonts w:ascii="Times New Roman" w:hAnsi="Times New Roman"/>
          <w:b/>
          <w:sz w:val="28"/>
          <w:szCs w:val="28"/>
        </w:rPr>
      </w:pPr>
      <w:r w:rsidRPr="00592BCC">
        <w:rPr>
          <w:rFonts w:ascii="Times New Roman" w:hAnsi="Times New Roman"/>
          <w:b/>
          <w:sz w:val="28"/>
          <w:szCs w:val="28"/>
        </w:rPr>
        <w:lastRenderedPageBreak/>
        <w:t>Attachment A</w:t>
      </w:r>
    </w:p>
    <w:p w14:paraId="5E905F33" w14:textId="3EC547A2" w:rsidR="009A4F8A" w:rsidRPr="00250AE0" w:rsidRDefault="00EE7C79" w:rsidP="00D906CB">
      <w:pPr>
        <w:pStyle w:val="ShortT"/>
        <w:rPr>
          <w:color w:val="000000"/>
        </w:rPr>
      </w:pPr>
      <w:r>
        <w:rPr>
          <w:sz w:val="24"/>
          <w:szCs w:val="24"/>
          <w:u w:val="single"/>
        </w:rPr>
        <w:t>Details of the</w:t>
      </w:r>
      <w:r w:rsidR="00E42F3E" w:rsidRPr="00EE7C79">
        <w:rPr>
          <w:i/>
          <w:sz w:val="24"/>
          <w:szCs w:val="24"/>
          <w:u w:val="single"/>
        </w:rPr>
        <w:t xml:space="preserve"> </w:t>
      </w:r>
      <w:r w:rsidR="001D006C" w:rsidRPr="00EE7C79">
        <w:rPr>
          <w:bCs/>
          <w:i/>
          <w:iCs/>
          <w:sz w:val="24"/>
          <w:szCs w:val="24"/>
          <w:u w:val="single"/>
        </w:rPr>
        <w:t xml:space="preserve">Telecommunications Amendment Universal Service Obligation (Standard Telephone Service – Requirements and Circumstances) </w:t>
      </w:r>
      <w:r w:rsidR="00CD175B">
        <w:rPr>
          <w:bCs/>
          <w:i/>
          <w:iCs/>
          <w:sz w:val="24"/>
          <w:szCs w:val="24"/>
          <w:u w:val="single"/>
        </w:rPr>
        <w:t>Determination</w:t>
      </w:r>
      <w:r w:rsidR="001D006C" w:rsidRPr="00EE7C79">
        <w:rPr>
          <w:bCs/>
          <w:i/>
          <w:iCs/>
          <w:sz w:val="24"/>
          <w:szCs w:val="24"/>
          <w:u w:val="single"/>
        </w:rPr>
        <w:t xml:space="preserve"> 2026</w:t>
      </w:r>
      <w:r w:rsidR="00E42F3E" w:rsidRPr="00F83487">
        <w:rPr>
          <w:i/>
          <w:sz w:val="28"/>
          <w:szCs w:val="28"/>
          <w:u w:val="single"/>
        </w:rPr>
        <w:t xml:space="preserve"> </w:t>
      </w:r>
    </w:p>
    <w:p w14:paraId="63A10DE1" w14:textId="77777777" w:rsidR="009A4F8A" w:rsidRPr="00250AE0" w:rsidRDefault="009A4F8A" w:rsidP="009A4F8A">
      <w:pPr>
        <w:shd w:val="clear" w:color="auto" w:fill="FFFFFF"/>
        <w:spacing w:before="400" w:after="120" w:line="299" w:lineRule="atLeast"/>
        <w:ind w:left="360" w:hanging="360"/>
        <w:rPr>
          <w:rFonts w:ascii="Times" w:hAnsi="Times" w:cs="Times"/>
          <w:b/>
          <w:bCs/>
          <w:color w:val="000000"/>
          <w:sz w:val="26"/>
          <w:szCs w:val="26"/>
        </w:rPr>
      </w:pPr>
      <w:r w:rsidRPr="00250AE0">
        <w:rPr>
          <w:rFonts w:ascii="Times New Roman" w:hAnsi="Times New Roman"/>
          <w:b/>
          <w:bCs/>
          <w:color w:val="000000"/>
        </w:rPr>
        <w:t>1</w:t>
      </w:r>
      <w:r w:rsidRPr="00250AE0">
        <w:rPr>
          <w:rFonts w:ascii="Times New Roman" w:hAnsi="Times New Roman"/>
          <w:b/>
          <w:bCs/>
          <w:color w:val="000000"/>
          <w:sz w:val="14"/>
          <w:szCs w:val="14"/>
        </w:rPr>
        <w:t>        </w:t>
      </w:r>
      <w:r w:rsidRPr="00250AE0">
        <w:rPr>
          <w:rFonts w:ascii="Times New Roman" w:hAnsi="Times New Roman"/>
          <w:b/>
          <w:bCs/>
          <w:color w:val="000000"/>
        </w:rPr>
        <w:t>Name of instrument</w:t>
      </w:r>
    </w:p>
    <w:p w14:paraId="349E4F39" w14:textId="6226B1CC" w:rsidR="009A4F8A" w:rsidRPr="00250AE0" w:rsidRDefault="009A4F8A" w:rsidP="009A4F8A">
      <w:pPr>
        <w:shd w:val="clear" w:color="auto" w:fill="FFFFFF"/>
        <w:spacing w:before="120" w:after="120" w:line="276" w:lineRule="atLeast"/>
        <w:ind w:left="567"/>
        <w:rPr>
          <w:rFonts w:ascii="Times New Roman" w:hAnsi="Times New Roman"/>
          <w:color w:val="000000"/>
        </w:rPr>
      </w:pPr>
      <w:r w:rsidRPr="00250AE0">
        <w:rPr>
          <w:rFonts w:ascii="Times New Roman" w:hAnsi="Times New Roman"/>
          <w:color w:val="000000"/>
        </w:rPr>
        <w:t>Section 1 provides that the name of this Instrument is the </w:t>
      </w:r>
      <w:r w:rsidRPr="00250AE0">
        <w:rPr>
          <w:rFonts w:ascii="Times New Roman" w:hAnsi="Times New Roman"/>
          <w:i/>
          <w:iCs/>
          <w:color w:val="000000"/>
        </w:rPr>
        <w:t>Telecommunications</w:t>
      </w:r>
      <w:r w:rsidR="00EE7C79">
        <w:rPr>
          <w:rFonts w:ascii="Times New Roman" w:hAnsi="Times New Roman"/>
          <w:i/>
          <w:iCs/>
          <w:color w:val="000000"/>
        </w:rPr>
        <w:t xml:space="preserve"> Amendment</w:t>
      </w:r>
      <w:r w:rsidRPr="00250AE0">
        <w:rPr>
          <w:rFonts w:ascii="Times New Roman" w:hAnsi="Times New Roman"/>
          <w:i/>
          <w:iCs/>
          <w:color w:val="000000"/>
        </w:rPr>
        <w:t xml:space="preserve"> Universal Service Obligation (Standard Telephone Service—Requirements and Circumstances) </w:t>
      </w:r>
      <w:r w:rsidR="00CD175B">
        <w:rPr>
          <w:rFonts w:ascii="Times New Roman" w:hAnsi="Times New Roman"/>
          <w:i/>
          <w:iCs/>
          <w:color w:val="000000"/>
        </w:rPr>
        <w:t>Determination</w:t>
      </w:r>
      <w:r w:rsidRPr="00250AE0">
        <w:rPr>
          <w:rFonts w:ascii="Times New Roman" w:hAnsi="Times New Roman"/>
          <w:i/>
          <w:iCs/>
          <w:color w:val="000000"/>
        </w:rPr>
        <w:t xml:space="preserve"> 20</w:t>
      </w:r>
      <w:r>
        <w:rPr>
          <w:rFonts w:ascii="Times New Roman" w:hAnsi="Times New Roman"/>
          <w:i/>
          <w:iCs/>
          <w:color w:val="000000"/>
        </w:rPr>
        <w:t>2</w:t>
      </w:r>
      <w:r w:rsidR="00EE7C79">
        <w:rPr>
          <w:rFonts w:ascii="Times New Roman" w:hAnsi="Times New Roman"/>
          <w:i/>
          <w:iCs/>
          <w:color w:val="000000"/>
        </w:rPr>
        <w:t>6</w:t>
      </w:r>
      <w:r w:rsidRPr="00250AE0">
        <w:rPr>
          <w:rFonts w:ascii="Times New Roman" w:hAnsi="Times New Roman"/>
          <w:i/>
          <w:iCs/>
          <w:color w:val="000000"/>
        </w:rPr>
        <w:t>.</w:t>
      </w:r>
    </w:p>
    <w:p w14:paraId="3852196C" w14:textId="77777777" w:rsidR="009A4F8A" w:rsidRPr="00250AE0" w:rsidRDefault="009A4F8A" w:rsidP="009A4F8A">
      <w:pPr>
        <w:shd w:val="clear" w:color="auto" w:fill="FFFFFF"/>
        <w:spacing w:before="240" w:after="120" w:line="299" w:lineRule="atLeast"/>
        <w:ind w:left="357" w:hanging="357"/>
        <w:rPr>
          <w:rFonts w:ascii="Times" w:hAnsi="Times" w:cs="Times"/>
          <w:b/>
          <w:bCs/>
          <w:color w:val="000000"/>
          <w:sz w:val="26"/>
          <w:szCs w:val="26"/>
        </w:rPr>
      </w:pPr>
      <w:r w:rsidRPr="00250AE0">
        <w:rPr>
          <w:rFonts w:ascii="Times New Roman" w:hAnsi="Times New Roman"/>
          <w:b/>
          <w:bCs/>
          <w:color w:val="000000"/>
        </w:rPr>
        <w:t>2</w:t>
      </w:r>
      <w:r w:rsidRPr="00250AE0">
        <w:rPr>
          <w:rFonts w:ascii="Times New Roman" w:hAnsi="Times New Roman"/>
          <w:b/>
          <w:bCs/>
          <w:color w:val="000000"/>
          <w:sz w:val="14"/>
          <w:szCs w:val="14"/>
        </w:rPr>
        <w:t>        </w:t>
      </w:r>
      <w:r w:rsidRPr="00250AE0">
        <w:rPr>
          <w:rFonts w:ascii="Times New Roman" w:hAnsi="Times New Roman"/>
          <w:b/>
          <w:bCs/>
          <w:color w:val="000000"/>
        </w:rPr>
        <w:t>Commencement</w:t>
      </w:r>
    </w:p>
    <w:p w14:paraId="40A6044C" w14:textId="77777777" w:rsidR="009A4F8A" w:rsidRDefault="009A4F8A" w:rsidP="00973B7D">
      <w:pPr>
        <w:shd w:val="clear" w:color="auto" w:fill="FFFFFF"/>
        <w:spacing w:before="120" w:after="120" w:line="276" w:lineRule="atLeast"/>
        <w:ind w:left="567"/>
        <w:rPr>
          <w:rFonts w:ascii="Times New Roman" w:hAnsi="Times New Roman"/>
          <w:color w:val="000000"/>
        </w:rPr>
      </w:pPr>
      <w:r w:rsidRPr="00250AE0">
        <w:rPr>
          <w:rFonts w:ascii="Times New Roman" w:hAnsi="Times New Roman"/>
          <w:color w:val="000000"/>
        </w:rPr>
        <w:t xml:space="preserve">Section 2 provides for the Instrument to commence </w:t>
      </w:r>
      <w:r w:rsidRPr="00250AE0">
        <w:rPr>
          <w:rFonts w:ascii="Times New Roman" w:hAnsi="Times New Roman"/>
          <w:color w:val="000000"/>
          <w:spacing w:val="-3"/>
          <w:lang w:val="en-US"/>
        </w:rPr>
        <w:t>the day after it is registered on the Federal Register of Legislative Instruments</w:t>
      </w:r>
      <w:r w:rsidRPr="00250AE0">
        <w:rPr>
          <w:rFonts w:ascii="Times New Roman" w:hAnsi="Times New Roman"/>
          <w:color w:val="000000"/>
        </w:rPr>
        <w:t>.</w:t>
      </w:r>
    </w:p>
    <w:p w14:paraId="3BFFBD10" w14:textId="77777777" w:rsidR="009B3B28" w:rsidRPr="00250AE0" w:rsidRDefault="009B3B28" w:rsidP="009B3B28">
      <w:pPr>
        <w:shd w:val="clear" w:color="auto" w:fill="FFFFFF"/>
        <w:spacing w:before="240" w:after="120" w:line="299" w:lineRule="atLeast"/>
        <w:ind w:left="357" w:hanging="357"/>
        <w:rPr>
          <w:rFonts w:ascii="Times" w:hAnsi="Times" w:cs="Times"/>
          <w:b/>
          <w:bCs/>
          <w:color w:val="000000"/>
          <w:sz w:val="26"/>
          <w:szCs w:val="26"/>
        </w:rPr>
      </w:pPr>
      <w:r>
        <w:rPr>
          <w:rFonts w:ascii="Times New Roman" w:hAnsi="Times New Roman"/>
          <w:b/>
          <w:bCs/>
          <w:color w:val="000000"/>
        </w:rPr>
        <w:t>3</w:t>
      </w:r>
      <w:r w:rsidRPr="00250AE0">
        <w:rPr>
          <w:rFonts w:ascii="Times New Roman" w:hAnsi="Times New Roman"/>
          <w:b/>
          <w:bCs/>
          <w:color w:val="000000"/>
          <w:sz w:val="14"/>
          <w:szCs w:val="14"/>
        </w:rPr>
        <w:t>        </w:t>
      </w:r>
      <w:r>
        <w:rPr>
          <w:rFonts w:ascii="Times New Roman" w:hAnsi="Times New Roman"/>
          <w:b/>
          <w:bCs/>
          <w:color w:val="000000"/>
        </w:rPr>
        <w:t>Authority</w:t>
      </w:r>
    </w:p>
    <w:p w14:paraId="5D04E667" w14:textId="7D350551" w:rsidR="004C7DD5" w:rsidRPr="00641225" w:rsidRDefault="004C7DD5" w:rsidP="004C7DD5">
      <w:pPr>
        <w:shd w:val="clear" w:color="auto" w:fill="FFFFFF"/>
        <w:spacing w:before="120" w:after="120" w:line="276" w:lineRule="atLeast"/>
        <w:ind w:left="567"/>
        <w:rPr>
          <w:rFonts w:ascii="Times New Roman" w:hAnsi="Times New Roman"/>
          <w:color w:val="000000"/>
        </w:rPr>
      </w:pPr>
      <w:r w:rsidRPr="00641225">
        <w:rPr>
          <w:rFonts w:ascii="Times New Roman" w:hAnsi="Times New Roman"/>
        </w:rPr>
        <w:t xml:space="preserve">Section 3 provides that this instrument is made under subsections 9(2D) and 9(3) of the </w:t>
      </w:r>
      <w:r w:rsidRPr="00641225">
        <w:rPr>
          <w:rFonts w:ascii="Times New Roman" w:hAnsi="Times New Roman"/>
          <w:i/>
        </w:rPr>
        <w:t>Telecommunications (Consumer Protection and Service Standards) Act 1999</w:t>
      </w:r>
      <w:r w:rsidR="00BF5CD3" w:rsidRPr="00CD2727">
        <w:rPr>
          <w:rFonts w:ascii="Times New Roman" w:hAnsi="Times New Roman"/>
          <w:iCs/>
        </w:rPr>
        <w:t xml:space="preserve"> </w:t>
      </w:r>
      <w:r w:rsidRPr="00641225">
        <w:rPr>
          <w:rFonts w:ascii="Times New Roman" w:hAnsi="Times New Roman"/>
          <w:i/>
          <w:iCs/>
          <w:color w:val="000000"/>
        </w:rPr>
        <w:t>.</w:t>
      </w:r>
    </w:p>
    <w:p w14:paraId="529A0F84" w14:textId="62AB3F0D" w:rsidR="009A4F8A" w:rsidRPr="00250AE0" w:rsidRDefault="00CC0737" w:rsidP="009A4F8A">
      <w:pPr>
        <w:shd w:val="clear" w:color="auto" w:fill="FFFFFF"/>
        <w:spacing w:before="240" w:after="120" w:line="299" w:lineRule="atLeast"/>
        <w:ind w:left="357" w:hanging="357"/>
        <w:rPr>
          <w:rFonts w:ascii="Times" w:hAnsi="Times" w:cs="Times"/>
          <w:b/>
          <w:bCs/>
          <w:color w:val="000000"/>
          <w:sz w:val="26"/>
          <w:szCs w:val="26"/>
        </w:rPr>
      </w:pPr>
      <w:r>
        <w:rPr>
          <w:rFonts w:ascii="Times New Roman" w:hAnsi="Times New Roman"/>
          <w:b/>
          <w:bCs/>
          <w:color w:val="000000"/>
        </w:rPr>
        <w:t>4</w:t>
      </w:r>
      <w:r w:rsidR="009A4F8A" w:rsidRPr="00250AE0">
        <w:rPr>
          <w:rFonts w:ascii="Times New Roman" w:hAnsi="Times New Roman"/>
          <w:b/>
          <w:bCs/>
          <w:color w:val="000000"/>
          <w:sz w:val="14"/>
          <w:szCs w:val="14"/>
        </w:rPr>
        <w:t>        </w:t>
      </w:r>
      <w:r w:rsidR="004C7DD5">
        <w:rPr>
          <w:rFonts w:ascii="Times New Roman" w:hAnsi="Times New Roman"/>
          <w:b/>
          <w:bCs/>
          <w:color w:val="000000"/>
        </w:rPr>
        <w:t>Schedules</w:t>
      </w:r>
    </w:p>
    <w:p w14:paraId="7B521FF4" w14:textId="6B2C9BC7" w:rsidR="004C7DD5" w:rsidRDefault="009A4F8A" w:rsidP="00641225">
      <w:pPr>
        <w:shd w:val="clear" w:color="auto" w:fill="FFFFFF"/>
        <w:spacing w:before="120" w:after="120" w:line="276" w:lineRule="atLeast"/>
        <w:ind w:left="567"/>
        <w:rPr>
          <w:rFonts w:ascii="Times New Roman" w:hAnsi="Times New Roman"/>
          <w:color w:val="000000"/>
        </w:rPr>
      </w:pPr>
      <w:r w:rsidRPr="00641225">
        <w:rPr>
          <w:rFonts w:ascii="Times New Roman" w:hAnsi="Times New Roman"/>
          <w:color w:val="000000"/>
        </w:rPr>
        <w:t xml:space="preserve">Section </w:t>
      </w:r>
      <w:r w:rsidR="00CC0737">
        <w:rPr>
          <w:rFonts w:ascii="Times New Roman" w:hAnsi="Times New Roman"/>
          <w:color w:val="000000"/>
        </w:rPr>
        <w:t>4</w:t>
      </w:r>
      <w:r w:rsidRPr="00641225">
        <w:rPr>
          <w:rFonts w:ascii="Times New Roman" w:hAnsi="Times New Roman"/>
          <w:color w:val="000000"/>
        </w:rPr>
        <w:t xml:space="preserve"> </w:t>
      </w:r>
      <w:r w:rsidR="004C7DD5" w:rsidRPr="00641225">
        <w:rPr>
          <w:rFonts w:ascii="Times New Roman" w:hAnsi="Times New Roman"/>
          <w:color w:val="000000"/>
        </w:rPr>
        <w:t xml:space="preserve">provides </w:t>
      </w:r>
      <w:r w:rsidR="004C7DD5" w:rsidRPr="007F7291">
        <w:rPr>
          <w:rFonts w:ascii="Times New Roman" w:hAnsi="Times New Roman"/>
          <w:color w:val="000000"/>
        </w:rPr>
        <w:t xml:space="preserve">that </w:t>
      </w:r>
      <w:r w:rsidR="004C7DD5" w:rsidRPr="00CD2727">
        <w:rPr>
          <w:rFonts w:ascii="Times New Roman" w:hAnsi="Times New Roman"/>
        </w:rPr>
        <w:t>each</w:t>
      </w:r>
      <w:r w:rsidR="004C7DD5" w:rsidRPr="00641225">
        <w:rPr>
          <w:rFonts w:ascii="Times New Roman" w:hAnsi="Times New Roman"/>
        </w:rPr>
        <w:t xml:space="preserve"> instrument that is specified in a Schedule to this instrument is amended or repealed as set out in the applicable items in the Schedule concerned, and any other item in a Schedule to this instrument has effect according to its terms</w:t>
      </w:r>
      <w:r w:rsidRPr="00641225">
        <w:rPr>
          <w:rFonts w:ascii="Times New Roman" w:hAnsi="Times New Roman"/>
          <w:color w:val="000000"/>
        </w:rPr>
        <w:t>.</w:t>
      </w:r>
    </w:p>
    <w:p w14:paraId="3DDB2EAC" w14:textId="70E56897" w:rsidR="006C5067" w:rsidRDefault="006C5067" w:rsidP="00280703">
      <w:pPr>
        <w:shd w:val="clear" w:color="auto" w:fill="FFFFFF"/>
        <w:spacing w:before="240" w:after="120" w:line="299" w:lineRule="atLeast"/>
        <w:ind w:left="426" w:hanging="360"/>
        <w:rPr>
          <w:rFonts w:ascii="Times New Roman" w:hAnsi="Times New Roman"/>
          <w:b/>
          <w:bCs/>
          <w:color w:val="000000"/>
        </w:rPr>
      </w:pPr>
      <w:r w:rsidRPr="00F23C30">
        <w:rPr>
          <w:rFonts w:ascii="Times New Roman" w:hAnsi="Times New Roman"/>
          <w:b/>
          <w:bCs/>
          <w:color w:val="000000"/>
        </w:rPr>
        <w:t xml:space="preserve">Schedule 1 – </w:t>
      </w:r>
      <w:r w:rsidR="004379F3">
        <w:rPr>
          <w:rFonts w:ascii="Times New Roman" w:hAnsi="Times New Roman"/>
          <w:b/>
          <w:bCs/>
          <w:color w:val="000000"/>
        </w:rPr>
        <w:t>Amendments</w:t>
      </w:r>
    </w:p>
    <w:p w14:paraId="1C9A604B" w14:textId="01CBA6F8" w:rsidR="00365C40" w:rsidRDefault="00E350A0" w:rsidP="00365C40">
      <w:pPr>
        <w:spacing w:after="0"/>
        <w:ind w:left="567"/>
        <w:rPr>
          <w:rFonts w:ascii="Times New Roman" w:hAnsi="Times New Roman"/>
          <w:iCs/>
        </w:rPr>
      </w:pPr>
      <w:r>
        <w:rPr>
          <w:rFonts w:ascii="Times New Roman" w:hAnsi="Times New Roman"/>
        </w:rPr>
        <w:t>Schedule 1 to t</w:t>
      </w:r>
      <w:r w:rsidR="006C5067" w:rsidRPr="00573E99">
        <w:rPr>
          <w:rFonts w:ascii="Times New Roman" w:hAnsi="Times New Roman"/>
        </w:rPr>
        <w:t xml:space="preserve">he </w:t>
      </w:r>
      <w:r w:rsidR="00F27DE4">
        <w:rPr>
          <w:rFonts w:ascii="Times New Roman" w:hAnsi="Times New Roman"/>
        </w:rPr>
        <w:t>Amendment Determination</w:t>
      </w:r>
      <w:r w:rsidR="00450DC2">
        <w:rPr>
          <w:rFonts w:ascii="Times New Roman" w:hAnsi="Times New Roman"/>
        </w:rPr>
        <w:t xml:space="preserve"> amends several provisions in the </w:t>
      </w:r>
      <w:r w:rsidR="00AB2494">
        <w:rPr>
          <w:rFonts w:ascii="Times New Roman" w:hAnsi="Times New Roman"/>
        </w:rPr>
        <w:t xml:space="preserve">2023 Determination </w:t>
      </w:r>
      <w:r w:rsidR="00450DC2">
        <w:rPr>
          <w:rFonts w:ascii="Times New Roman" w:hAnsi="Times New Roman"/>
          <w:iCs/>
        </w:rPr>
        <w:t>as follows:</w:t>
      </w:r>
    </w:p>
    <w:p w14:paraId="256D42E9" w14:textId="77777777" w:rsidR="00450DC2" w:rsidRDefault="00450DC2" w:rsidP="00365C40">
      <w:pPr>
        <w:spacing w:after="0"/>
        <w:ind w:left="567"/>
        <w:rPr>
          <w:rFonts w:ascii="Times New Roman" w:hAnsi="Times New Roman"/>
          <w:iCs/>
        </w:rPr>
      </w:pPr>
    </w:p>
    <w:p w14:paraId="26D1DFE2" w14:textId="4F67CDDD" w:rsidR="0095290F" w:rsidRDefault="00E350A0" w:rsidP="00450DC2">
      <w:pPr>
        <w:spacing w:after="0"/>
        <w:ind w:left="567"/>
        <w:rPr>
          <w:rFonts w:ascii="Times New Roman" w:hAnsi="Times New Roman"/>
          <w:iCs/>
        </w:rPr>
      </w:pPr>
      <w:r>
        <w:rPr>
          <w:rFonts w:ascii="Times New Roman" w:hAnsi="Times New Roman"/>
          <w:b/>
          <w:bCs/>
          <w:iCs/>
        </w:rPr>
        <w:t xml:space="preserve">Item 1 </w:t>
      </w:r>
      <w:r w:rsidR="00450DC2" w:rsidRPr="00B13BBA">
        <w:rPr>
          <w:rFonts w:ascii="Times New Roman" w:hAnsi="Times New Roman"/>
          <w:b/>
          <w:bCs/>
          <w:iCs/>
        </w:rPr>
        <w:t>Paragraph 4(1)</w:t>
      </w:r>
      <w:r w:rsidR="00450DC2">
        <w:rPr>
          <w:rFonts w:ascii="Times New Roman" w:hAnsi="Times New Roman"/>
          <w:iCs/>
        </w:rPr>
        <w:t xml:space="preserve"> amends two definitions. First, the </w:t>
      </w:r>
      <w:r w:rsidR="00A46A7B">
        <w:rPr>
          <w:rFonts w:ascii="Times New Roman" w:hAnsi="Times New Roman"/>
          <w:iCs/>
        </w:rPr>
        <w:t xml:space="preserve">definition of </w:t>
      </w:r>
      <w:r w:rsidR="00450DC2" w:rsidRPr="00450DC2">
        <w:rPr>
          <w:rFonts w:ascii="Times New Roman" w:hAnsi="Times New Roman"/>
          <w:b/>
          <w:bCs/>
          <w:i/>
        </w:rPr>
        <w:t>CSG Standard</w:t>
      </w:r>
      <w:r w:rsidR="00450DC2">
        <w:rPr>
          <w:rFonts w:ascii="Times New Roman" w:hAnsi="Times New Roman"/>
          <w:iCs/>
        </w:rPr>
        <w:t xml:space="preserve"> is amended to </w:t>
      </w:r>
      <w:r w:rsidR="00A46A7B">
        <w:rPr>
          <w:rFonts w:ascii="Times New Roman" w:hAnsi="Times New Roman"/>
          <w:iCs/>
        </w:rPr>
        <w:t xml:space="preserve">replace existing references to the </w:t>
      </w:r>
      <w:r w:rsidR="00BF5CD3" w:rsidRPr="00CD2727">
        <w:rPr>
          <w:rFonts w:ascii="Times New Roman" w:hAnsi="Times New Roman"/>
          <w:i/>
        </w:rPr>
        <w:t>Telecommunications (</w:t>
      </w:r>
      <w:r w:rsidR="00A46A7B" w:rsidRPr="00CD2727">
        <w:rPr>
          <w:rFonts w:ascii="Times New Roman" w:hAnsi="Times New Roman"/>
          <w:i/>
        </w:rPr>
        <w:t>Customer Service Guarantee</w:t>
      </w:r>
      <w:r w:rsidR="00BF5CD3" w:rsidRPr="00BF5CD3">
        <w:rPr>
          <w:rFonts w:ascii="Times New Roman" w:hAnsi="Times New Roman"/>
          <w:i/>
        </w:rPr>
        <w:t>)</w:t>
      </w:r>
      <w:r w:rsidR="00A46A7B" w:rsidRPr="00CD2727">
        <w:rPr>
          <w:rFonts w:ascii="Times New Roman" w:hAnsi="Times New Roman"/>
          <w:i/>
        </w:rPr>
        <w:t xml:space="preserve"> Standard 2011 </w:t>
      </w:r>
      <w:r w:rsidR="00A46A7B">
        <w:rPr>
          <w:rFonts w:ascii="Times New Roman" w:hAnsi="Times New Roman"/>
          <w:iCs/>
        </w:rPr>
        <w:t xml:space="preserve">which is no longer in force. This is replaced with a broader definition that </w:t>
      </w:r>
      <w:r w:rsidR="00BF5CD3">
        <w:rPr>
          <w:rFonts w:ascii="Times New Roman" w:hAnsi="Times New Roman"/>
          <w:iCs/>
        </w:rPr>
        <w:t xml:space="preserve">reflects the </w:t>
      </w:r>
      <w:r w:rsidR="00A46A7B" w:rsidRPr="00CD2727">
        <w:rPr>
          <w:rFonts w:ascii="Times New Roman" w:hAnsi="Times New Roman"/>
          <w:i/>
        </w:rPr>
        <w:t>Telecommunications (Customer Service Guarantee) Standard</w:t>
      </w:r>
      <w:r w:rsidR="00AB2494">
        <w:rPr>
          <w:rFonts w:ascii="Times New Roman" w:hAnsi="Times New Roman"/>
          <w:i/>
        </w:rPr>
        <w:t> </w:t>
      </w:r>
      <w:r w:rsidR="00A46A7B" w:rsidRPr="00CD2727">
        <w:rPr>
          <w:rFonts w:ascii="Times New Roman" w:hAnsi="Times New Roman"/>
          <w:i/>
        </w:rPr>
        <w:t>2023</w:t>
      </w:r>
      <w:r w:rsidR="00A46A7B">
        <w:rPr>
          <w:rFonts w:ascii="Times New Roman" w:hAnsi="Times New Roman"/>
          <w:iCs/>
        </w:rPr>
        <w:t xml:space="preserve">, or any future replacement standard made under section 115 of the </w:t>
      </w:r>
      <w:r w:rsidR="000C7D2D">
        <w:rPr>
          <w:rFonts w:ascii="Times New Roman" w:hAnsi="Times New Roman"/>
          <w:iCs/>
        </w:rPr>
        <w:t>A</w:t>
      </w:r>
      <w:r w:rsidR="00A46A7B">
        <w:rPr>
          <w:rFonts w:ascii="Times New Roman" w:hAnsi="Times New Roman"/>
          <w:iCs/>
        </w:rPr>
        <w:t>ct.</w:t>
      </w:r>
      <w:r w:rsidR="00B13BBA">
        <w:rPr>
          <w:rFonts w:ascii="Times New Roman" w:hAnsi="Times New Roman"/>
          <w:iCs/>
        </w:rPr>
        <w:t xml:space="preserve"> </w:t>
      </w:r>
    </w:p>
    <w:p w14:paraId="3471673F" w14:textId="77777777" w:rsidR="00B13BBA" w:rsidRDefault="00B13BBA" w:rsidP="00450DC2">
      <w:pPr>
        <w:spacing w:after="0"/>
        <w:ind w:left="567"/>
        <w:rPr>
          <w:rFonts w:ascii="Times New Roman" w:hAnsi="Times New Roman"/>
          <w:iCs/>
        </w:rPr>
      </w:pPr>
    </w:p>
    <w:p w14:paraId="1AEDBCE9" w14:textId="230938F6" w:rsidR="00B13BBA" w:rsidRDefault="00B13BBA" w:rsidP="00B13BBA">
      <w:pPr>
        <w:spacing w:after="0"/>
        <w:ind w:left="567"/>
        <w:rPr>
          <w:rFonts w:ascii="Times New Roman" w:hAnsi="Times New Roman"/>
          <w:iCs/>
        </w:rPr>
      </w:pPr>
      <w:r>
        <w:rPr>
          <w:rFonts w:ascii="Times New Roman" w:hAnsi="Times New Roman"/>
          <w:iCs/>
        </w:rPr>
        <w:t xml:space="preserve">Second, the </w:t>
      </w:r>
      <w:r w:rsidR="00C22968">
        <w:rPr>
          <w:rFonts w:ascii="Times New Roman" w:hAnsi="Times New Roman"/>
          <w:iCs/>
        </w:rPr>
        <w:t xml:space="preserve">existing </w:t>
      </w:r>
      <w:r>
        <w:rPr>
          <w:rFonts w:ascii="Times New Roman" w:hAnsi="Times New Roman"/>
          <w:iCs/>
        </w:rPr>
        <w:t xml:space="preserve">definition of </w:t>
      </w:r>
      <w:r w:rsidRPr="00B13BBA">
        <w:rPr>
          <w:rFonts w:ascii="Times New Roman" w:hAnsi="Times New Roman"/>
          <w:b/>
          <w:bCs/>
          <w:i/>
        </w:rPr>
        <w:t>request</w:t>
      </w:r>
      <w:r>
        <w:rPr>
          <w:rFonts w:ascii="Times New Roman" w:hAnsi="Times New Roman"/>
          <w:iCs/>
        </w:rPr>
        <w:t xml:space="preserve"> is</w:t>
      </w:r>
      <w:r w:rsidR="00A46A7B">
        <w:rPr>
          <w:rFonts w:ascii="Times New Roman" w:hAnsi="Times New Roman"/>
          <w:iCs/>
        </w:rPr>
        <w:t xml:space="preserve"> broadened </w:t>
      </w:r>
      <w:r>
        <w:rPr>
          <w:rFonts w:ascii="Times New Roman" w:hAnsi="Times New Roman"/>
          <w:iCs/>
        </w:rPr>
        <w:t xml:space="preserve">to </w:t>
      </w:r>
      <w:r w:rsidR="00A46A7B">
        <w:rPr>
          <w:rFonts w:ascii="Times New Roman" w:hAnsi="Times New Roman"/>
          <w:iCs/>
        </w:rPr>
        <w:t xml:space="preserve">make clear </w:t>
      </w:r>
      <w:r w:rsidR="007F7291">
        <w:rPr>
          <w:rFonts w:ascii="Times New Roman" w:hAnsi="Times New Roman"/>
          <w:iCs/>
        </w:rPr>
        <w:t xml:space="preserve">a request </w:t>
      </w:r>
      <w:r>
        <w:rPr>
          <w:rFonts w:ascii="Times New Roman" w:hAnsi="Times New Roman"/>
          <w:iCs/>
        </w:rPr>
        <w:t>include</w:t>
      </w:r>
      <w:r w:rsidR="00C22968">
        <w:rPr>
          <w:rFonts w:ascii="Times New Roman" w:hAnsi="Times New Roman"/>
          <w:iCs/>
        </w:rPr>
        <w:t>s</w:t>
      </w:r>
      <w:r>
        <w:rPr>
          <w:rFonts w:ascii="Times New Roman" w:hAnsi="Times New Roman"/>
          <w:iCs/>
        </w:rPr>
        <w:t xml:space="preserve"> a request made by a customer if they have an existing STS using a particular technology withdrawn or otherwise ceased by Telstra, thus imposing on the customer a need to make a separate, subsequent request for an STS using an alternative technology.   </w:t>
      </w:r>
    </w:p>
    <w:p w14:paraId="7D85080C" w14:textId="77777777" w:rsidR="00B0035D" w:rsidRDefault="00B0035D" w:rsidP="00B13BBA">
      <w:pPr>
        <w:spacing w:after="0"/>
        <w:ind w:left="567"/>
        <w:rPr>
          <w:rFonts w:ascii="Times New Roman" w:hAnsi="Times New Roman"/>
          <w:iCs/>
        </w:rPr>
      </w:pPr>
    </w:p>
    <w:p w14:paraId="1241369E" w14:textId="1E4EB5B7" w:rsidR="00B0035D" w:rsidRDefault="00E350A0" w:rsidP="00B13BBA">
      <w:pPr>
        <w:spacing w:after="0"/>
        <w:ind w:left="567"/>
        <w:rPr>
          <w:rFonts w:ascii="Times New Roman" w:hAnsi="Times New Roman"/>
          <w:iCs/>
        </w:rPr>
      </w:pPr>
      <w:r>
        <w:rPr>
          <w:rFonts w:ascii="Times New Roman" w:hAnsi="Times New Roman"/>
          <w:b/>
          <w:bCs/>
          <w:iCs/>
        </w:rPr>
        <w:t xml:space="preserve">Item 2 </w:t>
      </w:r>
      <w:r w:rsidR="00B0035D" w:rsidRPr="00B0035D">
        <w:rPr>
          <w:rFonts w:ascii="Times New Roman" w:hAnsi="Times New Roman"/>
          <w:b/>
          <w:bCs/>
          <w:iCs/>
        </w:rPr>
        <w:t>Subparagraph 7(1)(a)(iv)(B)</w:t>
      </w:r>
      <w:r w:rsidR="00B0035D" w:rsidRPr="00B0035D">
        <w:rPr>
          <w:rFonts w:ascii="Times New Roman" w:hAnsi="Times New Roman"/>
          <w:iCs/>
        </w:rPr>
        <w:t xml:space="preserve"> </w:t>
      </w:r>
      <w:r w:rsidR="007F7291">
        <w:rPr>
          <w:rFonts w:ascii="Times New Roman" w:hAnsi="Times New Roman"/>
          <w:iCs/>
        </w:rPr>
        <w:t>is amended with c</w:t>
      </w:r>
      <w:r w:rsidR="00C22968">
        <w:rPr>
          <w:rFonts w:ascii="Times New Roman" w:hAnsi="Times New Roman"/>
          <w:iCs/>
        </w:rPr>
        <w:t xml:space="preserve">onsequential changes to reflect that the </w:t>
      </w:r>
      <w:r w:rsidR="00C22968" w:rsidRPr="00D65791">
        <w:rPr>
          <w:rFonts w:ascii="Times New Roman" w:hAnsi="Times New Roman"/>
          <w:i/>
        </w:rPr>
        <w:t>Telecommunications (Customer Service Guarantee) Standard 20</w:t>
      </w:r>
      <w:r w:rsidR="00C22968">
        <w:rPr>
          <w:rFonts w:ascii="Times New Roman" w:hAnsi="Times New Roman"/>
          <w:i/>
        </w:rPr>
        <w:t>11</w:t>
      </w:r>
      <w:r w:rsidR="00C22968" w:rsidRPr="00CD2727">
        <w:rPr>
          <w:rFonts w:ascii="Times New Roman" w:hAnsi="Times New Roman"/>
          <w:iCs/>
        </w:rPr>
        <w:t xml:space="preserve"> is no longer in force</w:t>
      </w:r>
      <w:r w:rsidR="00C22968">
        <w:rPr>
          <w:rFonts w:ascii="Times New Roman" w:hAnsi="Times New Roman"/>
          <w:iCs/>
        </w:rPr>
        <w:t xml:space="preserve">, and to </w:t>
      </w:r>
      <w:r w:rsidR="000C7D2D">
        <w:rPr>
          <w:rFonts w:ascii="Times New Roman" w:hAnsi="Times New Roman"/>
          <w:iCs/>
        </w:rPr>
        <w:t xml:space="preserve">update references to relevant provisions in the </w:t>
      </w:r>
      <w:r w:rsidR="00C22968" w:rsidRPr="00D65791">
        <w:rPr>
          <w:rFonts w:ascii="Times New Roman" w:hAnsi="Times New Roman"/>
          <w:i/>
        </w:rPr>
        <w:t>Telecommunications (Customer Service Guarantee) Standard 2023</w:t>
      </w:r>
      <w:r w:rsidR="00C22968">
        <w:rPr>
          <w:rFonts w:ascii="Times New Roman" w:hAnsi="Times New Roman"/>
          <w:iCs/>
        </w:rPr>
        <w:t>.</w:t>
      </w:r>
    </w:p>
    <w:p w14:paraId="202CDAC4" w14:textId="77777777" w:rsidR="001114DE" w:rsidRDefault="001114DE" w:rsidP="00B13BBA">
      <w:pPr>
        <w:spacing w:after="0"/>
        <w:ind w:left="567"/>
        <w:rPr>
          <w:rFonts w:ascii="Times New Roman" w:hAnsi="Times New Roman"/>
          <w:iCs/>
        </w:rPr>
      </w:pPr>
    </w:p>
    <w:p w14:paraId="30C22B54" w14:textId="646C92B3" w:rsidR="001114DE" w:rsidRDefault="00E350A0" w:rsidP="00B13BBA">
      <w:pPr>
        <w:spacing w:after="0"/>
        <w:ind w:left="567"/>
        <w:rPr>
          <w:rFonts w:ascii="Times New Roman" w:hAnsi="Times New Roman"/>
          <w:iCs/>
        </w:rPr>
      </w:pPr>
      <w:r>
        <w:rPr>
          <w:rFonts w:ascii="Times New Roman" w:hAnsi="Times New Roman"/>
          <w:b/>
          <w:bCs/>
          <w:iCs/>
        </w:rPr>
        <w:t xml:space="preserve">Item 3 </w:t>
      </w:r>
      <w:r w:rsidR="00610837" w:rsidRPr="00610837">
        <w:rPr>
          <w:rFonts w:ascii="Times New Roman" w:hAnsi="Times New Roman"/>
          <w:b/>
          <w:bCs/>
          <w:iCs/>
        </w:rPr>
        <w:t>Subparagraph 7(4)(a)</w:t>
      </w:r>
      <w:r w:rsidR="00610837">
        <w:rPr>
          <w:rFonts w:ascii="Times New Roman" w:hAnsi="Times New Roman"/>
          <w:iCs/>
        </w:rPr>
        <w:t xml:space="preserve"> </w:t>
      </w:r>
      <w:r w:rsidR="00A46A7B">
        <w:rPr>
          <w:rFonts w:ascii="Times New Roman" w:hAnsi="Times New Roman"/>
          <w:iCs/>
        </w:rPr>
        <w:t>continues to provide that it remains the responsibility of consumers to provide suitable</w:t>
      </w:r>
      <w:r w:rsidR="00610837">
        <w:rPr>
          <w:rFonts w:ascii="Times New Roman" w:hAnsi="Times New Roman"/>
          <w:iCs/>
        </w:rPr>
        <w:t xml:space="preserve"> electricity source to power the technology</w:t>
      </w:r>
      <w:r w:rsidR="00A46A7B">
        <w:rPr>
          <w:rFonts w:ascii="Times New Roman" w:hAnsi="Times New Roman"/>
          <w:iCs/>
        </w:rPr>
        <w:t xml:space="preserve"> to supply a USO service,</w:t>
      </w:r>
      <w:r w:rsidR="00610837">
        <w:rPr>
          <w:rFonts w:ascii="Times New Roman" w:hAnsi="Times New Roman"/>
          <w:iCs/>
        </w:rPr>
        <w:t xml:space="preserve"> </w:t>
      </w:r>
      <w:r w:rsidR="00C22968">
        <w:rPr>
          <w:rFonts w:ascii="Times New Roman" w:hAnsi="Times New Roman"/>
          <w:iCs/>
        </w:rPr>
        <w:t xml:space="preserve">but makes explicit that </w:t>
      </w:r>
      <w:r w:rsidR="00610837">
        <w:rPr>
          <w:rFonts w:ascii="Times New Roman" w:hAnsi="Times New Roman"/>
          <w:iCs/>
        </w:rPr>
        <w:t>Telstra is required to provide a customer with information as to the technical and other specifications and/or requirement necessary for a</w:t>
      </w:r>
      <w:r w:rsidR="00DD2508">
        <w:rPr>
          <w:rFonts w:ascii="Times New Roman" w:hAnsi="Times New Roman"/>
          <w:iCs/>
        </w:rPr>
        <w:t xml:space="preserve">n electricity supply to power a </w:t>
      </w:r>
      <w:r w:rsidR="00610837">
        <w:rPr>
          <w:rFonts w:ascii="Times New Roman" w:hAnsi="Times New Roman"/>
          <w:iCs/>
        </w:rPr>
        <w:t xml:space="preserve"> technology to be used to supply an STS</w:t>
      </w:r>
      <w:r w:rsidR="00C22968">
        <w:rPr>
          <w:rFonts w:ascii="Times New Roman" w:hAnsi="Times New Roman"/>
          <w:iCs/>
        </w:rPr>
        <w:t>, and t</w:t>
      </w:r>
      <w:r w:rsidR="00610837">
        <w:rPr>
          <w:rFonts w:ascii="Times New Roman" w:hAnsi="Times New Roman"/>
          <w:iCs/>
        </w:rPr>
        <w:t xml:space="preserve">hat a </w:t>
      </w:r>
      <w:r w:rsidR="00610837">
        <w:rPr>
          <w:rFonts w:ascii="Times New Roman" w:hAnsi="Times New Roman"/>
          <w:iCs/>
        </w:rPr>
        <w:lastRenderedPageBreak/>
        <w:t xml:space="preserve">customer must be given </w:t>
      </w:r>
      <w:r w:rsidR="00DD2508">
        <w:rPr>
          <w:rFonts w:ascii="Times New Roman" w:hAnsi="Times New Roman"/>
          <w:iCs/>
        </w:rPr>
        <w:t>an indicative, reasonable</w:t>
      </w:r>
      <w:r w:rsidR="00610837">
        <w:rPr>
          <w:rFonts w:ascii="Times New Roman" w:hAnsi="Times New Roman"/>
          <w:iCs/>
        </w:rPr>
        <w:t xml:space="preserve"> time</w:t>
      </w:r>
      <w:r w:rsidR="00DD2508">
        <w:rPr>
          <w:rFonts w:ascii="Times New Roman" w:hAnsi="Times New Roman"/>
          <w:iCs/>
        </w:rPr>
        <w:t>frame in which</w:t>
      </w:r>
      <w:r w:rsidR="00610837">
        <w:rPr>
          <w:rFonts w:ascii="Times New Roman" w:hAnsi="Times New Roman"/>
          <w:iCs/>
        </w:rPr>
        <w:t xml:space="preserve"> to </w:t>
      </w:r>
      <w:r w:rsidR="00DD2508">
        <w:rPr>
          <w:rFonts w:ascii="Times New Roman" w:hAnsi="Times New Roman"/>
          <w:iCs/>
        </w:rPr>
        <w:t>source, obtain and install any necessary power source and related equipment</w:t>
      </w:r>
      <w:r w:rsidR="00A46A7B">
        <w:rPr>
          <w:rFonts w:ascii="Times New Roman" w:hAnsi="Times New Roman"/>
          <w:iCs/>
        </w:rPr>
        <w:t>.</w:t>
      </w:r>
      <w:r w:rsidR="00DD2508">
        <w:rPr>
          <w:rFonts w:ascii="Times New Roman" w:hAnsi="Times New Roman"/>
          <w:iCs/>
        </w:rPr>
        <w:t>.</w:t>
      </w:r>
    </w:p>
    <w:p w14:paraId="5A571D7C" w14:textId="77777777" w:rsidR="007C5B5A" w:rsidRDefault="007C5B5A" w:rsidP="007C5B5A">
      <w:pPr>
        <w:spacing w:after="0"/>
        <w:ind w:left="567"/>
        <w:rPr>
          <w:rFonts w:ascii="Times New Roman" w:hAnsi="Times New Roman"/>
          <w:bCs/>
          <w:iCs/>
        </w:rPr>
      </w:pPr>
    </w:p>
    <w:p w14:paraId="00E21BBC" w14:textId="5E318028" w:rsidR="00C22968" w:rsidRDefault="00E350A0" w:rsidP="00B13BBA">
      <w:pPr>
        <w:spacing w:after="0"/>
        <w:ind w:left="567"/>
        <w:rPr>
          <w:rFonts w:ascii="Times New Roman" w:hAnsi="Times New Roman"/>
          <w:bCs/>
          <w:iCs/>
        </w:rPr>
      </w:pPr>
      <w:r>
        <w:rPr>
          <w:rFonts w:ascii="Times New Roman" w:hAnsi="Times New Roman"/>
          <w:b/>
          <w:iCs/>
        </w:rPr>
        <w:t xml:space="preserve">Items 4, 5, 6, 7 and 8 </w:t>
      </w:r>
      <w:r w:rsidR="007C5B5A" w:rsidRPr="007C5B5A">
        <w:rPr>
          <w:rFonts w:ascii="Times New Roman" w:hAnsi="Times New Roman"/>
          <w:b/>
          <w:iCs/>
        </w:rPr>
        <w:t>Subparagraph 7(4)(h)(ii)</w:t>
      </w:r>
      <w:r w:rsidR="00C22968">
        <w:rPr>
          <w:rFonts w:ascii="Times New Roman" w:hAnsi="Times New Roman"/>
          <w:bCs/>
          <w:iCs/>
        </w:rPr>
        <w:t xml:space="preserve">, </w:t>
      </w:r>
      <w:r w:rsidR="007C5B5A" w:rsidRPr="007C5B5A">
        <w:rPr>
          <w:rFonts w:ascii="Times New Roman" w:hAnsi="Times New Roman"/>
          <w:b/>
          <w:iCs/>
        </w:rPr>
        <w:t>Subparagraph 7(4)(h)(i</w:t>
      </w:r>
      <w:r w:rsidR="007C5B5A">
        <w:rPr>
          <w:rFonts w:ascii="Times New Roman" w:hAnsi="Times New Roman"/>
          <w:b/>
          <w:iCs/>
        </w:rPr>
        <w:t>i</w:t>
      </w:r>
      <w:r w:rsidR="007C5B5A" w:rsidRPr="007C5B5A">
        <w:rPr>
          <w:rFonts w:ascii="Times New Roman" w:hAnsi="Times New Roman"/>
          <w:b/>
          <w:iCs/>
        </w:rPr>
        <w:t>i)</w:t>
      </w:r>
      <w:r w:rsidR="00C22968">
        <w:rPr>
          <w:rFonts w:ascii="Times New Roman" w:hAnsi="Times New Roman"/>
          <w:bCs/>
          <w:iCs/>
        </w:rPr>
        <w:t xml:space="preserve">, </w:t>
      </w:r>
      <w:r w:rsidR="00195670">
        <w:rPr>
          <w:rFonts w:ascii="Times New Roman" w:hAnsi="Times New Roman"/>
          <w:b/>
          <w:iCs/>
        </w:rPr>
        <w:t>P</w:t>
      </w:r>
      <w:r w:rsidR="00195670" w:rsidRPr="007C5B5A">
        <w:rPr>
          <w:rFonts w:ascii="Times New Roman" w:hAnsi="Times New Roman"/>
          <w:b/>
          <w:iCs/>
        </w:rPr>
        <w:t>aragraph 7(</w:t>
      </w:r>
      <w:r w:rsidR="00195670">
        <w:rPr>
          <w:rFonts w:ascii="Times New Roman" w:hAnsi="Times New Roman"/>
          <w:b/>
          <w:iCs/>
        </w:rPr>
        <w:t>5</w:t>
      </w:r>
      <w:r w:rsidR="00195670" w:rsidRPr="007C5B5A">
        <w:rPr>
          <w:rFonts w:ascii="Times New Roman" w:hAnsi="Times New Roman"/>
          <w:b/>
          <w:iCs/>
        </w:rPr>
        <w:t>)</w:t>
      </w:r>
      <w:r w:rsidR="00C357C5">
        <w:rPr>
          <w:rFonts w:ascii="Times New Roman" w:hAnsi="Times New Roman"/>
          <w:bCs/>
          <w:iCs/>
        </w:rPr>
        <w:t xml:space="preserve">, </w:t>
      </w:r>
      <w:r w:rsidR="0072454A">
        <w:rPr>
          <w:rFonts w:ascii="Times New Roman" w:hAnsi="Times New Roman"/>
          <w:b/>
          <w:iCs/>
        </w:rPr>
        <w:t>Subp</w:t>
      </w:r>
      <w:r w:rsidR="0072454A" w:rsidRPr="007C5B5A">
        <w:rPr>
          <w:rFonts w:ascii="Times New Roman" w:hAnsi="Times New Roman"/>
          <w:b/>
          <w:iCs/>
        </w:rPr>
        <w:t>aragraph 7(</w:t>
      </w:r>
      <w:r w:rsidR="0072454A">
        <w:rPr>
          <w:rFonts w:ascii="Times New Roman" w:hAnsi="Times New Roman"/>
          <w:b/>
          <w:iCs/>
        </w:rPr>
        <w:t>5</w:t>
      </w:r>
      <w:r w:rsidR="0072454A" w:rsidRPr="007C5B5A">
        <w:rPr>
          <w:rFonts w:ascii="Times New Roman" w:hAnsi="Times New Roman"/>
          <w:b/>
          <w:iCs/>
        </w:rPr>
        <w:t>)</w:t>
      </w:r>
      <w:r w:rsidR="0072454A">
        <w:rPr>
          <w:rFonts w:ascii="Times New Roman" w:hAnsi="Times New Roman"/>
          <w:b/>
          <w:iCs/>
        </w:rPr>
        <w:t>(a)</w:t>
      </w:r>
      <w:r w:rsidR="0072454A" w:rsidRPr="007C5B5A">
        <w:rPr>
          <w:rFonts w:ascii="Times New Roman" w:hAnsi="Times New Roman"/>
          <w:bCs/>
          <w:iCs/>
        </w:rPr>
        <w:t xml:space="preserve"> </w:t>
      </w:r>
      <w:r w:rsidR="00C357C5">
        <w:rPr>
          <w:rFonts w:ascii="Times New Roman" w:hAnsi="Times New Roman"/>
          <w:bCs/>
          <w:iCs/>
        </w:rPr>
        <w:t xml:space="preserve">and </w:t>
      </w:r>
      <w:r w:rsidR="00C357C5">
        <w:rPr>
          <w:rFonts w:ascii="Times New Roman" w:hAnsi="Times New Roman"/>
          <w:b/>
          <w:iCs/>
        </w:rPr>
        <w:t>Subp</w:t>
      </w:r>
      <w:r w:rsidR="00C357C5" w:rsidRPr="007C5B5A">
        <w:rPr>
          <w:rFonts w:ascii="Times New Roman" w:hAnsi="Times New Roman"/>
          <w:b/>
          <w:iCs/>
        </w:rPr>
        <w:t xml:space="preserve">aragraph </w:t>
      </w:r>
      <w:r w:rsidR="00C357C5" w:rsidRPr="00CD2727">
        <w:rPr>
          <w:rFonts w:ascii="Times New Roman" w:hAnsi="Times New Roman"/>
          <w:b/>
          <w:iCs/>
        </w:rPr>
        <w:t>7(5)(b)</w:t>
      </w:r>
      <w:r w:rsidR="00C357C5">
        <w:t xml:space="preserve"> </w:t>
      </w:r>
      <w:r w:rsidR="00C22968">
        <w:rPr>
          <w:rFonts w:ascii="Times New Roman" w:hAnsi="Times New Roman"/>
          <w:bCs/>
          <w:iCs/>
        </w:rPr>
        <w:t xml:space="preserve">are </w:t>
      </w:r>
      <w:r w:rsidR="000C7D2D">
        <w:rPr>
          <w:rFonts w:ascii="Times New Roman" w:hAnsi="Times New Roman"/>
          <w:iCs/>
        </w:rPr>
        <w:t xml:space="preserve">amended with consequential changes to reflect that the </w:t>
      </w:r>
      <w:r w:rsidR="000C7D2D" w:rsidRPr="00D65791">
        <w:rPr>
          <w:rFonts w:ascii="Times New Roman" w:hAnsi="Times New Roman"/>
          <w:i/>
        </w:rPr>
        <w:t>Telecommunications (Customer Service Guarantee) Standard</w:t>
      </w:r>
      <w:r w:rsidR="00A9442F">
        <w:rPr>
          <w:rFonts w:ascii="Times New Roman" w:hAnsi="Times New Roman"/>
          <w:i/>
        </w:rPr>
        <w:t> </w:t>
      </w:r>
      <w:r w:rsidR="000C7D2D" w:rsidRPr="00D65791">
        <w:rPr>
          <w:rFonts w:ascii="Times New Roman" w:hAnsi="Times New Roman"/>
          <w:i/>
        </w:rPr>
        <w:t>20</w:t>
      </w:r>
      <w:r w:rsidR="000C7D2D">
        <w:rPr>
          <w:rFonts w:ascii="Times New Roman" w:hAnsi="Times New Roman"/>
          <w:i/>
        </w:rPr>
        <w:t>11</w:t>
      </w:r>
      <w:r w:rsidR="000C7D2D" w:rsidRPr="00210D24">
        <w:rPr>
          <w:rFonts w:ascii="Times New Roman" w:hAnsi="Times New Roman"/>
          <w:iCs/>
        </w:rPr>
        <w:t xml:space="preserve"> is no longer in force</w:t>
      </w:r>
      <w:r w:rsidR="000C7D2D">
        <w:rPr>
          <w:rFonts w:ascii="Times New Roman" w:hAnsi="Times New Roman"/>
          <w:iCs/>
        </w:rPr>
        <w:t xml:space="preserve">, and to update references to relevant provisions in the </w:t>
      </w:r>
      <w:r w:rsidR="000C7D2D" w:rsidRPr="00D65791">
        <w:rPr>
          <w:rFonts w:ascii="Times New Roman" w:hAnsi="Times New Roman"/>
          <w:i/>
        </w:rPr>
        <w:t>Telecommunications (Customer Service Guarantee) Standard 2023</w:t>
      </w:r>
      <w:r w:rsidR="000C7D2D">
        <w:rPr>
          <w:rFonts w:ascii="Times New Roman" w:hAnsi="Times New Roman"/>
          <w:iCs/>
        </w:rPr>
        <w:t>.</w:t>
      </w:r>
    </w:p>
    <w:p w14:paraId="2556412B" w14:textId="77777777" w:rsidR="0072454A" w:rsidRDefault="0072454A" w:rsidP="00B13BBA">
      <w:pPr>
        <w:spacing w:after="0"/>
        <w:ind w:left="567"/>
        <w:rPr>
          <w:rFonts w:ascii="Times New Roman" w:hAnsi="Times New Roman"/>
          <w:bCs/>
          <w:iCs/>
        </w:rPr>
      </w:pPr>
    </w:p>
    <w:p w14:paraId="0F07FD87" w14:textId="757F78AA" w:rsidR="00E82A57" w:rsidRDefault="00E350A0" w:rsidP="0072454A">
      <w:pPr>
        <w:spacing w:after="0"/>
        <w:ind w:left="567"/>
        <w:rPr>
          <w:rFonts w:ascii="Times New Roman" w:hAnsi="Times New Roman"/>
        </w:rPr>
      </w:pPr>
      <w:r>
        <w:rPr>
          <w:rFonts w:ascii="Times New Roman" w:hAnsi="Times New Roman"/>
          <w:b/>
          <w:iCs/>
        </w:rPr>
        <w:t xml:space="preserve">Item 9 </w:t>
      </w:r>
      <w:r w:rsidR="00E0041B">
        <w:rPr>
          <w:rFonts w:ascii="Times New Roman" w:hAnsi="Times New Roman"/>
          <w:b/>
          <w:iCs/>
        </w:rPr>
        <w:t>Repeal</w:t>
      </w:r>
      <w:r w:rsidR="00E0041B" w:rsidRPr="00E0041B">
        <w:rPr>
          <w:rFonts w:ascii="Times New Roman" w:hAnsi="Times New Roman"/>
          <w:bCs/>
          <w:iCs/>
        </w:rPr>
        <w:t xml:space="preserve"> amends </w:t>
      </w:r>
      <w:r w:rsidR="00C22968">
        <w:rPr>
          <w:rFonts w:ascii="Times New Roman" w:hAnsi="Times New Roman"/>
          <w:bCs/>
          <w:iCs/>
        </w:rPr>
        <w:t xml:space="preserve">existing </w:t>
      </w:r>
      <w:r w:rsidR="00E0041B">
        <w:rPr>
          <w:rFonts w:ascii="Times New Roman" w:hAnsi="Times New Roman"/>
          <w:bCs/>
          <w:iCs/>
        </w:rPr>
        <w:t>repeal provision</w:t>
      </w:r>
      <w:r w:rsidR="002309CA">
        <w:rPr>
          <w:rFonts w:ascii="Times New Roman" w:hAnsi="Times New Roman"/>
          <w:bCs/>
          <w:iCs/>
        </w:rPr>
        <w:t>s</w:t>
      </w:r>
      <w:r w:rsidR="00D327E1">
        <w:rPr>
          <w:rFonts w:ascii="Times New Roman" w:hAnsi="Times New Roman"/>
          <w:bCs/>
          <w:iCs/>
        </w:rPr>
        <w:t>. This means the</w:t>
      </w:r>
      <w:r w:rsidR="00E0041B">
        <w:rPr>
          <w:rFonts w:ascii="Times New Roman" w:hAnsi="Times New Roman"/>
          <w:bCs/>
          <w:iCs/>
        </w:rPr>
        <w:t xml:space="preserve"> </w:t>
      </w:r>
      <w:r w:rsidR="00D327E1" w:rsidRPr="00F02D0D">
        <w:rPr>
          <w:rFonts w:ascii="Times New Roman" w:hAnsi="Times New Roman"/>
          <w:i/>
          <w:iCs/>
        </w:rPr>
        <w:t xml:space="preserve">Standard Telephone Service Universal Service Obligation (Requirements and Circumstances) </w:t>
      </w:r>
      <w:r w:rsidR="00D65AE8">
        <w:rPr>
          <w:rFonts w:ascii="Times New Roman" w:hAnsi="Times New Roman"/>
          <w:i/>
          <w:iCs/>
        </w:rPr>
        <w:t>Determination</w:t>
      </w:r>
      <w:r w:rsidR="00D327E1" w:rsidRPr="00F02D0D">
        <w:rPr>
          <w:rFonts w:ascii="Times New Roman" w:hAnsi="Times New Roman"/>
          <w:i/>
          <w:iCs/>
        </w:rPr>
        <w:t xml:space="preserve"> </w:t>
      </w:r>
      <w:r w:rsidR="00D327E1">
        <w:rPr>
          <w:rFonts w:ascii="Times New Roman" w:hAnsi="Times New Roman"/>
          <w:i/>
          <w:iCs/>
        </w:rPr>
        <w:t xml:space="preserve">2023 </w:t>
      </w:r>
      <w:r w:rsidR="00D327E1">
        <w:rPr>
          <w:rFonts w:ascii="Times New Roman" w:hAnsi="Times New Roman"/>
          <w:bCs/>
          <w:iCs/>
        </w:rPr>
        <w:t xml:space="preserve">will repeal on the same date that the </w:t>
      </w:r>
      <w:r w:rsidR="00D327E1" w:rsidRPr="00D65791">
        <w:rPr>
          <w:rFonts w:ascii="Times New Roman" w:hAnsi="Times New Roman"/>
          <w:i/>
        </w:rPr>
        <w:t>Telecommunications (Customer Service Guarantee) Standard 20</w:t>
      </w:r>
      <w:r w:rsidR="00D327E1">
        <w:rPr>
          <w:rFonts w:ascii="Times New Roman" w:hAnsi="Times New Roman"/>
          <w:i/>
        </w:rPr>
        <w:t>23</w:t>
      </w:r>
      <w:r w:rsidR="00D327E1" w:rsidRPr="00CD2727">
        <w:rPr>
          <w:rFonts w:ascii="Times New Roman" w:hAnsi="Times New Roman"/>
          <w:iCs/>
        </w:rPr>
        <w:t xml:space="preserve">, rather than </w:t>
      </w:r>
      <w:r w:rsidR="007F7291">
        <w:rPr>
          <w:rFonts w:ascii="Times New Roman" w:hAnsi="Times New Roman"/>
          <w:iCs/>
        </w:rPr>
        <w:t xml:space="preserve">the </w:t>
      </w:r>
      <w:r w:rsidR="00C357C5">
        <w:rPr>
          <w:rFonts w:ascii="Times New Roman" w:hAnsi="Times New Roman"/>
          <w:iCs/>
        </w:rPr>
        <w:t>previous</w:t>
      </w:r>
      <w:r w:rsidR="007F7291">
        <w:rPr>
          <w:rFonts w:ascii="Times New Roman" w:hAnsi="Times New Roman"/>
          <w:iCs/>
        </w:rPr>
        <w:t xml:space="preserve"> repeal date of</w:t>
      </w:r>
      <w:r w:rsidR="00D327E1">
        <w:rPr>
          <w:rFonts w:ascii="Times New Roman" w:hAnsi="Times New Roman"/>
        </w:rPr>
        <w:t xml:space="preserve"> 1 July 2026. This reflects that the </w:t>
      </w:r>
      <w:r w:rsidR="00D327E1" w:rsidRPr="00F02D0D">
        <w:rPr>
          <w:rFonts w:ascii="Times New Roman" w:hAnsi="Times New Roman"/>
          <w:i/>
          <w:iCs/>
        </w:rPr>
        <w:t xml:space="preserve">Standard Telephone Service Universal Service Obligation (Requirements and Circumstances) </w:t>
      </w:r>
      <w:r w:rsidR="002405E5">
        <w:rPr>
          <w:rFonts w:ascii="Times New Roman" w:hAnsi="Times New Roman"/>
          <w:i/>
          <w:iCs/>
        </w:rPr>
        <w:t>Determination</w:t>
      </w:r>
      <w:r w:rsidR="00D327E1" w:rsidRPr="00F02D0D">
        <w:rPr>
          <w:rFonts w:ascii="Times New Roman" w:hAnsi="Times New Roman"/>
          <w:i/>
          <w:iCs/>
        </w:rPr>
        <w:t xml:space="preserve"> </w:t>
      </w:r>
      <w:r w:rsidR="00D327E1">
        <w:rPr>
          <w:rFonts w:ascii="Times New Roman" w:hAnsi="Times New Roman"/>
          <w:i/>
          <w:iCs/>
        </w:rPr>
        <w:t xml:space="preserve">2023 </w:t>
      </w:r>
      <w:r w:rsidR="00D327E1">
        <w:rPr>
          <w:rFonts w:ascii="Times New Roman" w:hAnsi="Times New Roman"/>
        </w:rPr>
        <w:t xml:space="preserve">relies on </w:t>
      </w:r>
      <w:proofErr w:type="gramStart"/>
      <w:r w:rsidR="00D327E1">
        <w:rPr>
          <w:rFonts w:ascii="Times New Roman" w:hAnsi="Times New Roman"/>
        </w:rPr>
        <w:t>a number of</w:t>
      </w:r>
      <w:proofErr w:type="gramEnd"/>
      <w:r w:rsidR="00D327E1">
        <w:rPr>
          <w:rFonts w:ascii="Times New Roman" w:hAnsi="Times New Roman"/>
        </w:rPr>
        <w:t xml:space="preserve"> concepts in the CSG Standard, and so the repeal dates should be aligned.</w:t>
      </w:r>
    </w:p>
    <w:p w14:paraId="696CCE9F" w14:textId="2CDE77B2" w:rsidR="0072454A" w:rsidRPr="006C3F81" w:rsidRDefault="00E82A57" w:rsidP="006C3F81">
      <w:pPr>
        <w:spacing w:after="0"/>
        <w:ind w:left="567"/>
        <w:rPr>
          <w:rFonts w:ascii="Times New Roman" w:hAnsi="Times New Roman"/>
        </w:rPr>
        <w:sectPr w:rsidR="0072454A" w:rsidRPr="006C3F81" w:rsidSect="000A2F7D">
          <w:pgSz w:w="11906" w:h="16838" w:code="9"/>
          <w:pgMar w:top="1418" w:right="1418" w:bottom="1418" w:left="1418" w:header="720" w:footer="720" w:gutter="0"/>
          <w:cols w:space="720"/>
          <w:docGrid w:linePitch="360"/>
        </w:sectPr>
      </w:pPr>
      <w:r w:rsidRPr="00E82A57">
        <w:rPr>
          <w:rFonts w:ascii="Times New Roman" w:hAnsi="Times New Roman"/>
        </w:rPr>
        <w:t xml:space="preserve">. </w:t>
      </w:r>
    </w:p>
    <w:p w14:paraId="0E3F9E81" w14:textId="77777777" w:rsidR="00615E4D" w:rsidRDefault="00615E4D" w:rsidP="00615E4D">
      <w:pPr>
        <w:spacing w:after="160" w:line="256" w:lineRule="auto"/>
        <w:ind w:left="6480" w:firstLine="720"/>
        <w:rPr>
          <w:rFonts w:ascii="Times New Roman" w:hAnsi="Times New Roman"/>
          <w:b/>
          <w:sz w:val="28"/>
          <w:szCs w:val="28"/>
        </w:rPr>
      </w:pPr>
      <w:r>
        <w:rPr>
          <w:rFonts w:ascii="Times New Roman" w:hAnsi="Times New Roman"/>
          <w:b/>
          <w:sz w:val="28"/>
          <w:szCs w:val="28"/>
        </w:rPr>
        <w:lastRenderedPageBreak/>
        <w:t>Attachment B</w:t>
      </w:r>
    </w:p>
    <w:p w14:paraId="39B06E31" w14:textId="77777777" w:rsidR="00615E4D" w:rsidRDefault="00615E4D" w:rsidP="00615E4D">
      <w:pPr>
        <w:pStyle w:val="Heading2"/>
        <w:rPr>
          <w:rFonts w:eastAsiaTheme="minorHAnsi"/>
        </w:rPr>
      </w:pPr>
      <w:r>
        <w:rPr>
          <w:rFonts w:eastAsiaTheme="minorHAnsi"/>
        </w:rPr>
        <w:t>Statement of Compatibility with Human Rights</w:t>
      </w:r>
    </w:p>
    <w:p w14:paraId="40801189" w14:textId="77777777" w:rsidR="00615E4D" w:rsidRDefault="00615E4D" w:rsidP="00615E4D">
      <w:pPr>
        <w:spacing w:before="120" w:after="0"/>
        <w:jc w:val="center"/>
        <w:rPr>
          <w:rFonts w:ascii="Times New Roman" w:hAnsi="Times New Roman"/>
        </w:rPr>
      </w:pPr>
      <w:r>
        <w:rPr>
          <w:rFonts w:ascii="Times New Roman" w:hAnsi="Times New Roman"/>
          <w:i/>
        </w:rPr>
        <w:t>Prepared in accordance with Part 3 of the Human Rights (Parliamentary Scrutiny) Act 2011</w:t>
      </w:r>
    </w:p>
    <w:p w14:paraId="0C2D9668" w14:textId="77777777" w:rsidR="00615E4D" w:rsidRDefault="00615E4D" w:rsidP="00615E4D">
      <w:pPr>
        <w:spacing w:after="0"/>
        <w:jc w:val="center"/>
        <w:rPr>
          <w:rFonts w:ascii="Times New Roman" w:hAnsi="Times New Roman"/>
        </w:rPr>
      </w:pPr>
    </w:p>
    <w:p w14:paraId="4BEFBAE5" w14:textId="1FE0A62C" w:rsidR="00615E4D" w:rsidRPr="006620B9" w:rsidRDefault="00615E4D" w:rsidP="00615E4D">
      <w:pPr>
        <w:shd w:val="clear" w:color="auto" w:fill="FFFFFF"/>
        <w:spacing w:before="100" w:beforeAutospacing="1" w:after="160"/>
        <w:contextualSpacing/>
        <w:jc w:val="center"/>
        <w:rPr>
          <w:rFonts w:ascii="Times New Roman" w:hAnsi="Times New Roman"/>
          <w:bCs/>
          <w:i/>
        </w:rPr>
      </w:pPr>
      <w:r w:rsidRPr="006620B9">
        <w:rPr>
          <w:rFonts w:ascii="Times New Roman" w:hAnsi="Times New Roman"/>
          <w:bCs/>
          <w:i/>
          <w:color w:val="000000"/>
        </w:rPr>
        <w:t xml:space="preserve">Telecommunications </w:t>
      </w:r>
      <w:r w:rsidR="00134ED7" w:rsidRPr="006620B9">
        <w:rPr>
          <w:rFonts w:ascii="Times New Roman" w:hAnsi="Times New Roman"/>
          <w:bCs/>
          <w:i/>
          <w:color w:val="000000"/>
        </w:rPr>
        <w:t xml:space="preserve">Amendment </w:t>
      </w:r>
      <w:r w:rsidRPr="006620B9">
        <w:rPr>
          <w:rFonts w:ascii="Times New Roman" w:hAnsi="Times New Roman"/>
          <w:bCs/>
          <w:i/>
          <w:color w:val="000000"/>
        </w:rPr>
        <w:t xml:space="preserve">Universal Service Obligation (Standard Telephone Service—Requirements and Circumstances) </w:t>
      </w:r>
      <w:r w:rsidR="00CD175B">
        <w:rPr>
          <w:rFonts w:ascii="Times New Roman" w:hAnsi="Times New Roman"/>
          <w:bCs/>
          <w:i/>
          <w:color w:val="000000"/>
        </w:rPr>
        <w:t>Determination</w:t>
      </w:r>
      <w:r w:rsidRPr="006620B9">
        <w:rPr>
          <w:rFonts w:ascii="Times New Roman" w:hAnsi="Times New Roman"/>
          <w:bCs/>
          <w:i/>
          <w:color w:val="000000"/>
        </w:rPr>
        <w:t xml:space="preserve"> 202</w:t>
      </w:r>
      <w:r w:rsidR="00134ED7" w:rsidRPr="006620B9">
        <w:rPr>
          <w:rFonts w:ascii="Times New Roman" w:hAnsi="Times New Roman"/>
          <w:bCs/>
          <w:i/>
          <w:color w:val="000000"/>
        </w:rPr>
        <w:t>6</w:t>
      </w:r>
    </w:p>
    <w:p w14:paraId="46E1B5FD" w14:textId="77777777" w:rsidR="00615E4D" w:rsidRDefault="00615E4D" w:rsidP="00615E4D">
      <w:pPr>
        <w:shd w:val="clear" w:color="auto" w:fill="FFFFFF"/>
        <w:spacing w:before="100" w:beforeAutospacing="1" w:after="160"/>
        <w:contextualSpacing/>
        <w:jc w:val="center"/>
        <w:rPr>
          <w:rFonts w:ascii="Times New Roman" w:hAnsi="Times New Roman"/>
          <w:b/>
          <w:sz w:val="28"/>
          <w:szCs w:val="28"/>
        </w:rPr>
      </w:pPr>
    </w:p>
    <w:p w14:paraId="5C0F79BC" w14:textId="57952518" w:rsidR="00615E4D" w:rsidRDefault="00615E4D" w:rsidP="00615E4D">
      <w:pPr>
        <w:jc w:val="center"/>
        <w:rPr>
          <w:rFonts w:ascii="Times New Roman" w:hAnsi="Times New Roman"/>
        </w:rPr>
      </w:pPr>
      <w:r>
        <w:rPr>
          <w:rFonts w:ascii="Times New Roman" w:hAnsi="Times New Roman"/>
        </w:rPr>
        <w:t xml:space="preserve">This Legislative Instrument is compatible with the human rights and freedoms recognised or declared in the international instruments listed in section 3 of the </w:t>
      </w:r>
      <w:r>
        <w:rPr>
          <w:rFonts w:ascii="Times New Roman" w:hAnsi="Times New Roman"/>
          <w:i/>
        </w:rPr>
        <w:t>Human Rights (Parliamentary Scrutiny) Act 2011.</w:t>
      </w:r>
    </w:p>
    <w:p w14:paraId="47C69A4E" w14:textId="77777777" w:rsidR="00134ED7" w:rsidRPr="00547F8D" w:rsidRDefault="00134ED7" w:rsidP="00134ED7">
      <w:pPr>
        <w:spacing w:before="240"/>
        <w:jc w:val="both"/>
        <w:rPr>
          <w:rFonts w:ascii="Times New Roman" w:hAnsi="Times New Roman"/>
          <w:b/>
        </w:rPr>
      </w:pPr>
      <w:r w:rsidRPr="00547F8D">
        <w:rPr>
          <w:rFonts w:ascii="Times New Roman" w:hAnsi="Times New Roman"/>
          <w:b/>
        </w:rPr>
        <w:t>Overview of the Legislative Instrument</w:t>
      </w:r>
    </w:p>
    <w:p w14:paraId="4A764F22" w14:textId="09F9A3A1" w:rsidR="00E350A0" w:rsidRDefault="00E350A0" w:rsidP="00E350A0">
      <w:pPr>
        <w:shd w:val="clear" w:color="auto" w:fill="FFFFFF"/>
        <w:spacing w:after="0"/>
        <w:rPr>
          <w:rFonts w:ascii="Times New Roman" w:hAnsi="Times New Roman"/>
          <w:color w:val="000000"/>
        </w:rPr>
      </w:pPr>
      <w:r>
        <w:rPr>
          <w:rFonts w:ascii="Times New Roman" w:hAnsi="Times New Roman"/>
          <w:iCs/>
          <w:color w:val="000000"/>
        </w:rPr>
        <w:t xml:space="preserve">The </w:t>
      </w:r>
      <w:r w:rsidRPr="00274763">
        <w:rPr>
          <w:rFonts w:ascii="Times New Roman" w:hAnsi="Times New Roman"/>
          <w:i/>
          <w:iCs/>
          <w:color w:val="000000"/>
        </w:rPr>
        <w:t xml:space="preserve">Telecommunications Universal Service Obligation (Standard Telephone Service – Requirements and Circumstances) </w:t>
      </w:r>
      <w:r w:rsidR="00CD175B">
        <w:rPr>
          <w:rFonts w:ascii="Times New Roman" w:hAnsi="Times New Roman"/>
          <w:i/>
          <w:iCs/>
          <w:color w:val="000000"/>
        </w:rPr>
        <w:t>Determination</w:t>
      </w:r>
      <w:r w:rsidRPr="00274763" w:rsidDel="00274763">
        <w:rPr>
          <w:rFonts w:ascii="Times New Roman" w:hAnsi="Times New Roman"/>
          <w:i/>
          <w:iCs/>
          <w:color w:val="000000"/>
        </w:rPr>
        <w:t xml:space="preserve"> </w:t>
      </w:r>
      <w:r>
        <w:rPr>
          <w:rFonts w:ascii="Times New Roman" w:hAnsi="Times New Roman"/>
          <w:i/>
          <w:iCs/>
          <w:color w:val="000000"/>
        </w:rPr>
        <w:t>2026</w:t>
      </w:r>
      <w:r w:rsidR="00F84ED2">
        <w:rPr>
          <w:rFonts w:ascii="Times New Roman" w:hAnsi="Times New Roman"/>
          <w:i/>
          <w:iCs/>
          <w:color w:val="000000"/>
        </w:rPr>
        <w:t xml:space="preserve"> </w:t>
      </w:r>
      <w:r>
        <w:rPr>
          <w:rFonts w:ascii="Times New Roman" w:hAnsi="Times New Roman"/>
          <w:color w:val="000000"/>
        </w:rPr>
        <w:t xml:space="preserve">(the </w:t>
      </w:r>
      <w:r w:rsidR="00F27DE4">
        <w:rPr>
          <w:rFonts w:ascii="Times New Roman" w:hAnsi="Times New Roman"/>
          <w:color w:val="000000"/>
        </w:rPr>
        <w:t>Amendment Determination</w:t>
      </w:r>
      <w:r>
        <w:rPr>
          <w:rFonts w:ascii="Times New Roman" w:hAnsi="Times New Roman"/>
          <w:color w:val="000000"/>
        </w:rPr>
        <w:t xml:space="preserve">) is made by the Minister for Communications (the </w:t>
      </w:r>
      <w:r w:rsidRPr="00BE591F">
        <w:rPr>
          <w:rFonts w:ascii="Times New Roman" w:hAnsi="Times New Roman"/>
          <w:color w:val="000000"/>
        </w:rPr>
        <w:t>Minister) pursuant to subsections 9(2D) and 9(3) of the </w:t>
      </w:r>
      <w:r w:rsidRPr="00BE591F">
        <w:rPr>
          <w:rFonts w:ascii="Times New Roman" w:hAnsi="Times New Roman"/>
          <w:i/>
          <w:iCs/>
          <w:color w:val="000000"/>
        </w:rPr>
        <w:t>Telecommunications (Consumer Protection a</w:t>
      </w:r>
      <w:r>
        <w:rPr>
          <w:rFonts w:ascii="Times New Roman" w:hAnsi="Times New Roman"/>
          <w:i/>
          <w:iCs/>
          <w:color w:val="000000"/>
        </w:rPr>
        <w:t>nd Service Standards) Act 1999</w:t>
      </w:r>
      <w:r>
        <w:rPr>
          <w:rFonts w:ascii="Times New Roman" w:hAnsi="Times New Roman"/>
          <w:color w:val="000000"/>
        </w:rPr>
        <w:t> (the Act).</w:t>
      </w:r>
    </w:p>
    <w:p w14:paraId="37C6A604" w14:textId="77777777" w:rsidR="00E350A0" w:rsidRDefault="00E350A0" w:rsidP="00E350A0">
      <w:pPr>
        <w:shd w:val="clear" w:color="auto" w:fill="FFFFFF"/>
        <w:spacing w:after="0"/>
        <w:rPr>
          <w:rFonts w:ascii="Times New Roman" w:hAnsi="Times New Roman"/>
          <w:color w:val="000000"/>
        </w:rPr>
      </w:pPr>
      <w:r>
        <w:rPr>
          <w:rFonts w:ascii="Times New Roman" w:hAnsi="Times New Roman"/>
          <w:color w:val="000000"/>
        </w:rPr>
        <w:t> </w:t>
      </w:r>
    </w:p>
    <w:p w14:paraId="5ADBB90C" w14:textId="058A44DA" w:rsidR="00E350A0" w:rsidRDefault="00E350A0" w:rsidP="00E350A0">
      <w:pPr>
        <w:shd w:val="clear" w:color="auto" w:fill="FFFFFF"/>
        <w:spacing w:after="0"/>
        <w:rPr>
          <w:rFonts w:ascii="Times New Roman" w:hAnsi="Times New Roman"/>
          <w:color w:val="000000"/>
        </w:rPr>
      </w:pPr>
      <w:r>
        <w:rPr>
          <w:rFonts w:ascii="Times New Roman" w:hAnsi="Times New Roman"/>
          <w:color w:val="000000"/>
        </w:rPr>
        <w:t xml:space="preserve">The </w:t>
      </w:r>
      <w:r w:rsidR="00F27DE4">
        <w:rPr>
          <w:rFonts w:ascii="Times New Roman" w:hAnsi="Times New Roman"/>
          <w:color w:val="000000"/>
        </w:rPr>
        <w:t>Amendment Determination</w:t>
      </w:r>
      <w:r>
        <w:rPr>
          <w:rFonts w:ascii="Times New Roman" w:hAnsi="Times New Roman"/>
          <w:color w:val="000000"/>
        </w:rPr>
        <w:t xml:space="preserve"> extends the operation and makes some minor adjustments to the </w:t>
      </w:r>
      <w:r w:rsidRPr="00900684">
        <w:rPr>
          <w:rFonts w:ascii="Times New Roman" w:hAnsi="Times New Roman"/>
          <w:i/>
          <w:color w:val="000000"/>
        </w:rPr>
        <w:t>Telecommunications Universal Service Obligation (Standard Telephone Service – Requirements and Circumstances) Determination 2023</w:t>
      </w:r>
      <w:r>
        <w:rPr>
          <w:rFonts w:ascii="Times New Roman" w:hAnsi="Times New Roman"/>
          <w:color w:val="000000"/>
        </w:rPr>
        <w:t xml:space="preserve"> (the 2023 Determination). First, it expands the definition of ‘request’ to include a request for a standard telephone service (STS) made by a customer, and to make explicit a request also includes the situation where Telstra withdraws or otherwise ceases providing a Universal Service Obligation (USO) STS service via a particular technology, thereby necessitating the customer make a subsequent request for an alternative technology to provide an STS. Second, the Amend</w:t>
      </w:r>
      <w:r w:rsidR="00CD175B">
        <w:rPr>
          <w:rFonts w:ascii="Times New Roman" w:hAnsi="Times New Roman"/>
          <w:color w:val="000000"/>
        </w:rPr>
        <w:t>ment</w:t>
      </w:r>
      <w:r>
        <w:rPr>
          <w:rFonts w:ascii="Times New Roman" w:hAnsi="Times New Roman"/>
          <w:color w:val="000000"/>
        </w:rPr>
        <w:t xml:space="preserve"> </w:t>
      </w:r>
      <w:r w:rsidR="00CD175B">
        <w:rPr>
          <w:rFonts w:ascii="Times New Roman" w:hAnsi="Times New Roman"/>
          <w:color w:val="000000"/>
        </w:rPr>
        <w:t>Determination</w:t>
      </w:r>
      <w:r>
        <w:rPr>
          <w:rFonts w:ascii="Times New Roman" w:hAnsi="Times New Roman"/>
          <w:color w:val="000000"/>
        </w:rPr>
        <w:t xml:space="preserve"> makes minor changes to require Telstra to provide advice to a customer on the technical and other requirements necessary for the provision of electricity to provide sufficient power to a technology to deliver a USO STS, and a reasonable timeframe in which the customer can obtain a suitable power supply. Thirdly, the </w:t>
      </w:r>
      <w:r w:rsidR="00F27DE4">
        <w:rPr>
          <w:rFonts w:ascii="Times New Roman" w:hAnsi="Times New Roman"/>
          <w:color w:val="000000"/>
        </w:rPr>
        <w:t>Amendment Determination</w:t>
      </w:r>
      <w:r>
        <w:rPr>
          <w:rFonts w:ascii="Times New Roman" w:hAnsi="Times New Roman"/>
          <w:color w:val="000000"/>
        </w:rPr>
        <w:t xml:space="preserve"> makes a number of </w:t>
      </w:r>
      <w:proofErr w:type="gramStart"/>
      <w:r>
        <w:rPr>
          <w:rFonts w:ascii="Times New Roman" w:hAnsi="Times New Roman"/>
          <w:color w:val="000000"/>
        </w:rPr>
        <w:t>minor</w:t>
      </w:r>
      <w:proofErr w:type="gramEnd"/>
      <w:r>
        <w:rPr>
          <w:rFonts w:ascii="Times New Roman" w:hAnsi="Times New Roman"/>
          <w:color w:val="000000"/>
        </w:rPr>
        <w:t>, consequential updates to replace outdated references to the</w:t>
      </w:r>
      <w:r w:rsidRPr="00BF5CD3">
        <w:rPr>
          <w:rFonts w:ascii="Times New Roman" w:hAnsi="Times New Roman"/>
          <w:color w:val="000000"/>
        </w:rPr>
        <w:t xml:space="preserve"> </w:t>
      </w:r>
      <w:r w:rsidRPr="00CD2727">
        <w:rPr>
          <w:rFonts w:ascii="Times New Roman" w:hAnsi="Times New Roman"/>
          <w:i/>
          <w:iCs/>
          <w:color w:val="000000"/>
        </w:rPr>
        <w:t>Telecommunications (Customer Service Guarantee) Standard 2011</w:t>
      </w:r>
      <w:r w:rsidRPr="00BF5CD3">
        <w:rPr>
          <w:rFonts w:ascii="Times New Roman" w:hAnsi="Times New Roman"/>
          <w:color w:val="000000"/>
        </w:rPr>
        <w:t xml:space="preserve"> </w:t>
      </w:r>
      <w:r>
        <w:rPr>
          <w:rFonts w:ascii="Times New Roman" w:hAnsi="Times New Roman"/>
          <w:color w:val="000000"/>
        </w:rPr>
        <w:t xml:space="preserve">to the </w:t>
      </w:r>
      <w:r w:rsidRPr="00BF5CD3">
        <w:rPr>
          <w:rFonts w:ascii="Times New Roman" w:hAnsi="Times New Roman"/>
          <w:color w:val="000000"/>
        </w:rPr>
        <w:t xml:space="preserve">current </w:t>
      </w:r>
      <w:r w:rsidRPr="00CD2727">
        <w:rPr>
          <w:rFonts w:ascii="Times New Roman" w:hAnsi="Times New Roman"/>
          <w:i/>
          <w:iCs/>
          <w:color w:val="000000"/>
        </w:rPr>
        <w:t>Telecommunications (Customer Service Guarantee) Standard 2023</w:t>
      </w:r>
      <w:r>
        <w:rPr>
          <w:rFonts w:ascii="Times New Roman" w:hAnsi="Times New Roman"/>
          <w:color w:val="000000"/>
        </w:rPr>
        <w:t>.</w:t>
      </w:r>
    </w:p>
    <w:p w14:paraId="3A56FA25" w14:textId="77777777" w:rsidR="00E350A0" w:rsidRDefault="00E350A0" w:rsidP="00E350A0">
      <w:pPr>
        <w:shd w:val="clear" w:color="auto" w:fill="FFFFFF"/>
        <w:spacing w:after="0"/>
        <w:rPr>
          <w:rFonts w:ascii="Times New Roman" w:hAnsi="Times New Roman"/>
          <w:color w:val="000000"/>
        </w:rPr>
      </w:pPr>
    </w:p>
    <w:p w14:paraId="35C72FCA" w14:textId="77777777" w:rsidR="00E350A0" w:rsidRDefault="00E350A0" w:rsidP="00E350A0">
      <w:pPr>
        <w:shd w:val="clear" w:color="auto" w:fill="FFFFFF"/>
        <w:spacing w:after="0"/>
        <w:rPr>
          <w:rFonts w:ascii="Times New Roman" w:hAnsi="Times New Roman"/>
          <w:color w:val="000000"/>
        </w:rPr>
      </w:pPr>
      <w:r>
        <w:rPr>
          <w:rFonts w:ascii="Times New Roman" w:hAnsi="Times New Roman"/>
          <w:color w:val="000000"/>
        </w:rPr>
        <w:t xml:space="preserve">Otherwise, all other existing provisions under the 2023 Determination will continue have ongoing effect, namely, to set out circumstances in which the primary universal service provider is not required to provide a standard telephone service under the USO and requirements for a valid request. In so doing, this also provides ongoing certainty, clarity, guidance and protection for consumers, the Australian Media and Communications Authority and the Telecommunications Industry Ombudsman, </w:t>
      </w:r>
      <w:proofErr w:type="gramStart"/>
      <w:r>
        <w:rPr>
          <w:rFonts w:ascii="Times New Roman" w:hAnsi="Times New Roman"/>
          <w:color w:val="000000"/>
        </w:rPr>
        <w:t>with regard to</w:t>
      </w:r>
      <w:proofErr w:type="gramEnd"/>
      <w:r>
        <w:rPr>
          <w:rFonts w:ascii="Times New Roman" w:hAnsi="Times New Roman"/>
          <w:color w:val="000000"/>
        </w:rPr>
        <w:t xml:space="preserve"> the provision of important aspects of the STS delivered in accordance with the USO.</w:t>
      </w:r>
    </w:p>
    <w:p w14:paraId="40AFE703" w14:textId="77777777" w:rsidR="00E350A0" w:rsidRDefault="00E350A0" w:rsidP="00E350A0">
      <w:pPr>
        <w:shd w:val="clear" w:color="auto" w:fill="FFFFFF"/>
        <w:spacing w:after="0"/>
        <w:rPr>
          <w:rFonts w:ascii="Times New Roman" w:hAnsi="Times New Roman"/>
          <w:color w:val="000000"/>
        </w:rPr>
      </w:pPr>
    </w:p>
    <w:p w14:paraId="6C3B95D4" w14:textId="77777777" w:rsidR="006E7589" w:rsidRDefault="00615E4D" w:rsidP="006E7589">
      <w:pPr>
        <w:shd w:val="clear" w:color="auto" w:fill="FFFFFF"/>
        <w:spacing w:before="120" w:after="0"/>
        <w:rPr>
          <w:rFonts w:ascii="Times New Roman" w:hAnsi="Times New Roman"/>
          <w:color w:val="000000"/>
          <w:sz w:val="20"/>
          <w:szCs w:val="20"/>
        </w:rPr>
      </w:pPr>
      <w:r>
        <w:rPr>
          <w:rFonts w:ascii="Times New Roman" w:hAnsi="Times New Roman"/>
          <w:b/>
          <w:bCs/>
          <w:i/>
          <w:iCs/>
          <w:color w:val="000000"/>
        </w:rPr>
        <w:t>Human rights implications</w:t>
      </w:r>
    </w:p>
    <w:p w14:paraId="25459201" w14:textId="16DFD711" w:rsidR="006E7589" w:rsidRPr="006E7589" w:rsidRDefault="006E7589" w:rsidP="006E7589">
      <w:pPr>
        <w:shd w:val="clear" w:color="auto" w:fill="FFFFFF"/>
        <w:spacing w:before="120" w:after="0"/>
        <w:rPr>
          <w:rFonts w:ascii="Times New Roman" w:hAnsi="Times New Roman"/>
          <w:color w:val="000000"/>
          <w:sz w:val="20"/>
          <w:szCs w:val="20"/>
        </w:rPr>
      </w:pPr>
      <w:r>
        <w:rPr>
          <w:rFonts w:ascii="Times New Roman" w:hAnsi="Times New Roman"/>
          <w:color w:val="000000"/>
          <w:shd w:val="clear" w:color="auto" w:fill="FFFFFF"/>
        </w:rPr>
        <w:t xml:space="preserve">The Universal Service Obligation (USO) is a long-standing legislated consumer safeguard that provides that STS and payphones are reasonably accessible to all people in Australia on </w:t>
      </w:r>
      <w:r>
        <w:rPr>
          <w:rFonts w:ascii="Times New Roman" w:hAnsi="Times New Roman"/>
          <w:color w:val="000000"/>
          <w:shd w:val="clear" w:color="auto" w:fill="FFFFFF"/>
        </w:rPr>
        <w:lastRenderedPageBreak/>
        <w:t>an equitable basis, wherever they reside or carry on business. The USO is set out in the </w:t>
      </w:r>
      <w:r>
        <w:rPr>
          <w:rFonts w:ascii="Times New Roman" w:hAnsi="Times New Roman"/>
          <w:i/>
          <w:iCs/>
          <w:color w:val="000000"/>
          <w:shd w:val="clear" w:color="auto" w:fill="FFFFFF"/>
        </w:rPr>
        <w:t>Telecommunications (Consumer Protection and Service Standards) Act</w:t>
      </w:r>
      <w:r w:rsidR="00DB1718">
        <w:rPr>
          <w:rFonts w:ascii="Times New Roman" w:hAnsi="Times New Roman"/>
          <w:i/>
          <w:iCs/>
          <w:color w:val="000000"/>
          <w:shd w:val="clear" w:color="auto" w:fill="FFFFFF"/>
        </w:rPr>
        <w:t> </w:t>
      </w:r>
      <w:r>
        <w:rPr>
          <w:rFonts w:ascii="Times New Roman" w:hAnsi="Times New Roman"/>
          <w:i/>
          <w:iCs/>
          <w:color w:val="000000"/>
          <w:shd w:val="clear" w:color="auto" w:fill="FFFFFF"/>
        </w:rPr>
        <w:t>1999</w:t>
      </w:r>
      <w:r>
        <w:rPr>
          <w:rFonts w:ascii="Times New Roman" w:hAnsi="Times New Roman"/>
          <w:color w:val="000000"/>
          <w:shd w:val="clear" w:color="auto" w:fill="FFFFFF"/>
        </w:rPr>
        <w:t xml:space="preserve"> (‘the Act’). </w:t>
      </w:r>
    </w:p>
    <w:p w14:paraId="3F32489D" w14:textId="77777777" w:rsidR="006E7589" w:rsidRDefault="006E7589" w:rsidP="006E7589">
      <w:pPr>
        <w:shd w:val="clear" w:color="auto" w:fill="FFFFFF"/>
        <w:spacing w:after="0"/>
        <w:rPr>
          <w:rFonts w:ascii="Times New Roman" w:hAnsi="Times New Roman"/>
          <w:color w:val="000000"/>
        </w:rPr>
      </w:pPr>
    </w:p>
    <w:p w14:paraId="78FEF1D9" w14:textId="44EFD103" w:rsidR="006E7589" w:rsidRDefault="006E7589" w:rsidP="006E7589">
      <w:pPr>
        <w:shd w:val="clear" w:color="auto" w:fill="FFFFFF"/>
        <w:spacing w:after="0"/>
        <w:rPr>
          <w:rFonts w:ascii="Times New Roman" w:hAnsi="Times New Roman"/>
          <w:color w:val="000000"/>
        </w:rPr>
      </w:pPr>
      <w:r>
        <w:rPr>
          <w:rFonts w:ascii="Times New Roman" w:hAnsi="Times New Roman"/>
          <w:color w:val="000000"/>
        </w:rPr>
        <w:t>Subsection 9(1)(a) of the Act provides that part of the USO is the obligation to ensure that a standard telephone service is reasonably accessible to all people in Australia on an equitable basis, wherever they reside or carry on business.</w:t>
      </w:r>
    </w:p>
    <w:p w14:paraId="67910897" w14:textId="77777777" w:rsidR="006E7589" w:rsidRDefault="006E7589" w:rsidP="006E7589">
      <w:pPr>
        <w:shd w:val="clear" w:color="auto" w:fill="FFFFFF"/>
        <w:spacing w:after="0"/>
        <w:rPr>
          <w:rFonts w:ascii="Times New Roman" w:hAnsi="Times New Roman"/>
          <w:color w:val="000000"/>
        </w:rPr>
      </w:pPr>
      <w:r>
        <w:rPr>
          <w:rFonts w:ascii="Times New Roman" w:hAnsi="Times New Roman"/>
          <w:color w:val="000000"/>
        </w:rPr>
        <w:t> </w:t>
      </w:r>
    </w:p>
    <w:p w14:paraId="42038550" w14:textId="77777777" w:rsidR="006E7589" w:rsidRDefault="006E7589" w:rsidP="006E7589">
      <w:pPr>
        <w:shd w:val="clear" w:color="auto" w:fill="FFFFFF"/>
        <w:spacing w:after="0"/>
        <w:rPr>
          <w:rFonts w:ascii="Times New Roman" w:hAnsi="Times New Roman"/>
          <w:color w:val="000000"/>
        </w:rPr>
      </w:pPr>
      <w:r>
        <w:rPr>
          <w:rFonts w:ascii="Times New Roman" w:hAnsi="Times New Roman"/>
          <w:color w:val="000000"/>
        </w:rPr>
        <w:t>Subsection 9(2) of the Act requires the primary universal service provider to supply a standard telephone service to people on request.</w:t>
      </w:r>
    </w:p>
    <w:p w14:paraId="1C1E1C97" w14:textId="77777777" w:rsidR="006E7589" w:rsidRDefault="006E7589" w:rsidP="006E7589">
      <w:pPr>
        <w:shd w:val="clear" w:color="auto" w:fill="FFFFFF"/>
        <w:spacing w:after="0"/>
        <w:rPr>
          <w:rFonts w:ascii="Times New Roman" w:hAnsi="Times New Roman"/>
          <w:color w:val="000000"/>
        </w:rPr>
      </w:pPr>
      <w:r>
        <w:rPr>
          <w:rFonts w:ascii="Times New Roman" w:hAnsi="Times New Roman"/>
          <w:color w:val="000000"/>
        </w:rPr>
        <w:t> </w:t>
      </w:r>
    </w:p>
    <w:p w14:paraId="4A3B8E1E" w14:textId="77777777" w:rsidR="006E7589" w:rsidRDefault="006E7589" w:rsidP="006E7589">
      <w:pPr>
        <w:shd w:val="clear" w:color="auto" w:fill="FFFFFF"/>
        <w:spacing w:after="0"/>
        <w:rPr>
          <w:rFonts w:ascii="Times New Roman" w:hAnsi="Times New Roman"/>
          <w:color w:val="000000"/>
        </w:rPr>
      </w:pPr>
      <w:r>
        <w:rPr>
          <w:rFonts w:ascii="Times New Roman" w:hAnsi="Times New Roman"/>
          <w:color w:val="000000"/>
        </w:rPr>
        <w:t>Subsection 9(2D) of the Act enables the Minister, by legislative instrument to determine requirements for requests for a standard telephone service such as the form of the request or information to be provided in a request.</w:t>
      </w:r>
    </w:p>
    <w:p w14:paraId="69C7F6C1" w14:textId="77777777" w:rsidR="006E7589" w:rsidRDefault="006E7589" w:rsidP="006E7589">
      <w:pPr>
        <w:shd w:val="clear" w:color="auto" w:fill="FFFFFF"/>
        <w:spacing w:after="0"/>
        <w:rPr>
          <w:rFonts w:ascii="Times New Roman" w:hAnsi="Times New Roman"/>
          <w:color w:val="000000"/>
        </w:rPr>
      </w:pPr>
      <w:r>
        <w:rPr>
          <w:rFonts w:ascii="Times New Roman" w:hAnsi="Times New Roman"/>
          <w:color w:val="000000"/>
        </w:rPr>
        <w:t> </w:t>
      </w:r>
    </w:p>
    <w:p w14:paraId="37522C7F" w14:textId="77777777" w:rsidR="006E7589" w:rsidRDefault="006E7589" w:rsidP="006E7589">
      <w:pPr>
        <w:shd w:val="clear" w:color="auto" w:fill="FFFFFF"/>
        <w:spacing w:after="0"/>
        <w:rPr>
          <w:rFonts w:ascii="Times New Roman" w:hAnsi="Times New Roman"/>
          <w:color w:val="000000"/>
        </w:rPr>
      </w:pPr>
      <w:r>
        <w:rPr>
          <w:rFonts w:ascii="Times New Roman" w:hAnsi="Times New Roman"/>
          <w:color w:val="000000"/>
        </w:rPr>
        <w:t>Subsection 9(3) of the Act enables the Minister to determine circumstances under which an obligation to supply a standard telephone service under the USO does not arise.</w:t>
      </w:r>
    </w:p>
    <w:p w14:paraId="6681CA91" w14:textId="7F8B2FAB" w:rsidR="006E7589" w:rsidRDefault="006E7589" w:rsidP="006E7589">
      <w:pPr>
        <w:spacing w:before="100" w:beforeAutospacing="1" w:after="100" w:afterAutospacing="1"/>
        <w:rPr>
          <w:rFonts w:ascii="Times New Roman" w:hAnsi="Times New Roman"/>
          <w:color w:val="000000"/>
        </w:rPr>
      </w:pPr>
      <w:r>
        <w:rPr>
          <w:rFonts w:ascii="Times New Roman" w:hAnsi="Times New Roman"/>
          <w:color w:val="000000"/>
        </w:rPr>
        <w:t xml:space="preserve">Subsections 9(2D) and 9(3) are given effect by the </w:t>
      </w:r>
      <w:r w:rsidR="007F7291">
        <w:rPr>
          <w:rFonts w:ascii="Times New Roman" w:hAnsi="Times New Roman"/>
          <w:iCs/>
        </w:rPr>
        <w:t xml:space="preserve">2023 </w:t>
      </w:r>
      <w:r>
        <w:rPr>
          <w:rFonts w:ascii="Times New Roman" w:hAnsi="Times New Roman"/>
          <w:iCs/>
        </w:rPr>
        <w:t xml:space="preserve">Determination, the </w:t>
      </w:r>
      <w:r>
        <w:rPr>
          <w:rFonts w:ascii="Times New Roman" w:hAnsi="Times New Roman"/>
        </w:rPr>
        <w:t>primary objective of which is to provide clarity and consistency for stakeholders by setting out circumstances where t</w:t>
      </w:r>
      <w:r>
        <w:rPr>
          <w:rFonts w:ascii="Times New Roman" w:hAnsi="Times New Roman"/>
          <w:color w:val="000000"/>
        </w:rPr>
        <w:t>he primary universal service provider (Telstra) is not required to provide a standard telephone service under the USO and requirements for a valid request.</w:t>
      </w:r>
    </w:p>
    <w:p w14:paraId="085B7353" w14:textId="5F750D9A" w:rsidR="006E7589" w:rsidRPr="00BE591F" w:rsidRDefault="00BE591F" w:rsidP="00615E4D">
      <w:pPr>
        <w:shd w:val="clear" w:color="auto" w:fill="FFFFFF"/>
        <w:spacing w:after="0"/>
        <w:rPr>
          <w:rFonts w:ascii="Times New Roman" w:hAnsi="Times New Roman"/>
          <w:color w:val="000000"/>
        </w:rPr>
      </w:pPr>
      <w:r w:rsidRPr="00BE591F">
        <w:rPr>
          <w:rFonts w:ascii="Times New Roman" w:hAnsi="Times New Roman"/>
          <w:color w:val="000000"/>
        </w:rPr>
        <w:t xml:space="preserve">The </w:t>
      </w:r>
      <w:r w:rsidR="007F7291">
        <w:rPr>
          <w:rFonts w:ascii="Times New Roman" w:hAnsi="Times New Roman"/>
          <w:color w:val="000000"/>
        </w:rPr>
        <w:t xml:space="preserve">2023 </w:t>
      </w:r>
      <w:r w:rsidRPr="00BE591F">
        <w:rPr>
          <w:rFonts w:ascii="Times New Roman" w:hAnsi="Times New Roman"/>
          <w:color w:val="000000"/>
        </w:rPr>
        <w:t xml:space="preserve">Determination </w:t>
      </w:r>
      <w:r w:rsidR="007F7291">
        <w:rPr>
          <w:rFonts w:ascii="Times New Roman" w:hAnsi="Times New Roman"/>
          <w:color w:val="000000"/>
        </w:rPr>
        <w:t>was</w:t>
      </w:r>
      <w:r w:rsidR="007F7291" w:rsidRPr="00BE591F">
        <w:rPr>
          <w:rFonts w:ascii="Times New Roman" w:hAnsi="Times New Roman"/>
          <w:color w:val="000000"/>
        </w:rPr>
        <w:t xml:space="preserve"> </w:t>
      </w:r>
      <w:r w:rsidRPr="00BE591F">
        <w:rPr>
          <w:rFonts w:ascii="Times New Roman" w:hAnsi="Times New Roman"/>
          <w:color w:val="000000"/>
        </w:rPr>
        <w:t xml:space="preserve">subject to self-repeal on 1 July 2026. Given the ongoing importance and need of the provisions of the </w:t>
      </w:r>
      <w:r w:rsidR="006700CC">
        <w:rPr>
          <w:rFonts w:ascii="Times New Roman" w:hAnsi="Times New Roman"/>
          <w:color w:val="000000"/>
        </w:rPr>
        <w:t xml:space="preserve">2023 </w:t>
      </w:r>
      <w:r w:rsidRPr="00BE591F">
        <w:rPr>
          <w:rFonts w:ascii="Times New Roman" w:hAnsi="Times New Roman"/>
          <w:color w:val="000000"/>
        </w:rPr>
        <w:t>Determination</w:t>
      </w:r>
      <w:r w:rsidR="006700CC">
        <w:rPr>
          <w:rFonts w:ascii="Times New Roman" w:hAnsi="Times New Roman"/>
          <w:color w:val="000000"/>
        </w:rPr>
        <w:t>,</w:t>
      </w:r>
      <w:r w:rsidRPr="00BE591F">
        <w:rPr>
          <w:rFonts w:ascii="Times New Roman" w:hAnsi="Times New Roman"/>
          <w:color w:val="000000"/>
        </w:rPr>
        <w:t xml:space="preserve"> the </w:t>
      </w:r>
      <w:r w:rsidR="00F27DE4">
        <w:rPr>
          <w:rFonts w:ascii="Times New Roman" w:hAnsi="Times New Roman"/>
          <w:color w:val="000000"/>
        </w:rPr>
        <w:t>Amendment Determination</w:t>
      </w:r>
      <w:r w:rsidRPr="00BE591F">
        <w:rPr>
          <w:rFonts w:ascii="Times New Roman" w:hAnsi="Times New Roman"/>
          <w:color w:val="000000"/>
        </w:rPr>
        <w:t xml:space="preserve"> </w:t>
      </w:r>
      <w:r w:rsidR="007F7291">
        <w:rPr>
          <w:rFonts w:ascii="Times New Roman" w:hAnsi="Times New Roman"/>
          <w:color w:val="000000"/>
        </w:rPr>
        <w:t xml:space="preserve">makes minor adjustments and extends the </w:t>
      </w:r>
      <w:r w:rsidRPr="00BE591F">
        <w:rPr>
          <w:rFonts w:ascii="Times New Roman" w:hAnsi="Times New Roman"/>
          <w:color w:val="000000"/>
        </w:rPr>
        <w:t xml:space="preserve">operation of the </w:t>
      </w:r>
      <w:r w:rsidR="007F7291">
        <w:rPr>
          <w:rFonts w:ascii="Times New Roman" w:hAnsi="Times New Roman"/>
          <w:color w:val="000000"/>
        </w:rPr>
        <w:t>2023</w:t>
      </w:r>
      <w:r w:rsidR="006700CC">
        <w:rPr>
          <w:rFonts w:ascii="Times New Roman" w:hAnsi="Times New Roman"/>
          <w:color w:val="000000"/>
        </w:rPr>
        <w:t> </w:t>
      </w:r>
      <w:r w:rsidRPr="00BE591F">
        <w:rPr>
          <w:rFonts w:ascii="Times New Roman" w:hAnsi="Times New Roman"/>
          <w:color w:val="000000"/>
        </w:rPr>
        <w:t xml:space="preserve">Determination and the </w:t>
      </w:r>
      <w:r w:rsidR="007F7291">
        <w:rPr>
          <w:rFonts w:ascii="Times New Roman" w:hAnsi="Times New Roman"/>
          <w:color w:val="000000"/>
        </w:rPr>
        <w:t xml:space="preserve">broader </w:t>
      </w:r>
      <w:r w:rsidRPr="00BE591F">
        <w:rPr>
          <w:rFonts w:ascii="Times New Roman" w:hAnsi="Times New Roman"/>
          <w:color w:val="000000"/>
        </w:rPr>
        <w:t>certainty and protection it provides to relevant stakeholders.</w:t>
      </w:r>
    </w:p>
    <w:p w14:paraId="0ECB388F" w14:textId="77777777" w:rsidR="006E7589" w:rsidRDefault="006E7589" w:rsidP="00615E4D">
      <w:pPr>
        <w:shd w:val="clear" w:color="auto" w:fill="FFFFFF"/>
        <w:spacing w:after="0"/>
        <w:rPr>
          <w:rFonts w:ascii="Times New Roman" w:hAnsi="Times New Roman"/>
          <w:color w:val="000000"/>
          <w:highlight w:val="yellow"/>
        </w:rPr>
      </w:pPr>
    </w:p>
    <w:p w14:paraId="134C825F" w14:textId="5BCA43B1" w:rsidR="00615E4D" w:rsidRDefault="00615E4D" w:rsidP="00615E4D">
      <w:pPr>
        <w:shd w:val="clear" w:color="auto" w:fill="FFFFFF"/>
        <w:spacing w:after="0"/>
        <w:rPr>
          <w:rFonts w:ascii="Times New Roman" w:hAnsi="Times New Roman"/>
          <w:color w:val="000000"/>
        </w:rPr>
      </w:pPr>
      <w:r w:rsidRPr="00CD2727">
        <w:rPr>
          <w:rFonts w:ascii="Times New Roman" w:hAnsi="Times New Roman"/>
          <w:color w:val="000000"/>
        </w:rPr>
        <w:t>No human rights issues were raised during the consultation process</w:t>
      </w:r>
      <w:r w:rsidRPr="00FA36E3">
        <w:rPr>
          <w:rFonts w:ascii="Times New Roman" w:hAnsi="Times New Roman"/>
          <w:color w:val="000000"/>
        </w:rPr>
        <w:t>.</w:t>
      </w:r>
      <w:r>
        <w:rPr>
          <w:rFonts w:ascii="Times New Roman" w:hAnsi="Times New Roman"/>
          <w:color w:val="000000"/>
        </w:rPr>
        <w:t xml:space="preserve"> The </w:t>
      </w:r>
      <w:r w:rsidR="00F27DE4">
        <w:rPr>
          <w:rFonts w:ascii="Times New Roman" w:hAnsi="Times New Roman"/>
          <w:color w:val="000000"/>
        </w:rPr>
        <w:t>Amendment Determination</w:t>
      </w:r>
      <w:r w:rsidR="006E7589">
        <w:rPr>
          <w:rFonts w:ascii="Times New Roman" w:hAnsi="Times New Roman"/>
          <w:color w:val="000000"/>
        </w:rPr>
        <w:t xml:space="preserve"> </w:t>
      </w:r>
      <w:r>
        <w:rPr>
          <w:rFonts w:ascii="Times New Roman" w:hAnsi="Times New Roman"/>
          <w:color w:val="000000"/>
        </w:rPr>
        <w:t>does not engage any of the applicable rights or freedoms, and is compatible with the rights and freedoms recognised or declared by the international instruments listed in subsection 3(1) of the </w:t>
      </w:r>
      <w:r>
        <w:rPr>
          <w:rFonts w:ascii="Times New Roman" w:hAnsi="Times New Roman"/>
          <w:i/>
          <w:iCs/>
          <w:color w:val="000000"/>
        </w:rPr>
        <w:t>Human Rights (Parliamentary Scrutiny) Act</w:t>
      </w:r>
      <w:r w:rsidR="006700CC">
        <w:rPr>
          <w:rFonts w:ascii="Times New Roman" w:hAnsi="Times New Roman"/>
          <w:i/>
          <w:iCs/>
          <w:color w:val="000000"/>
        </w:rPr>
        <w:t> </w:t>
      </w:r>
      <w:r>
        <w:rPr>
          <w:rFonts w:ascii="Times New Roman" w:hAnsi="Times New Roman"/>
          <w:i/>
          <w:iCs/>
          <w:color w:val="000000"/>
        </w:rPr>
        <w:t>2011</w:t>
      </w:r>
      <w:r>
        <w:rPr>
          <w:rFonts w:ascii="Times New Roman" w:hAnsi="Times New Roman"/>
          <w:color w:val="000000"/>
        </w:rPr>
        <w:t xml:space="preserve"> as they apply to Australia. </w:t>
      </w:r>
    </w:p>
    <w:p w14:paraId="5842116E" w14:textId="77777777" w:rsidR="00615E4D" w:rsidRDefault="00615E4D" w:rsidP="00615E4D">
      <w:pPr>
        <w:shd w:val="clear" w:color="auto" w:fill="FFFFFF"/>
        <w:spacing w:before="120" w:after="120"/>
        <w:rPr>
          <w:rFonts w:ascii="Times New Roman" w:hAnsi="Times New Roman"/>
          <w:color w:val="000000"/>
          <w:sz w:val="20"/>
          <w:szCs w:val="20"/>
        </w:rPr>
      </w:pPr>
      <w:r>
        <w:rPr>
          <w:rFonts w:ascii="Times New Roman" w:hAnsi="Times New Roman"/>
          <w:b/>
          <w:bCs/>
          <w:i/>
          <w:iCs/>
          <w:color w:val="000000"/>
        </w:rPr>
        <w:t>Conclusion</w:t>
      </w:r>
    </w:p>
    <w:p w14:paraId="79A386FE" w14:textId="55F0E1F3" w:rsidR="00615E4D" w:rsidRDefault="00615E4D" w:rsidP="00615E4D">
      <w:pPr>
        <w:shd w:val="clear" w:color="auto" w:fill="FFFFFF"/>
        <w:spacing w:after="120"/>
        <w:ind w:right="91"/>
        <w:rPr>
          <w:rFonts w:ascii="Times New Roman" w:hAnsi="Times New Roman"/>
          <w:color w:val="000000"/>
        </w:rPr>
      </w:pPr>
      <w:r>
        <w:rPr>
          <w:rFonts w:ascii="Times New Roman" w:hAnsi="Times New Roman"/>
          <w:color w:val="000000"/>
        </w:rPr>
        <w:t xml:space="preserve">The </w:t>
      </w:r>
      <w:r w:rsidR="00F27DE4">
        <w:rPr>
          <w:rFonts w:ascii="Times New Roman" w:hAnsi="Times New Roman"/>
          <w:color w:val="000000"/>
        </w:rPr>
        <w:t>Amendment Determination</w:t>
      </w:r>
      <w:r>
        <w:rPr>
          <w:rFonts w:ascii="Times New Roman" w:hAnsi="Times New Roman"/>
          <w:color w:val="000000"/>
        </w:rPr>
        <w:t xml:space="preserve"> is compatible with human rights as it does not raise any human rights issues.</w:t>
      </w:r>
    </w:p>
    <w:p w14:paraId="3396AE1C" w14:textId="77777777" w:rsidR="00B3558C" w:rsidRDefault="00B3558C" w:rsidP="00615E4D">
      <w:pPr>
        <w:shd w:val="clear" w:color="auto" w:fill="FFFFFF"/>
        <w:spacing w:after="120"/>
        <w:ind w:right="91"/>
        <w:rPr>
          <w:rFonts w:ascii="Times New Roman" w:hAnsi="Times New Roman"/>
          <w:color w:val="000000"/>
        </w:rPr>
      </w:pPr>
    </w:p>
    <w:p w14:paraId="45573365" w14:textId="185ECC73" w:rsidR="00DA7ED7" w:rsidRDefault="00DA7ED7" w:rsidP="00B3558C">
      <w:pPr>
        <w:spacing w:before="120" w:after="120"/>
        <w:jc w:val="center"/>
        <w:rPr>
          <w:rFonts w:ascii="Times New Roman" w:hAnsi="Times New Roman"/>
          <w:b/>
        </w:rPr>
      </w:pPr>
      <w:r>
        <w:rPr>
          <w:rFonts w:ascii="Times New Roman" w:hAnsi="Times New Roman"/>
          <w:b/>
        </w:rPr>
        <w:t xml:space="preserve">The Hon </w:t>
      </w:r>
      <w:r w:rsidR="001E4457">
        <w:rPr>
          <w:rFonts w:ascii="Times New Roman" w:hAnsi="Times New Roman"/>
          <w:b/>
        </w:rPr>
        <w:t>Anika Wells MP</w:t>
      </w:r>
    </w:p>
    <w:p w14:paraId="66FBE8F9" w14:textId="1255354D" w:rsidR="00B3558C" w:rsidRPr="00547F8D" w:rsidRDefault="00DA7ED7" w:rsidP="00B3558C">
      <w:pPr>
        <w:spacing w:before="120" w:after="120"/>
        <w:jc w:val="center"/>
        <w:rPr>
          <w:rFonts w:ascii="Times New Roman" w:hAnsi="Times New Roman"/>
          <w:b/>
        </w:rPr>
      </w:pPr>
      <w:r>
        <w:rPr>
          <w:rFonts w:ascii="Times New Roman" w:hAnsi="Times New Roman"/>
          <w:b/>
        </w:rPr>
        <w:t>Minister for Communications</w:t>
      </w:r>
    </w:p>
    <w:p w14:paraId="08A60BF5" w14:textId="77777777" w:rsidR="00B3558C" w:rsidRDefault="00B3558C" w:rsidP="00615E4D">
      <w:pPr>
        <w:shd w:val="clear" w:color="auto" w:fill="FFFFFF"/>
        <w:spacing w:after="120"/>
        <w:ind w:right="91"/>
        <w:rPr>
          <w:rFonts w:ascii="Times New Roman" w:hAnsi="Times New Roman"/>
          <w:color w:val="000000"/>
          <w:sz w:val="20"/>
          <w:szCs w:val="20"/>
        </w:rPr>
      </w:pPr>
    </w:p>
    <w:p w14:paraId="117EBCE8" w14:textId="77777777" w:rsidR="00EA46BC" w:rsidRPr="00635AB8" w:rsidRDefault="00EA46BC" w:rsidP="00615E4D">
      <w:pPr>
        <w:spacing w:after="160" w:line="259" w:lineRule="auto"/>
        <w:ind w:left="6480" w:firstLine="720"/>
        <w:rPr>
          <w:rFonts w:ascii="Times New Roman" w:hAnsi="Times New Roman"/>
        </w:rPr>
      </w:pPr>
    </w:p>
    <w:sectPr w:rsidR="00EA46BC" w:rsidRPr="00635AB8" w:rsidSect="00B96FEE">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726B4" w14:textId="77777777" w:rsidR="00C8465E" w:rsidRDefault="00C8465E">
      <w:pPr>
        <w:spacing w:after="0"/>
      </w:pPr>
      <w:r>
        <w:separator/>
      </w:r>
    </w:p>
  </w:endnote>
  <w:endnote w:type="continuationSeparator" w:id="0">
    <w:p w14:paraId="74459F6F" w14:textId="77777777" w:rsidR="00C8465E" w:rsidRDefault="00C8465E">
      <w:pPr>
        <w:spacing w:after="0"/>
      </w:pPr>
      <w:r>
        <w:continuationSeparator/>
      </w:r>
    </w:p>
  </w:endnote>
  <w:endnote w:type="continuationNotice" w:id="1">
    <w:p w14:paraId="2C400654" w14:textId="77777777" w:rsidR="00C8465E" w:rsidRDefault="00C846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522C" w14:textId="5468DA95" w:rsidR="00E93849" w:rsidRDefault="00E93849">
    <w:pPr>
      <w:pStyle w:val="Footer"/>
    </w:pPr>
    <w:r>
      <w:rPr>
        <w:noProof/>
      </w:rPr>
      <mc:AlternateContent>
        <mc:Choice Requires="wps">
          <w:drawing>
            <wp:anchor distT="0" distB="0" distL="0" distR="0" simplePos="0" relativeHeight="251658752" behindDoc="0" locked="0" layoutInCell="1" allowOverlap="1" wp14:anchorId="55965BEC" wp14:editId="3620996D">
              <wp:simplePos x="635" y="635"/>
              <wp:positionH relativeFrom="page">
                <wp:align>center</wp:align>
              </wp:positionH>
              <wp:positionV relativeFrom="page">
                <wp:align>bottom</wp:align>
              </wp:positionV>
              <wp:extent cx="726440" cy="407670"/>
              <wp:effectExtent l="0" t="0" r="16510" b="0"/>
              <wp:wrapNone/>
              <wp:docPr id="11782100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465F080" w14:textId="55C8023D" w:rsidR="00E93849" w:rsidRPr="00E93849" w:rsidRDefault="00E93849" w:rsidP="00E93849">
                          <w:pPr>
                            <w:spacing w:after="0"/>
                            <w:rPr>
                              <w:rFonts w:ascii="Aptos" w:eastAsia="Aptos" w:hAnsi="Aptos" w:cs="Aptos"/>
                              <w:noProof/>
                              <w:color w:val="FF0000"/>
                              <w:sz w:val="28"/>
                              <w:szCs w:val="28"/>
                            </w:rPr>
                          </w:pPr>
                          <w:r w:rsidRPr="00E9384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965BEC" id="_x0000_t202" coordsize="21600,21600" o:spt="202" path="m,l,21600r21600,l21600,xe">
              <v:stroke joinstyle="miter"/>
              <v:path gradientshapeok="t" o:connecttype="rect"/>
            </v:shapetype>
            <v:shape id="Text Box 5" o:spid="_x0000_s1027" type="#_x0000_t202" alt="OFFICIAL" style="position:absolute;left:0;text-align:left;margin-left:0;margin-top:0;width:57.2pt;height:32.1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0465F080" w14:textId="55C8023D" w:rsidR="00E93849" w:rsidRPr="00E93849" w:rsidRDefault="00E93849" w:rsidP="00E93849">
                    <w:pPr>
                      <w:spacing w:after="0"/>
                      <w:rPr>
                        <w:rFonts w:ascii="Aptos" w:eastAsia="Aptos" w:hAnsi="Aptos" w:cs="Aptos"/>
                        <w:noProof/>
                        <w:color w:val="FF0000"/>
                        <w:sz w:val="28"/>
                        <w:szCs w:val="28"/>
                      </w:rPr>
                    </w:pPr>
                    <w:r w:rsidRPr="00E9384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8E4E" w14:textId="0F99891C" w:rsidR="0079200C" w:rsidRPr="00E90BCB" w:rsidRDefault="008B6B70">
    <w:pPr>
      <w:pStyle w:val="Footer"/>
      <w:rPr>
        <w:rFonts w:ascii="Times New Roman" w:hAnsi="Times New Roman"/>
        <w:sz w:val="24"/>
      </w:rPr>
    </w:pPr>
    <w:sdt>
      <w:sdtPr>
        <w:rPr>
          <w:rFonts w:ascii="Times New Roman" w:hAnsi="Times New Roman"/>
          <w:sz w:val="22"/>
          <w:szCs w:val="22"/>
        </w:rPr>
        <w:id w:val="-1699624166"/>
        <w:docPartObj>
          <w:docPartGallery w:val="Page Numbers (Bottom of Page)"/>
          <w:docPartUnique/>
        </w:docPartObj>
      </w:sdtPr>
      <w:sdtEndPr>
        <w:rPr>
          <w:noProof/>
          <w:sz w:val="24"/>
          <w:szCs w:val="24"/>
        </w:rPr>
      </w:sdtEndPr>
      <w:sdtContent>
        <w:r w:rsidR="0079200C" w:rsidRPr="00E90BCB">
          <w:rPr>
            <w:rFonts w:ascii="Times New Roman" w:hAnsi="Times New Roman"/>
            <w:sz w:val="24"/>
          </w:rPr>
          <w:fldChar w:fldCharType="begin"/>
        </w:r>
        <w:r w:rsidR="0079200C" w:rsidRPr="00E90BCB">
          <w:rPr>
            <w:rFonts w:ascii="Times New Roman" w:hAnsi="Times New Roman"/>
            <w:sz w:val="24"/>
          </w:rPr>
          <w:instrText xml:space="preserve"> PAGE   \* MERGEFORMAT </w:instrText>
        </w:r>
        <w:r w:rsidR="0079200C" w:rsidRPr="00E90BCB">
          <w:rPr>
            <w:rFonts w:ascii="Times New Roman" w:hAnsi="Times New Roman"/>
            <w:sz w:val="24"/>
          </w:rPr>
          <w:fldChar w:fldCharType="separate"/>
        </w:r>
        <w:r w:rsidR="0079200C">
          <w:rPr>
            <w:rFonts w:ascii="Times New Roman" w:hAnsi="Times New Roman"/>
            <w:noProof/>
            <w:sz w:val="24"/>
          </w:rPr>
          <w:t>1</w:t>
        </w:r>
        <w:r w:rsidR="0079200C" w:rsidRPr="00E90BCB">
          <w:rPr>
            <w:rFonts w:ascii="Times New Roman" w:hAnsi="Times New Roman"/>
            <w:noProof/>
            <w:sz w:val="24"/>
          </w:rPr>
          <w:fldChar w:fldCharType="end"/>
        </w:r>
      </w:sdtContent>
    </w:sdt>
  </w:p>
  <w:p w14:paraId="3506F77D" w14:textId="77777777" w:rsidR="0079200C" w:rsidRDefault="00792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DD13" w14:textId="0273EDB3" w:rsidR="0079200C" w:rsidRPr="00767979" w:rsidRDefault="00E93849" w:rsidP="007B5AE0">
    <w:pPr>
      <w:pStyle w:val="Header"/>
      <w:jc w:val="center"/>
      <w:rPr>
        <w:rFonts w:ascii="Times New Roman" w:hAnsi="Times New Roman"/>
      </w:rPr>
    </w:pPr>
    <w:r>
      <w:rPr>
        <w:rFonts w:ascii="Times New Roman" w:hAnsi="Times New Roman"/>
        <w:noProof/>
      </w:rPr>
      <mc:AlternateContent>
        <mc:Choice Requires="wps">
          <w:drawing>
            <wp:anchor distT="0" distB="0" distL="0" distR="0" simplePos="0" relativeHeight="251657728" behindDoc="0" locked="0" layoutInCell="1" allowOverlap="1" wp14:anchorId="3472A2CD" wp14:editId="0301C169">
              <wp:simplePos x="635" y="635"/>
              <wp:positionH relativeFrom="page">
                <wp:align>center</wp:align>
              </wp:positionH>
              <wp:positionV relativeFrom="page">
                <wp:align>bottom</wp:align>
              </wp:positionV>
              <wp:extent cx="726440" cy="407670"/>
              <wp:effectExtent l="0" t="0" r="16510" b="0"/>
              <wp:wrapNone/>
              <wp:docPr id="1051566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0EA6258" w14:textId="3ACB6EAF" w:rsidR="00E93849" w:rsidRPr="00E93849" w:rsidRDefault="00E93849" w:rsidP="00E93849">
                          <w:pPr>
                            <w:spacing w:after="0"/>
                            <w:rPr>
                              <w:rFonts w:ascii="Aptos" w:eastAsia="Aptos" w:hAnsi="Aptos" w:cs="Aptos"/>
                              <w:noProof/>
                              <w:color w:val="FF0000"/>
                              <w:sz w:val="28"/>
                              <w:szCs w:val="28"/>
                            </w:rPr>
                          </w:pPr>
                          <w:r w:rsidRPr="00E9384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72A2CD" id="_x0000_t202" coordsize="21600,21600" o:spt="202" path="m,l,21600r21600,l21600,xe">
              <v:stroke joinstyle="miter"/>
              <v:path gradientshapeok="t" o:connecttype="rect"/>
            </v:shapetype>
            <v:shape id="Text Box 4" o:spid="_x0000_s1029" type="#_x0000_t202" alt="OFFICIAL" style="position:absolute;left:0;text-align:left;margin-left:0;margin-top:0;width:57.2pt;height:32.1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00EA6258" w14:textId="3ACB6EAF" w:rsidR="00E93849" w:rsidRPr="00E93849" w:rsidRDefault="00E93849" w:rsidP="00E93849">
                    <w:pPr>
                      <w:spacing w:after="0"/>
                      <w:rPr>
                        <w:rFonts w:ascii="Aptos" w:eastAsia="Aptos" w:hAnsi="Aptos" w:cs="Aptos"/>
                        <w:noProof/>
                        <w:color w:val="FF0000"/>
                        <w:sz w:val="28"/>
                        <w:szCs w:val="28"/>
                      </w:rPr>
                    </w:pPr>
                    <w:r w:rsidRPr="00E93849">
                      <w:rPr>
                        <w:rFonts w:ascii="Aptos" w:eastAsia="Aptos" w:hAnsi="Aptos" w:cs="Aptos"/>
                        <w:noProof/>
                        <w:color w:val="FF0000"/>
                        <w:sz w:val="28"/>
                        <w:szCs w:val="28"/>
                      </w:rPr>
                      <w:t>OFFICIAL</w:t>
                    </w:r>
                  </w:p>
                </w:txbxContent>
              </v:textbox>
              <w10:wrap anchorx="page" anchory="page"/>
            </v:shape>
          </w:pict>
        </mc:Fallback>
      </mc:AlternateContent>
    </w:r>
    <w:r w:rsidR="0079200C" w:rsidRPr="009027D6">
      <w:rPr>
        <w:rStyle w:val="PageNumber"/>
        <w:rFonts w:ascii="Times New Roman" w:hAnsi="Times New Roman"/>
      </w:rPr>
      <w:fldChar w:fldCharType="begin"/>
    </w:r>
    <w:r w:rsidR="0079200C" w:rsidRPr="009027D6">
      <w:rPr>
        <w:rStyle w:val="PageNumber"/>
        <w:rFonts w:ascii="Times New Roman" w:hAnsi="Times New Roman"/>
      </w:rPr>
      <w:instrText xml:space="preserve"> PAGE </w:instrText>
    </w:r>
    <w:r w:rsidR="0079200C" w:rsidRPr="009027D6">
      <w:rPr>
        <w:rStyle w:val="PageNumber"/>
        <w:rFonts w:ascii="Times New Roman" w:hAnsi="Times New Roman"/>
      </w:rPr>
      <w:fldChar w:fldCharType="separate"/>
    </w:r>
    <w:r w:rsidR="0079200C">
      <w:rPr>
        <w:rStyle w:val="PageNumber"/>
        <w:rFonts w:ascii="Times New Roman" w:hAnsi="Times New Roman"/>
        <w:noProof/>
      </w:rPr>
      <w:t>10</w:t>
    </w:r>
    <w:r w:rsidR="0079200C" w:rsidRPr="009027D6">
      <w:rPr>
        <w:rStyle w:val="PageNumber"/>
        <w:rFonts w:ascii="Times New Roman" w:hAnsi="Times New Roman"/>
      </w:rPr>
      <w:fldChar w:fldCharType="end"/>
    </w:r>
  </w:p>
  <w:p w14:paraId="6B43E077" w14:textId="77777777" w:rsidR="0079200C" w:rsidRDefault="00792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CE10" w14:textId="77777777" w:rsidR="00C8465E" w:rsidRDefault="00C8465E">
      <w:pPr>
        <w:spacing w:after="0"/>
      </w:pPr>
      <w:r>
        <w:separator/>
      </w:r>
    </w:p>
  </w:footnote>
  <w:footnote w:type="continuationSeparator" w:id="0">
    <w:p w14:paraId="4CFDAB0F" w14:textId="77777777" w:rsidR="00C8465E" w:rsidRDefault="00C8465E">
      <w:pPr>
        <w:spacing w:after="0"/>
      </w:pPr>
      <w:r>
        <w:continuationSeparator/>
      </w:r>
    </w:p>
  </w:footnote>
  <w:footnote w:type="continuationNotice" w:id="1">
    <w:p w14:paraId="7B0513F3" w14:textId="77777777" w:rsidR="00C8465E" w:rsidRDefault="00C8465E">
      <w:pPr>
        <w:spacing w:after="0"/>
      </w:pPr>
    </w:p>
  </w:footnote>
  <w:footnote w:id="2">
    <w:p w14:paraId="065F9EBC" w14:textId="449BB87A" w:rsidR="002623A4" w:rsidRPr="002623A4" w:rsidRDefault="002623A4">
      <w:pPr>
        <w:pStyle w:val="FootnoteText"/>
        <w:rPr>
          <w:rFonts w:ascii="Times New Roman" w:hAnsi="Times New Roman"/>
        </w:rPr>
      </w:pPr>
      <w:r w:rsidRPr="002623A4">
        <w:rPr>
          <w:rStyle w:val="FootnoteReference"/>
          <w:rFonts w:ascii="Times New Roman" w:hAnsi="Times New Roman"/>
        </w:rPr>
        <w:footnoteRef/>
      </w:r>
      <w:r w:rsidRPr="002623A4">
        <w:rPr>
          <w:rFonts w:ascii="Times New Roman" w:hAnsi="Times New Roman"/>
        </w:rPr>
        <w:t xml:space="preserve"> Full text</w:t>
      </w:r>
      <w:r w:rsidR="00F50AC0">
        <w:rPr>
          <w:rFonts w:ascii="Times New Roman" w:hAnsi="Times New Roman"/>
        </w:rPr>
        <w:t xml:space="preserve">: </w:t>
      </w:r>
      <w:r w:rsidR="00F50AC0" w:rsidRPr="00F50AC0">
        <w:rPr>
          <w:rFonts w:ascii="Times New Roman" w:hAnsi="Times New Roman"/>
        </w:rPr>
        <w:t>www.legislation.gov.au/F2023L00221/latest/text/explanatory-statement</w:t>
      </w:r>
      <w:r w:rsidRPr="002623A4">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7921" w14:textId="613A0EB6" w:rsidR="00E93849" w:rsidRDefault="00E93849">
    <w:pPr>
      <w:pStyle w:val="Header"/>
    </w:pPr>
    <w:r>
      <w:rPr>
        <w:noProof/>
      </w:rPr>
      <mc:AlternateContent>
        <mc:Choice Requires="wps">
          <w:drawing>
            <wp:anchor distT="0" distB="0" distL="0" distR="0" simplePos="0" relativeHeight="251656704" behindDoc="0" locked="0" layoutInCell="1" allowOverlap="1" wp14:anchorId="587036FB" wp14:editId="177861CE">
              <wp:simplePos x="635" y="635"/>
              <wp:positionH relativeFrom="page">
                <wp:align>center</wp:align>
              </wp:positionH>
              <wp:positionV relativeFrom="page">
                <wp:align>top</wp:align>
              </wp:positionV>
              <wp:extent cx="726440" cy="407670"/>
              <wp:effectExtent l="0" t="0" r="16510" b="11430"/>
              <wp:wrapNone/>
              <wp:docPr id="13890247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3DF561D" w14:textId="19F760F1" w:rsidR="00E93849" w:rsidRPr="00E93849" w:rsidRDefault="00E93849" w:rsidP="00E93849">
                          <w:pPr>
                            <w:spacing w:after="0"/>
                            <w:rPr>
                              <w:rFonts w:ascii="Aptos" w:eastAsia="Aptos" w:hAnsi="Aptos" w:cs="Aptos"/>
                              <w:noProof/>
                              <w:color w:val="FF0000"/>
                              <w:sz w:val="28"/>
                              <w:szCs w:val="28"/>
                            </w:rPr>
                          </w:pPr>
                          <w:r w:rsidRPr="00E9384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7036FB"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33DF561D" w14:textId="19F760F1" w:rsidR="00E93849" w:rsidRPr="00E93849" w:rsidRDefault="00E93849" w:rsidP="00E93849">
                    <w:pPr>
                      <w:spacing w:after="0"/>
                      <w:rPr>
                        <w:rFonts w:ascii="Aptos" w:eastAsia="Aptos" w:hAnsi="Aptos" w:cs="Aptos"/>
                        <w:noProof/>
                        <w:color w:val="FF0000"/>
                        <w:sz w:val="28"/>
                        <w:szCs w:val="28"/>
                      </w:rPr>
                    </w:pPr>
                    <w:r w:rsidRPr="00E9384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517892792"/>
      <w:docPartObj>
        <w:docPartGallery w:val="Watermarks"/>
        <w:docPartUnique/>
      </w:docPartObj>
    </w:sdtPr>
    <w:sdtEndPr/>
    <w:sdtContent>
      <w:p w14:paraId="4622ADCA" w14:textId="1CBD8251" w:rsidR="0079200C" w:rsidRPr="000A2F7D" w:rsidRDefault="008B6B70" w:rsidP="000A2F7D">
        <w:pPr>
          <w:pStyle w:val="Header"/>
          <w:jc w:val="center"/>
          <w:rPr>
            <w:rFonts w:ascii="Times New Roman" w:hAnsi="Times New Roman"/>
          </w:rPr>
        </w:pPr>
        <w:r>
          <w:rPr>
            <w:rFonts w:ascii="Times New Roman" w:hAnsi="Times New Roman"/>
            <w:noProof/>
          </w:rPr>
          <w:pict w14:anchorId="7F5F2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4"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6E94" w14:textId="2E35CE5A" w:rsidR="0079200C" w:rsidRPr="00767979" w:rsidRDefault="00E93849" w:rsidP="000A2F7D">
    <w:pPr>
      <w:pStyle w:val="Header"/>
      <w:jc w:val="center"/>
      <w:rPr>
        <w:rFonts w:ascii="Times New Roman" w:hAnsi="Times New Roman"/>
      </w:rPr>
    </w:pPr>
    <w:r>
      <w:rPr>
        <w:rFonts w:ascii="Times New Roman" w:hAnsi="Times New Roman"/>
        <w:noProof/>
      </w:rPr>
      <mc:AlternateContent>
        <mc:Choice Requires="wps">
          <w:drawing>
            <wp:anchor distT="0" distB="0" distL="0" distR="0" simplePos="0" relativeHeight="251655680" behindDoc="0" locked="0" layoutInCell="1" allowOverlap="1" wp14:anchorId="11FF85F0" wp14:editId="437B5023">
              <wp:simplePos x="635" y="635"/>
              <wp:positionH relativeFrom="page">
                <wp:align>center</wp:align>
              </wp:positionH>
              <wp:positionV relativeFrom="page">
                <wp:align>top</wp:align>
              </wp:positionV>
              <wp:extent cx="726440" cy="407670"/>
              <wp:effectExtent l="0" t="0" r="16510" b="11430"/>
              <wp:wrapNone/>
              <wp:docPr id="12440742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87B6ACB" w14:textId="11BCDC0B" w:rsidR="00E93849" w:rsidRPr="00E93849" w:rsidRDefault="00E93849" w:rsidP="00E93849">
                          <w:pPr>
                            <w:spacing w:after="0"/>
                            <w:rPr>
                              <w:rFonts w:ascii="Aptos" w:eastAsia="Aptos" w:hAnsi="Aptos" w:cs="Aptos"/>
                              <w:noProof/>
                              <w:color w:val="FF0000"/>
                              <w:sz w:val="28"/>
                              <w:szCs w:val="28"/>
                            </w:rPr>
                          </w:pPr>
                          <w:r w:rsidRPr="00E9384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FF85F0" id="_x0000_t202" coordsize="21600,21600" o:spt="202" path="m,l,21600r21600,l21600,xe">
              <v:stroke joinstyle="miter"/>
              <v:path gradientshapeok="t" o:connecttype="rect"/>
            </v:shapetype>
            <v:shape id="Text Box 1" o:spid="_x0000_s1028" type="#_x0000_t202" alt="OFFICIAL" style="position:absolute;left:0;text-align:left;margin-left:0;margin-top:0;width:57.2pt;height:32.1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D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J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vyGOQw0CAAAcBAAA&#10;DgAAAAAAAAAAAAAAAAAuAgAAZHJzL2Uyb0RvYy54bWxQSwECLQAUAAYACAAAACEApeHP4tkAAAAE&#10;AQAADwAAAAAAAAAAAAAAAABnBAAAZHJzL2Rvd25yZXYueG1sUEsFBgAAAAAEAAQA8wAAAG0FAAAA&#10;AA==&#10;" filled="f" stroked="f">
              <v:textbox style="mso-fit-shape-to-text:t" inset="0,15pt,0,0">
                <w:txbxContent>
                  <w:p w14:paraId="587B6ACB" w14:textId="11BCDC0B" w:rsidR="00E93849" w:rsidRPr="00E93849" w:rsidRDefault="00E93849" w:rsidP="00E93849">
                    <w:pPr>
                      <w:spacing w:after="0"/>
                      <w:rPr>
                        <w:rFonts w:ascii="Aptos" w:eastAsia="Aptos" w:hAnsi="Aptos" w:cs="Aptos"/>
                        <w:noProof/>
                        <w:color w:val="FF0000"/>
                        <w:sz w:val="28"/>
                        <w:szCs w:val="28"/>
                      </w:rPr>
                    </w:pPr>
                    <w:r w:rsidRPr="00E9384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130"/>
    <w:multiLevelType w:val="hybridMultilevel"/>
    <w:tmpl w:val="DA86EA72"/>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B60B78"/>
    <w:multiLevelType w:val="hybridMultilevel"/>
    <w:tmpl w:val="3E74543A"/>
    <w:lvl w:ilvl="0" w:tplc="AF6E88C4">
      <w:start w:val="1"/>
      <w:numFmt w:val="lowerLetter"/>
      <w:lvlText w:val="(%1)"/>
      <w:lvlJc w:val="left"/>
      <w:pPr>
        <w:ind w:left="360" w:hanging="360"/>
      </w:pPr>
      <w:rPr>
        <w:rFonts w:hint="default"/>
      </w:rPr>
    </w:lvl>
    <w:lvl w:ilvl="1" w:tplc="013EFFA6">
      <w:start w:val="1"/>
      <w:numFmt w:val="lowerRoman"/>
      <w:lvlText w:val="(%2)"/>
      <w:lvlJc w:val="left"/>
      <w:pPr>
        <w:ind w:left="1080" w:hanging="360"/>
      </w:pPr>
      <w:rPr>
        <w:rFonts w:ascii="Times New Roman" w:eastAsia="Times New Roman" w:hAnsi="Times New Roman" w:cs="Times New Roman"/>
      </w:rPr>
    </w:lvl>
    <w:lvl w:ilvl="2" w:tplc="96523F02">
      <w:start w:val="1"/>
      <w:numFmt w:val="upperLetter"/>
      <w:lvlText w:val="%3."/>
      <w:lvlJc w:val="right"/>
      <w:pPr>
        <w:ind w:left="1800" w:hanging="180"/>
      </w:pPr>
      <w:rPr>
        <w:rFonts w:ascii="Times New Roman" w:eastAsia="Times New Roman" w:hAnsi="Times New Roman" w:cs="Times New Roman"/>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862659"/>
    <w:multiLevelType w:val="hybridMultilevel"/>
    <w:tmpl w:val="8824723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1823CF"/>
    <w:multiLevelType w:val="hybridMultilevel"/>
    <w:tmpl w:val="F7808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7561D0"/>
    <w:multiLevelType w:val="hybridMultilevel"/>
    <w:tmpl w:val="7C3C6F7C"/>
    <w:lvl w:ilvl="0" w:tplc="25C8E688">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80F3024"/>
    <w:multiLevelType w:val="hybridMultilevel"/>
    <w:tmpl w:val="505E7880"/>
    <w:lvl w:ilvl="0" w:tplc="CC7EB9A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CF4F82"/>
    <w:multiLevelType w:val="multilevel"/>
    <w:tmpl w:val="D776769E"/>
    <w:lvl w:ilvl="0">
      <w:start w:val="1"/>
      <w:numFmt w:val="lowerRoman"/>
      <w:lvlText w:val="(%1)"/>
      <w:lvlJc w:val="left"/>
      <w:pPr>
        <w:tabs>
          <w:tab w:val="left" w:pos="2064"/>
        </w:tabs>
        <w:ind w:left="1560" w:firstLine="0"/>
      </w:pPr>
      <w:rPr>
        <w:rFonts w:ascii="Times New Roman" w:eastAsia="Times New Roman" w:hAnsi="Times New Roman"/>
        <w:color w:val="000000"/>
        <w:spacing w:val="0"/>
        <w:w w:val="100"/>
        <w:sz w:val="22"/>
        <w:szCs w:val="22"/>
        <w:vertAlign w:val="baseline"/>
        <w:lang w:val="en-US"/>
      </w:rPr>
    </w:lvl>
    <w:lvl w:ilvl="1">
      <w:numFmt w:val="decimal"/>
      <w:lvlText w:val=""/>
      <w:lvlJc w:val="left"/>
      <w:pPr>
        <w:ind w:left="1560" w:firstLine="0"/>
      </w:pPr>
    </w:lvl>
    <w:lvl w:ilvl="2">
      <w:numFmt w:val="decimal"/>
      <w:lvlText w:val=""/>
      <w:lvlJc w:val="left"/>
      <w:pPr>
        <w:ind w:left="1560" w:firstLine="0"/>
      </w:pPr>
    </w:lvl>
    <w:lvl w:ilvl="3">
      <w:numFmt w:val="decimal"/>
      <w:lvlText w:val=""/>
      <w:lvlJc w:val="left"/>
      <w:pPr>
        <w:ind w:left="1560" w:firstLine="0"/>
      </w:pPr>
    </w:lvl>
    <w:lvl w:ilvl="4">
      <w:numFmt w:val="decimal"/>
      <w:lvlText w:val=""/>
      <w:lvlJc w:val="left"/>
      <w:pPr>
        <w:ind w:left="1560" w:firstLine="0"/>
      </w:pPr>
    </w:lvl>
    <w:lvl w:ilvl="5">
      <w:numFmt w:val="decimal"/>
      <w:lvlText w:val=""/>
      <w:lvlJc w:val="left"/>
      <w:pPr>
        <w:ind w:left="1560" w:firstLine="0"/>
      </w:pPr>
    </w:lvl>
    <w:lvl w:ilvl="6">
      <w:numFmt w:val="decimal"/>
      <w:lvlText w:val=""/>
      <w:lvlJc w:val="left"/>
      <w:pPr>
        <w:ind w:left="1560" w:firstLine="0"/>
      </w:pPr>
    </w:lvl>
    <w:lvl w:ilvl="7">
      <w:numFmt w:val="decimal"/>
      <w:lvlText w:val=""/>
      <w:lvlJc w:val="left"/>
      <w:pPr>
        <w:ind w:left="1560" w:firstLine="0"/>
      </w:pPr>
    </w:lvl>
    <w:lvl w:ilvl="8">
      <w:numFmt w:val="decimal"/>
      <w:lvlText w:val=""/>
      <w:lvlJc w:val="left"/>
      <w:pPr>
        <w:ind w:left="1560" w:firstLine="0"/>
      </w:pPr>
    </w:lvl>
  </w:abstractNum>
  <w:abstractNum w:abstractNumId="7" w15:restartNumberingAfterBreak="0">
    <w:nsid w:val="1B3336AF"/>
    <w:multiLevelType w:val="hybridMultilevel"/>
    <w:tmpl w:val="3D904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EB6171"/>
    <w:multiLevelType w:val="hybridMultilevel"/>
    <w:tmpl w:val="CEB81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521EC0"/>
    <w:multiLevelType w:val="hybridMultilevel"/>
    <w:tmpl w:val="CF323BFA"/>
    <w:lvl w:ilvl="0" w:tplc="66A0A50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AC3079"/>
    <w:multiLevelType w:val="hybridMultilevel"/>
    <w:tmpl w:val="A0B27A88"/>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C606C7"/>
    <w:multiLevelType w:val="hybridMultilevel"/>
    <w:tmpl w:val="465CA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8C6EF2"/>
    <w:multiLevelType w:val="hybridMultilevel"/>
    <w:tmpl w:val="54CC7B28"/>
    <w:lvl w:ilvl="0" w:tplc="197617E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2103CAD"/>
    <w:multiLevelType w:val="hybridMultilevel"/>
    <w:tmpl w:val="6076FE9E"/>
    <w:lvl w:ilvl="0" w:tplc="8C18F97C">
      <w:start w:val="3"/>
      <w:numFmt w:val="lowerRoman"/>
      <w:lvlText w:val="(%1)"/>
      <w:lvlJc w:val="left"/>
      <w:pPr>
        <w:ind w:left="1440" w:hanging="720"/>
      </w:pPr>
      <w:rPr>
        <w:rFonts w:ascii="Times New Roman" w:hAnsi="Times New Roman"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56C1EEF"/>
    <w:multiLevelType w:val="hybridMultilevel"/>
    <w:tmpl w:val="D68EBF2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434917"/>
    <w:multiLevelType w:val="hybridMultilevel"/>
    <w:tmpl w:val="5FD00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1C4900"/>
    <w:multiLevelType w:val="hybridMultilevel"/>
    <w:tmpl w:val="B00408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392123"/>
    <w:multiLevelType w:val="hybridMultilevel"/>
    <w:tmpl w:val="00C6268A"/>
    <w:lvl w:ilvl="0" w:tplc="013EFFA6">
      <w:start w:val="1"/>
      <w:numFmt w:val="lowerRoman"/>
      <w:lvlText w:val="(%1)"/>
      <w:lvlJc w:val="left"/>
      <w:pPr>
        <w:ind w:left="228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6A7FB0"/>
    <w:multiLevelType w:val="hybridMultilevel"/>
    <w:tmpl w:val="505E7880"/>
    <w:lvl w:ilvl="0" w:tplc="CC7EB9A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8332AB"/>
    <w:multiLevelType w:val="hybridMultilevel"/>
    <w:tmpl w:val="0932313E"/>
    <w:lvl w:ilvl="0" w:tplc="59E418AE">
      <w:start w:val="6"/>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02628D"/>
    <w:multiLevelType w:val="hybridMultilevel"/>
    <w:tmpl w:val="505E7880"/>
    <w:lvl w:ilvl="0" w:tplc="CC7EB9A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77533B"/>
    <w:multiLevelType w:val="hybridMultilevel"/>
    <w:tmpl w:val="505E7880"/>
    <w:lvl w:ilvl="0" w:tplc="CC7EB9A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036DBD"/>
    <w:multiLevelType w:val="multilevel"/>
    <w:tmpl w:val="C688EA2E"/>
    <w:lvl w:ilvl="0">
      <w:start w:val="1"/>
      <w:numFmt w:val="lowerLetter"/>
      <w:lvlText w:val="(%1)"/>
      <w:lvlJc w:val="left"/>
      <w:pPr>
        <w:tabs>
          <w:tab w:val="left" w:pos="1566"/>
        </w:tabs>
        <w:ind w:left="1134" w:firstLine="0"/>
      </w:pPr>
      <w:rPr>
        <w:rFonts w:ascii="Times New Roman" w:eastAsia="Times New Roman" w:hAnsi="Times New Roman" w:cstheme="minorBidi"/>
        <w:color w:val="000000"/>
        <w:spacing w:val="0"/>
        <w:w w:val="100"/>
        <w:sz w:val="22"/>
        <w:szCs w:val="22"/>
        <w:vertAlign w:val="baseline"/>
        <w:lang w:val="en-US"/>
      </w:rPr>
    </w:lvl>
    <w:lvl w:ilvl="1">
      <w:numFmt w:val="decimal"/>
      <w:lvlText w:val=""/>
      <w:lvlJc w:val="left"/>
      <w:pPr>
        <w:ind w:left="1134" w:firstLine="0"/>
      </w:pPr>
    </w:lvl>
    <w:lvl w:ilvl="2">
      <w:numFmt w:val="decimal"/>
      <w:lvlText w:val=""/>
      <w:lvlJc w:val="left"/>
      <w:pPr>
        <w:ind w:left="1134" w:firstLine="0"/>
      </w:pPr>
    </w:lvl>
    <w:lvl w:ilvl="3">
      <w:numFmt w:val="decimal"/>
      <w:lvlText w:val=""/>
      <w:lvlJc w:val="left"/>
      <w:pPr>
        <w:ind w:left="1134" w:firstLine="0"/>
      </w:pPr>
    </w:lvl>
    <w:lvl w:ilvl="4">
      <w:numFmt w:val="decimal"/>
      <w:lvlText w:val=""/>
      <w:lvlJc w:val="left"/>
      <w:pPr>
        <w:ind w:left="1134" w:firstLine="0"/>
      </w:pPr>
    </w:lvl>
    <w:lvl w:ilvl="5">
      <w:numFmt w:val="decimal"/>
      <w:lvlText w:val=""/>
      <w:lvlJc w:val="left"/>
      <w:pPr>
        <w:ind w:left="1134" w:firstLine="0"/>
      </w:pPr>
    </w:lvl>
    <w:lvl w:ilvl="6">
      <w:numFmt w:val="decimal"/>
      <w:lvlText w:val=""/>
      <w:lvlJc w:val="left"/>
      <w:pPr>
        <w:ind w:left="1134" w:firstLine="0"/>
      </w:pPr>
    </w:lvl>
    <w:lvl w:ilvl="7">
      <w:numFmt w:val="decimal"/>
      <w:lvlText w:val=""/>
      <w:lvlJc w:val="left"/>
      <w:pPr>
        <w:ind w:left="1134" w:firstLine="0"/>
      </w:pPr>
    </w:lvl>
    <w:lvl w:ilvl="8">
      <w:numFmt w:val="decimal"/>
      <w:lvlText w:val=""/>
      <w:lvlJc w:val="left"/>
      <w:pPr>
        <w:ind w:left="1134" w:firstLine="0"/>
      </w:pPr>
    </w:lvl>
  </w:abstractNum>
  <w:abstractNum w:abstractNumId="23" w15:restartNumberingAfterBreak="0">
    <w:nsid w:val="51322431"/>
    <w:multiLevelType w:val="hybridMultilevel"/>
    <w:tmpl w:val="625A803C"/>
    <w:lvl w:ilvl="0" w:tplc="B9D00B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2F7408"/>
    <w:multiLevelType w:val="hybridMultilevel"/>
    <w:tmpl w:val="36C477EC"/>
    <w:lvl w:ilvl="0" w:tplc="FF4226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777EF7"/>
    <w:multiLevelType w:val="multilevel"/>
    <w:tmpl w:val="E1505FA0"/>
    <w:lvl w:ilvl="0">
      <w:start w:val="2"/>
      <w:numFmt w:val="lowerLetter"/>
      <w:lvlText w:val="(%1)"/>
      <w:lvlJc w:val="left"/>
      <w:pPr>
        <w:tabs>
          <w:tab w:val="left" w:pos="504"/>
        </w:tabs>
        <w:ind w:left="0" w:firstLine="0"/>
      </w:pPr>
      <w:rPr>
        <w:rFonts w:ascii="Times New Roman" w:eastAsia="Times New Roman" w:hAnsi="Times New Roman"/>
        <w:color w:val="000000"/>
        <w:spacing w:val="0"/>
        <w:w w:val="100"/>
        <w:sz w:val="22"/>
        <w:szCs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B690BF5"/>
    <w:multiLevelType w:val="multilevel"/>
    <w:tmpl w:val="D0F2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0D3BB8"/>
    <w:multiLevelType w:val="hybridMultilevel"/>
    <w:tmpl w:val="DC5C5EA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235F2A"/>
    <w:multiLevelType w:val="hybridMultilevel"/>
    <w:tmpl w:val="230E4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CB07AE"/>
    <w:multiLevelType w:val="hybridMultilevel"/>
    <w:tmpl w:val="C1DA824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C7382E"/>
    <w:multiLevelType w:val="hybridMultilevel"/>
    <w:tmpl w:val="FEB6199E"/>
    <w:lvl w:ilvl="0" w:tplc="435C85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62667B"/>
    <w:multiLevelType w:val="hybridMultilevel"/>
    <w:tmpl w:val="9ABA6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F516EB"/>
    <w:multiLevelType w:val="hybridMultilevel"/>
    <w:tmpl w:val="C8E46B00"/>
    <w:lvl w:ilvl="0" w:tplc="AF6E88C4">
      <w:start w:val="1"/>
      <w:numFmt w:val="lowerLetter"/>
      <w:lvlText w:val="(%1)"/>
      <w:lvlJc w:val="left"/>
      <w:pPr>
        <w:ind w:left="1025" w:hanging="360"/>
      </w:pPr>
      <w:rPr>
        <w:rFonts w:hint="default"/>
      </w:rPr>
    </w:lvl>
    <w:lvl w:ilvl="1" w:tplc="013EFFA6">
      <w:start w:val="1"/>
      <w:numFmt w:val="lowerRoman"/>
      <w:lvlText w:val="(%2)"/>
      <w:lvlJc w:val="left"/>
      <w:pPr>
        <w:ind w:left="1745" w:hanging="360"/>
      </w:pPr>
      <w:rPr>
        <w:rFonts w:ascii="Times New Roman" w:eastAsia="Times New Roman" w:hAnsi="Times New Roman" w:cs="Times New Roman"/>
      </w:rPr>
    </w:lvl>
    <w:lvl w:ilvl="2" w:tplc="96523F02">
      <w:start w:val="1"/>
      <w:numFmt w:val="upperLetter"/>
      <w:lvlText w:val="%3."/>
      <w:lvlJc w:val="right"/>
      <w:pPr>
        <w:ind w:left="2465" w:hanging="180"/>
      </w:pPr>
      <w:rPr>
        <w:rFonts w:ascii="Times New Roman" w:eastAsia="Times New Roman" w:hAnsi="Times New Roman" w:cs="Times New Roman"/>
      </w:rPr>
    </w:lvl>
    <w:lvl w:ilvl="3" w:tplc="0C09000F" w:tentative="1">
      <w:start w:val="1"/>
      <w:numFmt w:val="decimal"/>
      <w:lvlText w:val="%4."/>
      <w:lvlJc w:val="left"/>
      <w:pPr>
        <w:ind w:left="3185" w:hanging="360"/>
      </w:pPr>
    </w:lvl>
    <w:lvl w:ilvl="4" w:tplc="0C090019" w:tentative="1">
      <w:start w:val="1"/>
      <w:numFmt w:val="lowerLetter"/>
      <w:lvlText w:val="%5."/>
      <w:lvlJc w:val="left"/>
      <w:pPr>
        <w:ind w:left="3905" w:hanging="360"/>
      </w:pPr>
    </w:lvl>
    <w:lvl w:ilvl="5" w:tplc="0C09001B" w:tentative="1">
      <w:start w:val="1"/>
      <w:numFmt w:val="lowerRoman"/>
      <w:lvlText w:val="%6."/>
      <w:lvlJc w:val="right"/>
      <w:pPr>
        <w:ind w:left="4625" w:hanging="180"/>
      </w:pPr>
    </w:lvl>
    <w:lvl w:ilvl="6" w:tplc="0C09000F" w:tentative="1">
      <w:start w:val="1"/>
      <w:numFmt w:val="decimal"/>
      <w:lvlText w:val="%7."/>
      <w:lvlJc w:val="left"/>
      <w:pPr>
        <w:ind w:left="5345" w:hanging="360"/>
      </w:pPr>
    </w:lvl>
    <w:lvl w:ilvl="7" w:tplc="0C090019" w:tentative="1">
      <w:start w:val="1"/>
      <w:numFmt w:val="lowerLetter"/>
      <w:lvlText w:val="%8."/>
      <w:lvlJc w:val="left"/>
      <w:pPr>
        <w:ind w:left="6065" w:hanging="360"/>
      </w:pPr>
    </w:lvl>
    <w:lvl w:ilvl="8" w:tplc="0C09001B" w:tentative="1">
      <w:start w:val="1"/>
      <w:numFmt w:val="lowerRoman"/>
      <w:lvlText w:val="%9."/>
      <w:lvlJc w:val="right"/>
      <w:pPr>
        <w:ind w:left="6785" w:hanging="180"/>
      </w:pPr>
    </w:lvl>
  </w:abstractNum>
  <w:abstractNum w:abstractNumId="33" w15:restartNumberingAfterBreak="0">
    <w:nsid w:val="6D7D337D"/>
    <w:multiLevelType w:val="hybridMultilevel"/>
    <w:tmpl w:val="058E855A"/>
    <w:lvl w:ilvl="0" w:tplc="AF6E88C4">
      <w:start w:val="1"/>
      <w:numFmt w:val="lowerLetter"/>
      <w:lvlText w:val="(%1)"/>
      <w:lvlJc w:val="left"/>
      <w:pPr>
        <w:ind w:left="1560" w:hanging="360"/>
      </w:pPr>
      <w:rPr>
        <w:rFonts w:hint="default"/>
      </w:rPr>
    </w:lvl>
    <w:lvl w:ilvl="1" w:tplc="0C090019">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34" w15:restartNumberingAfterBreak="0">
    <w:nsid w:val="6FA71C7B"/>
    <w:multiLevelType w:val="hybridMultilevel"/>
    <w:tmpl w:val="4FA2774C"/>
    <w:lvl w:ilvl="0" w:tplc="2E54C0C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5772EF"/>
    <w:multiLevelType w:val="hybridMultilevel"/>
    <w:tmpl w:val="2520A12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926BD2"/>
    <w:multiLevelType w:val="hybridMultilevel"/>
    <w:tmpl w:val="E912E93A"/>
    <w:lvl w:ilvl="0" w:tplc="4E3850F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76FA2A9F"/>
    <w:multiLevelType w:val="hybridMultilevel"/>
    <w:tmpl w:val="D68EBF2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C56E1E"/>
    <w:multiLevelType w:val="hybridMultilevel"/>
    <w:tmpl w:val="64C8AC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444657"/>
    <w:multiLevelType w:val="hybridMultilevel"/>
    <w:tmpl w:val="97BEC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4283773">
    <w:abstractNumId w:val="10"/>
  </w:num>
  <w:num w:numId="2" w16cid:durableId="44766793">
    <w:abstractNumId w:val="14"/>
  </w:num>
  <w:num w:numId="3" w16cid:durableId="830412908">
    <w:abstractNumId w:val="23"/>
  </w:num>
  <w:num w:numId="4" w16cid:durableId="95292417">
    <w:abstractNumId w:val="21"/>
  </w:num>
  <w:num w:numId="5" w16cid:durableId="1775709993">
    <w:abstractNumId w:val="18"/>
  </w:num>
  <w:num w:numId="6" w16cid:durableId="1268463304">
    <w:abstractNumId w:val="5"/>
  </w:num>
  <w:num w:numId="7" w16cid:durableId="738556321">
    <w:abstractNumId w:val="20"/>
  </w:num>
  <w:num w:numId="8" w16cid:durableId="568343710">
    <w:abstractNumId w:val="2"/>
  </w:num>
  <w:num w:numId="9" w16cid:durableId="2012100773">
    <w:abstractNumId w:val="37"/>
  </w:num>
  <w:num w:numId="10" w16cid:durableId="1497766802">
    <w:abstractNumId w:val="7"/>
  </w:num>
  <w:num w:numId="11" w16cid:durableId="1962301551">
    <w:abstractNumId w:val="35"/>
  </w:num>
  <w:num w:numId="12" w16cid:durableId="1565335206">
    <w:abstractNumId w:val="30"/>
  </w:num>
  <w:num w:numId="13" w16cid:durableId="1380738180">
    <w:abstractNumId w:val="31"/>
  </w:num>
  <w:num w:numId="14" w16cid:durableId="254023838">
    <w:abstractNumId w:val="33"/>
  </w:num>
  <w:num w:numId="15" w16cid:durableId="1707094569">
    <w:abstractNumId w:val="32"/>
  </w:num>
  <w:num w:numId="16" w16cid:durableId="1509981169">
    <w:abstractNumId w:val="3"/>
  </w:num>
  <w:num w:numId="17" w16cid:durableId="389153428">
    <w:abstractNumId w:val="19"/>
  </w:num>
  <w:num w:numId="18" w16cid:durableId="2074114934">
    <w:abstractNumId w:val="12"/>
  </w:num>
  <w:num w:numId="19" w16cid:durableId="1287618238">
    <w:abstractNumId w:val="4"/>
  </w:num>
  <w:num w:numId="20" w16cid:durableId="1653947653">
    <w:abstractNumId w:val="36"/>
  </w:num>
  <w:num w:numId="21" w16cid:durableId="555511173">
    <w:abstractNumId w:val="13"/>
  </w:num>
  <w:num w:numId="22" w16cid:durableId="599064628">
    <w:abstractNumId w:val="1"/>
  </w:num>
  <w:num w:numId="23" w16cid:durableId="1563174598">
    <w:abstractNumId w:val="17"/>
  </w:num>
  <w:num w:numId="24" w16cid:durableId="1492716419">
    <w:abstractNumId w:val="38"/>
  </w:num>
  <w:num w:numId="25" w16cid:durableId="2089569685">
    <w:abstractNumId w:val="27"/>
  </w:num>
  <w:num w:numId="26" w16cid:durableId="275866518">
    <w:abstractNumId w:val="15"/>
  </w:num>
  <w:num w:numId="27" w16cid:durableId="2070298572">
    <w:abstractNumId w:val="34"/>
  </w:num>
  <w:num w:numId="28" w16cid:durableId="1997294269">
    <w:abstractNumId w:val="0"/>
  </w:num>
  <w:num w:numId="29" w16cid:durableId="432286189">
    <w:abstractNumId w:val="28"/>
  </w:num>
  <w:num w:numId="30" w16cid:durableId="553657085">
    <w:abstractNumId w:val="16"/>
  </w:num>
  <w:num w:numId="31" w16cid:durableId="65301162">
    <w:abstractNumId w:val="26"/>
  </w:num>
  <w:num w:numId="32" w16cid:durableId="339940540">
    <w:abstractNumId w:val="11"/>
  </w:num>
  <w:num w:numId="33" w16cid:durableId="425149550">
    <w:abstractNumId w:val="9"/>
  </w:num>
  <w:num w:numId="34" w16cid:durableId="830753383">
    <w:abstractNumId w:val="8"/>
  </w:num>
  <w:num w:numId="35" w16cid:durableId="297685489">
    <w:abstractNumId w:val="25"/>
    <w:lvlOverride w:ilvl="0">
      <w:startOverride w:val="2"/>
    </w:lvlOverride>
    <w:lvlOverride w:ilvl="1"/>
    <w:lvlOverride w:ilvl="2"/>
    <w:lvlOverride w:ilvl="3"/>
    <w:lvlOverride w:ilvl="4"/>
    <w:lvlOverride w:ilvl="5"/>
    <w:lvlOverride w:ilvl="6"/>
    <w:lvlOverride w:ilvl="7"/>
    <w:lvlOverride w:ilvl="8"/>
  </w:num>
  <w:num w:numId="36" w16cid:durableId="1877624207">
    <w:abstractNumId w:val="24"/>
  </w:num>
  <w:num w:numId="37" w16cid:durableId="1071196660">
    <w:abstractNumId w:val="6"/>
    <w:lvlOverride w:ilvl="0">
      <w:startOverride w:val="1"/>
    </w:lvlOverride>
    <w:lvlOverride w:ilvl="1"/>
    <w:lvlOverride w:ilvl="2"/>
    <w:lvlOverride w:ilvl="3"/>
    <w:lvlOverride w:ilvl="4"/>
    <w:lvlOverride w:ilvl="5"/>
    <w:lvlOverride w:ilvl="6"/>
    <w:lvlOverride w:ilvl="7"/>
    <w:lvlOverride w:ilvl="8"/>
  </w:num>
  <w:num w:numId="38" w16cid:durableId="911352131">
    <w:abstractNumId w:val="22"/>
  </w:num>
  <w:num w:numId="39" w16cid:durableId="28071402">
    <w:abstractNumId w:val="29"/>
  </w:num>
  <w:num w:numId="40" w16cid:durableId="20915265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92"/>
    <w:rsid w:val="00002163"/>
    <w:rsid w:val="0000436C"/>
    <w:rsid w:val="00004635"/>
    <w:rsid w:val="00004CB5"/>
    <w:rsid w:val="000050B9"/>
    <w:rsid w:val="00006D7F"/>
    <w:rsid w:val="00012CC2"/>
    <w:rsid w:val="00014872"/>
    <w:rsid w:val="00017084"/>
    <w:rsid w:val="00020973"/>
    <w:rsid w:val="0002143C"/>
    <w:rsid w:val="00024670"/>
    <w:rsid w:val="0002761C"/>
    <w:rsid w:val="00030F40"/>
    <w:rsid w:val="00031C5D"/>
    <w:rsid w:val="00033908"/>
    <w:rsid w:val="0003453E"/>
    <w:rsid w:val="00035567"/>
    <w:rsid w:val="00036446"/>
    <w:rsid w:val="0003740F"/>
    <w:rsid w:val="000408A9"/>
    <w:rsid w:val="000408CF"/>
    <w:rsid w:val="000415F7"/>
    <w:rsid w:val="00042326"/>
    <w:rsid w:val="0004396E"/>
    <w:rsid w:val="00043C5D"/>
    <w:rsid w:val="00046B29"/>
    <w:rsid w:val="0005001E"/>
    <w:rsid w:val="00052FB9"/>
    <w:rsid w:val="0005314F"/>
    <w:rsid w:val="000556EC"/>
    <w:rsid w:val="00055915"/>
    <w:rsid w:val="0005693D"/>
    <w:rsid w:val="00057861"/>
    <w:rsid w:val="00062F28"/>
    <w:rsid w:val="000630A6"/>
    <w:rsid w:val="00065374"/>
    <w:rsid w:val="00065AAA"/>
    <w:rsid w:val="00065B5F"/>
    <w:rsid w:val="00066831"/>
    <w:rsid w:val="00067C99"/>
    <w:rsid w:val="00067F33"/>
    <w:rsid w:val="0007195B"/>
    <w:rsid w:val="00071FED"/>
    <w:rsid w:val="00073851"/>
    <w:rsid w:val="0007453D"/>
    <w:rsid w:val="00075910"/>
    <w:rsid w:val="00075CF5"/>
    <w:rsid w:val="000764B5"/>
    <w:rsid w:val="00082E6F"/>
    <w:rsid w:val="000860EF"/>
    <w:rsid w:val="000864BF"/>
    <w:rsid w:val="00086703"/>
    <w:rsid w:val="0009015D"/>
    <w:rsid w:val="000906B9"/>
    <w:rsid w:val="000968BF"/>
    <w:rsid w:val="000A0950"/>
    <w:rsid w:val="000A1521"/>
    <w:rsid w:val="000A2F7D"/>
    <w:rsid w:val="000A6E2D"/>
    <w:rsid w:val="000A77EC"/>
    <w:rsid w:val="000B10B5"/>
    <w:rsid w:val="000B18DE"/>
    <w:rsid w:val="000B2CE2"/>
    <w:rsid w:val="000B31BC"/>
    <w:rsid w:val="000B7CEF"/>
    <w:rsid w:val="000C5386"/>
    <w:rsid w:val="000C7D2D"/>
    <w:rsid w:val="000D04CB"/>
    <w:rsid w:val="000D05F2"/>
    <w:rsid w:val="000D061A"/>
    <w:rsid w:val="000D091B"/>
    <w:rsid w:val="000D15DA"/>
    <w:rsid w:val="000D2E8D"/>
    <w:rsid w:val="000D7728"/>
    <w:rsid w:val="000E07CC"/>
    <w:rsid w:val="000E0F4A"/>
    <w:rsid w:val="000E4509"/>
    <w:rsid w:val="000F163C"/>
    <w:rsid w:val="000F3229"/>
    <w:rsid w:val="001004B5"/>
    <w:rsid w:val="00103BCB"/>
    <w:rsid w:val="00104653"/>
    <w:rsid w:val="001059DC"/>
    <w:rsid w:val="00105AFE"/>
    <w:rsid w:val="00105DCC"/>
    <w:rsid w:val="00106A13"/>
    <w:rsid w:val="001114DE"/>
    <w:rsid w:val="00112B82"/>
    <w:rsid w:val="001133B0"/>
    <w:rsid w:val="00113A31"/>
    <w:rsid w:val="00115A53"/>
    <w:rsid w:val="00115CFE"/>
    <w:rsid w:val="00120CF7"/>
    <w:rsid w:val="001216E1"/>
    <w:rsid w:val="00121910"/>
    <w:rsid w:val="0012349C"/>
    <w:rsid w:val="00124034"/>
    <w:rsid w:val="001247EA"/>
    <w:rsid w:val="00124826"/>
    <w:rsid w:val="00125ABC"/>
    <w:rsid w:val="001307E5"/>
    <w:rsid w:val="00133B44"/>
    <w:rsid w:val="00134ED7"/>
    <w:rsid w:val="00142AE5"/>
    <w:rsid w:val="001432C9"/>
    <w:rsid w:val="00143DFA"/>
    <w:rsid w:val="00144278"/>
    <w:rsid w:val="001451E7"/>
    <w:rsid w:val="001509C1"/>
    <w:rsid w:val="001510F5"/>
    <w:rsid w:val="001606AF"/>
    <w:rsid w:val="00162101"/>
    <w:rsid w:val="001626C5"/>
    <w:rsid w:val="00163C60"/>
    <w:rsid w:val="00164BBC"/>
    <w:rsid w:val="00164CE9"/>
    <w:rsid w:val="00164EAD"/>
    <w:rsid w:val="00165409"/>
    <w:rsid w:val="00165819"/>
    <w:rsid w:val="00166F31"/>
    <w:rsid w:val="00171812"/>
    <w:rsid w:val="001723FE"/>
    <w:rsid w:val="0017248D"/>
    <w:rsid w:val="0017360D"/>
    <w:rsid w:val="00173F26"/>
    <w:rsid w:val="00174A72"/>
    <w:rsid w:val="00174B0E"/>
    <w:rsid w:val="00175038"/>
    <w:rsid w:val="00177CD2"/>
    <w:rsid w:val="00180130"/>
    <w:rsid w:val="001806EB"/>
    <w:rsid w:val="001823AB"/>
    <w:rsid w:val="0018322A"/>
    <w:rsid w:val="001840F6"/>
    <w:rsid w:val="001841F4"/>
    <w:rsid w:val="00184E13"/>
    <w:rsid w:val="001907CD"/>
    <w:rsid w:val="00191736"/>
    <w:rsid w:val="00191BAA"/>
    <w:rsid w:val="00192BBB"/>
    <w:rsid w:val="00192CEA"/>
    <w:rsid w:val="0019331D"/>
    <w:rsid w:val="001940F6"/>
    <w:rsid w:val="00195670"/>
    <w:rsid w:val="00197ADD"/>
    <w:rsid w:val="001A1640"/>
    <w:rsid w:val="001A1A92"/>
    <w:rsid w:val="001A3476"/>
    <w:rsid w:val="001A36D3"/>
    <w:rsid w:val="001A5AE0"/>
    <w:rsid w:val="001A628D"/>
    <w:rsid w:val="001A71E7"/>
    <w:rsid w:val="001A7B08"/>
    <w:rsid w:val="001B2FEA"/>
    <w:rsid w:val="001B32C6"/>
    <w:rsid w:val="001B57CB"/>
    <w:rsid w:val="001B7EB6"/>
    <w:rsid w:val="001C1E0E"/>
    <w:rsid w:val="001C2A7E"/>
    <w:rsid w:val="001C3604"/>
    <w:rsid w:val="001C3688"/>
    <w:rsid w:val="001C6C75"/>
    <w:rsid w:val="001C73AD"/>
    <w:rsid w:val="001D006C"/>
    <w:rsid w:val="001D0379"/>
    <w:rsid w:val="001D2423"/>
    <w:rsid w:val="001D39CE"/>
    <w:rsid w:val="001D3AE5"/>
    <w:rsid w:val="001D3DF3"/>
    <w:rsid w:val="001D44F8"/>
    <w:rsid w:val="001E0512"/>
    <w:rsid w:val="001E0AA0"/>
    <w:rsid w:val="001E10ED"/>
    <w:rsid w:val="001E2A87"/>
    <w:rsid w:val="001E37A8"/>
    <w:rsid w:val="001E4457"/>
    <w:rsid w:val="001E5706"/>
    <w:rsid w:val="001E7AF7"/>
    <w:rsid w:val="001F17AD"/>
    <w:rsid w:val="001F21C8"/>
    <w:rsid w:val="001F23CA"/>
    <w:rsid w:val="001F436C"/>
    <w:rsid w:val="001F72ED"/>
    <w:rsid w:val="001F75C3"/>
    <w:rsid w:val="00200F5F"/>
    <w:rsid w:val="002023E6"/>
    <w:rsid w:val="002027C1"/>
    <w:rsid w:val="00202F90"/>
    <w:rsid w:val="00203A2E"/>
    <w:rsid w:val="00204F36"/>
    <w:rsid w:val="002070D4"/>
    <w:rsid w:val="0020767B"/>
    <w:rsid w:val="0021093D"/>
    <w:rsid w:val="00210AF8"/>
    <w:rsid w:val="002112E8"/>
    <w:rsid w:val="00211D55"/>
    <w:rsid w:val="002123F3"/>
    <w:rsid w:val="002147DF"/>
    <w:rsid w:val="0021508A"/>
    <w:rsid w:val="002164D6"/>
    <w:rsid w:val="002166F3"/>
    <w:rsid w:val="002205FC"/>
    <w:rsid w:val="00222843"/>
    <w:rsid w:val="002244D0"/>
    <w:rsid w:val="002258DD"/>
    <w:rsid w:val="00225C54"/>
    <w:rsid w:val="00225E00"/>
    <w:rsid w:val="00227C70"/>
    <w:rsid w:val="002309CA"/>
    <w:rsid w:val="00231869"/>
    <w:rsid w:val="00232AB6"/>
    <w:rsid w:val="002356B8"/>
    <w:rsid w:val="00235ADC"/>
    <w:rsid w:val="002405E5"/>
    <w:rsid w:val="00242062"/>
    <w:rsid w:val="00242168"/>
    <w:rsid w:val="00245892"/>
    <w:rsid w:val="002471B3"/>
    <w:rsid w:val="00247644"/>
    <w:rsid w:val="002504E6"/>
    <w:rsid w:val="00250C17"/>
    <w:rsid w:val="0025114C"/>
    <w:rsid w:val="00253F76"/>
    <w:rsid w:val="00254065"/>
    <w:rsid w:val="002569B2"/>
    <w:rsid w:val="00256C04"/>
    <w:rsid w:val="00261B4F"/>
    <w:rsid w:val="002623A4"/>
    <w:rsid w:val="00263563"/>
    <w:rsid w:val="00263B1E"/>
    <w:rsid w:val="00263DCB"/>
    <w:rsid w:val="00264632"/>
    <w:rsid w:val="00270EAD"/>
    <w:rsid w:val="002716CC"/>
    <w:rsid w:val="002723A6"/>
    <w:rsid w:val="00273A0F"/>
    <w:rsid w:val="00274763"/>
    <w:rsid w:val="00274E79"/>
    <w:rsid w:val="002763F7"/>
    <w:rsid w:val="00280703"/>
    <w:rsid w:val="00282A56"/>
    <w:rsid w:val="00283F84"/>
    <w:rsid w:val="00284ED6"/>
    <w:rsid w:val="00287092"/>
    <w:rsid w:val="0028738F"/>
    <w:rsid w:val="00291929"/>
    <w:rsid w:val="00292938"/>
    <w:rsid w:val="00297DD5"/>
    <w:rsid w:val="002A017B"/>
    <w:rsid w:val="002A24E8"/>
    <w:rsid w:val="002A33FD"/>
    <w:rsid w:val="002A44BC"/>
    <w:rsid w:val="002A457B"/>
    <w:rsid w:val="002A605F"/>
    <w:rsid w:val="002A7D24"/>
    <w:rsid w:val="002B0212"/>
    <w:rsid w:val="002B0A5B"/>
    <w:rsid w:val="002B24C4"/>
    <w:rsid w:val="002B2876"/>
    <w:rsid w:val="002B3522"/>
    <w:rsid w:val="002B51E6"/>
    <w:rsid w:val="002B5618"/>
    <w:rsid w:val="002B772A"/>
    <w:rsid w:val="002C1EF9"/>
    <w:rsid w:val="002C3347"/>
    <w:rsid w:val="002C3594"/>
    <w:rsid w:val="002C381C"/>
    <w:rsid w:val="002C4505"/>
    <w:rsid w:val="002C46D5"/>
    <w:rsid w:val="002C6F4E"/>
    <w:rsid w:val="002D039F"/>
    <w:rsid w:val="002D37E2"/>
    <w:rsid w:val="002D5176"/>
    <w:rsid w:val="002D6C6E"/>
    <w:rsid w:val="002D706E"/>
    <w:rsid w:val="002D7DA1"/>
    <w:rsid w:val="002E0B11"/>
    <w:rsid w:val="002E1002"/>
    <w:rsid w:val="002E267B"/>
    <w:rsid w:val="002E4102"/>
    <w:rsid w:val="002E462A"/>
    <w:rsid w:val="002E4867"/>
    <w:rsid w:val="002E59FB"/>
    <w:rsid w:val="002E5C21"/>
    <w:rsid w:val="002E5C8D"/>
    <w:rsid w:val="002E7177"/>
    <w:rsid w:val="002F2BDA"/>
    <w:rsid w:val="002F2BF6"/>
    <w:rsid w:val="002F50E1"/>
    <w:rsid w:val="002F5EE1"/>
    <w:rsid w:val="002F6B98"/>
    <w:rsid w:val="002F7F80"/>
    <w:rsid w:val="003041A2"/>
    <w:rsid w:val="00306CC6"/>
    <w:rsid w:val="00307C56"/>
    <w:rsid w:val="00307F03"/>
    <w:rsid w:val="003115E2"/>
    <w:rsid w:val="003121F1"/>
    <w:rsid w:val="00313CCA"/>
    <w:rsid w:val="00313D71"/>
    <w:rsid w:val="003142BD"/>
    <w:rsid w:val="003143B4"/>
    <w:rsid w:val="00314B9F"/>
    <w:rsid w:val="00316C8E"/>
    <w:rsid w:val="003172B0"/>
    <w:rsid w:val="0031795D"/>
    <w:rsid w:val="00320E7B"/>
    <w:rsid w:val="00322362"/>
    <w:rsid w:val="00322899"/>
    <w:rsid w:val="003230D3"/>
    <w:rsid w:val="0032423A"/>
    <w:rsid w:val="0032456F"/>
    <w:rsid w:val="003253AB"/>
    <w:rsid w:val="00325A3B"/>
    <w:rsid w:val="003262BE"/>
    <w:rsid w:val="00326F10"/>
    <w:rsid w:val="00326F96"/>
    <w:rsid w:val="00330163"/>
    <w:rsid w:val="00330C21"/>
    <w:rsid w:val="00333592"/>
    <w:rsid w:val="003355A6"/>
    <w:rsid w:val="00336274"/>
    <w:rsid w:val="0034077B"/>
    <w:rsid w:val="00343DC1"/>
    <w:rsid w:val="00344313"/>
    <w:rsid w:val="003502FE"/>
    <w:rsid w:val="00350696"/>
    <w:rsid w:val="003514F4"/>
    <w:rsid w:val="00352002"/>
    <w:rsid w:val="0035337E"/>
    <w:rsid w:val="00356526"/>
    <w:rsid w:val="0035778E"/>
    <w:rsid w:val="00361782"/>
    <w:rsid w:val="00362558"/>
    <w:rsid w:val="00362FE1"/>
    <w:rsid w:val="00363FBC"/>
    <w:rsid w:val="00365C40"/>
    <w:rsid w:val="00365D87"/>
    <w:rsid w:val="003664DD"/>
    <w:rsid w:val="00367531"/>
    <w:rsid w:val="00371461"/>
    <w:rsid w:val="0037363D"/>
    <w:rsid w:val="003736EF"/>
    <w:rsid w:val="003743EF"/>
    <w:rsid w:val="00377D8F"/>
    <w:rsid w:val="0038254F"/>
    <w:rsid w:val="00383E01"/>
    <w:rsid w:val="00384FA7"/>
    <w:rsid w:val="00385E0E"/>
    <w:rsid w:val="00386A08"/>
    <w:rsid w:val="00386FF7"/>
    <w:rsid w:val="0038793C"/>
    <w:rsid w:val="0038794B"/>
    <w:rsid w:val="003913FF"/>
    <w:rsid w:val="00391733"/>
    <w:rsid w:val="003918CF"/>
    <w:rsid w:val="00393139"/>
    <w:rsid w:val="00393BF8"/>
    <w:rsid w:val="00396CB3"/>
    <w:rsid w:val="00397604"/>
    <w:rsid w:val="003A0CFA"/>
    <w:rsid w:val="003A0EA2"/>
    <w:rsid w:val="003A1B52"/>
    <w:rsid w:val="003A2C7C"/>
    <w:rsid w:val="003A396B"/>
    <w:rsid w:val="003A4975"/>
    <w:rsid w:val="003A522C"/>
    <w:rsid w:val="003A55B1"/>
    <w:rsid w:val="003A5D5E"/>
    <w:rsid w:val="003A634B"/>
    <w:rsid w:val="003A6C45"/>
    <w:rsid w:val="003A78CC"/>
    <w:rsid w:val="003B02A8"/>
    <w:rsid w:val="003B2874"/>
    <w:rsid w:val="003B7184"/>
    <w:rsid w:val="003C1685"/>
    <w:rsid w:val="003C2263"/>
    <w:rsid w:val="003C2DA8"/>
    <w:rsid w:val="003C332C"/>
    <w:rsid w:val="003C498B"/>
    <w:rsid w:val="003C4C96"/>
    <w:rsid w:val="003C4EF9"/>
    <w:rsid w:val="003C5E3D"/>
    <w:rsid w:val="003C7B14"/>
    <w:rsid w:val="003D1A55"/>
    <w:rsid w:val="003D23D2"/>
    <w:rsid w:val="003D3FF7"/>
    <w:rsid w:val="003D7998"/>
    <w:rsid w:val="003D7E2D"/>
    <w:rsid w:val="003E02A4"/>
    <w:rsid w:val="003E1210"/>
    <w:rsid w:val="003E20C7"/>
    <w:rsid w:val="003E3F31"/>
    <w:rsid w:val="003E41C1"/>
    <w:rsid w:val="003E4CA9"/>
    <w:rsid w:val="003E6610"/>
    <w:rsid w:val="003E74FE"/>
    <w:rsid w:val="003E7EE1"/>
    <w:rsid w:val="003F009B"/>
    <w:rsid w:val="003F2071"/>
    <w:rsid w:val="003F4672"/>
    <w:rsid w:val="003F5923"/>
    <w:rsid w:val="003F706E"/>
    <w:rsid w:val="00401AD7"/>
    <w:rsid w:val="00403320"/>
    <w:rsid w:val="004038FE"/>
    <w:rsid w:val="00403DDC"/>
    <w:rsid w:val="00404481"/>
    <w:rsid w:val="00405556"/>
    <w:rsid w:val="00406126"/>
    <w:rsid w:val="0040629E"/>
    <w:rsid w:val="00410A4C"/>
    <w:rsid w:val="00410FF2"/>
    <w:rsid w:val="00412946"/>
    <w:rsid w:val="004138A4"/>
    <w:rsid w:val="00414EB3"/>
    <w:rsid w:val="004176B7"/>
    <w:rsid w:val="004209DE"/>
    <w:rsid w:val="00421FBB"/>
    <w:rsid w:val="00422631"/>
    <w:rsid w:val="004269FE"/>
    <w:rsid w:val="00426EA0"/>
    <w:rsid w:val="00427712"/>
    <w:rsid w:val="00432794"/>
    <w:rsid w:val="00433572"/>
    <w:rsid w:val="00435470"/>
    <w:rsid w:val="00435CFC"/>
    <w:rsid w:val="0043622D"/>
    <w:rsid w:val="00436730"/>
    <w:rsid w:val="004379F3"/>
    <w:rsid w:val="004400E7"/>
    <w:rsid w:val="00442BE6"/>
    <w:rsid w:val="0044404B"/>
    <w:rsid w:val="00444515"/>
    <w:rsid w:val="00444BB5"/>
    <w:rsid w:val="0044558E"/>
    <w:rsid w:val="004467FC"/>
    <w:rsid w:val="00447E74"/>
    <w:rsid w:val="00450DC2"/>
    <w:rsid w:val="00452BC1"/>
    <w:rsid w:val="0046007A"/>
    <w:rsid w:val="00460A43"/>
    <w:rsid w:val="00461C52"/>
    <w:rsid w:val="00465BB0"/>
    <w:rsid w:val="004671BC"/>
    <w:rsid w:val="00467619"/>
    <w:rsid w:val="00471B0E"/>
    <w:rsid w:val="00475C71"/>
    <w:rsid w:val="00476394"/>
    <w:rsid w:val="00476C7E"/>
    <w:rsid w:val="004819E5"/>
    <w:rsid w:val="00483BC9"/>
    <w:rsid w:val="0048418F"/>
    <w:rsid w:val="00486222"/>
    <w:rsid w:val="0048710F"/>
    <w:rsid w:val="00487640"/>
    <w:rsid w:val="00487AB1"/>
    <w:rsid w:val="004913DE"/>
    <w:rsid w:val="00491B4F"/>
    <w:rsid w:val="00492D8C"/>
    <w:rsid w:val="004933DB"/>
    <w:rsid w:val="00495859"/>
    <w:rsid w:val="00495D1C"/>
    <w:rsid w:val="004A15F0"/>
    <w:rsid w:val="004A38F9"/>
    <w:rsid w:val="004A43C8"/>
    <w:rsid w:val="004A4F56"/>
    <w:rsid w:val="004A558C"/>
    <w:rsid w:val="004A567C"/>
    <w:rsid w:val="004A69F8"/>
    <w:rsid w:val="004B0103"/>
    <w:rsid w:val="004B622D"/>
    <w:rsid w:val="004B68AC"/>
    <w:rsid w:val="004B789F"/>
    <w:rsid w:val="004C0759"/>
    <w:rsid w:val="004C16E7"/>
    <w:rsid w:val="004C3063"/>
    <w:rsid w:val="004C4061"/>
    <w:rsid w:val="004C7DD5"/>
    <w:rsid w:val="004D159C"/>
    <w:rsid w:val="004D2628"/>
    <w:rsid w:val="004D44CF"/>
    <w:rsid w:val="004D6449"/>
    <w:rsid w:val="004D6DE5"/>
    <w:rsid w:val="004D7BAF"/>
    <w:rsid w:val="004E0FFA"/>
    <w:rsid w:val="004E345B"/>
    <w:rsid w:val="004E5A3B"/>
    <w:rsid w:val="004E711A"/>
    <w:rsid w:val="004F1B52"/>
    <w:rsid w:val="004F2551"/>
    <w:rsid w:val="004F3968"/>
    <w:rsid w:val="004F44E5"/>
    <w:rsid w:val="004F4CA5"/>
    <w:rsid w:val="004F5ABB"/>
    <w:rsid w:val="004F69DF"/>
    <w:rsid w:val="004F70A9"/>
    <w:rsid w:val="004F766F"/>
    <w:rsid w:val="004F7BFC"/>
    <w:rsid w:val="0050079C"/>
    <w:rsid w:val="00501F7B"/>
    <w:rsid w:val="0050224F"/>
    <w:rsid w:val="0050440A"/>
    <w:rsid w:val="005046E5"/>
    <w:rsid w:val="0050566C"/>
    <w:rsid w:val="00510031"/>
    <w:rsid w:val="00511379"/>
    <w:rsid w:val="005138A6"/>
    <w:rsid w:val="00513FE7"/>
    <w:rsid w:val="00515A21"/>
    <w:rsid w:val="005171FA"/>
    <w:rsid w:val="005226F0"/>
    <w:rsid w:val="0052363C"/>
    <w:rsid w:val="00523CD3"/>
    <w:rsid w:val="005261A2"/>
    <w:rsid w:val="00526C1F"/>
    <w:rsid w:val="00527FF5"/>
    <w:rsid w:val="005311DF"/>
    <w:rsid w:val="0053270C"/>
    <w:rsid w:val="00532EC0"/>
    <w:rsid w:val="00533679"/>
    <w:rsid w:val="00534B36"/>
    <w:rsid w:val="0054288A"/>
    <w:rsid w:val="00543F61"/>
    <w:rsid w:val="0054469C"/>
    <w:rsid w:val="00544E96"/>
    <w:rsid w:val="0054598B"/>
    <w:rsid w:val="00547150"/>
    <w:rsid w:val="005472B9"/>
    <w:rsid w:val="00550C19"/>
    <w:rsid w:val="0055100D"/>
    <w:rsid w:val="0055107D"/>
    <w:rsid w:val="00552A6F"/>
    <w:rsid w:val="0055789B"/>
    <w:rsid w:val="00557B02"/>
    <w:rsid w:val="00557DCD"/>
    <w:rsid w:val="005618F1"/>
    <w:rsid w:val="00561E10"/>
    <w:rsid w:val="00562F23"/>
    <w:rsid w:val="0056429F"/>
    <w:rsid w:val="0056578D"/>
    <w:rsid w:val="00566D73"/>
    <w:rsid w:val="00567DB1"/>
    <w:rsid w:val="0057181F"/>
    <w:rsid w:val="00573E99"/>
    <w:rsid w:val="00574243"/>
    <w:rsid w:val="005744E8"/>
    <w:rsid w:val="00574600"/>
    <w:rsid w:val="0057508E"/>
    <w:rsid w:val="00575F52"/>
    <w:rsid w:val="00581619"/>
    <w:rsid w:val="005822AC"/>
    <w:rsid w:val="00582FE7"/>
    <w:rsid w:val="00583898"/>
    <w:rsid w:val="005849BD"/>
    <w:rsid w:val="00586EAA"/>
    <w:rsid w:val="00586FD4"/>
    <w:rsid w:val="00592BCC"/>
    <w:rsid w:val="005943E5"/>
    <w:rsid w:val="005948CC"/>
    <w:rsid w:val="005955C1"/>
    <w:rsid w:val="00596EFD"/>
    <w:rsid w:val="00596FE6"/>
    <w:rsid w:val="0059791B"/>
    <w:rsid w:val="005A09D3"/>
    <w:rsid w:val="005A1112"/>
    <w:rsid w:val="005A1DB5"/>
    <w:rsid w:val="005A1F48"/>
    <w:rsid w:val="005A36C9"/>
    <w:rsid w:val="005A47DE"/>
    <w:rsid w:val="005A4FA6"/>
    <w:rsid w:val="005B1834"/>
    <w:rsid w:val="005B21E6"/>
    <w:rsid w:val="005B2C9F"/>
    <w:rsid w:val="005B321E"/>
    <w:rsid w:val="005B366E"/>
    <w:rsid w:val="005B4DAA"/>
    <w:rsid w:val="005C2177"/>
    <w:rsid w:val="005C31EB"/>
    <w:rsid w:val="005C3D21"/>
    <w:rsid w:val="005C7C61"/>
    <w:rsid w:val="005D0295"/>
    <w:rsid w:val="005D1482"/>
    <w:rsid w:val="005D1A0B"/>
    <w:rsid w:val="005D1F44"/>
    <w:rsid w:val="005D1F6A"/>
    <w:rsid w:val="005D2652"/>
    <w:rsid w:val="005D2F8B"/>
    <w:rsid w:val="005D7720"/>
    <w:rsid w:val="005D7A0E"/>
    <w:rsid w:val="005E05F1"/>
    <w:rsid w:val="005E0CC4"/>
    <w:rsid w:val="005E0FD7"/>
    <w:rsid w:val="005E4778"/>
    <w:rsid w:val="005E4DCF"/>
    <w:rsid w:val="005F0390"/>
    <w:rsid w:val="005F06E6"/>
    <w:rsid w:val="005F20D4"/>
    <w:rsid w:val="005F28C2"/>
    <w:rsid w:val="005F301E"/>
    <w:rsid w:val="005F5BFD"/>
    <w:rsid w:val="00602BFE"/>
    <w:rsid w:val="00603241"/>
    <w:rsid w:val="00603689"/>
    <w:rsid w:val="00603C32"/>
    <w:rsid w:val="00604A3F"/>
    <w:rsid w:val="00605CCD"/>
    <w:rsid w:val="00610142"/>
    <w:rsid w:val="006103EE"/>
    <w:rsid w:val="00610837"/>
    <w:rsid w:val="00610FA6"/>
    <w:rsid w:val="006114F6"/>
    <w:rsid w:val="00611BD0"/>
    <w:rsid w:val="0061209F"/>
    <w:rsid w:val="00613DDB"/>
    <w:rsid w:val="006154B6"/>
    <w:rsid w:val="00615E4D"/>
    <w:rsid w:val="006161B9"/>
    <w:rsid w:val="0061645C"/>
    <w:rsid w:val="00616FB0"/>
    <w:rsid w:val="006201C7"/>
    <w:rsid w:val="00620B7C"/>
    <w:rsid w:val="006229B0"/>
    <w:rsid w:val="00622AA2"/>
    <w:rsid w:val="0062498D"/>
    <w:rsid w:val="00625859"/>
    <w:rsid w:val="00627709"/>
    <w:rsid w:val="0062782D"/>
    <w:rsid w:val="00627E24"/>
    <w:rsid w:val="0063212E"/>
    <w:rsid w:val="00633C2F"/>
    <w:rsid w:val="006340CC"/>
    <w:rsid w:val="00634935"/>
    <w:rsid w:val="00634F67"/>
    <w:rsid w:val="00635AB8"/>
    <w:rsid w:val="00635B8F"/>
    <w:rsid w:val="0063620B"/>
    <w:rsid w:val="00640197"/>
    <w:rsid w:val="006407B9"/>
    <w:rsid w:val="00641225"/>
    <w:rsid w:val="0064280F"/>
    <w:rsid w:val="00642F0E"/>
    <w:rsid w:val="00643572"/>
    <w:rsid w:val="00644640"/>
    <w:rsid w:val="00647F1C"/>
    <w:rsid w:val="00651207"/>
    <w:rsid w:val="006516A4"/>
    <w:rsid w:val="00651EED"/>
    <w:rsid w:val="00652786"/>
    <w:rsid w:val="00653D55"/>
    <w:rsid w:val="00653F22"/>
    <w:rsid w:val="00654E0D"/>
    <w:rsid w:val="006576A2"/>
    <w:rsid w:val="00660254"/>
    <w:rsid w:val="00660290"/>
    <w:rsid w:val="006620B9"/>
    <w:rsid w:val="00664A18"/>
    <w:rsid w:val="0066786D"/>
    <w:rsid w:val="00667ED6"/>
    <w:rsid w:val="006700CC"/>
    <w:rsid w:val="006716FD"/>
    <w:rsid w:val="0067402A"/>
    <w:rsid w:val="00676972"/>
    <w:rsid w:val="00677AA8"/>
    <w:rsid w:val="0068077E"/>
    <w:rsid w:val="006808F2"/>
    <w:rsid w:val="00680B8C"/>
    <w:rsid w:val="006824B4"/>
    <w:rsid w:val="0068261C"/>
    <w:rsid w:val="00682A96"/>
    <w:rsid w:val="00683B78"/>
    <w:rsid w:val="00684187"/>
    <w:rsid w:val="006849FF"/>
    <w:rsid w:val="00684DA3"/>
    <w:rsid w:val="00685003"/>
    <w:rsid w:val="006850C4"/>
    <w:rsid w:val="00685909"/>
    <w:rsid w:val="00686639"/>
    <w:rsid w:val="00691AE4"/>
    <w:rsid w:val="00691FAD"/>
    <w:rsid w:val="00692D4C"/>
    <w:rsid w:val="006930A4"/>
    <w:rsid w:val="0069312B"/>
    <w:rsid w:val="006A037F"/>
    <w:rsid w:val="006A076A"/>
    <w:rsid w:val="006A349F"/>
    <w:rsid w:val="006A4288"/>
    <w:rsid w:val="006A526D"/>
    <w:rsid w:val="006A5B40"/>
    <w:rsid w:val="006A688A"/>
    <w:rsid w:val="006A7E87"/>
    <w:rsid w:val="006B10E3"/>
    <w:rsid w:val="006B1260"/>
    <w:rsid w:val="006B157D"/>
    <w:rsid w:val="006B1763"/>
    <w:rsid w:val="006B2FA5"/>
    <w:rsid w:val="006B3F93"/>
    <w:rsid w:val="006B49AC"/>
    <w:rsid w:val="006B5AEC"/>
    <w:rsid w:val="006B5C8A"/>
    <w:rsid w:val="006B6AAC"/>
    <w:rsid w:val="006B6B79"/>
    <w:rsid w:val="006C319E"/>
    <w:rsid w:val="006C33E6"/>
    <w:rsid w:val="006C3F81"/>
    <w:rsid w:val="006C4964"/>
    <w:rsid w:val="006C4C26"/>
    <w:rsid w:val="006C5067"/>
    <w:rsid w:val="006C5868"/>
    <w:rsid w:val="006C5C49"/>
    <w:rsid w:val="006C713E"/>
    <w:rsid w:val="006C76CA"/>
    <w:rsid w:val="006D1E7D"/>
    <w:rsid w:val="006D2333"/>
    <w:rsid w:val="006D2E10"/>
    <w:rsid w:val="006D355D"/>
    <w:rsid w:val="006D3A20"/>
    <w:rsid w:val="006D3F0B"/>
    <w:rsid w:val="006D4C19"/>
    <w:rsid w:val="006D4F2B"/>
    <w:rsid w:val="006D6312"/>
    <w:rsid w:val="006D6F41"/>
    <w:rsid w:val="006E380C"/>
    <w:rsid w:val="006E506F"/>
    <w:rsid w:val="006E6C66"/>
    <w:rsid w:val="006E7589"/>
    <w:rsid w:val="006E7D0F"/>
    <w:rsid w:val="006F0571"/>
    <w:rsid w:val="006F63CD"/>
    <w:rsid w:val="006F6C1E"/>
    <w:rsid w:val="00701BE6"/>
    <w:rsid w:val="007049EF"/>
    <w:rsid w:val="00705F22"/>
    <w:rsid w:val="0070628E"/>
    <w:rsid w:val="007063F3"/>
    <w:rsid w:val="00710042"/>
    <w:rsid w:val="007112EB"/>
    <w:rsid w:val="0071215C"/>
    <w:rsid w:val="00713ECB"/>
    <w:rsid w:val="00716740"/>
    <w:rsid w:val="00716FF8"/>
    <w:rsid w:val="007179AF"/>
    <w:rsid w:val="00720247"/>
    <w:rsid w:val="00720B36"/>
    <w:rsid w:val="00722416"/>
    <w:rsid w:val="007242E5"/>
    <w:rsid w:val="0072454A"/>
    <w:rsid w:val="00724B0E"/>
    <w:rsid w:val="0072522C"/>
    <w:rsid w:val="0072522F"/>
    <w:rsid w:val="00727154"/>
    <w:rsid w:val="007305A9"/>
    <w:rsid w:val="0073270D"/>
    <w:rsid w:val="00732A2B"/>
    <w:rsid w:val="00733B8B"/>
    <w:rsid w:val="0073557C"/>
    <w:rsid w:val="007359F3"/>
    <w:rsid w:val="00735EDF"/>
    <w:rsid w:val="00736608"/>
    <w:rsid w:val="00736EAE"/>
    <w:rsid w:val="00737A40"/>
    <w:rsid w:val="00740029"/>
    <w:rsid w:val="00741888"/>
    <w:rsid w:val="00741C24"/>
    <w:rsid w:val="00743FEE"/>
    <w:rsid w:val="007453C0"/>
    <w:rsid w:val="00745F94"/>
    <w:rsid w:val="00746066"/>
    <w:rsid w:val="00746FD5"/>
    <w:rsid w:val="0075284B"/>
    <w:rsid w:val="0075336C"/>
    <w:rsid w:val="00753E1C"/>
    <w:rsid w:val="00754F53"/>
    <w:rsid w:val="00755237"/>
    <w:rsid w:val="007552EB"/>
    <w:rsid w:val="007559CC"/>
    <w:rsid w:val="00761039"/>
    <w:rsid w:val="00761663"/>
    <w:rsid w:val="00762AE1"/>
    <w:rsid w:val="00763BBF"/>
    <w:rsid w:val="00763BF6"/>
    <w:rsid w:val="00763F1B"/>
    <w:rsid w:val="00765CF5"/>
    <w:rsid w:val="00765D01"/>
    <w:rsid w:val="00765D64"/>
    <w:rsid w:val="00766EE0"/>
    <w:rsid w:val="00766F5F"/>
    <w:rsid w:val="0076721B"/>
    <w:rsid w:val="00767979"/>
    <w:rsid w:val="00770F4C"/>
    <w:rsid w:val="0077247C"/>
    <w:rsid w:val="00773171"/>
    <w:rsid w:val="00773AEF"/>
    <w:rsid w:val="00777874"/>
    <w:rsid w:val="00777922"/>
    <w:rsid w:val="007825E4"/>
    <w:rsid w:val="00784DFD"/>
    <w:rsid w:val="00785835"/>
    <w:rsid w:val="00786E6D"/>
    <w:rsid w:val="0079200C"/>
    <w:rsid w:val="00792AD5"/>
    <w:rsid w:val="00792D98"/>
    <w:rsid w:val="00793387"/>
    <w:rsid w:val="0079527C"/>
    <w:rsid w:val="007A1FCC"/>
    <w:rsid w:val="007A44D1"/>
    <w:rsid w:val="007A6EE1"/>
    <w:rsid w:val="007B130E"/>
    <w:rsid w:val="007B19D1"/>
    <w:rsid w:val="007B1F26"/>
    <w:rsid w:val="007B23F8"/>
    <w:rsid w:val="007B3CED"/>
    <w:rsid w:val="007B5AE0"/>
    <w:rsid w:val="007C1639"/>
    <w:rsid w:val="007C1DD1"/>
    <w:rsid w:val="007C5B5A"/>
    <w:rsid w:val="007D06A6"/>
    <w:rsid w:val="007D0821"/>
    <w:rsid w:val="007D0A6F"/>
    <w:rsid w:val="007D15BD"/>
    <w:rsid w:val="007D290E"/>
    <w:rsid w:val="007D3176"/>
    <w:rsid w:val="007D4F1A"/>
    <w:rsid w:val="007D534F"/>
    <w:rsid w:val="007D5BBF"/>
    <w:rsid w:val="007E081C"/>
    <w:rsid w:val="007E1668"/>
    <w:rsid w:val="007E41F2"/>
    <w:rsid w:val="007E4B5F"/>
    <w:rsid w:val="007E6EB5"/>
    <w:rsid w:val="007E6F15"/>
    <w:rsid w:val="007F2206"/>
    <w:rsid w:val="007F2E2F"/>
    <w:rsid w:val="007F300D"/>
    <w:rsid w:val="007F347B"/>
    <w:rsid w:val="007F4575"/>
    <w:rsid w:val="007F4AE9"/>
    <w:rsid w:val="007F59A0"/>
    <w:rsid w:val="007F5E20"/>
    <w:rsid w:val="007F61C5"/>
    <w:rsid w:val="007F7291"/>
    <w:rsid w:val="007F74A0"/>
    <w:rsid w:val="00800E7C"/>
    <w:rsid w:val="0080261E"/>
    <w:rsid w:val="00802966"/>
    <w:rsid w:val="00803C08"/>
    <w:rsid w:val="00804A6E"/>
    <w:rsid w:val="00806C93"/>
    <w:rsid w:val="00807174"/>
    <w:rsid w:val="00811F67"/>
    <w:rsid w:val="00812A3B"/>
    <w:rsid w:val="008146AD"/>
    <w:rsid w:val="00814FED"/>
    <w:rsid w:val="00815104"/>
    <w:rsid w:val="008162A4"/>
    <w:rsid w:val="00817FAC"/>
    <w:rsid w:val="00820DCE"/>
    <w:rsid w:val="008253F5"/>
    <w:rsid w:val="008279BD"/>
    <w:rsid w:val="00830197"/>
    <w:rsid w:val="00831101"/>
    <w:rsid w:val="0083188C"/>
    <w:rsid w:val="00831C54"/>
    <w:rsid w:val="0083383A"/>
    <w:rsid w:val="00833E5E"/>
    <w:rsid w:val="00833EB7"/>
    <w:rsid w:val="0083402C"/>
    <w:rsid w:val="00835D84"/>
    <w:rsid w:val="008362CA"/>
    <w:rsid w:val="00836E65"/>
    <w:rsid w:val="00840024"/>
    <w:rsid w:val="008430F9"/>
    <w:rsid w:val="00843650"/>
    <w:rsid w:val="00847325"/>
    <w:rsid w:val="00847F94"/>
    <w:rsid w:val="00852102"/>
    <w:rsid w:val="0085436D"/>
    <w:rsid w:val="00854755"/>
    <w:rsid w:val="00854AF3"/>
    <w:rsid w:val="008558D2"/>
    <w:rsid w:val="008579D6"/>
    <w:rsid w:val="0086498C"/>
    <w:rsid w:val="008669FF"/>
    <w:rsid w:val="00866F0F"/>
    <w:rsid w:val="00867931"/>
    <w:rsid w:val="00871C1E"/>
    <w:rsid w:val="00873E5A"/>
    <w:rsid w:val="008753C4"/>
    <w:rsid w:val="00875F8D"/>
    <w:rsid w:val="00876588"/>
    <w:rsid w:val="00884636"/>
    <w:rsid w:val="00885297"/>
    <w:rsid w:val="00885972"/>
    <w:rsid w:val="00890B88"/>
    <w:rsid w:val="00892095"/>
    <w:rsid w:val="00893A8B"/>
    <w:rsid w:val="00894AA8"/>
    <w:rsid w:val="00894CA6"/>
    <w:rsid w:val="008957D4"/>
    <w:rsid w:val="00895DA8"/>
    <w:rsid w:val="0089601F"/>
    <w:rsid w:val="00897BC7"/>
    <w:rsid w:val="008A1F3C"/>
    <w:rsid w:val="008A372D"/>
    <w:rsid w:val="008A3CEF"/>
    <w:rsid w:val="008A47C1"/>
    <w:rsid w:val="008A5785"/>
    <w:rsid w:val="008A5FF1"/>
    <w:rsid w:val="008A614D"/>
    <w:rsid w:val="008A62A4"/>
    <w:rsid w:val="008A719C"/>
    <w:rsid w:val="008A77A6"/>
    <w:rsid w:val="008B03DD"/>
    <w:rsid w:val="008B0477"/>
    <w:rsid w:val="008B15F5"/>
    <w:rsid w:val="008B2448"/>
    <w:rsid w:val="008B3FB3"/>
    <w:rsid w:val="008B4F12"/>
    <w:rsid w:val="008B6D5A"/>
    <w:rsid w:val="008C0173"/>
    <w:rsid w:val="008C23AE"/>
    <w:rsid w:val="008C4A38"/>
    <w:rsid w:val="008C4BB8"/>
    <w:rsid w:val="008C51D2"/>
    <w:rsid w:val="008C6013"/>
    <w:rsid w:val="008C7B34"/>
    <w:rsid w:val="008D0F7F"/>
    <w:rsid w:val="008D2A40"/>
    <w:rsid w:val="008D3F8D"/>
    <w:rsid w:val="008D4FCE"/>
    <w:rsid w:val="008D6F5C"/>
    <w:rsid w:val="008D7957"/>
    <w:rsid w:val="008E07A0"/>
    <w:rsid w:val="008E0B7E"/>
    <w:rsid w:val="008E212B"/>
    <w:rsid w:val="008E34EF"/>
    <w:rsid w:val="008E377E"/>
    <w:rsid w:val="008E5F65"/>
    <w:rsid w:val="008E74ED"/>
    <w:rsid w:val="008F1E07"/>
    <w:rsid w:val="008F6317"/>
    <w:rsid w:val="008F6FD3"/>
    <w:rsid w:val="00900684"/>
    <w:rsid w:val="009012FE"/>
    <w:rsid w:val="00901501"/>
    <w:rsid w:val="009024F7"/>
    <w:rsid w:val="00902B85"/>
    <w:rsid w:val="009034E0"/>
    <w:rsid w:val="0090426D"/>
    <w:rsid w:val="00906360"/>
    <w:rsid w:val="009065B3"/>
    <w:rsid w:val="00906DC4"/>
    <w:rsid w:val="00907999"/>
    <w:rsid w:val="00912BE5"/>
    <w:rsid w:val="00916A9A"/>
    <w:rsid w:val="0091740B"/>
    <w:rsid w:val="00922B8E"/>
    <w:rsid w:val="00922DBC"/>
    <w:rsid w:val="00923028"/>
    <w:rsid w:val="009255A1"/>
    <w:rsid w:val="00926488"/>
    <w:rsid w:val="00932CBA"/>
    <w:rsid w:val="00933C05"/>
    <w:rsid w:val="009342BA"/>
    <w:rsid w:val="00940E93"/>
    <w:rsid w:val="00941734"/>
    <w:rsid w:val="009426D1"/>
    <w:rsid w:val="00943D42"/>
    <w:rsid w:val="00944551"/>
    <w:rsid w:val="00944BBC"/>
    <w:rsid w:val="009457E3"/>
    <w:rsid w:val="0094689B"/>
    <w:rsid w:val="00951950"/>
    <w:rsid w:val="00951A24"/>
    <w:rsid w:val="0095290F"/>
    <w:rsid w:val="00952A3E"/>
    <w:rsid w:val="00953408"/>
    <w:rsid w:val="0095424E"/>
    <w:rsid w:val="00954669"/>
    <w:rsid w:val="009558A4"/>
    <w:rsid w:val="00955E2B"/>
    <w:rsid w:val="00956C87"/>
    <w:rsid w:val="00957241"/>
    <w:rsid w:val="00957982"/>
    <w:rsid w:val="009672BF"/>
    <w:rsid w:val="00967E8B"/>
    <w:rsid w:val="0097376E"/>
    <w:rsid w:val="00973B7D"/>
    <w:rsid w:val="009746FE"/>
    <w:rsid w:val="00975974"/>
    <w:rsid w:val="009765B2"/>
    <w:rsid w:val="009765D7"/>
    <w:rsid w:val="009816FE"/>
    <w:rsid w:val="00981EE7"/>
    <w:rsid w:val="00982591"/>
    <w:rsid w:val="00982AE6"/>
    <w:rsid w:val="00985B61"/>
    <w:rsid w:val="00987634"/>
    <w:rsid w:val="00990F6D"/>
    <w:rsid w:val="00991DC6"/>
    <w:rsid w:val="009938CC"/>
    <w:rsid w:val="00994450"/>
    <w:rsid w:val="00994DAF"/>
    <w:rsid w:val="0099586F"/>
    <w:rsid w:val="00995E29"/>
    <w:rsid w:val="009A035B"/>
    <w:rsid w:val="009A15E4"/>
    <w:rsid w:val="009A27D2"/>
    <w:rsid w:val="009A4714"/>
    <w:rsid w:val="009A4F8A"/>
    <w:rsid w:val="009B2A3F"/>
    <w:rsid w:val="009B3B28"/>
    <w:rsid w:val="009B5C08"/>
    <w:rsid w:val="009B6400"/>
    <w:rsid w:val="009B6903"/>
    <w:rsid w:val="009B6BDE"/>
    <w:rsid w:val="009C0D38"/>
    <w:rsid w:val="009C0EE0"/>
    <w:rsid w:val="009C1260"/>
    <w:rsid w:val="009C1D23"/>
    <w:rsid w:val="009C1ED6"/>
    <w:rsid w:val="009C2B01"/>
    <w:rsid w:val="009C5A85"/>
    <w:rsid w:val="009C6232"/>
    <w:rsid w:val="009C71A8"/>
    <w:rsid w:val="009C724E"/>
    <w:rsid w:val="009D0717"/>
    <w:rsid w:val="009D0FF9"/>
    <w:rsid w:val="009D1EA7"/>
    <w:rsid w:val="009D4F7D"/>
    <w:rsid w:val="009D611E"/>
    <w:rsid w:val="009D6775"/>
    <w:rsid w:val="009E0ECA"/>
    <w:rsid w:val="009E2DB4"/>
    <w:rsid w:val="009E2F23"/>
    <w:rsid w:val="009E46B7"/>
    <w:rsid w:val="009E487C"/>
    <w:rsid w:val="009E4FC1"/>
    <w:rsid w:val="009E672F"/>
    <w:rsid w:val="009E7301"/>
    <w:rsid w:val="009E7EE6"/>
    <w:rsid w:val="009F0B25"/>
    <w:rsid w:val="009F24E7"/>
    <w:rsid w:val="009F4DB7"/>
    <w:rsid w:val="00A00E7B"/>
    <w:rsid w:val="00A037FE"/>
    <w:rsid w:val="00A04C83"/>
    <w:rsid w:val="00A059DF"/>
    <w:rsid w:val="00A0736B"/>
    <w:rsid w:val="00A0759B"/>
    <w:rsid w:val="00A10C7A"/>
    <w:rsid w:val="00A10E3D"/>
    <w:rsid w:val="00A11086"/>
    <w:rsid w:val="00A14BBD"/>
    <w:rsid w:val="00A21DB3"/>
    <w:rsid w:val="00A23E8E"/>
    <w:rsid w:val="00A240D1"/>
    <w:rsid w:val="00A24F29"/>
    <w:rsid w:val="00A3071A"/>
    <w:rsid w:val="00A30822"/>
    <w:rsid w:val="00A311CB"/>
    <w:rsid w:val="00A31309"/>
    <w:rsid w:val="00A318D2"/>
    <w:rsid w:val="00A33735"/>
    <w:rsid w:val="00A34A98"/>
    <w:rsid w:val="00A36171"/>
    <w:rsid w:val="00A413E5"/>
    <w:rsid w:val="00A41667"/>
    <w:rsid w:val="00A4334A"/>
    <w:rsid w:val="00A44FB1"/>
    <w:rsid w:val="00A4515D"/>
    <w:rsid w:val="00A46A7B"/>
    <w:rsid w:val="00A4798E"/>
    <w:rsid w:val="00A50FFA"/>
    <w:rsid w:val="00A5219F"/>
    <w:rsid w:val="00A5414E"/>
    <w:rsid w:val="00A544F6"/>
    <w:rsid w:val="00A64071"/>
    <w:rsid w:val="00A67611"/>
    <w:rsid w:val="00A67A9A"/>
    <w:rsid w:val="00A67BD3"/>
    <w:rsid w:val="00A67FF7"/>
    <w:rsid w:val="00A70198"/>
    <w:rsid w:val="00A70559"/>
    <w:rsid w:val="00A74311"/>
    <w:rsid w:val="00A75A82"/>
    <w:rsid w:val="00A75CF0"/>
    <w:rsid w:val="00A76733"/>
    <w:rsid w:val="00A7768A"/>
    <w:rsid w:val="00A825C6"/>
    <w:rsid w:val="00A82C64"/>
    <w:rsid w:val="00A83185"/>
    <w:rsid w:val="00A8382C"/>
    <w:rsid w:val="00A8588A"/>
    <w:rsid w:val="00A87D5A"/>
    <w:rsid w:val="00A91F32"/>
    <w:rsid w:val="00A93C3A"/>
    <w:rsid w:val="00A9442F"/>
    <w:rsid w:val="00A947A7"/>
    <w:rsid w:val="00A973CE"/>
    <w:rsid w:val="00AA0D6F"/>
    <w:rsid w:val="00AA0DC5"/>
    <w:rsid w:val="00AA19FB"/>
    <w:rsid w:val="00AA252B"/>
    <w:rsid w:val="00AA2EAA"/>
    <w:rsid w:val="00AA3CBE"/>
    <w:rsid w:val="00AB074F"/>
    <w:rsid w:val="00AB0877"/>
    <w:rsid w:val="00AB0A44"/>
    <w:rsid w:val="00AB1ABA"/>
    <w:rsid w:val="00AB2494"/>
    <w:rsid w:val="00AB2FE6"/>
    <w:rsid w:val="00AB5694"/>
    <w:rsid w:val="00AB6EED"/>
    <w:rsid w:val="00AC067C"/>
    <w:rsid w:val="00AC382E"/>
    <w:rsid w:val="00AC561C"/>
    <w:rsid w:val="00AD06B4"/>
    <w:rsid w:val="00AD08B2"/>
    <w:rsid w:val="00AD12DD"/>
    <w:rsid w:val="00AD1A19"/>
    <w:rsid w:val="00AD273D"/>
    <w:rsid w:val="00AD4F05"/>
    <w:rsid w:val="00AD6358"/>
    <w:rsid w:val="00AD64E2"/>
    <w:rsid w:val="00AD6565"/>
    <w:rsid w:val="00AD6ECF"/>
    <w:rsid w:val="00AE2256"/>
    <w:rsid w:val="00AE2CE3"/>
    <w:rsid w:val="00AE4827"/>
    <w:rsid w:val="00AE4DCE"/>
    <w:rsid w:val="00AE515E"/>
    <w:rsid w:val="00AE55BA"/>
    <w:rsid w:val="00AE5F24"/>
    <w:rsid w:val="00AF1285"/>
    <w:rsid w:val="00AF19C5"/>
    <w:rsid w:val="00AF1EBB"/>
    <w:rsid w:val="00AF2F47"/>
    <w:rsid w:val="00AF4154"/>
    <w:rsid w:val="00AF5457"/>
    <w:rsid w:val="00AF5C83"/>
    <w:rsid w:val="00AF7C22"/>
    <w:rsid w:val="00AF7DF1"/>
    <w:rsid w:val="00B0035D"/>
    <w:rsid w:val="00B00977"/>
    <w:rsid w:val="00B00CCE"/>
    <w:rsid w:val="00B00CE0"/>
    <w:rsid w:val="00B0151A"/>
    <w:rsid w:val="00B043B9"/>
    <w:rsid w:val="00B122AD"/>
    <w:rsid w:val="00B12653"/>
    <w:rsid w:val="00B133E7"/>
    <w:rsid w:val="00B13BBA"/>
    <w:rsid w:val="00B15391"/>
    <w:rsid w:val="00B201AE"/>
    <w:rsid w:val="00B2236E"/>
    <w:rsid w:val="00B24CA1"/>
    <w:rsid w:val="00B27070"/>
    <w:rsid w:val="00B27A19"/>
    <w:rsid w:val="00B30359"/>
    <w:rsid w:val="00B31D7F"/>
    <w:rsid w:val="00B3346E"/>
    <w:rsid w:val="00B33A9E"/>
    <w:rsid w:val="00B340EF"/>
    <w:rsid w:val="00B34FC5"/>
    <w:rsid w:val="00B3558C"/>
    <w:rsid w:val="00B36C33"/>
    <w:rsid w:val="00B4053C"/>
    <w:rsid w:val="00B40B0E"/>
    <w:rsid w:val="00B421AF"/>
    <w:rsid w:val="00B43160"/>
    <w:rsid w:val="00B446AF"/>
    <w:rsid w:val="00B44E99"/>
    <w:rsid w:val="00B460B0"/>
    <w:rsid w:val="00B503C2"/>
    <w:rsid w:val="00B513E3"/>
    <w:rsid w:val="00B51E22"/>
    <w:rsid w:val="00B5377F"/>
    <w:rsid w:val="00B54C4B"/>
    <w:rsid w:val="00B55323"/>
    <w:rsid w:val="00B6231B"/>
    <w:rsid w:val="00B62F02"/>
    <w:rsid w:val="00B639AA"/>
    <w:rsid w:val="00B64C67"/>
    <w:rsid w:val="00B64CC4"/>
    <w:rsid w:val="00B66465"/>
    <w:rsid w:val="00B70469"/>
    <w:rsid w:val="00B707F4"/>
    <w:rsid w:val="00B7122F"/>
    <w:rsid w:val="00B7486F"/>
    <w:rsid w:val="00B75593"/>
    <w:rsid w:val="00B75BC2"/>
    <w:rsid w:val="00B80897"/>
    <w:rsid w:val="00B80E50"/>
    <w:rsid w:val="00B82C4E"/>
    <w:rsid w:val="00B858CA"/>
    <w:rsid w:val="00B86C0E"/>
    <w:rsid w:val="00B87185"/>
    <w:rsid w:val="00B87AE2"/>
    <w:rsid w:val="00B87EF5"/>
    <w:rsid w:val="00B90776"/>
    <w:rsid w:val="00B91E72"/>
    <w:rsid w:val="00B93EBB"/>
    <w:rsid w:val="00B93F9F"/>
    <w:rsid w:val="00B96FEE"/>
    <w:rsid w:val="00BA026F"/>
    <w:rsid w:val="00BA2DA8"/>
    <w:rsid w:val="00BA326A"/>
    <w:rsid w:val="00BA54DC"/>
    <w:rsid w:val="00BA6AF9"/>
    <w:rsid w:val="00BA7D71"/>
    <w:rsid w:val="00BB1FB6"/>
    <w:rsid w:val="00BB2ACF"/>
    <w:rsid w:val="00BB3652"/>
    <w:rsid w:val="00BB371B"/>
    <w:rsid w:val="00BB71F6"/>
    <w:rsid w:val="00BB74CC"/>
    <w:rsid w:val="00BB7AF7"/>
    <w:rsid w:val="00BC0197"/>
    <w:rsid w:val="00BC055D"/>
    <w:rsid w:val="00BC2086"/>
    <w:rsid w:val="00BC285B"/>
    <w:rsid w:val="00BC4D17"/>
    <w:rsid w:val="00BC5406"/>
    <w:rsid w:val="00BC5D70"/>
    <w:rsid w:val="00BC636B"/>
    <w:rsid w:val="00BC6ED1"/>
    <w:rsid w:val="00BD0582"/>
    <w:rsid w:val="00BD12CB"/>
    <w:rsid w:val="00BD1C55"/>
    <w:rsid w:val="00BD2104"/>
    <w:rsid w:val="00BD2BB8"/>
    <w:rsid w:val="00BD352C"/>
    <w:rsid w:val="00BD3694"/>
    <w:rsid w:val="00BD38BE"/>
    <w:rsid w:val="00BD582C"/>
    <w:rsid w:val="00BD6E9D"/>
    <w:rsid w:val="00BD77D5"/>
    <w:rsid w:val="00BD7D59"/>
    <w:rsid w:val="00BE1CB6"/>
    <w:rsid w:val="00BE2A8C"/>
    <w:rsid w:val="00BE591F"/>
    <w:rsid w:val="00BE5D0D"/>
    <w:rsid w:val="00BE6AEE"/>
    <w:rsid w:val="00BF0A36"/>
    <w:rsid w:val="00BF144D"/>
    <w:rsid w:val="00BF17FB"/>
    <w:rsid w:val="00BF1D5F"/>
    <w:rsid w:val="00BF3F48"/>
    <w:rsid w:val="00BF4FBE"/>
    <w:rsid w:val="00BF57A6"/>
    <w:rsid w:val="00BF5CD3"/>
    <w:rsid w:val="00BF6B5B"/>
    <w:rsid w:val="00BF7732"/>
    <w:rsid w:val="00BF7FF3"/>
    <w:rsid w:val="00C003E3"/>
    <w:rsid w:val="00C00E12"/>
    <w:rsid w:val="00C00F25"/>
    <w:rsid w:val="00C01B23"/>
    <w:rsid w:val="00C0343F"/>
    <w:rsid w:val="00C038E3"/>
    <w:rsid w:val="00C0422D"/>
    <w:rsid w:val="00C061E7"/>
    <w:rsid w:val="00C069F4"/>
    <w:rsid w:val="00C076E0"/>
    <w:rsid w:val="00C1069C"/>
    <w:rsid w:val="00C11065"/>
    <w:rsid w:val="00C12176"/>
    <w:rsid w:val="00C12949"/>
    <w:rsid w:val="00C12F88"/>
    <w:rsid w:val="00C142C7"/>
    <w:rsid w:val="00C151F8"/>
    <w:rsid w:val="00C1791D"/>
    <w:rsid w:val="00C20A10"/>
    <w:rsid w:val="00C20D55"/>
    <w:rsid w:val="00C20E6C"/>
    <w:rsid w:val="00C21AAD"/>
    <w:rsid w:val="00C22150"/>
    <w:rsid w:val="00C22968"/>
    <w:rsid w:val="00C25984"/>
    <w:rsid w:val="00C264A5"/>
    <w:rsid w:val="00C30C15"/>
    <w:rsid w:val="00C3279E"/>
    <w:rsid w:val="00C328E4"/>
    <w:rsid w:val="00C32C8F"/>
    <w:rsid w:val="00C357C5"/>
    <w:rsid w:val="00C3659A"/>
    <w:rsid w:val="00C37177"/>
    <w:rsid w:val="00C4046C"/>
    <w:rsid w:val="00C40CF8"/>
    <w:rsid w:val="00C41859"/>
    <w:rsid w:val="00C43683"/>
    <w:rsid w:val="00C44E93"/>
    <w:rsid w:val="00C451B2"/>
    <w:rsid w:val="00C4600F"/>
    <w:rsid w:val="00C4783D"/>
    <w:rsid w:val="00C502B4"/>
    <w:rsid w:val="00C514B3"/>
    <w:rsid w:val="00C55B7A"/>
    <w:rsid w:val="00C64370"/>
    <w:rsid w:val="00C65305"/>
    <w:rsid w:val="00C70313"/>
    <w:rsid w:val="00C72035"/>
    <w:rsid w:val="00C72119"/>
    <w:rsid w:val="00C72F56"/>
    <w:rsid w:val="00C740DD"/>
    <w:rsid w:val="00C74A1F"/>
    <w:rsid w:val="00C759AA"/>
    <w:rsid w:val="00C769EC"/>
    <w:rsid w:val="00C8141D"/>
    <w:rsid w:val="00C81DAB"/>
    <w:rsid w:val="00C83B17"/>
    <w:rsid w:val="00C8465E"/>
    <w:rsid w:val="00C85578"/>
    <w:rsid w:val="00C8592C"/>
    <w:rsid w:val="00C85E12"/>
    <w:rsid w:val="00C87E77"/>
    <w:rsid w:val="00C937C9"/>
    <w:rsid w:val="00C94E0A"/>
    <w:rsid w:val="00C9554D"/>
    <w:rsid w:val="00CA0B3F"/>
    <w:rsid w:val="00CA1AB6"/>
    <w:rsid w:val="00CA4FC5"/>
    <w:rsid w:val="00CA74AD"/>
    <w:rsid w:val="00CB045B"/>
    <w:rsid w:val="00CB0AFA"/>
    <w:rsid w:val="00CB16F1"/>
    <w:rsid w:val="00CB2109"/>
    <w:rsid w:val="00CB28EC"/>
    <w:rsid w:val="00CB2E36"/>
    <w:rsid w:val="00CB3110"/>
    <w:rsid w:val="00CB3209"/>
    <w:rsid w:val="00CB408A"/>
    <w:rsid w:val="00CB4814"/>
    <w:rsid w:val="00CB4A3F"/>
    <w:rsid w:val="00CB568B"/>
    <w:rsid w:val="00CB5AF3"/>
    <w:rsid w:val="00CB675C"/>
    <w:rsid w:val="00CB6843"/>
    <w:rsid w:val="00CC0737"/>
    <w:rsid w:val="00CC4E93"/>
    <w:rsid w:val="00CC657E"/>
    <w:rsid w:val="00CC6C95"/>
    <w:rsid w:val="00CC6D4A"/>
    <w:rsid w:val="00CC6D7D"/>
    <w:rsid w:val="00CC71E1"/>
    <w:rsid w:val="00CD0676"/>
    <w:rsid w:val="00CD175B"/>
    <w:rsid w:val="00CD2727"/>
    <w:rsid w:val="00CD27B1"/>
    <w:rsid w:val="00CD2D7F"/>
    <w:rsid w:val="00CD3270"/>
    <w:rsid w:val="00CD5DA2"/>
    <w:rsid w:val="00CE1C5C"/>
    <w:rsid w:val="00CE24E6"/>
    <w:rsid w:val="00CE2DA6"/>
    <w:rsid w:val="00CE4388"/>
    <w:rsid w:val="00CE595B"/>
    <w:rsid w:val="00CE64A0"/>
    <w:rsid w:val="00CE67E2"/>
    <w:rsid w:val="00CE6ED8"/>
    <w:rsid w:val="00CE7159"/>
    <w:rsid w:val="00CE7E89"/>
    <w:rsid w:val="00CF0902"/>
    <w:rsid w:val="00CF19E3"/>
    <w:rsid w:val="00CF20DE"/>
    <w:rsid w:val="00CF25EC"/>
    <w:rsid w:val="00CF30CE"/>
    <w:rsid w:val="00CF5FE7"/>
    <w:rsid w:val="00CF6EA0"/>
    <w:rsid w:val="00D03493"/>
    <w:rsid w:val="00D03EF5"/>
    <w:rsid w:val="00D04DA7"/>
    <w:rsid w:val="00D1356C"/>
    <w:rsid w:val="00D14EF2"/>
    <w:rsid w:val="00D1521B"/>
    <w:rsid w:val="00D156FF"/>
    <w:rsid w:val="00D15E27"/>
    <w:rsid w:val="00D17B7B"/>
    <w:rsid w:val="00D2062F"/>
    <w:rsid w:val="00D2105F"/>
    <w:rsid w:val="00D219E1"/>
    <w:rsid w:val="00D22B28"/>
    <w:rsid w:val="00D248F6"/>
    <w:rsid w:val="00D26AFA"/>
    <w:rsid w:val="00D27F3D"/>
    <w:rsid w:val="00D30FE6"/>
    <w:rsid w:val="00D3225D"/>
    <w:rsid w:val="00D327E1"/>
    <w:rsid w:val="00D32D96"/>
    <w:rsid w:val="00D32EB5"/>
    <w:rsid w:val="00D3624F"/>
    <w:rsid w:val="00D43760"/>
    <w:rsid w:val="00D43D39"/>
    <w:rsid w:val="00D443AC"/>
    <w:rsid w:val="00D4563A"/>
    <w:rsid w:val="00D46E5D"/>
    <w:rsid w:val="00D47411"/>
    <w:rsid w:val="00D47F6B"/>
    <w:rsid w:val="00D50CA3"/>
    <w:rsid w:val="00D50CAD"/>
    <w:rsid w:val="00D538AA"/>
    <w:rsid w:val="00D53AB1"/>
    <w:rsid w:val="00D53C34"/>
    <w:rsid w:val="00D578A3"/>
    <w:rsid w:val="00D57F8D"/>
    <w:rsid w:val="00D609C6"/>
    <w:rsid w:val="00D61954"/>
    <w:rsid w:val="00D6349F"/>
    <w:rsid w:val="00D63BC8"/>
    <w:rsid w:val="00D645BD"/>
    <w:rsid w:val="00D65AE8"/>
    <w:rsid w:val="00D65D40"/>
    <w:rsid w:val="00D66930"/>
    <w:rsid w:val="00D669FA"/>
    <w:rsid w:val="00D760AD"/>
    <w:rsid w:val="00D7726F"/>
    <w:rsid w:val="00D77DEB"/>
    <w:rsid w:val="00D8070D"/>
    <w:rsid w:val="00D8154F"/>
    <w:rsid w:val="00D862F4"/>
    <w:rsid w:val="00D869B0"/>
    <w:rsid w:val="00D86C41"/>
    <w:rsid w:val="00D903D2"/>
    <w:rsid w:val="00D906CB"/>
    <w:rsid w:val="00D91775"/>
    <w:rsid w:val="00D927C7"/>
    <w:rsid w:val="00D94930"/>
    <w:rsid w:val="00D94D43"/>
    <w:rsid w:val="00D9511E"/>
    <w:rsid w:val="00D951FB"/>
    <w:rsid w:val="00D96F0B"/>
    <w:rsid w:val="00DA6497"/>
    <w:rsid w:val="00DA7ED7"/>
    <w:rsid w:val="00DB1718"/>
    <w:rsid w:val="00DB1B01"/>
    <w:rsid w:val="00DB3D08"/>
    <w:rsid w:val="00DB3D91"/>
    <w:rsid w:val="00DB63DB"/>
    <w:rsid w:val="00DB7B3A"/>
    <w:rsid w:val="00DB7B8E"/>
    <w:rsid w:val="00DC00B0"/>
    <w:rsid w:val="00DC26B0"/>
    <w:rsid w:val="00DC42D1"/>
    <w:rsid w:val="00DC7B01"/>
    <w:rsid w:val="00DD06AE"/>
    <w:rsid w:val="00DD1BEF"/>
    <w:rsid w:val="00DD2508"/>
    <w:rsid w:val="00DD2D7B"/>
    <w:rsid w:val="00DD3437"/>
    <w:rsid w:val="00DD5DFE"/>
    <w:rsid w:val="00DE16A1"/>
    <w:rsid w:val="00DE1950"/>
    <w:rsid w:val="00DE53F7"/>
    <w:rsid w:val="00DE7C17"/>
    <w:rsid w:val="00DF0FD7"/>
    <w:rsid w:val="00DF148E"/>
    <w:rsid w:val="00DF156C"/>
    <w:rsid w:val="00DF235B"/>
    <w:rsid w:val="00DF2584"/>
    <w:rsid w:val="00DF4157"/>
    <w:rsid w:val="00DF4233"/>
    <w:rsid w:val="00DF4546"/>
    <w:rsid w:val="00DF470E"/>
    <w:rsid w:val="00DF4C57"/>
    <w:rsid w:val="00DF74F3"/>
    <w:rsid w:val="00E0021E"/>
    <w:rsid w:val="00E0041B"/>
    <w:rsid w:val="00E03326"/>
    <w:rsid w:val="00E040CF"/>
    <w:rsid w:val="00E0541D"/>
    <w:rsid w:val="00E05666"/>
    <w:rsid w:val="00E06213"/>
    <w:rsid w:val="00E10463"/>
    <w:rsid w:val="00E11496"/>
    <w:rsid w:val="00E1266D"/>
    <w:rsid w:val="00E147BF"/>
    <w:rsid w:val="00E150AB"/>
    <w:rsid w:val="00E162B9"/>
    <w:rsid w:val="00E17460"/>
    <w:rsid w:val="00E2010B"/>
    <w:rsid w:val="00E20252"/>
    <w:rsid w:val="00E22686"/>
    <w:rsid w:val="00E23C4F"/>
    <w:rsid w:val="00E24EB6"/>
    <w:rsid w:val="00E27F00"/>
    <w:rsid w:val="00E30DD8"/>
    <w:rsid w:val="00E32ABA"/>
    <w:rsid w:val="00E350A0"/>
    <w:rsid w:val="00E36450"/>
    <w:rsid w:val="00E371AE"/>
    <w:rsid w:val="00E40CEA"/>
    <w:rsid w:val="00E40EAB"/>
    <w:rsid w:val="00E41C6A"/>
    <w:rsid w:val="00E42380"/>
    <w:rsid w:val="00E42F3E"/>
    <w:rsid w:val="00E4353F"/>
    <w:rsid w:val="00E43E37"/>
    <w:rsid w:val="00E458A1"/>
    <w:rsid w:val="00E4627B"/>
    <w:rsid w:val="00E470D5"/>
    <w:rsid w:val="00E4721F"/>
    <w:rsid w:val="00E47B31"/>
    <w:rsid w:val="00E53BD7"/>
    <w:rsid w:val="00E55507"/>
    <w:rsid w:val="00E560A1"/>
    <w:rsid w:val="00E5778E"/>
    <w:rsid w:val="00E61641"/>
    <w:rsid w:val="00E62366"/>
    <w:rsid w:val="00E63059"/>
    <w:rsid w:val="00E63847"/>
    <w:rsid w:val="00E66B5F"/>
    <w:rsid w:val="00E73FDE"/>
    <w:rsid w:val="00E74610"/>
    <w:rsid w:val="00E77DE1"/>
    <w:rsid w:val="00E81F2D"/>
    <w:rsid w:val="00E82A57"/>
    <w:rsid w:val="00E846BF"/>
    <w:rsid w:val="00E900C6"/>
    <w:rsid w:val="00E90BCB"/>
    <w:rsid w:val="00E90DAB"/>
    <w:rsid w:val="00E91360"/>
    <w:rsid w:val="00E918E6"/>
    <w:rsid w:val="00E92FE8"/>
    <w:rsid w:val="00E93849"/>
    <w:rsid w:val="00E9410F"/>
    <w:rsid w:val="00EA17AF"/>
    <w:rsid w:val="00EA3128"/>
    <w:rsid w:val="00EA37F7"/>
    <w:rsid w:val="00EA3990"/>
    <w:rsid w:val="00EA46BC"/>
    <w:rsid w:val="00EA5890"/>
    <w:rsid w:val="00EA6AD6"/>
    <w:rsid w:val="00EB3030"/>
    <w:rsid w:val="00EB7C04"/>
    <w:rsid w:val="00EC05A9"/>
    <w:rsid w:val="00EC113D"/>
    <w:rsid w:val="00EC1911"/>
    <w:rsid w:val="00EC3C38"/>
    <w:rsid w:val="00EC3DBC"/>
    <w:rsid w:val="00EC559A"/>
    <w:rsid w:val="00EC5F6C"/>
    <w:rsid w:val="00EC6833"/>
    <w:rsid w:val="00ED324A"/>
    <w:rsid w:val="00ED3AAD"/>
    <w:rsid w:val="00ED3CEC"/>
    <w:rsid w:val="00ED4133"/>
    <w:rsid w:val="00ED5468"/>
    <w:rsid w:val="00ED5E8C"/>
    <w:rsid w:val="00EE0DE4"/>
    <w:rsid w:val="00EE1E13"/>
    <w:rsid w:val="00EE1F18"/>
    <w:rsid w:val="00EE4885"/>
    <w:rsid w:val="00EE4B5F"/>
    <w:rsid w:val="00EE4BD1"/>
    <w:rsid w:val="00EE56CC"/>
    <w:rsid w:val="00EE7C79"/>
    <w:rsid w:val="00EF0483"/>
    <w:rsid w:val="00EF0BA4"/>
    <w:rsid w:val="00EF2458"/>
    <w:rsid w:val="00EF2A91"/>
    <w:rsid w:val="00EF2B60"/>
    <w:rsid w:val="00EF2F10"/>
    <w:rsid w:val="00EF2FF3"/>
    <w:rsid w:val="00EF3685"/>
    <w:rsid w:val="00EF3F08"/>
    <w:rsid w:val="00EF60D0"/>
    <w:rsid w:val="00EF7FE4"/>
    <w:rsid w:val="00F007EB"/>
    <w:rsid w:val="00F016A6"/>
    <w:rsid w:val="00F01A28"/>
    <w:rsid w:val="00F02D0D"/>
    <w:rsid w:val="00F0346E"/>
    <w:rsid w:val="00F0391F"/>
    <w:rsid w:val="00F109F2"/>
    <w:rsid w:val="00F10D62"/>
    <w:rsid w:val="00F121DA"/>
    <w:rsid w:val="00F12AF9"/>
    <w:rsid w:val="00F14BBA"/>
    <w:rsid w:val="00F14E5E"/>
    <w:rsid w:val="00F14FAD"/>
    <w:rsid w:val="00F158CB"/>
    <w:rsid w:val="00F20871"/>
    <w:rsid w:val="00F21292"/>
    <w:rsid w:val="00F21919"/>
    <w:rsid w:val="00F23C30"/>
    <w:rsid w:val="00F27681"/>
    <w:rsid w:val="00F27DE4"/>
    <w:rsid w:val="00F30208"/>
    <w:rsid w:val="00F31AEE"/>
    <w:rsid w:val="00F3204D"/>
    <w:rsid w:val="00F34C25"/>
    <w:rsid w:val="00F36602"/>
    <w:rsid w:val="00F3702C"/>
    <w:rsid w:val="00F40BA2"/>
    <w:rsid w:val="00F462BB"/>
    <w:rsid w:val="00F47029"/>
    <w:rsid w:val="00F47C09"/>
    <w:rsid w:val="00F50AC0"/>
    <w:rsid w:val="00F51458"/>
    <w:rsid w:val="00F52C48"/>
    <w:rsid w:val="00F53AE6"/>
    <w:rsid w:val="00F53EE4"/>
    <w:rsid w:val="00F54984"/>
    <w:rsid w:val="00F556D7"/>
    <w:rsid w:val="00F55781"/>
    <w:rsid w:val="00F5591D"/>
    <w:rsid w:val="00F55E29"/>
    <w:rsid w:val="00F57084"/>
    <w:rsid w:val="00F57A3E"/>
    <w:rsid w:val="00F57B6A"/>
    <w:rsid w:val="00F6066A"/>
    <w:rsid w:val="00F60AE2"/>
    <w:rsid w:val="00F616D6"/>
    <w:rsid w:val="00F61B04"/>
    <w:rsid w:val="00F6267F"/>
    <w:rsid w:val="00F63C0D"/>
    <w:rsid w:val="00F64937"/>
    <w:rsid w:val="00F64EED"/>
    <w:rsid w:val="00F6605D"/>
    <w:rsid w:val="00F66D18"/>
    <w:rsid w:val="00F66FBA"/>
    <w:rsid w:val="00F73E7F"/>
    <w:rsid w:val="00F742E9"/>
    <w:rsid w:val="00F758DB"/>
    <w:rsid w:val="00F764E4"/>
    <w:rsid w:val="00F76FF6"/>
    <w:rsid w:val="00F80019"/>
    <w:rsid w:val="00F80F79"/>
    <w:rsid w:val="00F82291"/>
    <w:rsid w:val="00F828DB"/>
    <w:rsid w:val="00F82DAC"/>
    <w:rsid w:val="00F84ED2"/>
    <w:rsid w:val="00F91AA6"/>
    <w:rsid w:val="00F93DEE"/>
    <w:rsid w:val="00F94E1B"/>
    <w:rsid w:val="00FA0B59"/>
    <w:rsid w:val="00FA2425"/>
    <w:rsid w:val="00FA276D"/>
    <w:rsid w:val="00FA36E3"/>
    <w:rsid w:val="00FA7B69"/>
    <w:rsid w:val="00FB408F"/>
    <w:rsid w:val="00FB4793"/>
    <w:rsid w:val="00FB5664"/>
    <w:rsid w:val="00FB5739"/>
    <w:rsid w:val="00FB59AD"/>
    <w:rsid w:val="00FC1B1D"/>
    <w:rsid w:val="00FC1EED"/>
    <w:rsid w:val="00FC2387"/>
    <w:rsid w:val="00FC254A"/>
    <w:rsid w:val="00FC5498"/>
    <w:rsid w:val="00FC6520"/>
    <w:rsid w:val="00FC7589"/>
    <w:rsid w:val="00FC7B84"/>
    <w:rsid w:val="00FD1C17"/>
    <w:rsid w:val="00FD21C4"/>
    <w:rsid w:val="00FD4553"/>
    <w:rsid w:val="00FD5FF8"/>
    <w:rsid w:val="00FE108C"/>
    <w:rsid w:val="00FE2FCB"/>
    <w:rsid w:val="00FE5634"/>
    <w:rsid w:val="00FE5891"/>
    <w:rsid w:val="00FE69D5"/>
    <w:rsid w:val="00FF12B6"/>
    <w:rsid w:val="00FF22F6"/>
    <w:rsid w:val="00FF37A8"/>
    <w:rsid w:val="00FF57F6"/>
    <w:rsid w:val="00FF7E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6D78E"/>
  <w15:chartTrackingRefBased/>
  <w15:docId w15:val="{DFB81F39-180B-4375-A108-C354F809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187"/>
    <w:pPr>
      <w:spacing w:after="240" w:line="240" w:lineRule="auto"/>
    </w:pPr>
    <w:rPr>
      <w:rFonts w:eastAsia="Times New Roman" w:cs="Times New Roman"/>
      <w:sz w:val="24"/>
      <w:szCs w:val="24"/>
      <w:lang w:eastAsia="en-AU"/>
    </w:rPr>
  </w:style>
  <w:style w:type="paragraph" w:styleId="Heading2">
    <w:name w:val="heading 2"/>
    <w:basedOn w:val="Normal"/>
    <w:next w:val="Normal"/>
    <w:link w:val="Heading2Char"/>
    <w:uiPriority w:val="9"/>
    <w:unhideWhenUsed/>
    <w:qFormat/>
    <w:rsid w:val="00A3071A"/>
    <w:pPr>
      <w:spacing w:before="360" w:after="120"/>
      <w:jc w:val="center"/>
      <w:outlineLvl w:val="1"/>
    </w:pPr>
    <w:rPr>
      <w:rFonts w:ascii="Times New Roman" w:hAnsi="Times New Roman" w:cstheme="minorBidi"/>
      <w:b/>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071A"/>
    <w:rPr>
      <w:rFonts w:ascii="Times New Roman" w:eastAsia="Times New Roman" w:hAnsi="Times New Roman"/>
      <w:b/>
      <w:sz w:val="28"/>
      <w:szCs w:val="28"/>
    </w:rPr>
  </w:style>
  <w:style w:type="paragraph" w:styleId="Header">
    <w:name w:val="header"/>
    <w:basedOn w:val="Normal"/>
    <w:link w:val="HeaderChar"/>
    <w:uiPriority w:val="99"/>
    <w:unhideWhenUsed/>
    <w:rsid w:val="00A3071A"/>
    <w:pPr>
      <w:tabs>
        <w:tab w:val="center" w:pos="4513"/>
        <w:tab w:val="right" w:pos="9026"/>
      </w:tabs>
      <w:spacing w:after="0"/>
    </w:pPr>
    <w:rPr>
      <w:szCs w:val="28"/>
    </w:rPr>
  </w:style>
  <w:style w:type="character" w:customStyle="1" w:styleId="HeaderChar">
    <w:name w:val="Header Char"/>
    <w:basedOn w:val="DefaultParagraphFont"/>
    <w:link w:val="Header"/>
    <w:uiPriority w:val="99"/>
    <w:rsid w:val="00A3071A"/>
    <w:rPr>
      <w:rFonts w:eastAsia="Times New Roman" w:cs="Times New Roman"/>
      <w:sz w:val="24"/>
      <w:szCs w:val="28"/>
      <w:lang w:eastAsia="en-AU"/>
    </w:rPr>
  </w:style>
  <w:style w:type="character" w:styleId="PageNumber">
    <w:name w:val="page number"/>
    <w:basedOn w:val="DefaultParagraphFont"/>
    <w:rsid w:val="00A3071A"/>
  </w:style>
  <w:style w:type="paragraph" w:styleId="Footer">
    <w:name w:val="footer"/>
    <w:basedOn w:val="Normal"/>
    <w:link w:val="FooterChar"/>
    <w:uiPriority w:val="99"/>
    <w:rsid w:val="00A3071A"/>
    <w:pPr>
      <w:spacing w:after="0"/>
      <w:jc w:val="center"/>
    </w:pPr>
    <w:rPr>
      <w:sz w:val="20"/>
    </w:rPr>
  </w:style>
  <w:style w:type="character" w:customStyle="1" w:styleId="FooterChar">
    <w:name w:val="Footer Char"/>
    <w:basedOn w:val="DefaultParagraphFont"/>
    <w:link w:val="Footer"/>
    <w:uiPriority w:val="99"/>
    <w:rsid w:val="00A3071A"/>
    <w:rPr>
      <w:rFonts w:eastAsia="Times New Roman" w:cs="Times New Roman"/>
      <w:sz w:val="20"/>
      <w:szCs w:val="24"/>
      <w:lang w:eastAsia="en-AU"/>
    </w:rPr>
  </w:style>
  <w:style w:type="paragraph" w:customStyle="1" w:styleId="NormalBold">
    <w:name w:val="Normal Bold"/>
    <w:basedOn w:val="Normal"/>
    <w:link w:val="NormalBoldChar"/>
    <w:qFormat/>
    <w:rsid w:val="00A3071A"/>
    <w:rPr>
      <w:rFonts w:cs="Arial"/>
      <w:b/>
      <w:szCs w:val="22"/>
    </w:rPr>
  </w:style>
  <w:style w:type="character" w:customStyle="1" w:styleId="NormalBoldChar">
    <w:name w:val="Normal Bold Char"/>
    <w:basedOn w:val="DefaultParagraphFont"/>
    <w:link w:val="NormalBold"/>
    <w:rsid w:val="00A3071A"/>
    <w:rPr>
      <w:rFonts w:eastAsia="Times New Roman" w:cs="Arial"/>
      <w:b/>
      <w:sz w:val="24"/>
      <w:lang w:eastAsia="en-AU"/>
    </w:rPr>
  </w:style>
  <w:style w:type="paragraph" w:styleId="ListParagraph">
    <w:name w:val="List Paragraph"/>
    <w:basedOn w:val="Normal"/>
    <w:link w:val="ListParagraphChar"/>
    <w:uiPriority w:val="34"/>
    <w:qFormat/>
    <w:rsid w:val="00A3071A"/>
    <w:pPr>
      <w:spacing w:before="100" w:beforeAutospacing="1" w:after="100" w:afterAutospacing="1"/>
    </w:pPr>
    <w:rPr>
      <w:rFonts w:ascii="Times New Roman" w:hAnsi="Times New Roman"/>
    </w:rPr>
  </w:style>
  <w:style w:type="character" w:customStyle="1" w:styleId="CharPartText">
    <w:name w:val="CharPartText"/>
    <w:basedOn w:val="DefaultParagraphFont"/>
    <w:qFormat/>
    <w:rsid w:val="00A3071A"/>
  </w:style>
  <w:style w:type="paragraph" w:styleId="NoSpacing">
    <w:name w:val="No Spacing"/>
    <w:uiPriority w:val="1"/>
    <w:qFormat/>
    <w:rsid w:val="00A3071A"/>
    <w:pPr>
      <w:spacing w:after="0" w:line="240" w:lineRule="auto"/>
    </w:pPr>
    <w:rPr>
      <w:rFonts w:eastAsia="Times New Roman" w:cs="Times New Roman"/>
      <w:sz w:val="24"/>
      <w:szCs w:val="24"/>
      <w:lang w:eastAsia="en-AU"/>
    </w:rPr>
  </w:style>
  <w:style w:type="character" w:customStyle="1" w:styleId="ListParagraphChar">
    <w:name w:val="List Paragraph Char"/>
    <w:link w:val="ListParagraph"/>
    <w:uiPriority w:val="34"/>
    <w:rsid w:val="00A3071A"/>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9746FE"/>
    <w:rPr>
      <w:sz w:val="16"/>
      <w:szCs w:val="16"/>
    </w:rPr>
  </w:style>
  <w:style w:type="paragraph" w:styleId="CommentText">
    <w:name w:val="annotation text"/>
    <w:basedOn w:val="Normal"/>
    <w:link w:val="CommentTextChar"/>
    <w:uiPriority w:val="99"/>
    <w:unhideWhenUsed/>
    <w:rsid w:val="009746FE"/>
    <w:rPr>
      <w:sz w:val="20"/>
      <w:szCs w:val="20"/>
    </w:rPr>
  </w:style>
  <w:style w:type="character" w:customStyle="1" w:styleId="CommentTextChar">
    <w:name w:val="Comment Text Char"/>
    <w:basedOn w:val="DefaultParagraphFont"/>
    <w:link w:val="CommentText"/>
    <w:uiPriority w:val="99"/>
    <w:rsid w:val="009746FE"/>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746FE"/>
    <w:rPr>
      <w:b/>
      <w:bCs/>
    </w:rPr>
  </w:style>
  <w:style w:type="character" w:customStyle="1" w:styleId="CommentSubjectChar">
    <w:name w:val="Comment Subject Char"/>
    <w:basedOn w:val="CommentTextChar"/>
    <w:link w:val="CommentSubject"/>
    <w:uiPriority w:val="99"/>
    <w:semiHidden/>
    <w:rsid w:val="009746FE"/>
    <w:rPr>
      <w:rFonts w:eastAsia="Times New Roman" w:cs="Times New Roman"/>
      <w:b/>
      <w:bCs/>
      <w:sz w:val="20"/>
      <w:szCs w:val="20"/>
      <w:lang w:eastAsia="en-AU"/>
    </w:rPr>
  </w:style>
  <w:style w:type="paragraph" w:styleId="BalloonText">
    <w:name w:val="Balloon Text"/>
    <w:basedOn w:val="Normal"/>
    <w:link w:val="BalloonTextChar"/>
    <w:uiPriority w:val="99"/>
    <w:semiHidden/>
    <w:unhideWhenUsed/>
    <w:rsid w:val="009746F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6FE"/>
    <w:rPr>
      <w:rFonts w:ascii="Segoe UI" w:eastAsia="Times New Roman" w:hAnsi="Segoe UI" w:cs="Segoe UI"/>
      <w:sz w:val="18"/>
      <w:szCs w:val="18"/>
      <w:lang w:eastAsia="en-AU"/>
    </w:rPr>
  </w:style>
  <w:style w:type="character" w:styleId="Hyperlink">
    <w:name w:val="Hyperlink"/>
    <w:basedOn w:val="DefaultParagraphFont"/>
    <w:uiPriority w:val="99"/>
    <w:unhideWhenUsed/>
    <w:rsid w:val="00D219E1"/>
    <w:rPr>
      <w:color w:val="0563C1" w:themeColor="hyperlink"/>
      <w:u w:val="single"/>
    </w:rPr>
  </w:style>
  <w:style w:type="character" w:styleId="FollowedHyperlink">
    <w:name w:val="FollowedHyperlink"/>
    <w:basedOn w:val="DefaultParagraphFont"/>
    <w:uiPriority w:val="99"/>
    <w:semiHidden/>
    <w:unhideWhenUsed/>
    <w:rsid w:val="0048418F"/>
    <w:rPr>
      <w:color w:val="954F72" w:themeColor="followedHyperlink"/>
      <w:u w:val="single"/>
    </w:rPr>
  </w:style>
  <w:style w:type="paragraph" w:styleId="FootnoteText">
    <w:name w:val="footnote text"/>
    <w:basedOn w:val="Normal"/>
    <w:link w:val="FootnoteTextChar"/>
    <w:uiPriority w:val="99"/>
    <w:semiHidden/>
    <w:unhideWhenUsed/>
    <w:rsid w:val="00C8592C"/>
    <w:pPr>
      <w:spacing w:after="0"/>
    </w:pPr>
    <w:rPr>
      <w:sz w:val="20"/>
      <w:szCs w:val="20"/>
    </w:rPr>
  </w:style>
  <w:style w:type="character" w:customStyle="1" w:styleId="FootnoteTextChar">
    <w:name w:val="Footnote Text Char"/>
    <w:basedOn w:val="DefaultParagraphFont"/>
    <w:link w:val="FootnoteText"/>
    <w:uiPriority w:val="99"/>
    <w:semiHidden/>
    <w:rsid w:val="00C8592C"/>
    <w:rPr>
      <w:rFonts w:eastAsia="Times New Roman" w:cs="Times New Roman"/>
      <w:sz w:val="20"/>
      <w:szCs w:val="20"/>
      <w:lang w:eastAsia="en-AU"/>
    </w:rPr>
  </w:style>
  <w:style w:type="character" w:styleId="FootnoteReference">
    <w:name w:val="footnote reference"/>
    <w:basedOn w:val="DefaultParagraphFont"/>
    <w:uiPriority w:val="99"/>
    <w:semiHidden/>
    <w:unhideWhenUsed/>
    <w:rsid w:val="00C8592C"/>
    <w:rPr>
      <w:vertAlign w:val="superscript"/>
    </w:rPr>
  </w:style>
  <w:style w:type="table" w:styleId="TableGrid">
    <w:name w:val="Table Grid"/>
    <w:basedOn w:val="TableNormal"/>
    <w:uiPriority w:val="39"/>
    <w:rsid w:val="0054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aliases w:val="tt"/>
    <w:basedOn w:val="Normal"/>
    <w:rsid w:val="005F28C2"/>
    <w:pPr>
      <w:spacing w:before="60" w:after="0" w:line="240" w:lineRule="atLeast"/>
    </w:pPr>
    <w:rPr>
      <w:rFonts w:ascii="Times New Roman" w:hAnsi="Times New Roman"/>
      <w:sz w:val="20"/>
      <w:szCs w:val="20"/>
    </w:rPr>
  </w:style>
  <w:style w:type="paragraph" w:customStyle="1" w:styleId="TableHeading">
    <w:name w:val="TableHeading"/>
    <w:aliases w:val="th"/>
    <w:basedOn w:val="Normal"/>
    <w:next w:val="Tabletext"/>
    <w:rsid w:val="005F28C2"/>
    <w:pPr>
      <w:keepNext/>
      <w:spacing w:before="60" w:after="0" w:line="240" w:lineRule="atLeast"/>
    </w:pPr>
    <w:rPr>
      <w:rFonts w:ascii="Times New Roman" w:hAnsi="Times New Roman"/>
      <w:b/>
      <w:sz w:val="20"/>
      <w:szCs w:val="20"/>
    </w:rPr>
  </w:style>
  <w:style w:type="character" w:customStyle="1" w:styleId="notetextChar">
    <w:name w:val="note(text) Char"/>
    <w:aliases w:val="n Char"/>
    <w:basedOn w:val="DefaultParagraphFont"/>
    <w:link w:val="notetext"/>
    <w:locked/>
    <w:rsid w:val="00C937C9"/>
    <w:rPr>
      <w:rFonts w:ascii="Times New Roman" w:eastAsia="Times New Roman" w:hAnsi="Times New Roman" w:cs="Times New Roman"/>
      <w:sz w:val="18"/>
      <w:lang w:eastAsia="en-AU"/>
    </w:rPr>
  </w:style>
  <w:style w:type="paragraph" w:customStyle="1" w:styleId="notetext">
    <w:name w:val="note(text)"/>
    <w:aliases w:val="n"/>
    <w:basedOn w:val="Normal"/>
    <w:link w:val="notetextChar"/>
    <w:rsid w:val="00C937C9"/>
    <w:pPr>
      <w:spacing w:before="122" w:after="0" w:line="198" w:lineRule="exact"/>
      <w:ind w:left="1985" w:hanging="851"/>
    </w:pPr>
    <w:rPr>
      <w:rFonts w:ascii="Times New Roman" w:hAnsi="Times New Roman"/>
      <w:sz w:val="18"/>
      <w:szCs w:val="22"/>
    </w:rPr>
  </w:style>
  <w:style w:type="paragraph" w:styleId="Revision">
    <w:name w:val="Revision"/>
    <w:hidden/>
    <w:uiPriority w:val="99"/>
    <w:semiHidden/>
    <w:rsid w:val="00EF0BA4"/>
    <w:pPr>
      <w:spacing w:after="0" w:line="240" w:lineRule="auto"/>
    </w:pPr>
    <w:rPr>
      <w:rFonts w:eastAsia="Times New Roman" w:cs="Times New Roman"/>
      <w:sz w:val="24"/>
      <w:szCs w:val="24"/>
      <w:lang w:eastAsia="en-AU"/>
    </w:rPr>
  </w:style>
  <w:style w:type="character" w:customStyle="1" w:styleId="acopre1">
    <w:name w:val="acopre1"/>
    <w:basedOn w:val="DefaultParagraphFont"/>
    <w:rsid w:val="0071215C"/>
  </w:style>
  <w:style w:type="paragraph" w:customStyle="1" w:styleId="Default">
    <w:name w:val="Default"/>
    <w:rsid w:val="004D44C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bsection">
    <w:name w:val="subsection"/>
    <w:aliases w:val="ss,Subsection"/>
    <w:basedOn w:val="Normal"/>
    <w:link w:val="subsectionChar"/>
    <w:rsid w:val="009B3B28"/>
    <w:pPr>
      <w:tabs>
        <w:tab w:val="right" w:pos="1021"/>
      </w:tabs>
      <w:spacing w:before="180" w:after="120"/>
      <w:ind w:left="1134" w:hanging="1134"/>
    </w:pPr>
    <w:rPr>
      <w:rFonts w:ascii="Times New Roman" w:hAnsi="Times New Roman"/>
      <w:sz w:val="22"/>
      <w:szCs w:val="20"/>
    </w:rPr>
  </w:style>
  <w:style w:type="character" w:customStyle="1" w:styleId="subsectionChar">
    <w:name w:val="subsection Char"/>
    <w:aliases w:val="ss Char"/>
    <w:basedOn w:val="DefaultParagraphFont"/>
    <w:link w:val="subsection"/>
    <w:locked/>
    <w:rsid w:val="009B3B28"/>
    <w:rPr>
      <w:rFonts w:ascii="Times New Roman" w:eastAsia="Times New Roman" w:hAnsi="Times New Roman" w:cs="Times New Roman"/>
      <w:szCs w:val="20"/>
      <w:lang w:eastAsia="en-AU"/>
    </w:rPr>
  </w:style>
  <w:style w:type="paragraph" w:customStyle="1" w:styleId="ShortT">
    <w:name w:val="ShortT"/>
    <w:basedOn w:val="Normal"/>
    <w:next w:val="Normal"/>
    <w:qFormat/>
    <w:rsid w:val="00495859"/>
    <w:pPr>
      <w:spacing w:after="120"/>
    </w:pPr>
    <w:rPr>
      <w:rFonts w:ascii="Times New Roman" w:hAnsi="Times New Roman"/>
      <w:b/>
      <w:sz w:val="40"/>
      <w:szCs w:val="20"/>
    </w:rPr>
  </w:style>
  <w:style w:type="paragraph" w:customStyle="1" w:styleId="ActHead5">
    <w:name w:val="ActHead 5"/>
    <w:aliases w:val="s"/>
    <w:basedOn w:val="Normal"/>
    <w:next w:val="subsection"/>
    <w:qFormat/>
    <w:rsid w:val="00BF57A6"/>
    <w:pPr>
      <w:keepNext/>
      <w:keepLines/>
      <w:spacing w:before="280" w:after="0"/>
      <w:ind w:left="1134" w:hanging="1134"/>
      <w:outlineLvl w:val="4"/>
    </w:pPr>
    <w:rPr>
      <w:rFonts w:ascii="Times New Roman" w:hAnsi="Times New Roman"/>
      <w:b/>
      <w:kern w:val="28"/>
      <w:szCs w:val="20"/>
    </w:rPr>
  </w:style>
  <w:style w:type="character" w:styleId="UnresolvedMention">
    <w:name w:val="Unresolved Mention"/>
    <w:basedOn w:val="DefaultParagraphFont"/>
    <w:uiPriority w:val="99"/>
    <w:semiHidden/>
    <w:unhideWhenUsed/>
    <w:rsid w:val="00CB4A3F"/>
    <w:rPr>
      <w:color w:val="605E5C"/>
      <w:shd w:val="clear" w:color="auto" w:fill="E1DFDD"/>
    </w:rPr>
  </w:style>
  <w:style w:type="character" w:customStyle="1" w:styleId="markedcontent">
    <w:name w:val="markedcontent"/>
    <w:basedOn w:val="DefaultParagraphFont"/>
    <w:rsid w:val="003918CF"/>
  </w:style>
  <w:style w:type="paragraph" w:customStyle="1" w:styleId="ItemHead">
    <w:name w:val="ItemHead"/>
    <w:aliases w:val="ih"/>
    <w:basedOn w:val="Normal"/>
    <w:next w:val="Normal"/>
    <w:rsid w:val="007C5B5A"/>
    <w:pPr>
      <w:keepNext/>
      <w:keepLines/>
      <w:spacing w:before="220" w:after="0"/>
      <w:ind w:left="709" w:hanging="709"/>
    </w:pPr>
    <w:rPr>
      <w:rFonts w:ascii="Arial" w:hAnsi="Arial"/>
      <w:b/>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6935">
      <w:bodyDiv w:val="1"/>
      <w:marLeft w:val="0"/>
      <w:marRight w:val="0"/>
      <w:marTop w:val="0"/>
      <w:marBottom w:val="0"/>
      <w:divBdr>
        <w:top w:val="none" w:sz="0" w:space="0" w:color="auto"/>
        <w:left w:val="none" w:sz="0" w:space="0" w:color="auto"/>
        <w:bottom w:val="none" w:sz="0" w:space="0" w:color="auto"/>
        <w:right w:val="none" w:sz="0" w:space="0" w:color="auto"/>
      </w:divBdr>
    </w:div>
    <w:div w:id="115805258">
      <w:bodyDiv w:val="1"/>
      <w:marLeft w:val="0"/>
      <w:marRight w:val="0"/>
      <w:marTop w:val="0"/>
      <w:marBottom w:val="0"/>
      <w:divBdr>
        <w:top w:val="none" w:sz="0" w:space="0" w:color="auto"/>
        <w:left w:val="none" w:sz="0" w:space="0" w:color="auto"/>
        <w:bottom w:val="none" w:sz="0" w:space="0" w:color="auto"/>
        <w:right w:val="none" w:sz="0" w:space="0" w:color="auto"/>
      </w:divBdr>
    </w:div>
    <w:div w:id="192420301">
      <w:bodyDiv w:val="1"/>
      <w:marLeft w:val="0"/>
      <w:marRight w:val="0"/>
      <w:marTop w:val="0"/>
      <w:marBottom w:val="0"/>
      <w:divBdr>
        <w:top w:val="none" w:sz="0" w:space="0" w:color="auto"/>
        <w:left w:val="none" w:sz="0" w:space="0" w:color="auto"/>
        <w:bottom w:val="none" w:sz="0" w:space="0" w:color="auto"/>
        <w:right w:val="none" w:sz="0" w:space="0" w:color="auto"/>
      </w:divBdr>
    </w:div>
    <w:div w:id="623191332">
      <w:bodyDiv w:val="1"/>
      <w:marLeft w:val="0"/>
      <w:marRight w:val="0"/>
      <w:marTop w:val="0"/>
      <w:marBottom w:val="0"/>
      <w:divBdr>
        <w:top w:val="none" w:sz="0" w:space="0" w:color="auto"/>
        <w:left w:val="none" w:sz="0" w:space="0" w:color="auto"/>
        <w:bottom w:val="none" w:sz="0" w:space="0" w:color="auto"/>
        <w:right w:val="none" w:sz="0" w:space="0" w:color="auto"/>
      </w:divBdr>
    </w:div>
    <w:div w:id="680282483">
      <w:bodyDiv w:val="1"/>
      <w:marLeft w:val="0"/>
      <w:marRight w:val="0"/>
      <w:marTop w:val="0"/>
      <w:marBottom w:val="0"/>
      <w:divBdr>
        <w:top w:val="none" w:sz="0" w:space="0" w:color="auto"/>
        <w:left w:val="none" w:sz="0" w:space="0" w:color="auto"/>
        <w:bottom w:val="none" w:sz="0" w:space="0" w:color="auto"/>
        <w:right w:val="none" w:sz="0" w:space="0" w:color="auto"/>
      </w:divBdr>
    </w:div>
    <w:div w:id="729039050">
      <w:bodyDiv w:val="1"/>
      <w:marLeft w:val="0"/>
      <w:marRight w:val="0"/>
      <w:marTop w:val="0"/>
      <w:marBottom w:val="0"/>
      <w:divBdr>
        <w:top w:val="none" w:sz="0" w:space="0" w:color="auto"/>
        <w:left w:val="none" w:sz="0" w:space="0" w:color="auto"/>
        <w:bottom w:val="none" w:sz="0" w:space="0" w:color="auto"/>
        <w:right w:val="none" w:sz="0" w:space="0" w:color="auto"/>
      </w:divBdr>
    </w:div>
    <w:div w:id="741296937">
      <w:bodyDiv w:val="1"/>
      <w:marLeft w:val="0"/>
      <w:marRight w:val="0"/>
      <w:marTop w:val="0"/>
      <w:marBottom w:val="0"/>
      <w:divBdr>
        <w:top w:val="none" w:sz="0" w:space="0" w:color="auto"/>
        <w:left w:val="none" w:sz="0" w:space="0" w:color="auto"/>
        <w:bottom w:val="none" w:sz="0" w:space="0" w:color="auto"/>
        <w:right w:val="none" w:sz="0" w:space="0" w:color="auto"/>
      </w:divBdr>
      <w:divsChild>
        <w:div w:id="1704361126">
          <w:marLeft w:val="0"/>
          <w:marRight w:val="0"/>
          <w:marTop w:val="0"/>
          <w:marBottom w:val="0"/>
          <w:divBdr>
            <w:top w:val="none" w:sz="0" w:space="0" w:color="auto"/>
            <w:left w:val="none" w:sz="0" w:space="0" w:color="auto"/>
            <w:bottom w:val="none" w:sz="0" w:space="0" w:color="auto"/>
            <w:right w:val="none" w:sz="0" w:space="0" w:color="auto"/>
          </w:divBdr>
          <w:divsChild>
            <w:div w:id="276715916">
              <w:marLeft w:val="0"/>
              <w:marRight w:val="0"/>
              <w:marTop w:val="0"/>
              <w:marBottom w:val="0"/>
              <w:divBdr>
                <w:top w:val="none" w:sz="0" w:space="0" w:color="auto"/>
                <w:left w:val="none" w:sz="0" w:space="0" w:color="auto"/>
                <w:bottom w:val="none" w:sz="0" w:space="0" w:color="auto"/>
                <w:right w:val="none" w:sz="0" w:space="0" w:color="auto"/>
              </w:divBdr>
              <w:divsChild>
                <w:div w:id="175728497">
                  <w:marLeft w:val="0"/>
                  <w:marRight w:val="0"/>
                  <w:marTop w:val="0"/>
                  <w:marBottom w:val="0"/>
                  <w:divBdr>
                    <w:top w:val="none" w:sz="0" w:space="0" w:color="auto"/>
                    <w:left w:val="none" w:sz="0" w:space="0" w:color="auto"/>
                    <w:bottom w:val="none" w:sz="0" w:space="0" w:color="auto"/>
                    <w:right w:val="none" w:sz="0" w:space="0" w:color="auto"/>
                  </w:divBdr>
                  <w:divsChild>
                    <w:div w:id="908541146">
                      <w:marLeft w:val="0"/>
                      <w:marRight w:val="0"/>
                      <w:marTop w:val="0"/>
                      <w:marBottom w:val="0"/>
                      <w:divBdr>
                        <w:top w:val="none" w:sz="0" w:space="0" w:color="auto"/>
                        <w:left w:val="none" w:sz="0" w:space="0" w:color="auto"/>
                        <w:bottom w:val="none" w:sz="0" w:space="0" w:color="auto"/>
                        <w:right w:val="none" w:sz="0" w:space="0" w:color="auto"/>
                      </w:divBdr>
                      <w:divsChild>
                        <w:div w:id="1493373267">
                          <w:marLeft w:val="0"/>
                          <w:marRight w:val="0"/>
                          <w:marTop w:val="0"/>
                          <w:marBottom w:val="0"/>
                          <w:divBdr>
                            <w:top w:val="none" w:sz="0" w:space="0" w:color="auto"/>
                            <w:left w:val="none" w:sz="0" w:space="0" w:color="auto"/>
                            <w:bottom w:val="none" w:sz="0" w:space="0" w:color="auto"/>
                            <w:right w:val="none" w:sz="0" w:space="0" w:color="auto"/>
                          </w:divBdr>
                          <w:divsChild>
                            <w:div w:id="1243296901">
                              <w:marLeft w:val="0"/>
                              <w:marRight w:val="0"/>
                              <w:marTop w:val="0"/>
                              <w:marBottom w:val="0"/>
                              <w:divBdr>
                                <w:top w:val="none" w:sz="0" w:space="0" w:color="auto"/>
                                <w:left w:val="none" w:sz="0" w:space="0" w:color="auto"/>
                                <w:bottom w:val="none" w:sz="0" w:space="0" w:color="auto"/>
                                <w:right w:val="none" w:sz="0" w:space="0" w:color="auto"/>
                              </w:divBdr>
                              <w:divsChild>
                                <w:div w:id="2016413842">
                                  <w:marLeft w:val="0"/>
                                  <w:marRight w:val="0"/>
                                  <w:marTop w:val="0"/>
                                  <w:marBottom w:val="0"/>
                                  <w:divBdr>
                                    <w:top w:val="none" w:sz="0" w:space="0" w:color="auto"/>
                                    <w:left w:val="none" w:sz="0" w:space="0" w:color="auto"/>
                                    <w:bottom w:val="none" w:sz="0" w:space="0" w:color="auto"/>
                                    <w:right w:val="none" w:sz="0" w:space="0" w:color="auto"/>
                                  </w:divBdr>
                                  <w:divsChild>
                                    <w:div w:id="317271937">
                                      <w:marLeft w:val="0"/>
                                      <w:marRight w:val="0"/>
                                      <w:marTop w:val="0"/>
                                      <w:marBottom w:val="0"/>
                                      <w:divBdr>
                                        <w:top w:val="none" w:sz="0" w:space="0" w:color="auto"/>
                                        <w:left w:val="none" w:sz="0" w:space="0" w:color="auto"/>
                                        <w:bottom w:val="none" w:sz="0" w:space="0" w:color="auto"/>
                                        <w:right w:val="none" w:sz="0" w:space="0" w:color="auto"/>
                                      </w:divBdr>
                                      <w:divsChild>
                                        <w:div w:id="1182470422">
                                          <w:marLeft w:val="0"/>
                                          <w:marRight w:val="0"/>
                                          <w:marTop w:val="0"/>
                                          <w:marBottom w:val="0"/>
                                          <w:divBdr>
                                            <w:top w:val="none" w:sz="0" w:space="0" w:color="auto"/>
                                            <w:left w:val="none" w:sz="0" w:space="0" w:color="auto"/>
                                            <w:bottom w:val="none" w:sz="0" w:space="0" w:color="auto"/>
                                            <w:right w:val="none" w:sz="0" w:space="0" w:color="auto"/>
                                          </w:divBdr>
                                          <w:divsChild>
                                            <w:div w:id="1269508137">
                                              <w:marLeft w:val="0"/>
                                              <w:marRight w:val="0"/>
                                              <w:marTop w:val="0"/>
                                              <w:marBottom w:val="0"/>
                                              <w:divBdr>
                                                <w:top w:val="none" w:sz="0" w:space="0" w:color="auto"/>
                                                <w:left w:val="none" w:sz="0" w:space="0" w:color="auto"/>
                                                <w:bottom w:val="none" w:sz="0" w:space="0" w:color="auto"/>
                                                <w:right w:val="none" w:sz="0" w:space="0" w:color="auto"/>
                                              </w:divBdr>
                                              <w:divsChild>
                                                <w:div w:id="214454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8969316">
      <w:bodyDiv w:val="1"/>
      <w:marLeft w:val="0"/>
      <w:marRight w:val="0"/>
      <w:marTop w:val="0"/>
      <w:marBottom w:val="0"/>
      <w:divBdr>
        <w:top w:val="none" w:sz="0" w:space="0" w:color="auto"/>
        <w:left w:val="none" w:sz="0" w:space="0" w:color="auto"/>
        <w:bottom w:val="none" w:sz="0" w:space="0" w:color="auto"/>
        <w:right w:val="none" w:sz="0" w:space="0" w:color="auto"/>
      </w:divBdr>
    </w:div>
    <w:div w:id="862019814">
      <w:bodyDiv w:val="1"/>
      <w:marLeft w:val="0"/>
      <w:marRight w:val="0"/>
      <w:marTop w:val="0"/>
      <w:marBottom w:val="0"/>
      <w:divBdr>
        <w:top w:val="none" w:sz="0" w:space="0" w:color="auto"/>
        <w:left w:val="none" w:sz="0" w:space="0" w:color="auto"/>
        <w:bottom w:val="none" w:sz="0" w:space="0" w:color="auto"/>
        <w:right w:val="none" w:sz="0" w:space="0" w:color="auto"/>
      </w:divBdr>
    </w:div>
    <w:div w:id="933779895">
      <w:bodyDiv w:val="1"/>
      <w:marLeft w:val="0"/>
      <w:marRight w:val="0"/>
      <w:marTop w:val="0"/>
      <w:marBottom w:val="0"/>
      <w:divBdr>
        <w:top w:val="none" w:sz="0" w:space="0" w:color="auto"/>
        <w:left w:val="none" w:sz="0" w:space="0" w:color="auto"/>
        <w:bottom w:val="none" w:sz="0" w:space="0" w:color="auto"/>
        <w:right w:val="none" w:sz="0" w:space="0" w:color="auto"/>
      </w:divBdr>
    </w:div>
    <w:div w:id="962345210">
      <w:bodyDiv w:val="1"/>
      <w:marLeft w:val="0"/>
      <w:marRight w:val="0"/>
      <w:marTop w:val="0"/>
      <w:marBottom w:val="0"/>
      <w:divBdr>
        <w:top w:val="none" w:sz="0" w:space="0" w:color="auto"/>
        <w:left w:val="none" w:sz="0" w:space="0" w:color="auto"/>
        <w:bottom w:val="none" w:sz="0" w:space="0" w:color="auto"/>
        <w:right w:val="none" w:sz="0" w:space="0" w:color="auto"/>
      </w:divBdr>
    </w:div>
    <w:div w:id="1013844441">
      <w:bodyDiv w:val="1"/>
      <w:marLeft w:val="0"/>
      <w:marRight w:val="0"/>
      <w:marTop w:val="0"/>
      <w:marBottom w:val="0"/>
      <w:divBdr>
        <w:top w:val="none" w:sz="0" w:space="0" w:color="auto"/>
        <w:left w:val="none" w:sz="0" w:space="0" w:color="auto"/>
        <w:bottom w:val="none" w:sz="0" w:space="0" w:color="auto"/>
        <w:right w:val="none" w:sz="0" w:space="0" w:color="auto"/>
      </w:divBdr>
    </w:div>
    <w:div w:id="1029374196">
      <w:bodyDiv w:val="1"/>
      <w:marLeft w:val="0"/>
      <w:marRight w:val="0"/>
      <w:marTop w:val="0"/>
      <w:marBottom w:val="0"/>
      <w:divBdr>
        <w:top w:val="none" w:sz="0" w:space="0" w:color="auto"/>
        <w:left w:val="none" w:sz="0" w:space="0" w:color="auto"/>
        <w:bottom w:val="none" w:sz="0" w:space="0" w:color="auto"/>
        <w:right w:val="none" w:sz="0" w:space="0" w:color="auto"/>
      </w:divBdr>
    </w:div>
    <w:div w:id="1098870883">
      <w:bodyDiv w:val="1"/>
      <w:marLeft w:val="0"/>
      <w:marRight w:val="0"/>
      <w:marTop w:val="0"/>
      <w:marBottom w:val="0"/>
      <w:divBdr>
        <w:top w:val="none" w:sz="0" w:space="0" w:color="auto"/>
        <w:left w:val="none" w:sz="0" w:space="0" w:color="auto"/>
        <w:bottom w:val="none" w:sz="0" w:space="0" w:color="auto"/>
        <w:right w:val="none" w:sz="0" w:space="0" w:color="auto"/>
      </w:divBdr>
    </w:div>
    <w:div w:id="1192189229">
      <w:bodyDiv w:val="1"/>
      <w:marLeft w:val="0"/>
      <w:marRight w:val="0"/>
      <w:marTop w:val="0"/>
      <w:marBottom w:val="0"/>
      <w:divBdr>
        <w:top w:val="none" w:sz="0" w:space="0" w:color="auto"/>
        <w:left w:val="none" w:sz="0" w:space="0" w:color="auto"/>
        <w:bottom w:val="none" w:sz="0" w:space="0" w:color="auto"/>
        <w:right w:val="none" w:sz="0" w:space="0" w:color="auto"/>
      </w:divBdr>
    </w:div>
    <w:div w:id="1314144422">
      <w:bodyDiv w:val="1"/>
      <w:marLeft w:val="0"/>
      <w:marRight w:val="0"/>
      <w:marTop w:val="0"/>
      <w:marBottom w:val="0"/>
      <w:divBdr>
        <w:top w:val="none" w:sz="0" w:space="0" w:color="auto"/>
        <w:left w:val="none" w:sz="0" w:space="0" w:color="auto"/>
        <w:bottom w:val="none" w:sz="0" w:space="0" w:color="auto"/>
        <w:right w:val="none" w:sz="0" w:space="0" w:color="auto"/>
      </w:divBdr>
      <w:divsChild>
        <w:div w:id="178549023">
          <w:marLeft w:val="0"/>
          <w:marRight w:val="0"/>
          <w:marTop w:val="0"/>
          <w:marBottom w:val="0"/>
          <w:divBdr>
            <w:top w:val="none" w:sz="0" w:space="0" w:color="auto"/>
            <w:left w:val="none" w:sz="0" w:space="0" w:color="auto"/>
            <w:bottom w:val="none" w:sz="0" w:space="0" w:color="auto"/>
            <w:right w:val="none" w:sz="0" w:space="0" w:color="auto"/>
          </w:divBdr>
          <w:divsChild>
            <w:div w:id="1078868673">
              <w:marLeft w:val="0"/>
              <w:marRight w:val="0"/>
              <w:marTop w:val="0"/>
              <w:marBottom w:val="0"/>
              <w:divBdr>
                <w:top w:val="none" w:sz="0" w:space="0" w:color="auto"/>
                <w:left w:val="none" w:sz="0" w:space="0" w:color="auto"/>
                <w:bottom w:val="none" w:sz="0" w:space="0" w:color="auto"/>
                <w:right w:val="none" w:sz="0" w:space="0" w:color="auto"/>
              </w:divBdr>
              <w:divsChild>
                <w:div w:id="831483530">
                  <w:marLeft w:val="0"/>
                  <w:marRight w:val="0"/>
                  <w:marTop w:val="0"/>
                  <w:marBottom w:val="0"/>
                  <w:divBdr>
                    <w:top w:val="none" w:sz="0" w:space="0" w:color="auto"/>
                    <w:left w:val="none" w:sz="0" w:space="0" w:color="auto"/>
                    <w:bottom w:val="none" w:sz="0" w:space="0" w:color="auto"/>
                    <w:right w:val="none" w:sz="0" w:space="0" w:color="auto"/>
                  </w:divBdr>
                  <w:divsChild>
                    <w:div w:id="1098522394">
                      <w:marLeft w:val="0"/>
                      <w:marRight w:val="0"/>
                      <w:marTop w:val="0"/>
                      <w:marBottom w:val="0"/>
                      <w:divBdr>
                        <w:top w:val="none" w:sz="0" w:space="0" w:color="auto"/>
                        <w:left w:val="none" w:sz="0" w:space="0" w:color="auto"/>
                        <w:bottom w:val="none" w:sz="0" w:space="0" w:color="auto"/>
                        <w:right w:val="none" w:sz="0" w:space="0" w:color="auto"/>
                      </w:divBdr>
                      <w:divsChild>
                        <w:div w:id="1259557498">
                          <w:marLeft w:val="0"/>
                          <w:marRight w:val="0"/>
                          <w:marTop w:val="0"/>
                          <w:marBottom w:val="0"/>
                          <w:divBdr>
                            <w:top w:val="none" w:sz="0" w:space="0" w:color="auto"/>
                            <w:left w:val="none" w:sz="0" w:space="0" w:color="auto"/>
                            <w:bottom w:val="none" w:sz="0" w:space="0" w:color="auto"/>
                            <w:right w:val="none" w:sz="0" w:space="0" w:color="auto"/>
                          </w:divBdr>
                          <w:divsChild>
                            <w:div w:id="1736857945">
                              <w:marLeft w:val="0"/>
                              <w:marRight w:val="0"/>
                              <w:marTop w:val="0"/>
                              <w:marBottom w:val="0"/>
                              <w:divBdr>
                                <w:top w:val="none" w:sz="0" w:space="0" w:color="auto"/>
                                <w:left w:val="none" w:sz="0" w:space="0" w:color="auto"/>
                                <w:bottom w:val="none" w:sz="0" w:space="0" w:color="auto"/>
                                <w:right w:val="none" w:sz="0" w:space="0" w:color="auto"/>
                              </w:divBdr>
                              <w:divsChild>
                                <w:div w:id="1890722234">
                                  <w:marLeft w:val="0"/>
                                  <w:marRight w:val="0"/>
                                  <w:marTop w:val="0"/>
                                  <w:marBottom w:val="0"/>
                                  <w:divBdr>
                                    <w:top w:val="none" w:sz="0" w:space="0" w:color="auto"/>
                                    <w:left w:val="none" w:sz="0" w:space="0" w:color="auto"/>
                                    <w:bottom w:val="none" w:sz="0" w:space="0" w:color="auto"/>
                                    <w:right w:val="none" w:sz="0" w:space="0" w:color="auto"/>
                                  </w:divBdr>
                                  <w:divsChild>
                                    <w:div w:id="2089837441">
                                      <w:marLeft w:val="0"/>
                                      <w:marRight w:val="0"/>
                                      <w:marTop w:val="0"/>
                                      <w:marBottom w:val="0"/>
                                      <w:divBdr>
                                        <w:top w:val="none" w:sz="0" w:space="0" w:color="auto"/>
                                        <w:left w:val="none" w:sz="0" w:space="0" w:color="auto"/>
                                        <w:bottom w:val="none" w:sz="0" w:space="0" w:color="auto"/>
                                        <w:right w:val="none" w:sz="0" w:space="0" w:color="auto"/>
                                      </w:divBdr>
                                      <w:divsChild>
                                        <w:div w:id="975065350">
                                          <w:marLeft w:val="0"/>
                                          <w:marRight w:val="0"/>
                                          <w:marTop w:val="0"/>
                                          <w:marBottom w:val="0"/>
                                          <w:divBdr>
                                            <w:top w:val="none" w:sz="0" w:space="0" w:color="auto"/>
                                            <w:left w:val="none" w:sz="0" w:space="0" w:color="auto"/>
                                            <w:bottom w:val="none" w:sz="0" w:space="0" w:color="auto"/>
                                            <w:right w:val="none" w:sz="0" w:space="0" w:color="auto"/>
                                          </w:divBdr>
                                          <w:divsChild>
                                            <w:div w:id="1120606248">
                                              <w:marLeft w:val="0"/>
                                              <w:marRight w:val="0"/>
                                              <w:marTop w:val="0"/>
                                              <w:marBottom w:val="0"/>
                                              <w:divBdr>
                                                <w:top w:val="none" w:sz="0" w:space="0" w:color="auto"/>
                                                <w:left w:val="none" w:sz="0" w:space="0" w:color="auto"/>
                                                <w:bottom w:val="none" w:sz="0" w:space="0" w:color="auto"/>
                                                <w:right w:val="none" w:sz="0" w:space="0" w:color="auto"/>
                                              </w:divBdr>
                                              <w:divsChild>
                                                <w:div w:id="57327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8145719">
      <w:bodyDiv w:val="1"/>
      <w:marLeft w:val="0"/>
      <w:marRight w:val="0"/>
      <w:marTop w:val="0"/>
      <w:marBottom w:val="0"/>
      <w:divBdr>
        <w:top w:val="none" w:sz="0" w:space="0" w:color="auto"/>
        <w:left w:val="none" w:sz="0" w:space="0" w:color="auto"/>
        <w:bottom w:val="none" w:sz="0" w:space="0" w:color="auto"/>
        <w:right w:val="none" w:sz="0" w:space="0" w:color="auto"/>
      </w:divBdr>
    </w:div>
    <w:div w:id="1427732412">
      <w:bodyDiv w:val="1"/>
      <w:marLeft w:val="0"/>
      <w:marRight w:val="0"/>
      <w:marTop w:val="0"/>
      <w:marBottom w:val="0"/>
      <w:divBdr>
        <w:top w:val="none" w:sz="0" w:space="0" w:color="auto"/>
        <w:left w:val="none" w:sz="0" w:space="0" w:color="auto"/>
        <w:bottom w:val="none" w:sz="0" w:space="0" w:color="auto"/>
        <w:right w:val="none" w:sz="0" w:space="0" w:color="auto"/>
      </w:divBdr>
    </w:div>
    <w:div w:id="1486236146">
      <w:bodyDiv w:val="1"/>
      <w:marLeft w:val="0"/>
      <w:marRight w:val="0"/>
      <w:marTop w:val="0"/>
      <w:marBottom w:val="0"/>
      <w:divBdr>
        <w:top w:val="none" w:sz="0" w:space="0" w:color="auto"/>
        <w:left w:val="none" w:sz="0" w:space="0" w:color="auto"/>
        <w:bottom w:val="none" w:sz="0" w:space="0" w:color="auto"/>
        <w:right w:val="none" w:sz="0" w:space="0" w:color="auto"/>
      </w:divBdr>
    </w:div>
    <w:div w:id="1675650231">
      <w:bodyDiv w:val="1"/>
      <w:marLeft w:val="0"/>
      <w:marRight w:val="0"/>
      <w:marTop w:val="0"/>
      <w:marBottom w:val="0"/>
      <w:divBdr>
        <w:top w:val="none" w:sz="0" w:space="0" w:color="auto"/>
        <w:left w:val="none" w:sz="0" w:space="0" w:color="auto"/>
        <w:bottom w:val="none" w:sz="0" w:space="0" w:color="auto"/>
        <w:right w:val="none" w:sz="0" w:space="0" w:color="auto"/>
      </w:divBdr>
    </w:div>
    <w:div w:id="1706833842">
      <w:bodyDiv w:val="1"/>
      <w:marLeft w:val="0"/>
      <w:marRight w:val="0"/>
      <w:marTop w:val="0"/>
      <w:marBottom w:val="0"/>
      <w:divBdr>
        <w:top w:val="none" w:sz="0" w:space="0" w:color="auto"/>
        <w:left w:val="none" w:sz="0" w:space="0" w:color="auto"/>
        <w:bottom w:val="none" w:sz="0" w:space="0" w:color="auto"/>
        <w:right w:val="none" w:sz="0" w:space="0" w:color="auto"/>
      </w:divBdr>
    </w:div>
    <w:div w:id="1710493571">
      <w:bodyDiv w:val="1"/>
      <w:marLeft w:val="0"/>
      <w:marRight w:val="0"/>
      <w:marTop w:val="0"/>
      <w:marBottom w:val="0"/>
      <w:divBdr>
        <w:top w:val="none" w:sz="0" w:space="0" w:color="auto"/>
        <w:left w:val="none" w:sz="0" w:space="0" w:color="auto"/>
        <w:bottom w:val="none" w:sz="0" w:space="0" w:color="auto"/>
        <w:right w:val="none" w:sz="0" w:space="0" w:color="auto"/>
      </w:divBdr>
    </w:div>
    <w:div w:id="1746604640">
      <w:bodyDiv w:val="1"/>
      <w:marLeft w:val="0"/>
      <w:marRight w:val="0"/>
      <w:marTop w:val="0"/>
      <w:marBottom w:val="0"/>
      <w:divBdr>
        <w:top w:val="none" w:sz="0" w:space="0" w:color="auto"/>
        <w:left w:val="none" w:sz="0" w:space="0" w:color="auto"/>
        <w:bottom w:val="none" w:sz="0" w:space="0" w:color="auto"/>
        <w:right w:val="none" w:sz="0" w:space="0" w:color="auto"/>
      </w:divBdr>
    </w:div>
    <w:div w:id="1850636642">
      <w:bodyDiv w:val="1"/>
      <w:marLeft w:val="0"/>
      <w:marRight w:val="0"/>
      <w:marTop w:val="0"/>
      <w:marBottom w:val="0"/>
      <w:divBdr>
        <w:top w:val="none" w:sz="0" w:space="0" w:color="auto"/>
        <w:left w:val="none" w:sz="0" w:space="0" w:color="auto"/>
        <w:bottom w:val="none" w:sz="0" w:space="0" w:color="auto"/>
        <w:right w:val="none" w:sz="0" w:space="0" w:color="auto"/>
      </w:divBdr>
    </w:div>
    <w:div w:id="1959601733">
      <w:bodyDiv w:val="1"/>
      <w:marLeft w:val="0"/>
      <w:marRight w:val="0"/>
      <w:marTop w:val="0"/>
      <w:marBottom w:val="0"/>
      <w:divBdr>
        <w:top w:val="none" w:sz="0" w:space="0" w:color="auto"/>
        <w:left w:val="none" w:sz="0" w:space="0" w:color="auto"/>
        <w:bottom w:val="none" w:sz="0" w:space="0" w:color="auto"/>
        <w:right w:val="none" w:sz="0" w:space="0" w:color="auto"/>
      </w:divBdr>
    </w:div>
    <w:div w:id="20763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DEF7CF315B40A36D5B07BEAE394C" ma:contentTypeVersion="0" ma:contentTypeDescription="Create a new document." ma:contentTypeScope="" ma:versionID="01b3ff7b1d2a28f35bccd67a5a625a6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17BDB-4519-467E-A666-F5E9B4BC3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B2A16E-D956-4984-9585-9C0391A6F492}">
  <ds:schemaRefs>
    <ds:schemaRef ds:uri="http://schemas.microsoft.com/sharepoint/v3/contenttype/forms"/>
  </ds:schemaRefs>
</ds:datastoreItem>
</file>

<file path=customXml/itemProps3.xml><?xml version="1.0" encoding="utf-8"?>
<ds:datastoreItem xmlns:ds="http://schemas.openxmlformats.org/officeDocument/2006/customXml" ds:itemID="{086EBD74-6CD0-43BE-B4D5-D00831B19A63}">
  <ds:schemaRefs>
    <ds:schemaRef ds:uri="http://schemas.openxmlformats.org/officeDocument/2006/bibliography"/>
  </ds:schemaRefs>
</ds:datastoreItem>
</file>

<file path=customXml/itemProps4.xml><?xml version="1.0" encoding="utf-8"?>
<ds:datastoreItem xmlns:ds="http://schemas.openxmlformats.org/officeDocument/2006/customXml" ds:itemID="{AB57AB2F-F2B5-4581-A7F9-9D0038392CCC}">
  <ds:schemaRefs>
    <ds:schemaRef ds:uri="http://www.w3.org/XML/1998/namespace"/>
    <ds:schemaRef ds:uri="http://purl.org/dc/dcmitype/"/>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1939</Words>
  <Characters>11521</Characters>
  <Application>Microsoft Office Word</Application>
  <DocSecurity>0</DocSecurity>
  <Lines>221</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Explanatory Statement - Telecommunications Universal Service Obligation (Standard Telephone Service – Requirements and Circumstances) Amendment Determination 2026</dc:title>
  <dc:subject/>
  <dc:creator>Department of Infrastructure, Transport, Regional Development, Communication, Sport and the Arts</dc:creator>
  <cp:keywords/>
  <dc:description/>
  <cp:revision>2</cp:revision>
  <dcterms:created xsi:type="dcterms:W3CDTF">2026-04-23T05:12:00Z</dcterms:created>
  <dcterms:modified xsi:type="dcterms:W3CDTF">2026-04-23T05:12:00Z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0x010100AEF3DEF7CF315B40A36D5B07BEAE394C</vt:lpwstr>
  </property>
  <property fmtid="{D5CDD505-2E9C-101B-9397-08002B2CF9AE}" pid="3" name="TrimRevisionNumber">
    <vt:i4>1</vt:i4>
  </property>
  <property fmtid="{D5CDD505-2E9C-101B-9397-08002B2CF9AE}" pid="4" name="ClassificationContentMarkingHeaderShapeIds">
    <vt:lpwstr>4a2710d8,52cad615,6b93aa82</vt:lpwstr>
  </property>
  <property fmtid="{D5CDD505-2E9C-101B-9397-08002B2CF9AE}" pid="5" name="ClassificationContentMarkingHeaderFontProps">
    <vt:lpwstr>#ff0000,14,Aptos</vt:lpwstr>
  </property>
  <property fmtid="{D5CDD505-2E9C-101B-9397-08002B2CF9AE}" pid="6" name="ClassificationContentMarkingHeaderText">
    <vt:lpwstr>OFFICIAL</vt:lpwstr>
  </property>
  <property fmtid="{D5CDD505-2E9C-101B-9397-08002B2CF9AE}" pid="7" name="ClassificationContentMarkingFooterShapeIds">
    <vt:lpwstr>644905b,463a0eed,49611594</vt:lpwstr>
  </property>
  <property fmtid="{D5CDD505-2E9C-101B-9397-08002B2CF9AE}" pid="8" name="ClassificationContentMarkingFooterFontProps">
    <vt:lpwstr>#ff0000,14,Aptos</vt:lpwstr>
  </property>
  <property fmtid="{D5CDD505-2E9C-101B-9397-08002B2CF9AE}" pid="9" name="ClassificationContentMarkingFooterText">
    <vt:lpwstr>OFFICIAL</vt:lpwstr>
  </property>
</Properties>
</file>