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45" w:rsidRDefault="008622F0" w:rsidP="008622F0">
      <w:pPr>
        <w:spacing w:after="480"/>
        <w:ind w:left="-1418"/>
      </w:pPr>
      <w:r>
        <w:rPr>
          <w:noProof/>
        </w:rPr>
        <w:drawing>
          <wp:inline distT="0" distB="0" distL="0" distR="0" wp14:anchorId="73BE4F0C" wp14:editId="66EB85DB">
            <wp:extent cx="7561580" cy="1942786"/>
            <wp:effectExtent l="0" t="0" r="1270" b="635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948" cy="195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A5" w:rsidRDefault="00C817A5" w:rsidP="000E29BE">
      <w:pPr>
        <w:spacing w:after="720"/>
        <w:sectPr w:rsidR="00C817A5" w:rsidSect="008622F0">
          <w:headerReference w:type="default" r:id="rId9"/>
          <w:footerReference w:type="default" r:id="rId10"/>
          <w:footerReference w:type="first" r:id="rId11"/>
          <w:pgSz w:w="11906" w:h="16838"/>
          <w:pgMar w:top="0" w:right="991" w:bottom="1276" w:left="1440" w:header="0" w:footer="113" w:gutter="0"/>
          <w:cols w:space="708"/>
          <w:titlePg/>
          <w:docGrid w:linePitch="360"/>
        </w:sectPr>
      </w:pPr>
    </w:p>
    <w:p w:rsidR="00B041CB" w:rsidRPr="00C30A4B" w:rsidRDefault="00B041CB" w:rsidP="00C30A4B">
      <w:pPr>
        <w:keepLines/>
        <w:suppressAutoHyphens/>
        <w:spacing w:after="120"/>
        <w:ind w:left="1134"/>
        <w:rPr>
          <w:rFonts w:eastAsia="Calibri" w:cs="Times New Roman (Body CS)"/>
          <w:color w:val="595C6E"/>
          <w:kern w:val="12"/>
          <w:sz w:val="21"/>
          <w:szCs w:val="20"/>
        </w:rPr>
      </w:pPr>
    </w:p>
    <w:p w:rsidR="00B041CB" w:rsidRPr="00B041CB" w:rsidRDefault="008622F0" w:rsidP="00C817A5">
      <w:pPr>
        <w:pStyle w:val="Heading1"/>
      </w:pPr>
      <w:r w:rsidRPr="003E0F1E">
        <w:t>Tasmanian Transport Schemes Review</w:t>
      </w:r>
      <w:r w:rsidR="00B041CB" w:rsidRPr="00B041CB">
        <w:t>—</w:t>
      </w:r>
      <w:r>
        <w:rPr>
          <w:rFonts w:eastAsia="Calibri"/>
          <w:spacing w:val="-1"/>
          <w:lang w:val="en-US"/>
        </w:rPr>
        <w:t>Terms of Reference</w:t>
      </w:r>
    </w:p>
    <w:p w:rsidR="00B041CB" w:rsidRPr="00B041CB" w:rsidRDefault="008622F0" w:rsidP="00C817A5">
      <w:pPr>
        <w:pStyle w:val="Subtitle"/>
      </w:pPr>
      <w:r>
        <w:t xml:space="preserve">Review of the </w:t>
      </w:r>
      <w:r w:rsidRPr="00A67047">
        <w:rPr>
          <w:szCs w:val="24"/>
        </w:rPr>
        <w:t>Tasmanian Freight Equalisation Scheme and Bass Strait Passenger Vehicle Equalisation Schem</w:t>
      </w:r>
      <w:r>
        <w:rPr>
          <w:szCs w:val="24"/>
        </w:rPr>
        <w:t>e</w:t>
      </w:r>
    </w:p>
    <w:p w:rsidR="00B041CB" w:rsidRDefault="00D93B4E" w:rsidP="00C817A5">
      <w:pPr>
        <w:suppressAutoHyphens/>
        <w:spacing w:before="160" w:after="80"/>
        <w:ind w:left="1134"/>
        <w:rPr>
          <w:rFonts w:eastAsia="Calibri" w:cs="Times New Roman"/>
          <w:b/>
          <w:color w:val="081E3E"/>
          <w:kern w:val="12"/>
          <w:sz w:val="20"/>
          <w:szCs w:val="20"/>
        </w:rPr>
      </w:pPr>
      <w:r>
        <w:rPr>
          <w:rFonts w:eastAsia="Calibri" w:cs="Times New Roman"/>
          <w:b/>
          <w:color w:val="081E3E"/>
          <w:kern w:val="12"/>
          <w:sz w:val="20"/>
          <w:szCs w:val="20"/>
        </w:rPr>
        <w:t>October</w:t>
      </w:r>
      <w:r w:rsidR="00B041CB" w:rsidRPr="00B041CB">
        <w:rPr>
          <w:rFonts w:eastAsia="Calibri" w:cs="Times New Roman"/>
          <w:b/>
          <w:color w:val="081E3E"/>
          <w:kern w:val="12"/>
          <w:sz w:val="20"/>
          <w:szCs w:val="20"/>
        </w:rPr>
        <w:t xml:space="preserve"> </w:t>
      </w:r>
      <w:r w:rsidR="0022154B">
        <w:rPr>
          <w:rFonts w:eastAsia="Calibri" w:cs="Times New Roman"/>
          <w:b/>
          <w:color w:val="081E3E"/>
          <w:kern w:val="12"/>
          <w:sz w:val="20"/>
          <w:szCs w:val="20"/>
        </w:rPr>
        <w:t>2025</w:t>
      </w:r>
    </w:p>
    <w:p w:rsidR="009C1ECD" w:rsidRDefault="008622F0" w:rsidP="008622F0">
      <w:pPr>
        <w:spacing w:before="3120" w:after="1506" w:line="427" w:lineRule="exact"/>
        <w:ind w:left="1134"/>
        <w:textAlignment w:val="baseline"/>
        <w:rPr>
          <w:rFonts w:eastAsia="Calibri" w:cs="Times New Roman"/>
          <w:color w:val="000000"/>
          <w:kern w:val="12"/>
          <w:sz w:val="20"/>
          <w:szCs w:val="20"/>
        </w:rPr>
      </w:pPr>
      <w:r>
        <w:rPr>
          <w:rFonts w:eastAsia="Calibri"/>
          <w:b/>
          <w:color w:val="000000"/>
          <w:lang w:val="en-US"/>
        </w:rPr>
        <w:t xml:space="preserve">Senior Responsible Officer: Megan Scott </w:t>
      </w:r>
      <w:r>
        <w:rPr>
          <w:rFonts w:eastAsia="Calibri"/>
          <w:b/>
          <w:color w:val="000000"/>
          <w:lang w:val="en-US"/>
        </w:rPr>
        <w:br/>
        <w:t>Project Manager: Mark Wright</w:t>
      </w:r>
      <w:r w:rsidR="009C1ECD">
        <w:rPr>
          <w:rFonts w:eastAsia="Calibri" w:cs="Times New Roman"/>
          <w:color w:val="000000"/>
          <w:kern w:val="12"/>
          <w:sz w:val="20"/>
          <w:szCs w:val="20"/>
        </w:rPr>
        <w:br w:type="page"/>
      </w:r>
    </w:p>
    <w:p w:rsidR="00670726" w:rsidRPr="00FC7DDF" w:rsidRDefault="00670726" w:rsidP="00C30A4B">
      <w:pPr>
        <w:pStyle w:val="Heading2notshowing"/>
        <w:rPr>
          <w:sz w:val="28"/>
          <w:szCs w:val="28"/>
        </w:rPr>
      </w:pPr>
      <w:r w:rsidRPr="00FC7DDF">
        <w:rPr>
          <w:sz w:val="28"/>
          <w:szCs w:val="28"/>
        </w:rPr>
        <w:lastRenderedPageBreak/>
        <w:t>Table of contents</w:t>
      </w:r>
    </w:p>
    <w:p w:rsidR="005D62B8" w:rsidRDefault="006E5952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\h \z \t "Heading 2,1,Heading 3,2,Heading 4,3" </w:instrText>
      </w:r>
      <w:r>
        <w:rPr>
          <w:b w:val="0"/>
        </w:rPr>
        <w:fldChar w:fldCharType="separate"/>
      </w:r>
      <w:hyperlink w:anchor="_Toc210229851" w:history="1">
        <w:r w:rsidR="005D62B8" w:rsidRPr="0059571D">
          <w:rPr>
            <w:rStyle w:val="Hyperlink"/>
            <w:noProof/>
          </w:rPr>
          <w:t>Terms of Reference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_Toc210229851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3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2" w:history="1">
        <w:r w:rsidR="005D62B8" w:rsidRPr="0059571D">
          <w:rPr>
            <w:rStyle w:val="Hyperlink"/>
            <w:noProof/>
          </w:rPr>
          <w:t>1.1 Purpose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_Toc210229852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3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3" w:history="1">
        <w:r w:rsidR="005D62B8" w:rsidRPr="0059571D">
          <w:rPr>
            <w:rStyle w:val="Hyperlink"/>
            <w:noProof/>
          </w:rPr>
          <w:t>1.3 Scope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_Toc210229853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3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4" w:history="1">
        <w:r w:rsidR="005D62B8" w:rsidRPr="0059571D">
          <w:rPr>
            <w:rStyle w:val="Hyperlink"/>
            <w:noProof/>
          </w:rPr>
          <w:t>1.4 Governance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_Toc210229854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4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5" w:history="1">
        <w:r w:rsidR="005D62B8" w:rsidRPr="0059571D">
          <w:rPr>
            <w:rStyle w:val="Hyperlink"/>
            <w:noProof/>
          </w:rPr>
          <w:t>1.4.1 Role of the Reviewer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_Toc210229855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4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6" w:history="1">
        <w:r w:rsidR="005D62B8" w:rsidRPr="0059571D">
          <w:rPr>
            <w:rStyle w:val="Hyperlink"/>
            <w:noProof/>
          </w:rPr>
          <w:t>1.4.2 Responsibilities of the Reviewers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_Toc210229856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4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10229857" w:history="1">
        <w:r w:rsidR="005D62B8" w:rsidRPr="0059571D">
          <w:rPr>
            <w:rStyle w:val="Hyperlink"/>
            <w:noProof/>
          </w:rPr>
          <w:t>1.5 Timeframes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_Toc210229857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4</w:t>
        </w:r>
        <w:r w:rsidR="005D62B8">
          <w:rPr>
            <w:noProof/>
            <w:webHidden/>
          </w:rPr>
          <w:fldChar w:fldCharType="end"/>
        </w:r>
      </w:hyperlink>
    </w:p>
    <w:p w:rsidR="005D62B8" w:rsidRDefault="00F402E8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10229858" w:history="1">
        <w:r w:rsidR="005D62B8" w:rsidRPr="0059571D">
          <w:rPr>
            <w:rStyle w:val="Hyperlink"/>
            <w:noProof/>
          </w:rPr>
          <w:t>Document Control</w:t>
        </w:r>
        <w:r w:rsidR="005D62B8">
          <w:rPr>
            <w:noProof/>
            <w:webHidden/>
          </w:rPr>
          <w:tab/>
        </w:r>
        <w:r w:rsidR="005D62B8">
          <w:rPr>
            <w:noProof/>
            <w:webHidden/>
          </w:rPr>
          <w:fldChar w:fldCharType="begin"/>
        </w:r>
        <w:r w:rsidR="005D62B8">
          <w:rPr>
            <w:noProof/>
            <w:webHidden/>
          </w:rPr>
          <w:instrText xml:space="preserve"> PAGEREF _Toc210229858 \h </w:instrText>
        </w:r>
        <w:r w:rsidR="005D62B8">
          <w:rPr>
            <w:noProof/>
            <w:webHidden/>
          </w:rPr>
        </w:r>
        <w:r w:rsidR="005D62B8">
          <w:rPr>
            <w:noProof/>
            <w:webHidden/>
          </w:rPr>
          <w:fldChar w:fldCharType="separate"/>
        </w:r>
        <w:r w:rsidR="005D62B8">
          <w:rPr>
            <w:noProof/>
            <w:webHidden/>
          </w:rPr>
          <w:t>5</w:t>
        </w:r>
        <w:r w:rsidR="005D62B8">
          <w:rPr>
            <w:noProof/>
            <w:webHidden/>
          </w:rPr>
          <w:fldChar w:fldCharType="end"/>
        </w:r>
      </w:hyperlink>
    </w:p>
    <w:p w:rsidR="00670726" w:rsidRPr="00670726" w:rsidRDefault="006E5952" w:rsidP="00670726">
      <w:pPr>
        <w:suppressAutoHyphens/>
        <w:rPr>
          <w:rFonts w:eastAsia="Calibri" w:cs="Times New Roman"/>
          <w:color w:val="000000"/>
          <w:kern w:val="12"/>
          <w:szCs w:val="20"/>
        </w:rPr>
      </w:pPr>
      <w:r>
        <w:rPr>
          <w:b/>
          <w:color w:val="000000" w:themeColor="text1"/>
          <w:u w:val="single" w:color="4BB3B5"/>
        </w:rPr>
        <w:fldChar w:fldCharType="end"/>
      </w:r>
    </w:p>
    <w:p w:rsidR="00796AB4" w:rsidRDefault="00796AB4">
      <w:pPr>
        <w:spacing w:line="259" w:lineRule="auto"/>
        <w:sectPr w:rsidR="00796AB4" w:rsidSect="000E29BE">
          <w:footerReference w:type="default" r:id="rId12"/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:rsidR="00033FB9" w:rsidRDefault="00033FB9" w:rsidP="00033FB9">
      <w:pPr>
        <w:pStyle w:val="Heading2"/>
      </w:pPr>
      <w:bookmarkStart w:id="0" w:name="_Toc201586526"/>
      <w:bookmarkStart w:id="1" w:name="_Toc210229851"/>
      <w:r>
        <w:lastRenderedPageBreak/>
        <w:t>Terms of Reference</w:t>
      </w:r>
      <w:bookmarkEnd w:id="0"/>
      <w:bookmarkEnd w:id="1"/>
    </w:p>
    <w:p w:rsidR="00033FB9" w:rsidRPr="005F794B" w:rsidRDefault="00033FB9" w:rsidP="00033FB9">
      <w:pPr>
        <w:pStyle w:val="Heading3"/>
      </w:pPr>
      <w:bookmarkStart w:id="2" w:name="_Toc201586527"/>
      <w:bookmarkStart w:id="3" w:name="_Toc210229852"/>
      <w:r>
        <w:t>1.1 Purpose</w:t>
      </w:r>
      <w:bookmarkEnd w:id="2"/>
      <w:bookmarkEnd w:id="3"/>
    </w:p>
    <w:p w:rsidR="00033FB9" w:rsidRDefault="00033FB9" w:rsidP="00033FB9">
      <w:r w:rsidRPr="000A1CC4">
        <w:t xml:space="preserve">The Australian Government is committed to ensuring Tasmanian businesses have access to </w:t>
      </w:r>
      <w:r>
        <w:t xml:space="preserve">other markets </w:t>
      </w:r>
      <w:r w:rsidRPr="000A1CC4">
        <w:t xml:space="preserve">at reasonable freight rates across the Bass Strait. </w:t>
      </w:r>
      <w:r w:rsidRPr="001E1DBC">
        <w:t>Maintaining</w:t>
      </w:r>
      <w:r>
        <w:t xml:space="preserve"> and growing</w:t>
      </w:r>
      <w:r w:rsidRPr="001E1DBC">
        <w:t xml:space="preserve"> </w:t>
      </w:r>
      <w:r>
        <w:t xml:space="preserve">the </w:t>
      </w:r>
      <w:r w:rsidRPr="001E1DBC">
        <w:t>Australian shipping industry is critical</w:t>
      </w:r>
      <w:r>
        <w:t xml:space="preserve"> to supporting this commitment, with a</w:t>
      </w:r>
      <w:r w:rsidRPr="003E7F2D">
        <w:t xml:space="preserve"> </w:t>
      </w:r>
      <w:r w:rsidRPr="001E1DBC">
        <w:t>strong shipping industry also provid</w:t>
      </w:r>
      <w:r>
        <w:t>ing</w:t>
      </w:r>
      <w:r w:rsidRPr="001E1DBC">
        <w:t xml:space="preserve"> benefits, such as the creation of </w:t>
      </w:r>
      <w:r>
        <w:t>jobs</w:t>
      </w:r>
      <w:r w:rsidRPr="001E1DBC">
        <w:t>, supply chain security and economic diversity.</w:t>
      </w:r>
    </w:p>
    <w:p w:rsidR="00033FB9" w:rsidRDefault="00033FB9" w:rsidP="00033FB9">
      <w:bookmarkStart w:id="4" w:name="_Hlk201564870"/>
      <w:r>
        <w:t>As announced on 2 April 2025, t</w:t>
      </w:r>
      <w:r w:rsidRPr="000A1CC4">
        <w:t xml:space="preserve">he </w:t>
      </w:r>
      <w:r>
        <w:t>g</w:t>
      </w:r>
      <w:r w:rsidRPr="00F32243">
        <w:t xml:space="preserve">overnment will appoint </w:t>
      </w:r>
      <w:r>
        <w:t xml:space="preserve">an </w:t>
      </w:r>
      <w:r w:rsidRPr="00F32243">
        <w:t xml:space="preserve">independent </w:t>
      </w:r>
      <w:r w:rsidRPr="0027479D">
        <w:t>reviewer</w:t>
      </w:r>
      <w:r>
        <w:t>(</w:t>
      </w:r>
      <w:r w:rsidRPr="0027479D">
        <w:t>s</w:t>
      </w:r>
      <w:r>
        <w:t xml:space="preserve">) to undertake a comprehensive review of the </w:t>
      </w:r>
      <w:r w:rsidRPr="000A1CC4">
        <w:t>Tasmanian Freight Equalisation Scheme</w:t>
      </w:r>
      <w:r>
        <w:t xml:space="preserve"> (</w:t>
      </w:r>
      <w:proofErr w:type="spellStart"/>
      <w:r>
        <w:t>TFES</w:t>
      </w:r>
      <w:proofErr w:type="spellEnd"/>
      <w:r>
        <w:t xml:space="preserve">) (the Review). The Review also addresses </w:t>
      </w:r>
      <w:r w:rsidRPr="000A1CC4">
        <w:t>recommendation</w:t>
      </w:r>
      <w:r>
        <w:t>s</w:t>
      </w:r>
      <w:r w:rsidRPr="000A1CC4">
        <w:t xml:space="preserve"> 1 and 5 of the </w:t>
      </w:r>
      <w:r>
        <w:t xml:space="preserve">report of the Senate </w:t>
      </w:r>
      <w:r w:rsidRPr="000A1CC4">
        <w:t xml:space="preserve">Select Committee on the </w:t>
      </w:r>
      <w:proofErr w:type="spellStart"/>
      <w:r>
        <w:t>TFES</w:t>
      </w:r>
      <w:proofErr w:type="spellEnd"/>
      <w:r>
        <w:t>, tabled on 19 December 2024.</w:t>
      </w:r>
      <w:bookmarkEnd w:id="4"/>
    </w:p>
    <w:p w:rsidR="00033FB9" w:rsidRDefault="00033FB9" w:rsidP="00033FB9">
      <w:bookmarkStart w:id="5" w:name="_Hlk201568804"/>
      <w:bookmarkStart w:id="6" w:name="_Hlk201584349"/>
      <w:r w:rsidRPr="000A1CC4">
        <w:t xml:space="preserve">The </w:t>
      </w:r>
      <w:r>
        <w:t>R</w:t>
      </w:r>
      <w:r w:rsidRPr="000A1CC4">
        <w:t xml:space="preserve">eview will consider </w:t>
      </w:r>
      <w:r>
        <w:t>if</w:t>
      </w:r>
      <w:r w:rsidRPr="000A1CC4">
        <w:t xml:space="preserve"> the scheme could better </w:t>
      </w:r>
      <w:r>
        <w:t>support</w:t>
      </w:r>
      <w:r w:rsidRPr="000A1CC4">
        <w:t xml:space="preserve"> Tasmanian </w:t>
      </w:r>
      <w:r>
        <w:t>businesses</w:t>
      </w:r>
      <w:r w:rsidRPr="000A1CC4">
        <w:t xml:space="preserve"> to compete in other markets, recognising that, unlike their mainland counterparts, Tasmanian </w:t>
      </w:r>
      <w:r>
        <w:t>businesses</w:t>
      </w:r>
      <w:r w:rsidRPr="000A1CC4">
        <w:t xml:space="preserve"> do not have the option of transporting goods interstate by road or rail. </w:t>
      </w:r>
      <w:bookmarkEnd w:id="5"/>
    </w:p>
    <w:p w:rsidR="00033FB9" w:rsidRDefault="00033FB9" w:rsidP="00033FB9">
      <w:r>
        <w:t>The Review will also consider the role of the Bass Strait Passenger Vehicle Equalisation Scheme (</w:t>
      </w:r>
      <w:proofErr w:type="spellStart"/>
      <w:r>
        <w:t>BSPVES</w:t>
      </w:r>
      <w:proofErr w:type="spellEnd"/>
      <w:r>
        <w:t>) in reducing the cost of passenger vehicles being moved across Bass Strait.</w:t>
      </w:r>
      <w:bookmarkEnd w:id="6"/>
    </w:p>
    <w:p w:rsidR="00033FB9" w:rsidRPr="003A75DF" w:rsidRDefault="00033FB9" w:rsidP="00033FB9">
      <w:pPr>
        <w:pStyle w:val="Heading3"/>
      </w:pPr>
      <w:bookmarkStart w:id="7" w:name="_Toc201586528"/>
      <w:bookmarkStart w:id="8" w:name="_Toc210229853"/>
      <w:r>
        <w:t>1.3 Scope</w:t>
      </w:r>
      <w:bookmarkEnd w:id="7"/>
      <w:bookmarkEnd w:id="8"/>
    </w:p>
    <w:p w:rsidR="00033FB9" w:rsidRPr="000A1CC4" w:rsidRDefault="00033FB9" w:rsidP="00033FB9">
      <w:pPr>
        <w:rPr>
          <w:lang w:val="en-US"/>
        </w:rPr>
      </w:pPr>
      <w:r>
        <w:rPr>
          <w:lang w:val="en-US"/>
        </w:rPr>
        <w:t>The Review of the two schemes</w:t>
      </w:r>
      <w:r w:rsidRPr="000A1CC4">
        <w:rPr>
          <w:lang w:val="en-US"/>
        </w:rPr>
        <w:t xml:space="preserve"> will investigate:</w:t>
      </w:r>
    </w:p>
    <w:p w:rsidR="00033FB9" w:rsidRDefault="00033FB9" w:rsidP="00033FB9">
      <w:pPr>
        <w:pStyle w:val="Listparagraphbullets"/>
        <w:rPr>
          <w:lang w:val="en-US"/>
        </w:rPr>
      </w:pPr>
      <w:r w:rsidRPr="000A1CC4">
        <w:rPr>
          <w:lang w:val="en-US"/>
        </w:rPr>
        <w:t xml:space="preserve">the original policy </w:t>
      </w:r>
      <w:r>
        <w:rPr>
          <w:lang w:val="en-US"/>
        </w:rPr>
        <w:t>objectives</w:t>
      </w:r>
      <w:r w:rsidRPr="000A1CC4">
        <w:rPr>
          <w:lang w:val="en-US"/>
        </w:rPr>
        <w:t xml:space="preserve"> of the </w:t>
      </w:r>
      <w:proofErr w:type="spellStart"/>
      <w:r>
        <w:rPr>
          <w:lang w:val="en-US"/>
        </w:rPr>
        <w:t>TFES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BSPVES</w:t>
      </w:r>
      <w:proofErr w:type="spellEnd"/>
      <w:r w:rsidRPr="000A1CC4">
        <w:rPr>
          <w:lang w:val="en-US"/>
        </w:rPr>
        <w:t xml:space="preserve"> and whether </w:t>
      </w:r>
      <w:r>
        <w:rPr>
          <w:lang w:val="en-US"/>
        </w:rPr>
        <w:t>these objectives</w:t>
      </w:r>
      <w:r w:rsidRPr="000A1CC4">
        <w:rPr>
          <w:lang w:val="en-US"/>
        </w:rPr>
        <w:t xml:space="preserve"> remain fit</w:t>
      </w:r>
      <w:r>
        <w:rPr>
          <w:lang w:val="en-US"/>
        </w:rPr>
        <w:noBreakHyphen/>
      </w:r>
      <w:r w:rsidRPr="000A1CC4">
        <w:rPr>
          <w:lang w:val="en-US"/>
        </w:rPr>
        <w:t>for</w:t>
      </w:r>
      <w:r>
        <w:rPr>
          <w:lang w:val="en-US"/>
        </w:rPr>
        <w:noBreakHyphen/>
      </w:r>
      <w:r w:rsidRPr="000A1CC4">
        <w:rPr>
          <w:lang w:val="en-US"/>
        </w:rPr>
        <w:t>purpose</w:t>
      </w:r>
      <w:r>
        <w:rPr>
          <w:lang w:val="en-US"/>
        </w:rPr>
        <w:t>; and</w:t>
      </w:r>
    </w:p>
    <w:p w:rsidR="00033FB9" w:rsidRDefault="00033FB9" w:rsidP="00033FB9">
      <w:pPr>
        <w:pStyle w:val="Listparagraphbullets"/>
        <w:rPr>
          <w:lang w:val="en-US"/>
        </w:rPr>
      </w:pPr>
      <w:r>
        <w:rPr>
          <w:lang w:val="en-US"/>
        </w:rPr>
        <w:t>whether changes to the design or administration of the schemes are needed to better serve those objectives.</w:t>
      </w:r>
    </w:p>
    <w:p w:rsidR="00033FB9" w:rsidRPr="00223630" w:rsidRDefault="00033FB9" w:rsidP="00033FB9">
      <w:pPr>
        <w:rPr>
          <w:lang w:val="en-US"/>
        </w:rPr>
      </w:pPr>
      <w:proofErr w:type="spellStart"/>
      <w:r w:rsidRPr="00223630">
        <w:rPr>
          <w:lang w:val="en-US"/>
        </w:rPr>
        <w:t>TFES</w:t>
      </w:r>
      <w:proofErr w:type="spellEnd"/>
      <w:r w:rsidRPr="00223630">
        <w:rPr>
          <w:lang w:val="en-US"/>
        </w:rPr>
        <w:t xml:space="preserve"> specific T</w:t>
      </w:r>
      <w:r>
        <w:rPr>
          <w:lang w:val="en-US"/>
        </w:rPr>
        <w:t xml:space="preserve">erms </w:t>
      </w:r>
      <w:r w:rsidRPr="00223630">
        <w:rPr>
          <w:lang w:val="en-US"/>
        </w:rPr>
        <w:t>o</w:t>
      </w:r>
      <w:r>
        <w:rPr>
          <w:lang w:val="en-US"/>
        </w:rPr>
        <w:t xml:space="preserve">f </w:t>
      </w:r>
      <w:r w:rsidRPr="00223630">
        <w:rPr>
          <w:lang w:val="en-US"/>
        </w:rPr>
        <w:t>R</w:t>
      </w:r>
      <w:r>
        <w:rPr>
          <w:lang w:val="en-US"/>
        </w:rPr>
        <w:t>eference</w:t>
      </w:r>
    </w:p>
    <w:p w:rsidR="00033FB9" w:rsidRPr="00846A83" w:rsidRDefault="00033FB9" w:rsidP="00033FB9">
      <w:pPr>
        <w:pStyle w:val="Listparagraphbullets"/>
        <w:rPr>
          <w:lang w:val="en-US"/>
        </w:rPr>
      </w:pPr>
      <w:bookmarkStart w:id="9" w:name="_Hlk201569055"/>
      <w:r w:rsidRPr="00846A83">
        <w:rPr>
          <w:lang w:val="en-US"/>
        </w:rPr>
        <w:t xml:space="preserve">the extent to which the fixed intermodal cost component of assistance reflects the actual intermodal costs paid by </w:t>
      </w:r>
      <w:proofErr w:type="spellStart"/>
      <w:r w:rsidRPr="00846A83">
        <w:rPr>
          <w:lang w:val="en-US"/>
        </w:rPr>
        <w:t>TFES</w:t>
      </w:r>
      <w:proofErr w:type="spellEnd"/>
      <w:r w:rsidRPr="00846A83">
        <w:rPr>
          <w:lang w:val="en-US"/>
        </w:rPr>
        <w:t xml:space="preserve"> claimants.</w:t>
      </w:r>
      <w:bookmarkEnd w:id="9"/>
    </w:p>
    <w:p w:rsidR="00033FB9" w:rsidRDefault="00033FB9" w:rsidP="00033FB9">
      <w:pPr>
        <w:pStyle w:val="Listparagraphbullets"/>
        <w:spacing w:after="0"/>
        <w:rPr>
          <w:lang w:val="en-US"/>
        </w:rPr>
      </w:pPr>
      <w:r>
        <w:rPr>
          <w:lang w:val="en-US"/>
        </w:rPr>
        <w:t xml:space="preserve">whether </w:t>
      </w:r>
      <w:r w:rsidRPr="000A1CC4">
        <w:rPr>
          <w:lang w:val="en-US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TFES</w:t>
      </w:r>
      <w:proofErr w:type="spellEnd"/>
      <w:r w:rsidRPr="000A1CC4">
        <w:rPr>
          <w:lang w:val="en-US"/>
        </w:rPr>
        <w:t xml:space="preserve"> </w:t>
      </w:r>
      <w:r>
        <w:rPr>
          <w:lang w:val="en-US"/>
        </w:rPr>
        <w:t xml:space="preserve">assistance </w:t>
      </w:r>
      <w:r w:rsidRPr="000A1CC4">
        <w:rPr>
          <w:lang w:val="en-US"/>
        </w:rPr>
        <w:t>rates</w:t>
      </w:r>
      <w:r>
        <w:rPr>
          <w:lang w:val="en-US"/>
        </w:rPr>
        <w:t>, including variable and fixed components,</w:t>
      </w:r>
      <w:r w:rsidRPr="000A1CC4">
        <w:rPr>
          <w:lang w:val="en-US"/>
        </w:rPr>
        <w:t xml:space="preserve"> </w:t>
      </w:r>
      <w:r>
        <w:rPr>
          <w:lang w:val="en-US"/>
        </w:rPr>
        <w:t>address the freight cost disadvantage</w:t>
      </w:r>
      <w:r w:rsidRPr="000A1CC4">
        <w:rPr>
          <w:lang w:val="en-US"/>
        </w:rPr>
        <w:t xml:space="preserve"> and the </w:t>
      </w:r>
      <w:r>
        <w:rPr>
          <w:lang w:val="en-US"/>
        </w:rPr>
        <w:t xml:space="preserve">suitability of the sliding </w:t>
      </w:r>
      <w:r w:rsidRPr="000A1CC4">
        <w:rPr>
          <w:lang w:val="en-US"/>
        </w:rPr>
        <w:t xml:space="preserve">class scale </w:t>
      </w:r>
      <w:r>
        <w:rPr>
          <w:lang w:val="en-US"/>
        </w:rPr>
        <w:t xml:space="preserve">of assistance for domestic shipments compared to a fixed rate, as well as </w:t>
      </w:r>
      <w:r w:rsidRPr="000A1CC4">
        <w:rPr>
          <w:lang w:val="en-US"/>
        </w:rPr>
        <w:t xml:space="preserve">options to alleviate the cost disadvantage </w:t>
      </w:r>
      <w:r>
        <w:rPr>
          <w:lang w:val="en-US"/>
        </w:rPr>
        <w:t xml:space="preserve">for </w:t>
      </w:r>
      <w:r w:rsidRPr="000A1CC4">
        <w:rPr>
          <w:lang w:val="en-US"/>
        </w:rPr>
        <w:t xml:space="preserve">goods </w:t>
      </w:r>
      <w:r>
        <w:rPr>
          <w:lang w:val="en-US"/>
        </w:rPr>
        <w:t xml:space="preserve">shipped </w:t>
      </w:r>
      <w:r w:rsidRPr="000A1CC4">
        <w:rPr>
          <w:lang w:val="en-US"/>
        </w:rPr>
        <w:t>between</w:t>
      </w:r>
      <w:r>
        <w:rPr>
          <w:lang w:val="en-US"/>
        </w:rPr>
        <w:t xml:space="preserve"> </w:t>
      </w:r>
      <w:r w:rsidRPr="000A1CC4">
        <w:rPr>
          <w:lang w:val="en-US"/>
        </w:rPr>
        <w:t>Tasmania</w:t>
      </w:r>
      <w:r>
        <w:rPr>
          <w:lang w:val="en-US"/>
        </w:rPr>
        <w:t xml:space="preserve">n ports </w:t>
      </w:r>
      <w:r w:rsidRPr="000A1CC4">
        <w:rPr>
          <w:lang w:val="en-US"/>
        </w:rPr>
        <w:t>and the mainland</w:t>
      </w:r>
      <w:r w:rsidRPr="002545CD">
        <w:rPr>
          <w:lang w:val="en-US"/>
        </w:rPr>
        <w:t xml:space="preserve"> </w:t>
      </w:r>
      <w:r>
        <w:rPr>
          <w:lang w:val="en-US"/>
        </w:rPr>
        <w:t>including:</w:t>
      </w:r>
    </w:p>
    <w:p w:rsidR="00033FB9" w:rsidRPr="00D9791D" w:rsidRDefault="00033FB9" w:rsidP="00033FB9">
      <w:pPr>
        <w:pStyle w:val="Listparagraphbulletssecondlevel"/>
        <w:spacing w:before="0" w:after="0"/>
        <w:rPr>
          <w:lang w:val="en-US"/>
        </w:rPr>
      </w:pPr>
      <w:r w:rsidRPr="00D9791D">
        <w:rPr>
          <w:lang w:val="en-US"/>
        </w:rPr>
        <w:t>non-financial options</w:t>
      </w:r>
    </w:p>
    <w:p w:rsidR="00033FB9" w:rsidRPr="002545CD" w:rsidRDefault="00033FB9" w:rsidP="00033FB9">
      <w:pPr>
        <w:pStyle w:val="Listparagraphbulletssecondlevel"/>
        <w:spacing w:before="0" w:after="0"/>
        <w:rPr>
          <w:lang w:val="en-US"/>
        </w:rPr>
      </w:pPr>
      <w:r w:rsidRPr="00D9791D">
        <w:rPr>
          <w:lang w:val="en-US"/>
        </w:rPr>
        <w:t>alternative freight options</w:t>
      </w:r>
    </w:p>
    <w:p w:rsidR="00033FB9" w:rsidRPr="002545CD" w:rsidRDefault="00033FB9" w:rsidP="00033FB9">
      <w:pPr>
        <w:pStyle w:val="Listparagraphbullets"/>
        <w:rPr>
          <w:lang w:val="en-US"/>
        </w:rPr>
      </w:pPr>
      <w:r>
        <w:rPr>
          <w:lang w:val="en-US"/>
        </w:rPr>
        <w:t xml:space="preserve">options to simplify the </w:t>
      </w:r>
      <w:proofErr w:type="spellStart"/>
      <w:r>
        <w:rPr>
          <w:lang w:val="en-US"/>
        </w:rPr>
        <w:t>TFES</w:t>
      </w:r>
      <w:proofErr w:type="spellEnd"/>
      <w:r>
        <w:rPr>
          <w:lang w:val="en-US"/>
        </w:rPr>
        <w:t xml:space="preserve"> to make it easier for Tasmanian businesses to understand and access, including </w:t>
      </w:r>
      <w:r w:rsidRPr="00F32243">
        <w:rPr>
          <w:lang w:val="en-US"/>
        </w:rPr>
        <w:t>improv</w:t>
      </w:r>
      <w:r>
        <w:rPr>
          <w:lang w:val="en-US"/>
        </w:rPr>
        <w:t>ing</w:t>
      </w:r>
      <w:r w:rsidRPr="00F32243">
        <w:rPr>
          <w:lang w:val="en-US"/>
        </w:rPr>
        <w:t xml:space="preserve"> and </w:t>
      </w:r>
      <w:proofErr w:type="spellStart"/>
      <w:r w:rsidRPr="00F32243">
        <w:rPr>
          <w:lang w:val="en-US"/>
        </w:rPr>
        <w:t>modernis</w:t>
      </w:r>
      <w:r>
        <w:rPr>
          <w:lang w:val="en-US"/>
        </w:rPr>
        <w:t>ing</w:t>
      </w:r>
      <w:proofErr w:type="spellEnd"/>
      <w:r w:rsidRPr="00F32243">
        <w:rPr>
          <w:lang w:val="en-US"/>
        </w:rPr>
        <w:t xml:space="preserve"> the administration of the scheme</w:t>
      </w:r>
      <w:r>
        <w:rPr>
          <w:lang w:val="en-US"/>
        </w:rPr>
        <w:t xml:space="preserve"> (including ICT options). This will include investigating the differential impacts of the scheme on smaller businesses compared for larger businesses.</w:t>
      </w:r>
    </w:p>
    <w:p w:rsidR="00033FB9" w:rsidRDefault="00033FB9" w:rsidP="00033FB9">
      <w:pPr>
        <w:pStyle w:val="Listparagraphbullets"/>
        <w:rPr>
          <w:lang w:val="en-US"/>
        </w:rPr>
      </w:pPr>
      <w:r w:rsidRPr="00760B39">
        <w:rPr>
          <w:lang w:val="en-US"/>
        </w:rPr>
        <w:t xml:space="preserve">the competitiveness of </w:t>
      </w:r>
      <w:r w:rsidRPr="00521F82">
        <w:rPr>
          <w:lang w:val="en-US"/>
        </w:rPr>
        <w:t xml:space="preserve">trade, and the impact of </w:t>
      </w:r>
      <w:proofErr w:type="spellStart"/>
      <w:r w:rsidRPr="00521F82">
        <w:rPr>
          <w:lang w:val="en-US"/>
        </w:rPr>
        <w:t>TFES</w:t>
      </w:r>
      <w:proofErr w:type="spellEnd"/>
      <w:r w:rsidRPr="00521F82">
        <w:rPr>
          <w:lang w:val="en-US"/>
        </w:rPr>
        <w:t xml:space="preserve"> on competitiveness, on</w:t>
      </w:r>
      <w:r w:rsidRPr="00760B39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760B39">
        <w:rPr>
          <w:lang w:val="en-US"/>
        </w:rPr>
        <w:t>Bass Strait and to the Bass Strait islands, considering both sea and air freight</w:t>
      </w:r>
      <w:r>
        <w:rPr>
          <w:lang w:val="en-US"/>
        </w:rPr>
        <w:t>.</w:t>
      </w:r>
      <w:r w:rsidRPr="00B50503">
        <w:rPr>
          <w:lang w:val="en-US"/>
        </w:rPr>
        <w:t xml:space="preserve"> </w:t>
      </w:r>
    </w:p>
    <w:p w:rsidR="00033FB9" w:rsidRPr="00223630" w:rsidRDefault="00033FB9" w:rsidP="00033FB9">
      <w:pPr>
        <w:rPr>
          <w:lang w:val="en-US"/>
        </w:rPr>
      </w:pPr>
      <w:proofErr w:type="spellStart"/>
      <w:r>
        <w:rPr>
          <w:lang w:val="en-US"/>
        </w:rPr>
        <w:t>BSPVES</w:t>
      </w:r>
      <w:proofErr w:type="spellEnd"/>
      <w:r>
        <w:rPr>
          <w:lang w:val="en-US"/>
        </w:rPr>
        <w:t xml:space="preserve"> specific </w:t>
      </w:r>
      <w:r w:rsidRPr="00223630">
        <w:rPr>
          <w:lang w:val="en-US"/>
        </w:rPr>
        <w:t>T</w:t>
      </w:r>
      <w:r>
        <w:rPr>
          <w:lang w:val="en-US"/>
        </w:rPr>
        <w:t xml:space="preserve">erms </w:t>
      </w:r>
      <w:r w:rsidRPr="00223630">
        <w:rPr>
          <w:lang w:val="en-US"/>
        </w:rPr>
        <w:t>o</w:t>
      </w:r>
      <w:r>
        <w:rPr>
          <w:lang w:val="en-US"/>
        </w:rPr>
        <w:t xml:space="preserve">f </w:t>
      </w:r>
      <w:r w:rsidRPr="00223630">
        <w:rPr>
          <w:lang w:val="en-US"/>
        </w:rPr>
        <w:t>R</w:t>
      </w:r>
      <w:r>
        <w:rPr>
          <w:lang w:val="en-US"/>
        </w:rPr>
        <w:t>eference</w:t>
      </w:r>
    </w:p>
    <w:p w:rsidR="00033FB9" w:rsidRDefault="00033FB9" w:rsidP="00033FB9">
      <w:pPr>
        <w:pStyle w:val="Listparagraphbullets"/>
        <w:rPr>
          <w:lang w:val="en-US"/>
        </w:rPr>
      </w:pPr>
      <w:r>
        <w:rPr>
          <w:lang w:val="en-US"/>
        </w:rPr>
        <w:t xml:space="preserve">the extent to which the </w:t>
      </w:r>
      <w:proofErr w:type="spellStart"/>
      <w:r>
        <w:rPr>
          <w:lang w:val="en-US"/>
        </w:rPr>
        <w:t>BSPVES</w:t>
      </w:r>
      <w:proofErr w:type="spellEnd"/>
      <w:r>
        <w:rPr>
          <w:lang w:val="en-US"/>
        </w:rPr>
        <w:t xml:space="preserve"> achieves its stated objectives of reducing the cost of sending </w:t>
      </w:r>
      <w:r w:rsidRPr="008C51F6">
        <w:t xml:space="preserve">eligible passenger </w:t>
      </w:r>
      <w:r>
        <w:t xml:space="preserve">vehicles </w:t>
      </w:r>
      <w:r w:rsidRPr="008C51F6">
        <w:t xml:space="preserve">across </w:t>
      </w:r>
      <w:r>
        <w:t xml:space="preserve">the </w:t>
      </w:r>
      <w:r w:rsidRPr="008C51F6">
        <w:t>Bass Strait</w:t>
      </w:r>
      <w:r>
        <w:t xml:space="preserve">. This includes whether the </w:t>
      </w:r>
      <w:proofErr w:type="spellStart"/>
      <w:r>
        <w:t>BSPVES</w:t>
      </w:r>
      <w:proofErr w:type="spellEnd"/>
      <w:r>
        <w:t xml:space="preserve"> benefits the public and/or Service Operators, and</w:t>
      </w:r>
      <w:r w:rsidRPr="00223630">
        <w:rPr>
          <w:lang w:val="en-US"/>
        </w:rPr>
        <w:t xml:space="preserve"> the impact, and any unintended consequences or distortionary effects</w:t>
      </w:r>
      <w:r>
        <w:rPr>
          <w:lang w:val="en-US"/>
        </w:rPr>
        <w:t>,</w:t>
      </w:r>
      <w:r w:rsidRPr="00223630">
        <w:rPr>
          <w:lang w:val="en-US"/>
        </w:rPr>
        <w:t xml:space="preserve"> of the current arrangements</w:t>
      </w:r>
      <w:r>
        <w:rPr>
          <w:lang w:val="en-US"/>
        </w:rPr>
        <w:t>.</w:t>
      </w:r>
    </w:p>
    <w:p w:rsidR="00033FB9" w:rsidRPr="00223630" w:rsidRDefault="00033FB9" w:rsidP="00033FB9">
      <w:pPr>
        <w:pStyle w:val="Listparagraphbullets"/>
        <w:rPr>
          <w:lang w:val="en-US"/>
        </w:rPr>
      </w:pPr>
      <w:r w:rsidRPr="00223630">
        <w:rPr>
          <w:lang w:val="en-US"/>
        </w:rPr>
        <w:lastRenderedPageBreak/>
        <w:t xml:space="preserve">the Consumer Price Index increase to the </w:t>
      </w:r>
      <w:proofErr w:type="spellStart"/>
      <w:r>
        <w:rPr>
          <w:lang w:val="en-US"/>
        </w:rPr>
        <w:t>BSPVES</w:t>
      </w:r>
      <w:proofErr w:type="spellEnd"/>
      <w:r>
        <w:rPr>
          <w:lang w:val="en-US"/>
        </w:rPr>
        <w:t xml:space="preserve"> </w:t>
      </w:r>
      <w:r w:rsidRPr="00223630">
        <w:rPr>
          <w:lang w:val="en-US"/>
        </w:rPr>
        <w:t>rates that is applied annually to establish if this is the optimal method of addressing the cost disadvantage for people travelling by sea across the Bass Strait</w:t>
      </w:r>
      <w:r>
        <w:rPr>
          <w:lang w:val="en-US"/>
        </w:rPr>
        <w:t>.</w:t>
      </w:r>
    </w:p>
    <w:p w:rsidR="00033FB9" w:rsidRDefault="00033FB9" w:rsidP="00033FB9">
      <w:pPr>
        <w:pStyle w:val="Listparagraphbullets"/>
        <w:rPr>
          <w:lang w:val="en-US"/>
        </w:rPr>
      </w:pPr>
      <w:r w:rsidRPr="00223630">
        <w:rPr>
          <w:lang w:val="en-US"/>
        </w:rPr>
        <w:t xml:space="preserve">any alternative mechanisms that could more effectively address </w:t>
      </w:r>
      <w:r>
        <w:rPr>
          <w:lang w:val="en-US"/>
        </w:rPr>
        <w:t>the costs of shipping passenger vehicles across Bass Strait</w:t>
      </w:r>
      <w:r w:rsidRPr="00223630">
        <w:rPr>
          <w:lang w:val="en-US"/>
        </w:rPr>
        <w:t>, including assessing the economic costs and benefits of any alternative mechanism</w:t>
      </w:r>
      <w:r>
        <w:rPr>
          <w:lang w:val="en-US"/>
        </w:rPr>
        <w:t>.</w:t>
      </w:r>
    </w:p>
    <w:p w:rsidR="00033FB9" w:rsidRDefault="00033FB9" w:rsidP="00033FB9">
      <w:pPr>
        <w:pStyle w:val="Heading3"/>
      </w:pPr>
      <w:bookmarkStart w:id="10" w:name="_Toc201586529"/>
      <w:bookmarkStart w:id="11" w:name="_Toc210229854"/>
      <w:r>
        <w:t>1.4 Governance</w:t>
      </w:r>
      <w:bookmarkEnd w:id="10"/>
      <w:bookmarkEnd w:id="11"/>
    </w:p>
    <w:p w:rsidR="00033FB9" w:rsidRDefault="00033FB9" w:rsidP="00033FB9">
      <w:pPr>
        <w:pStyle w:val="Heading4"/>
      </w:pPr>
      <w:bookmarkStart w:id="12" w:name="_Toc201586530"/>
      <w:bookmarkStart w:id="13" w:name="_Toc210229855"/>
      <w:r>
        <w:t>1.4.1 Role of the Reviewer</w:t>
      </w:r>
      <w:bookmarkEnd w:id="12"/>
      <w:bookmarkEnd w:id="13"/>
    </w:p>
    <w:p w:rsidR="00033FB9" w:rsidRDefault="00033FB9" w:rsidP="00033FB9">
      <w:r>
        <w:t xml:space="preserve">The Review will be conducted by two Co-Chairs (the Reviewers) with appropriate expertise in </w:t>
      </w:r>
      <w:r w:rsidRPr="008208DB">
        <w:rPr>
          <w:lang w:val="en-US"/>
        </w:rPr>
        <w:t>Tasmanian business, logistics, transport, tourism and/or economics</w:t>
      </w:r>
      <w:r w:rsidRPr="005C56C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>
        <w:t xml:space="preserve"> The Reviewers will be appointed by </w:t>
      </w:r>
      <w:r>
        <w:br/>
        <w:t>The Hon Catherine King MP, Minister for Infrastructure, Transport, Regional Development and Local Government (the Minister).</w:t>
      </w:r>
    </w:p>
    <w:p w:rsidR="00033FB9" w:rsidRDefault="00033FB9" w:rsidP="00033FB9">
      <w:pPr>
        <w:rPr>
          <w:lang w:val="en-US"/>
        </w:rPr>
      </w:pPr>
      <w:r>
        <w:rPr>
          <w:lang w:val="en-US"/>
        </w:rPr>
        <w:t xml:space="preserve">The Reviewers will consider the recommendations arising from the December 2024 report of the Senate Select Committee Inquiry into the </w:t>
      </w:r>
      <w:proofErr w:type="spellStart"/>
      <w:r>
        <w:rPr>
          <w:lang w:val="en-US"/>
        </w:rPr>
        <w:t>TFES</w:t>
      </w:r>
      <w:proofErr w:type="spellEnd"/>
      <w:r>
        <w:rPr>
          <w:lang w:val="en-US"/>
        </w:rPr>
        <w:t xml:space="preserve"> as well as the Bureau of Infrastructure and Transport Research Economics monitoring reports for both schemes.</w:t>
      </w:r>
    </w:p>
    <w:p w:rsidR="00033FB9" w:rsidRDefault="00033FB9" w:rsidP="00033FB9">
      <w:r>
        <w:t>Secretariat support for the Review will be provided by the Australian Department of Infrastructure, Transport, Regional Development, Communications, Sport and the Arts (the department).</w:t>
      </w:r>
    </w:p>
    <w:p w:rsidR="00033FB9" w:rsidRDefault="00033FB9" w:rsidP="00033FB9">
      <w:pPr>
        <w:pStyle w:val="Heading4"/>
      </w:pPr>
      <w:bookmarkStart w:id="14" w:name="_Toc201586531"/>
      <w:bookmarkStart w:id="15" w:name="_Toc210229856"/>
      <w:r>
        <w:t>1.4.2 Responsibilities of the Reviewers</w:t>
      </w:r>
      <w:bookmarkEnd w:id="14"/>
      <w:bookmarkEnd w:id="15"/>
    </w:p>
    <w:p w:rsidR="00033FB9" w:rsidRDefault="00033FB9" w:rsidP="00033FB9">
      <w:r>
        <w:t>The Reviewers will be responsible for delivering a final report to government, including recommendations addressing the scope outlined above.</w:t>
      </w:r>
    </w:p>
    <w:p w:rsidR="00033FB9" w:rsidRDefault="00033FB9" w:rsidP="00033FB9">
      <w:r>
        <w:t>The Reviewers will be expected to regularly meet to discuss progress of the Review and provide regular updates to the department on the Review progress, emerging issues and consultation.</w:t>
      </w:r>
    </w:p>
    <w:p w:rsidR="00033FB9" w:rsidRDefault="00033FB9" w:rsidP="00033FB9">
      <w:r>
        <w:t>The Reviewers must undertake stakeholder consultation processes supported by the department.</w:t>
      </w:r>
    </w:p>
    <w:p w:rsidR="00033FB9" w:rsidRPr="00E11A2D" w:rsidRDefault="00033FB9" w:rsidP="00033FB9">
      <w:pPr>
        <w:pStyle w:val="Heading3"/>
      </w:pPr>
      <w:bookmarkStart w:id="16" w:name="_Toc201586532"/>
      <w:bookmarkStart w:id="17" w:name="_Toc210229857"/>
      <w:r>
        <w:t>1.5 Timeframes</w:t>
      </w:r>
      <w:bookmarkEnd w:id="16"/>
      <w:bookmarkEnd w:id="17"/>
    </w:p>
    <w:p w:rsidR="00033FB9" w:rsidRDefault="00DF4749" w:rsidP="00033FB9">
      <w:r>
        <w:t>A final review report and recommendations to the government are expected in the first half of 202</w:t>
      </w:r>
      <w:bookmarkStart w:id="18" w:name="_GoBack"/>
      <w:bookmarkEnd w:id="18"/>
      <w:r>
        <w:t>6.</w:t>
      </w:r>
    </w:p>
    <w:p w:rsidR="00033FB9" w:rsidRDefault="00033FB9" w:rsidP="00033FB9">
      <w:r>
        <w:br w:type="page"/>
      </w:r>
    </w:p>
    <w:p w:rsidR="00033FB9" w:rsidRPr="00820F47" w:rsidRDefault="00033FB9" w:rsidP="00033FB9">
      <w:pPr>
        <w:pStyle w:val="Heading2"/>
        <w:rPr>
          <w:rFonts w:eastAsia="Calibri"/>
          <w:color w:val="000000"/>
          <w:lang w:val="en-US"/>
        </w:rPr>
      </w:pPr>
      <w:bookmarkStart w:id="19" w:name="_Toc201586533"/>
      <w:bookmarkStart w:id="20" w:name="_Toc210229858"/>
      <w:r w:rsidRPr="00952928">
        <w:lastRenderedPageBreak/>
        <w:t>Document Control</w:t>
      </w:r>
      <w:bookmarkEnd w:id="19"/>
      <w:bookmarkEnd w:id="20"/>
    </w:p>
    <w:p w:rsidR="00033FB9" w:rsidRDefault="00033FB9" w:rsidP="00033FB9">
      <w:r>
        <w:t>Refer to the following table for the approver and latest version of this document.</w:t>
      </w:r>
    </w:p>
    <w:tbl>
      <w:tblPr>
        <w:tblStyle w:val="DefaultTable1"/>
        <w:tblW w:w="5000" w:type="pct"/>
        <w:tblLook w:val="04A0" w:firstRow="1" w:lastRow="0" w:firstColumn="1" w:lastColumn="0" w:noHBand="0" w:noVBand="1"/>
      </w:tblPr>
      <w:tblGrid>
        <w:gridCol w:w="1151"/>
        <w:gridCol w:w="1529"/>
        <w:gridCol w:w="2359"/>
        <w:gridCol w:w="4436"/>
      </w:tblGrid>
      <w:tr w:rsidR="00033FB9" w:rsidTr="00033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  <w:shd w:val="clear" w:color="auto" w:fill="081E3E"/>
            <w:hideMark/>
          </w:tcPr>
          <w:p w:rsidR="00033FB9" w:rsidRDefault="00033FB9" w:rsidP="00171144">
            <w:pPr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Version</w:t>
            </w:r>
          </w:p>
        </w:tc>
        <w:tc>
          <w:tcPr>
            <w:tcW w:w="807" w:type="pct"/>
            <w:shd w:val="clear" w:color="auto" w:fill="081E3E"/>
            <w:hideMark/>
          </w:tcPr>
          <w:p w:rsidR="00033FB9" w:rsidRDefault="00033FB9" w:rsidP="00171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Release date</w:t>
            </w:r>
          </w:p>
        </w:tc>
        <w:tc>
          <w:tcPr>
            <w:tcW w:w="1245" w:type="pct"/>
            <w:shd w:val="clear" w:color="auto" w:fill="081E3E"/>
            <w:hideMark/>
          </w:tcPr>
          <w:p w:rsidR="00033FB9" w:rsidRDefault="00033FB9" w:rsidP="00171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Approver</w:t>
            </w:r>
          </w:p>
        </w:tc>
        <w:tc>
          <w:tcPr>
            <w:tcW w:w="2341" w:type="pct"/>
            <w:shd w:val="clear" w:color="auto" w:fill="081E3E"/>
            <w:hideMark/>
          </w:tcPr>
          <w:p w:rsidR="00033FB9" w:rsidRDefault="00033FB9" w:rsidP="001711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Reason for update</w:t>
            </w:r>
          </w:p>
        </w:tc>
      </w:tr>
      <w:tr w:rsidR="00033FB9" w:rsidTr="00171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</w:tcPr>
          <w:p w:rsidR="00033FB9" w:rsidRDefault="00033FB9" w:rsidP="00171144">
            <w:pPr>
              <w:rPr>
                <w:b w:val="0"/>
                <w:bCs/>
                <w:color w:val="000000"/>
              </w:rPr>
            </w:pPr>
            <w:r>
              <w:rPr>
                <w:bCs/>
                <w:color w:val="000000"/>
              </w:rPr>
              <w:t>1.0</w:t>
            </w:r>
          </w:p>
        </w:tc>
        <w:tc>
          <w:tcPr>
            <w:tcW w:w="807" w:type="pct"/>
          </w:tcPr>
          <w:p w:rsidR="00033FB9" w:rsidRDefault="00033FB9" w:rsidP="0017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fldChar w:fldCharType="begin"/>
            </w:r>
            <w:r>
              <w:instrText xml:space="preserve"> CREATEDATE  \@ "MMM yyyy"  \* MERGEFORMAT </w:instrText>
            </w:r>
            <w:r>
              <w:fldChar w:fldCharType="separate"/>
            </w:r>
            <w:r w:rsidR="00605783">
              <w:rPr>
                <w:noProof/>
              </w:rPr>
              <w:t>October</w:t>
            </w:r>
            <w:r>
              <w:rPr>
                <w:noProof/>
              </w:rPr>
              <w:t xml:space="preserve"> 2025</w:t>
            </w:r>
            <w:r>
              <w:fldChar w:fldCharType="end"/>
            </w:r>
          </w:p>
        </w:tc>
        <w:tc>
          <w:tcPr>
            <w:tcW w:w="1245" w:type="pct"/>
          </w:tcPr>
          <w:p w:rsidR="00033FB9" w:rsidRDefault="00033FB9" w:rsidP="0017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341" w:type="pct"/>
            <w:hideMark/>
          </w:tcPr>
          <w:p w:rsidR="00033FB9" w:rsidRDefault="00033FB9" w:rsidP="00171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Initial release of document.</w:t>
            </w:r>
          </w:p>
        </w:tc>
      </w:tr>
    </w:tbl>
    <w:p w:rsidR="00033FB9" w:rsidRDefault="00033FB9" w:rsidP="00033FB9"/>
    <w:sectPr w:rsidR="00033FB9" w:rsidSect="00796AB4">
      <w:headerReference w:type="default" r:id="rId13"/>
      <w:headerReference w:type="first" r:id="rId14"/>
      <w:footerReference w:type="first" r:id="rId15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529" w:rsidRDefault="00251529" w:rsidP="00FC413F">
      <w:pPr>
        <w:spacing w:after="0"/>
      </w:pPr>
      <w:r>
        <w:separator/>
      </w:r>
    </w:p>
  </w:endnote>
  <w:endnote w:type="continuationSeparator" w:id="0">
    <w:p w:rsidR="00251529" w:rsidRDefault="00251529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Default="008622F0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>
      <w:rPr>
        <w:rFonts w:cs="Segoe UI"/>
        <w:noProof/>
        <w:szCs w:val="18"/>
      </w:rPr>
      <w:t>[H1]Title—subtitle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</w:p>
  <w:p w:rsidR="008622F0" w:rsidRPr="00FC413F" w:rsidRDefault="008622F0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8" name="Picture 8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Pr="00FC413F" w:rsidRDefault="008622F0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5430809" wp14:editId="679812DD">
          <wp:extent cx="7562047" cy="2757268"/>
          <wp:effectExtent l="0" t="0" r="1270" b="5080"/>
          <wp:docPr id="9" name="Picture 9" descr="Connection graphic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371" cy="27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Default="008622F0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F402E8">
      <w:rPr>
        <w:rFonts w:cs="Segoe UI"/>
        <w:noProof/>
        <w:szCs w:val="18"/>
      </w:rPr>
      <w:t>Tasmanian Transport Schemes Review—Terms of Reference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:rsidR="008622F0" w:rsidRPr="00FC413F" w:rsidRDefault="008622F0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63D1881E" wp14:editId="785FD7BD">
          <wp:extent cx="7559650" cy="150641"/>
          <wp:effectExtent l="0" t="0" r="0" b="1905"/>
          <wp:docPr id="4" name="Picture 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Default="008622F0" w:rsidP="00796AB4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F402E8">
      <w:rPr>
        <w:rFonts w:cs="Segoe UI"/>
        <w:noProof/>
        <w:szCs w:val="18"/>
      </w:rPr>
      <w:t>Tasmanian Transport Schemes Review—Terms of Reference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 w:rsidRPr="00654E6E">
      <w:rPr>
        <w:szCs w:val="18"/>
        <w:lang w:val="en-US"/>
      </w:rPr>
      <w:t xml:space="preserve">Page </w:t>
    </w:r>
    <w:r w:rsidRPr="00654E6E">
      <w:rPr>
        <w:szCs w:val="18"/>
        <w:lang w:val="en-US"/>
      </w:rPr>
      <w:fldChar w:fldCharType="begin"/>
    </w:r>
    <w:r w:rsidRPr="00654E6E">
      <w:rPr>
        <w:szCs w:val="18"/>
        <w:lang w:val="en-US"/>
      </w:rPr>
      <w:instrText xml:space="preserve"> PAGE   \* MERGEFORMAT </w:instrText>
    </w:r>
    <w:r w:rsidRPr="00654E6E">
      <w:rPr>
        <w:szCs w:val="18"/>
        <w:lang w:val="en-US"/>
      </w:rPr>
      <w:fldChar w:fldCharType="separate"/>
    </w:r>
    <w:r>
      <w:rPr>
        <w:szCs w:val="18"/>
        <w:lang w:val="en-US"/>
      </w:rPr>
      <w:t>9</w:t>
    </w:r>
    <w:r w:rsidRPr="00654E6E">
      <w:rPr>
        <w:noProof/>
        <w:szCs w:val="18"/>
        <w:lang w:val="en-US"/>
      </w:rPr>
      <w:fldChar w:fldCharType="end"/>
    </w:r>
    <w:r w:rsidRPr="00654E6E">
      <w:rPr>
        <w:noProof/>
        <w:szCs w:val="18"/>
        <w:lang w:val="en-US"/>
      </w:rPr>
      <w:t xml:space="preserve"> of </w:t>
    </w:r>
    <w:r w:rsidRPr="00654E6E">
      <w:rPr>
        <w:noProof/>
        <w:szCs w:val="18"/>
        <w:lang w:val="en-US"/>
      </w:rPr>
      <w:fldChar w:fldCharType="begin"/>
    </w:r>
    <w:r w:rsidRPr="00654E6E">
      <w:rPr>
        <w:noProof/>
        <w:szCs w:val="18"/>
        <w:lang w:val="en-US"/>
      </w:rPr>
      <w:instrText xml:space="preserve"> NUMPAGES   \* MERGEFORMAT </w:instrText>
    </w:r>
    <w:r w:rsidRPr="00654E6E">
      <w:rPr>
        <w:noProof/>
        <w:szCs w:val="18"/>
        <w:lang w:val="en-US"/>
      </w:rPr>
      <w:fldChar w:fldCharType="separate"/>
    </w:r>
    <w:r>
      <w:rPr>
        <w:noProof/>
        <w:szCs w:val="18"/>
        <w:lang w:val="en-US"/>
      </w:rPr>
      <w:t>80</w:t>
    </w:r>
    <w:r w:rsidRPr="00654E6E">
      <w:rPr>
        <w:noProof/>
        <w:szCs w:val="18"/>
        <w:lang w:val="en-US"/>
      </w:rPr>
      <w:fldChar w:fldCharType="end"/>
    </w:r>
  </w:p>
  <w:p w:rsidR="008622F0" w:rsidRPr="00FC413F" w:rsidRDefault="008622F0" w:rsidP="00796AB4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0C41A7FD" wp14:editId="4DD64D68">
          <wp:extent cx="7559650" cy="150641"/>
          <wp:effectExtent l="0" t="0" r="0" b="1905"/>
          <wp:docPr id="2" name="Picture 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529" w:rsidRDefault="00251529" w:rsidP="00FC413F">
      <w:pPr>
        <w:spacing w:after="0"/>
      </w:pPr>
      <w:r>
        <w:separator/>
      </w:r>
    </w:p>
  </w:footnote>
  <w:footnote w:type="continuationSeparator" w:id="0">
    <w:p w:rsidR="00251529" w:rsidRDefault="00251529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Pr="00D56936" w:rsidRDefault="008622F0" w:rsidP="00C817A5">
    <w:pPr>
      <w:pStyle w:val="Header"/>
      <w:tabs>
        <w:tab w:val="clear" w:pos="4678"/>
      </w:tabs>
      <w:spacing w:after="100" w:afterAutospacing="1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2—not showing"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F402E8">
      <w:rPr>
        <w:rFonts w:cs="Segoe UI Light"/>
        <w:noProof/>
        <w:color w:val="001C40"/>
        <w:sz w:val="20"/>
        <w:szCs w:val="20"/>
      </w:rPr>
      <w:t>Table of contents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Pr="00D56936" w:rsidRDefault="008622F0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F402E8">
      <w:rPr>
        <w:rFonts w:cs="Segoe UI Light"/>
        <w:noProof/>
        <w:color w:val="001C40"/>
        <w:sz w:val="20"/>
        <w:szCs w:val="20"/>
      </w:rPr>
      <w:t>Document Control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2F0" w:rsidRPr="00290C8C" w:rsidRDefault="008622F0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 w:rsidRPr="00290C8C">
      <w:rPr>
        <w:rFonts w:cs="Segoe UI Light"/>
        <w:color w:val="001C40"/>
        <w:sz w:val="20"/>
        <w:szCs w:val="20"/>
      </w:rPr>
      <w:fldChar w:fldCharType="begin"/>
    </w:r>
    <w:r w:rsidRPr="00290C8C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290C8C">
      <w:rPr>
        <w:rFonts w:cs="Segoe UI Light"/>
        <w:color w:val="001C40"/>
        <w:sz w:val="20"/>
        <w:szCs w:val="20"/>
      </w:rPr>
      <w:fldChar w:fldCharType="separate"/>
    </w:r>
    <w:r w:rsidR="00F402E8" w:rsidRPr="00F402E8">
      <w:rPr>
        <w:rFonts w:cs="Segoe UI Light"/>
        <w:bCs/>
        <w:noProof/>
        <w:color w:val="001C40"/>
        <w:sz w:val="20"/>
        <w:szCs w:val="20"/>
        <w:lang w:val="en-US"/>
      </w:rPr>
      <w:t>Terms of</w:t>
    </w:r>
    <w:r w:rsidR="00F402E8">
      <w:rPr>
        <w:rFonts w:cs="Segoe UI Light"/>
        <w:noProof/>
        <w:color w:val="001C40"/>
        <w:sz w:val="20"/>
        <w:szCs w:val="20"/>
      </w:rPr>
      <w:t xml:space="preserve"> Reference</w:t>
    </w:r>
    <w:r w:rsidRPr="00290C8C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850E5C"/>
    <w:multiLevelType w:val="hybridMultilevel"/>
    <w:tmpl w:val="716A9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9DD"/>
    <w:multiLevelType w:val="hybridMultilevel"/>
    <w:tmpl w:val="2B20B510"/>
    <w:lvl w:ilvl="0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7E7D"/>
    <w:multiLevelType w:val="hybridMultilevel"/>
    <w:tmpl w:val="79D0BA36"/>
    <w:lvl w:ilvl="0" w:tplc="446AE6B6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4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3FB9"/>
    <w:rsid w:val="0003502E"/>
    <w:rsid w:val="000522EB"/>
    <w:rsid w:val="00061480"/>
    <w:rsid w:val="00072195"/>
    <w:rsid w:val="000740FB"/>
    <w:rsid w:val="00090E62"/>
    <w:rsid w:val="00093E11"/>
    <w:rsid w:val="000B1E86"/>
    <w:rsid w:val="000C0244"/>
    <w:rsid w:val="000D4B3B"/>
    <w:rsid w:val="000D6FE4"/>
    <w:rsid w:val="000E1F26"/>
    <w:rsid w:val="000E29BE"/>
    <w:rsid w:val="00105DA4"/>
    <w:rsid w:val="00113A03"/>
    <w:rsid w:val="00133645"/>
    <w:rsid w:val="00133A45"/>
    <w:rsid w:val="00134E20"/>
    <w:rsid w:val="00143894"/>
    <w:rsid w:val="00190A0C"/>
    <w:rsid w:val="001C52B2"/>
    <w:rsid w:val="001D583B"/>
    <w:rsid w:val="001D5B5A"/>
    <w:rsid w:val="001E4471"/>
    <w:rsid w:val="001E7AC4"/>
    <w:rsid w:val="00204A64"/>
    <w:rsid w:val="00217C11"/>
    <w:rsid w:val="0022154B"/>
    <w:rsid w:val="00236F1B"/>
    <w:rsid w:val="00251529"/>
    <w:rsid w:val="00261FFA"/>
    <w:rsid w:val="00272982"/>
    <w:rsid w:val="00287C7E"/>
    <w:rsid w:val="00290C8C"/>
    <w:rsid w:val="002A5AB5"/>
    <w:rsid w:val="002B154B"/>
    <w:rsid w:val="002F1A23"/>
    <w:rsid w:val="00300077"/>
    <w:rsid w:val="00310148"/>
    <w:rsid w:val="00323710"/>
    <w:rsid w:val="00342348"/>
    <w:rsid w:val="003508A8"/>
    <w:rsid w:val="00381BDA"/>
    <w:rsid w:val="003B4139"/>
    <w:rsid w:val="003B6D01"/>
    <w:rsid w:val="003C575A"/>
    <w:rsid w:val="003D71C5"/>
    <w:rsid w:val="003F3CB7"/>
    <w:rsid w:val="00416734"/>
    <w:rsid w:val="00436898"/>
    <w:rsid w:val="00445017"/>
    <w:rsid w:val="004729CA"/>
    <w:rsid w:val="00496F2D"/>
    <w:rsid w:val="004A3207"/>
    <w:rsid w:val="00521544"/>
    <w:rsid w:val="005413E7"/>
    <w:rsid w:val="005941FC"/>
    <w:rsid w:val="005B52D6"/>
    <w:rsid w:val="005C0459"/>
    <w:rsid w:val="005C0881"/>
    <w:rsid w:val="005C37D2"/>
    <w:rsid w:val="005D038B"/>
    <w:rsid w:val="005D62B8"/>
    <w:rsid w:val="005E55BD"/>
    <w:rsid w:val="005E7929"/>
    <w:rsid w:val="00605783"/>
    <w:rsid w:val="00610225"/>
    <w:rsid w:val="00630D43"/>
    <w:rsid w:val="006452B1"/>
    <w:rsid w:val="006542FA"/>
    <w:rsid w:val="00654F9E"/>
    <w:rsid w:val="0066719C"/>
    <w:rsid w:val="00670726"/>
    <w:rsid w:val="00691FA2"/>
    <w:rsid w:val="006D43C7"/>
    <w:rsid w:val="006E139E"/>
    <w:rsid w:val="006E5952"/>
    <w:rsid w:val="00731351"/>
    <w:rsid w:val="007367BB"/>
    <w:rsid w:val="00744CD2"/>
    <w:rsid w:val="00772C27"/>
    <w:rsid w:val="00790F25"/>
    <w:rsid w:val="00793843"/>
    <w:rsid w:val="00796AB4"/>
    <w:rsid w:val="0079788A"/>
    <w:rsid w:val="007B0826"/>
    <w:rsid w:val="007B68AB"/>
    <w:rsid w:val="00822DBF"/>
    <w:rsid w:val="008622F0"/>
    <w:rsid w:val="008A7B93"/>
    <w:rsid w:val="008B7158"/>
    <w:rsid w:val="008D4156"/>
    <w:rsid w:val="008E534F"/>
    <w:rsid w:val="008F24DE"/>
    <w:rsid w:val="00912D17"/>
    <w:rsid w:val="009276A3"/>
    <w:rsid w:val="009279AE"/>
    <w:rsid w:val="00935A30"/>
    <w:rsid w:val="00944067"/>
    <w:rsid w:val="00953CCD"/>
    <w:rsid w:val="00985DD5"/>
    <w:rsid w:val="009C1ECD"/>
    <w:rsid w:val="009E5B72"/>
    <w:rsid w:val="00A24200"/>
    <w:rsid w:val="00A32D82"/>
    <w:rsid w:val="00A44E4B"/>
    <w:rsid w:val="00A4759C"/>
    <w:rsid w:val="00A5600C"/>
    <w:rsid w:val="00A63390"/>
    <w:rsid w:val="00A82DAF"/>
    <w:rsid w:val="00A86AF3"/>
    <w:rsid w:val="00AC6195"/>
    <w:rsid w:val="00AE61A6"/>
    <w:rsid w:val="00B041CB"/>
    <w:rsid w:val="00B12FC1"/>
    <w:rsid w:val="00B3785F"/>
    <w:rsid w:val="00B43F55"/>
    <w:rsid w:val="00B5393D"/>
    <w:rsid w:val="00B74715"/>
    <w:rsid w:val="00B75995"/>
    <w:rsid w:val="00B76D03"/>
    <w:rsid w:val="00BB3D46"/>
    <w:rsid w:val="00BC0598"/>
    <w:rsid w:val="00BF5FA4"/>
    <w:rsid w:val="00C02452"/>
    <w:rsid w:val="00C104C4"/>
    <w:rsid w:val="00C30A4B"/>
    <w:rsid w:val="00C32353"/>
    <w:rsid w:val="00C36E40"/>
    <w:rsid w:val="00C62177"/>
    <w:rsid w:val="00C76811"/>
    <w:rsid w:val="00C817A5"/>
    <w:rsid w:val="00CA5147"/>
    <w:rsid w:val="00CD0046"/>
    <w:rsid w:val="00D10954"/>
    <w:rsid w:val="00D36B96"/>
    <w:rsid w:val="00D47BFD"/>
    <w:rsid w:val="00D56936"/>
    <w:rsid w:val="00D64922"/>
    <w:rsid w:val="00D85DEB"/>
    <w:rsid w:val="00D93B4E"/>
    <w:rsid w:val="00DC5DC8"/>
    <w:rsid w:val="00DF4749"/>
    <w:rsid w:val="00E7227D"/>
    <w:rsid w:val="00E76BC6"/>
    <w:rsid w:val="00E80E04"/>
    <w:rsid w:val="00EA415A"/>
    <w:rsid w:val="00ED761D"/>
    <w:rsid w:val="00EE6EE8"/>
    <w:rsid w:val="00EF5B98"/>
    <w:rsid w:val="00F402E8"/>
    <w:rsid w:val="00F41576"/>
    <w:rsid w:val="00F60041"/>
    <w:rsid w:val="00F61FA1"/>
    <w:rsid w:val="00F76F3D"/>
    <w:rsid w:val="00F814AD"/>
    <w:rsid w:val="00FA64C7"/>
    <w:rsid w:val="00FC413F"/>
    <w:rsid w:val="00FC7DDF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7BB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2F0"/>
    <w:pPr>
      <w:numPr>
        <w:ilvl w:val="1"/>
      </w:numPr>
      <w:suppressAutoHyphens/>
      <w:spacing w:before="240"/>
      <w:ind w:left="1134"/>
      <w:outlineLvl w:val="0"/>
    </w:pPr>
    <w:rPr>
      <w:rFonts w:eastAsia="SimSun" w:cs="Times New Roman"/>
      <w:b/>
      <w:color w:val="081E3E"/>
      <w:kern w:val="12"/>
      <w:sz w:val="6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936"/>
    <w:pPr>
      <w:keepNext/>
      <w:keepLines/>
      <w:suppressAutoHyphens/>
      <w:spacing w:before="320"/>
      <w:outlineLvl w:val="1"/>
    </w:pPr>
    <w:rPr>
      <w:rFonts w:eastAsia="SimSun" w:cs="Times New Roman"/>
      <w:color w:val="081E3E"/>
      <w:kern w:val="1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F9E"/>
    <w:pPr>
      <w:keepNext/>
      <w:keepLines/>
      <w:suppressAutoHyphens/>
      <w:spacing w:before="240"/>
      <w:outlineLvl w:val="3"/>
    </w:pPr>
    <w:rPr>
      <w:rFonts w:eastAsia="SimSun" w:cs="Times New Roman"/>
      <w:b/>
      <w:iCs/>
      <w:color w:val="595C6E"/>
      <w:kern w:val="12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 w:after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 w:after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 w:val="20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F60041"/>
    <w:pPr>
      <w:numPr>
        <w:numId w:val="1"/>
      </w:numPr>
      <w:spacing w:before="80"/>
      <w:ind w:left="1134" w:hanging="567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60041"/>
    <w:rPr>
      <w:color w:val="0046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22F0"/>
    <w:rPr>
      <w:rFonts w:ascii="Calibri" w:eastAsia="SimSun" w:hAnsi="Calibri" w:cs="Times New Roman"/>
      <w:b/>
      <w:color w:val="081E3E"/>
      <w:kern w:val="12"/>
      <w:sz w:val="6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56936"/>
    <w:rPr>
      <w:rFonts w:ascii="Calibri" w:eastAsia="SimSun" w:hAnsi="Calibri" w:cs="Times New Roman"/>
      <w:color w:val="081E3E"/>
      <w:kern w:val="1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6936"/>
    <w:rPr>
      <w:rFonts w:ascii="Calibri" w:eastAsia="SimSun" w:hAnsi="Calibri" w:cs="Times New Roman"/>
      <w:b/>
      <w:color w:val="595C6E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F9E"/>
    <w:rPr>
      <w:rFonts w:ascii="Calibri" w:eastAsia="SimSun" w:hAnsi="Calibri" w:cs="Times New Roman"/>
      <w:b/>
      <w:iCs/>
      <w:color w:val="595C6E"/>
      <w:kern w:val="12"/>
      <w:sz w:val="2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ImprintHeading"/>
    <w:next w:val="Normal"/>
    <w:qFormat/>
    <w:rsid w:val="00C30A4B"/>
    <w:pPr>
      <w:spacing w:before="120" w:after="80"/>
    </w:p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spacing w:after="120"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3B4139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B4139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AC6195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9E5B7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E5952"/>
    <w:pPr>
      <w:keepNext/>
      <w:tabs>
        <w:tab w:val="right" w:leader="underscore" w:pos="9072"/>
      </w:tabs>
      <w:spacing w:before="120" w:after="0"/>
      <w:ind w:left="567" w:right="567" w:hanging="567"/>
    </w:pPr>
    <w:rPr>
      <w:b/>
      <w:color w:val="000000" w:themeColor="text1"/>
      <w:u w:val="single" w:color="4BB3B5"/>
    </w:rPr>
  </w:style>
  <w:style w:type="paragraph" w:styleId="TOC2">
    <w:name w:val="toc 2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customStyle="1" w:styleId="Normaldisclaimerpage">
    <w:name w:val="Normal—disclaimer page"/>
    <w:basedOn w:val="Normal"/>
    <w:qFormat/>
    <w:rsid w:val="002F1A23"/>
    <w:pPr>
      <w:spacing w:after="120"/>
    </w:pPr>
    <w:rPr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C817A5"/>
    <w:pPr>
      <w:numPr>
        <w:ilvl w:val="1"/>
      </w:numPr>
      <w:suppressAutoHyphens/>
      <w:spacing w:before="240"/>
      <w:ind w:left="1134"/>
    </w:pPr>
    <w:rPr>
      <w:rFonts w:eastAsia="SimSun" w:cs="Times New Roman"/>
      <w:color w:val="377B88"/>
      <w:kern w:val="12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C817A5"/>
    <w:rPr>
      <w:rFonts w:ascii="Calibri" w:eastAsia="SimSun" w:hAnsi="Calibri" w:cs="Times New Roman"/>
      <w:color w:val="377B88"/>
      <w:kern w:val="12"/>
      <w:sz w:val="44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4729CA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4729CA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Heading">
    <w:name w:val="Imprint Heading"/>
    <w:basedOn w:val="Normal"/>
    <w:uiPriority w:val="12"/>
    <w:rsid w:val="009C1ECD"/>
    <w:pPr>
      <w:suppressAutoHyphens/>
      <w:spacing w:before="240"/>
      <w:outlineLvl w:val="1"/>
    </w:pPr>
    <w:rPr>
      <w:rFonts w:asciiTheme="minorHAnsi" w:hAnsiTheme="minorHAnsi"/>
      <w:b/>
      <w:color w:val="000000" w:themeColor="text1"/>
      <w:kern w:val="12"/>
      <w:lang w:val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A4"/>
    <w:pPr>
      <w:keepNext/>
      <w:keepLines/>
      <w:numPr>
        <w:ilvl w:val="0"/>
      </w:numPr>
      <w:suppressAutoHyphens w:val="0"/>
      <w:spacing w:after="0"/>
      <w:ind w:left="1134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9E5B72"/>
    <w:pPr>
      <w:tabs>
        <w:tab w:val="left" w:pos="9072"/>
      </w:tabs>
      <w:suppressAutoHyphens/>
      <w:spacing w:after="120"/>
      <w:ind w:left="567" w:right="567" w:hanging="567"/>
    </w:pPr>
    <w:rPr>
      <w:rFonts w:asciiTheme="minorHAnsi" w:hAnsiTheme="minorHAnsi"/>
      <w:color w:val="000000" w:themeColor="text1"/>
      <w:kern w:val="1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D82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6811"/>
    <w:rPr>
      <w:color w:val="954F72" w:themeColor="followedHyperlink"/>
      <w:u w:val="single"/>
    </w:rPr>
  </w:style>
  <w:style w:type="paragraph" w:customStyle="1" w:styleId="Introduction">
    <w:name w:val="Introduction"/>
    <w:basedOn w:val="Normal"/>
    <w:uiPriority w:val="2"/>
    <w:qFormat/>
    <w:rsid w:val="00B75995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C30A4B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C30A4B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30A4B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C30A4B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C30A4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472F-D97B-48DE-881F-8FB00227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5011</Characters>
  <Application>Microsoft Office Word</Application>
  <DocSecurity>4</DocSecurity>
  <Lines>135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Transport Schemes Review—Terms of Reference—Review of the Tasmanian Freight Equalisation Scheme and Bass Strait Passenger Vehicle Equalisation Scheme—October 2025</vt:lpstr>
    </vt:vector>
  </TitlesOfParts>
  <Company>Australian Government, Department of Infrastructure, Transport, Regional Development, Communications, Sport and the Arts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Tasmanian Transport Schemes Review—Terms of Reference—Review of the Tasmanian Freight Equalisation Scheme and Bass Strait Passenger Vehicle Equalisation Scheme—October 2025</dc:title>
  <dc:subject/>
  <dc:creator>Australian Government, Department of Infrastructure, Transport, Regional Development, Communications, Sport and the Arts</dc:creator>
  <cp:keywords/>
  <dc:description>30 June 2025</dc:description>
  <cp:lastModifiedBy>Hall, Theresa</cp:lastModifiedBy>
  <cp:revision>2</cp:revision>
  <dcterms:created xsi:type="dcterms:W3CDTF">2025-10-03T07:20:00Z</dcterms:created>
  <dcterms:modified xsi:type="dcterms:W3CDTF">2025-10-03T07:20:00Z</dcterms:modified>
</cp:coreProperties>
</file>