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8294" w14:textId="77777777" w:rsidR="00754197" w:rsidRDefault="00754197" w:rsidP="00754197">
      <w:pPr>
        <w:spacing w:after="0"/>
        <w:ind w:left="-1418"/>
      </w:pPr>
    </w:p>
    <w:p w14:paraId="7DFD36F2" w14:textId="598FBFCC" w:rsidR="00754197" w:rsidRPr="00C228B1" w:rsidRDefault="00754197" w:rsidP="00754197">
      <w:pPr>
        <w:pStyle w:val="Heading1"/>
      </w:pPr>
      <w:r>
        <w:t>S</w:t>
      </w:r>
      <w:r w:rsidRPr="00C228B1">
        <w:t>ydney Airport Demand Management Compliance Committee—Compliance Committee Terms of Reference</w:t>
      </w:r>
    </w:p>
    <w:p w14:paraId="7631D261" w14:textId="77777777" w:rsidR="00754197" w:rsidRPr="00B041CB" w:rsidRDefault="00754197" w:rsidP="00754197">
      <w:pPr>
        <w:suppressAutoHyphens/>
        <w:spacing w:before="160" w:after="80"/>
        <w:rPr>
          <w:rFonts w:eastAsia="Calibri" w:cs="Times New Roman"/>
          <w:b/>
          <w:color w:val="081E3E"/>
          <w:kern w:val="12"/>
          <w:szCs w:val="20"/>
        </w:rPr>
      </w:pPr>
      <w:r>
        <w:rPr>
          <w:rFonts w:eastAsia="Calibri" w:cs="Times New Roman"/>
          <w:b/>
          <w:color w:val="081E3E"/>
          <w:kern w:val="12"/>
          <w:szCs w:val="20"/>
        </w:rPr>
        <w:t>May</w:t>
      </w:r>
      <w:r w:rsidRPr="00B041CB">
        <w:rPr>
          <w:rFonts w:eastAsia="Calibri" w:cs="Times New Roman"/>
          <w:b/>
          <w:color w:val="081E3E"/>
          <w:kern w:val="12"/>
          <w:szCs w:val="20"/>
        </w:rPr>
        <w:t xml:space="preserve"> </w:t>
      </w:r>
      <w:r>
        <w:rPr>
          <w:rFonts w:eastAsia="Calibri" w:cs="Times New Roman"/>
          <w:b/>
          <w:color w:val="081E3E"/>
          <w:kern w:val="12"/>
          <w:szCs w:val="20"/>
        </w:rPr>
        <w:t>2026</w:t>
      </w:r>
    </w:p>
    <w:p w14:paraId="1E379572" w14:textId="77777777" w:rsidR="00754197" w:rsidRPr="00C815D6" w:rsidRDefault="00754197" w:rsidP="00754197">
      <w:pPr>
        <w:pStyle w:val="Heading2"/>
      </w:pPr>
      <w:r w:rsidRPr="00C815D6">
        <w:t>Introduction</w:t>
      </w:r>
    </w:p>
    <w:p w14:paraId="556CE9AA" w14:textId="77777777" w:rsidR="00754197" w:rsidRPr="0016677C" w:rsidRDefault="00754197" w:rsidP="00754197">
      <w:pPr>
        <w:rPr>
          <w:color w:val="000000"/>
        </w:rPr>
      </w:pPr>
      <w:r w:rsidRPr="0016677C">
        <w:rPr>
          <w:color w:val="000000"/>
        </w:rPr>
        <w:t>Sydney Airport is Australia’s largest domestic and international air transport hub. Enacted in October 2025</w:t>
      </w:r>
      <w:r>
        <w:rPr>
          <w:rFonts w:eastAsia="Calibri" w:cstheme="minorHAnsi"/>
          <w:iCs/>
          <w:color w:val="000000"/>
        </w:rPr>
        <w:t>,</w:t>
      </w:r>
      <w:r w:rsidRPr="0016677C">
        <w:rPr>
          <w:color w:val="000000"/>
        </w:rPr>
        <w:t xml:space="preserve"> the reforms to the </w:t>
      </w:r>
      <w:r w:rsidRPr="0016677C">
        <w:rPr>
          <w:i/>
          <w:color w:val="000000"/>
        </w:rPr>
        <w:t xml:space="preserve">Sydney Airport Demand Management Act 1997 </w:t>
      </w:r>
      <w:r w:rsidRPr="0016677C">
        <w:rPr>
          <w:color w:val="000000"/>
        </w:rPr>
        <w:t>(the Act) along with the Sydney Airport Demand Management Regulations 2025 (the Regulations) and the Sydney Airport Slot Management Scheme 2025 set out a new regulatory framework for slot management at Sydney.</w:t>
      </w:r>
    </w:p>
    <w:p w14:paraId="4E4D01E3" w14:textId="77777777" w:rsidR="00754197" w:rsidRPr="0016677C" w:rsidRDefault="00754197" w:rsidP="00754197">
      <w:r w:rsidRPr="0016677C">
        <w:rPr>
          <w:color w:val="000000"/>
        </w:rPr>
        <w:t xml:space="preserve">The reforms included amendment to Part 7 of the Act providing for increased independence of </w:t>
      </w:r>
      <w:r>
        <w:rPr>
          <w:color w:val="000000"/>
        </w:rPr>
        <w:t xml:space="preserve">and new functions for </w:t>
      </w:r>
      <w:r w:rsidRPr="0016677C">
        <w:rPr>
          <w:color w:val="000000"/>
        </w:rPr>
        <w:t>the Sydney Airport Demand Management Compliance Committee (the Committee)</w:t>
      </w:r>
      <w:r>
        <w:rPr>
          <w:color w:val="000000"/>
        </w:rPr>
        <w:t>.</w:t>
      </w:r>
      <w:r w:rsidRPr="0016677C">
        <w:rPr>
          <w:color w:val="000000"/>
        </w:rPr>
        <w:t xml:space="preserve"> </w:t>
      </w:r>
      <w:r>
        <w:rPr>
          <w:rFonts w:eastAsia="Calibri" w:cstheme="minorHAnsi"/>
          <w:color w:val="000000"/>
        </w:rPr>
        <w:t xml:space="preserve">The Committee’s core role is to be an independent body providing information and advice to the Minister on the operation of and compliance with the slot management system at Sydney Airport. </w:t>
      </w:r>
      <w:r>
        <w:rPr>
          <w:rFonts w:eastAsia="Times New Roman" w:cstheme="minorHAnsi"/>
          <w:lang w:eastAsia="en-AU"/>
        </w:rPr>
        <w:t xml:space="preserve">The Committee is not a regulator and does not make </w:t>
      </w:r>
      <w:r w:rsidRPr="00D848AB">
        <w:t>regulatory</w:t>
      </w:r>
      <w:r>
        <w:rPr>
          <w:rFonts w:eastAsia="Times New Roman" w:cstheme="minorHAnsi"/>
          <w:lang w:eastAsia="en-AU"/>
        </w:rPr>
        <w:t xml:space="preserve"> decisions.</w:t>
      </w:r>
      <w:r>
        <w:rPr>
          <w:color w:val="000000"/>
        </w:rPr>
        <w:t xml:space="preserve"> The Act </w:t>
      </w:r>
      <w:r>
        <w:rPr>
          <w:rFonts w:eastAsia="Calibri" w:cstheme="minorHAnsi"/>
          <w:color w:val="000000"/>
        </w:rPr>
        <w:t xml:space="preserve">transfers the </w:t>
      </w:r>
      <w:r w:rsidRPr="00AC5B5D">
        <w:rPr>
          <w:rFonts w:eastAsia="Calibri" w:cstheme="minorHAnsi"/>
          <w:color w:val="000000"/>
        </w:rPr>
        <w:t>Committee</w:t>
      </w:r>
      <w:r>
        <w:rPr>
          <w:rFonts w:eastAsia="Calibri" w:cstheme="minorHAnsi"/>
          <w:color w:val="000000"/>
        </w:rPr>
        <w:t>’s</w:t>
      </w:r>
      <w:r w:rsidRPr="00AC5B5D">
        <w:rPr>
          <w:rFonts w:eastAsia="Calibri" w:cstheme="minorHAnsi"/>
          <w:color w:val="000000"/>
        </w:rPr>
        <w:t xml:space="preserve"> </w:t>
      </w:r>
      <w:r>
        <w:rPr>
          <w:rFonts w:eastAsia="Calibri" w:cstheme="minorHAnsi"/>
          <w:color w:val="000000"/>
        </w:rPr>
        <w:t xml:space="preserve">former </w:t>
      </w:r>
      <w:r w:rsidRPr="00AC5B5D">
        <w:rPr>
          <w:rFonts w:eastAsia="Calibri" w:cstheme="minorHAnsi"/>
          <w:color w:val="000000"/>
        </w:rPr>
        <w:t>responsibilit</w:t>
      </w:r>
      <w:r>
        <w:rPr>
          <w:rFonts w:eastAsia="Calibri" w:cstheme="minorHAnsi"/>
          <w:color w:val="000000"/>
        </w:rPr>
        <w:t>ies</w:t>
      </w:r>
      <w:r w:rsidRPr="0016677C">
        <w:rPr>
          <w:color w:val="000000"/>
        </w:rPr>
        <w:t xml:space="preserve"> for </w:t>
      </w:r>
      <w:r>
        <w:rPr>
          <w:color w:val="000000"/>
        </w:rPr>
        <w:t xml:space="preserve">individual </w:t>
      </w:r>
      <w:r w:rsidRPr="0016677C">
        <w:rPr>
          <w:color w:val="000000"/>
        </w:rPr>
        <w:t xml:space="preserve">compliance </w:t>
      </w:r>
      <w:r>
        <w:rPr>
          <w:rFonts w:eastAsia="Calibri" w:cstheme="minorHAnsi"/>
          <w:color w:val="000000"/>
        </w:rPr>
        <w:t xml:space="preserve">and </w:t>
      </w:r>
      <w:r w:rsidRPr="0016677C">
        <w:rPr>
          <w:color w:val="000000"/>
        </w:rPr>
        <w:t xml:space="preserve">enforcement </w:t>
      </w:r>
      <w:r>
        <w:rPr>
          <w:color w:val="000000"/>
        </w:rPr>
        <w:t xml:space="preserve">actions </w:t>
      </w:r>
      <w:r w:rsidRPr="0016677C">
        <w:rPr>
          <w:color w:val="000000"/>
        </w:rPr>
        <w:t xml:space="preserve">to the Department of Infrastructure, Transport, Regional Development, Communications, Sport and the Arts (the department). </w:t>
      </w:r>
    </w:p>
    <w:p w14:paraId="7B4E4737" w14:textId="77777777" w:rsidR="00754197" w:rsidRPr="0016677C" w:rsidRDefault="00754197" w:rsidP="00754197">
      <w:pPr>
        <w:rPr>
          <w:color w:val="000000"/>
        </w:rPr>
      </w:pPr>
      <w:r w:rsidRPr="0016677C">
        <w:rPr>
          <w:color w:val="000000"/>
        </w:rPr>
        <w:t xml:space="preserve">These </w:t>
      </w:r>
      <w:r w:rsidRPr="00D848AB">
        <w:t>Terms</w:t>
      </w:r>
      <w:r w:rsidRPr="0016677C">
        <w:rPr>
          <w:color w:val="000000"/>
        </w:rPr>
        <w:t xml:space="preserve"> of Reference outline the Committee’s </w:t>
      </w:r>
      <w:r>
        <w:rPr>
          <w:color w:val="000000"/>
        </w:rPr>
        <w:t>functions</w:t>
      </w:r>
      <w:r w:rsidRPr="0016677C">
        <w:rPr>
          <w:color w:val="000000"/>
        </w:rPr>
        <w:t xml:space="preserve"> in the new legislative environment and address the </w:t>
      </w:r>
      <w:r w:rsidRPr="0016677C">
        <w:rPr>
          <w:i/>
          <w:color w:val="000000"/>
        </w:rPr>
        <w:t>Sydney Airport Demand Management (Compliance Committee) Directions 2026</w:t>
      </w:r>
      <w:r w:rsidRPr="0016677C">
        <w:rPr>
          <w:color w:val="000000"/>
        </w:rPr>
        <w:t xml:space="preserve"> (the Minister’s Directions) issued to the Committee </w:t>
      </w:r>
      <w:r>
        <w:rPr>
          <w:rFonts w:eastAsia="Calibri" w:cstheme="minorHAnsi"/>
          <w:color w:val="000000"/>
        </w:rPr>
        <w:t xml:space="preserve">in February 2026 </w:t>
      </w:r>
      <w:r w:rsidRPr="0016677C">
        <w:rPr>
          <w:color w:val="000000"/>
        </w:rPr>
        <w:t>by the Hon</w:t>
      </w:r>
      <w:r>
        <w:rPr>
          <w:rFonts w:eastAsia="Calibri" w:cstheme="minorHAnsi"/>
          <w:color w:val="000000"/>
        </w:rPr>
        <w:t>.</w:t>
      </w:r>
      <w:r w:rsidRPr="0016677C">
        <w:rPr>
          <w:color w:val="000000"/>
        </w:rPr>
        <w:t xml:space="preserve"> Catherine King MP, Minister for Infrastructure, Transport, Regional Development and Local Government</w:t>
      </w:r>
      <w:r>
        <w:rPr>
          <w:color w:val="000000"/>
        </w:rPr>
        <w:t xml:space="preserve"> and how the Committee intends to deliver them</w:t>
      </w:r>
      <w:r w:rsidRPr="0016677C">
        <w:rPr>
          <w:color w:val="000000"/>
        </w:rPr>
        <w:t>.</w:t>
      </w:r>
    </w:p>
    <w:p w14:paraId="050EFC73" w14:textId="77777777" w:rsidR="00754197" w:rsidRPr="00C815D6" w:rsidRDefault="00754197" w:rsidP="00754197">
      <w:pPr>
        <w:pStyle w:val="Heading2"/>
      </w:pPr>
      <w:r w:rsidRPr="00C815D6">
        <w:t>Legislative context</w:t>
      </w:r>
    </w:p>
    <w:p w14:paraId="2AF777CF" w14:textId="77777777" w:rsidR="00754197" w:rsidRPr="00747514" w:rsidRDefault="00754197" w:rsidP="00754197">
      <w:pPr>
        <w:pStyle w:val="Heading3"/>
      </w:pPr>
      <w:bookmarkStart w:id="0" w:name="_Toc49855349"/>
      <w:r w:rsidRPr="009B0091">
        <w:t>Sydney Airport Demand Management Act 1997</w:t>
      </w:r>
    </w:p>
    <w:p w14:paraId="72BC043B" w14:textId="77777777" w:rsidR="00754197" w:rsidRPr="0016677C" w:rsidRDefault="00754197" w:rsidP="00754197">
      <w:pPr>
        <w:rPr>
          <w:color w:val="000000"/>
        </w:rPr>
      </w:pPr>
      <w:r>
        <w:rPr>
          <w:rFonts w:eastAsia="Calibri" w:cstheme="minorHAnsi"/>
          <w:color w:val="000000"/>
        </w:rPr>
        <w:t>Section 66</w:t>
      </w:r>
      <w:r w:rsidRPr="0016677C">
        <w:rPr>
          <w:color w:val="000000"/>
        </w:rPr>
        <w:t xml:space="preserve"> of the</w:t>
      </w:r>
      <w:r w:rsidRPr="00B1784C">
        <w:rPr>
          <w:rFonts w:cstheme="minorHAnsi"/>
        </w:rPr>
        <w:t xml:space="preserve"> </w:t>
      </w:r>
      <w:r w:rsidRPr="0016677C">
        <w:rPr>
          <w:color w:val="000000"/>
        </w:rPr>
        <w:t xml:space="preserve">Act establishes the Committee and sets out its membership and functions. </w:t>
      </w:r>
    </w:p>
    <w:p w14:paraId="31FB48F1" w14:textId="77777777" w:rsidR="00754197" w:rsidRPr="00747514" w:rsidRDefault="00754197" w:rsidP="00754197">
      <w:pPr>
        <w:pStyle w:val="Heading4"/>
      </w:pPr>
      <w:r w:rsidRPr="00747514">
        <w:t>Membership</w:t>
      </w:r>
    </w:p>
    <w:p w14:paraId="102A029F" w14:textId="77777777" w:rsidR="00754197" w:rsidRPr="0016677C" w:rsidRDefault="00754197" w:rsidP="00754197">
      <w:pPr>
        <w:rPr>
          <w:color w:val="000000"/>
        </w:rPr>
      </w:pPr>
      <w:r w:rsidRPr="0016677C">
        <w:rPr>
          <w:color w:val="000000"/>
        </w:rPr>
        <w:t xml:space="preserve">Subsection 66(2) of the Act defines the Compliance Committee membership as comprising an independent Chair and 3 independent members appointed by the Minister and three </w:t>
      </w:r>
      <w:r w:rsidRPr="0016677C">
        <w:rPr>
          <w:i/>
          <w:color w:val="000000"/>
        </w:rPr>
        <w:t>ex-officio</w:t>
      </w:r>
      <w:r w:rsidRPr="0016677C">
        <w:rPr>
          <w:color w:val="000000"/>
        </w:rPr>
        <w:t xml:space="preserve"> representative members </w:t>
      </w:r>
      <w:r>
        <w:rPr>
          <w:color w:val="000000"/>
        </w:rPr>
        <w:t xml:space="preserve">drawn </w:t>
      </w:r>
      <w:r w:rsidRPr="0016677C">
        <w:rPr>
          <w:color w:val="000000"/>
        </w:rPr>
        <w:t xml:space="preserve">from Airservices Australia as air traffic manager, </w:t>
      </w:r>
      <w:r w:rsidRPr="0016677C">
        <w:t>Sydney Airport Corporation Ltd (SACL)</w:t>
      </w:r>
      <w:r w:rsidRPr="0016677C">
        <w:rPr>
          <w:color w:val="000000"/>
        </w:rPr>
        <w:t xml:space="preserve"> as airport operator and </w:t>
      </w:r>
      <w:r>
        <w:rPr>
          <w:rFonts w:eastAsia="Calibri" w:cstheme="minorHAnsi"/>
          <w:color w:val="000000"/>
        </w:rPr>
        <w:t>Airport Coordination Limited Asia-Pacific (</w:t>
      </w:r>
      <w:r w:rsidRPr="0016677C">
        <w:rPr>
          <w:color w:val="000000"/>
        </w:rPr>
        <w:t>ACL APAC</w:t>
      </w:r>
      <w:r>
        <w:rPr>
          <w:rFonts w:eastAsia="Calibri" w:cstheme="minorHAnsi"/>
          <w:color w:val="000000"/>
        </w:rPr>
        <w:t>)</w:t>
      </w:r>
      <w:r w:rsidRPr="0016677C">
        <w:rPr>
          <w:color w:val="000000"/>
        </w:rPr>
        <w:t xml:space="preserve"> as </w:t>
      </w:r>
      <w:r>
        <w:rPr>
          <w:color w:val="000000"/>
        </w:rPr>
        <w:t xml:space="preserve">the </w:t>
      </w:r>
      <w:r w:rsidRPr="0016677C">
        <w:rPr>
          <w:color w:val="000000"/>
        </w:rPr>
        <w:t xml:space="preserve">Slot Manager. </w:t>
      </w:r>
    </w:p>
    <w:p w14:paraId="36B342A9" w14:textId="77777777" w:rsidR="00754197" w:rsidRPr="00747514" w:rsidRDefault="00754197" w:rsidP="00754197">
      <w:pPr>
        <w:pStyle w:val="Heading4"/>
      </w:pPr>
      <w:r w:rsidRPr="00747514">
        <w:t>Functions</w:t>
      </w:r>
    </w:p>
    <w:p w14:paraId="16113061" w14:textId="77777777" w:rsidR="00754197" w:rsidRPr="0016677C" w:rsidRDefault="00754197" w:rsidP="00754197">
      <w:pPr>
        <w:rPr>
          <w:color w:val="000000"/>
        </w:rPr>
      </w:pPr>
      <w:r w:rsidRPr="0016677C">
        <w:rPr>
          <w:color w:val="000000"/>
        </w:rPr>
        <w:t xml:space="preserve">Subsection 66(6) of the Act </w:t>
      </w:r>
      <w:r>
        <w:rPr>
          <w:rFonts w:eastAsia="Calibri" w:cstheme="minorHAnsi"/>
          <w:color w:val="000000"/>
        </w:rPr>
        <w:t>sets out</w:t>
      </w:r>
      <w:r w:rsidRPr="0016677C">
        <w:rPr>
          <w:color w:val="000000"/>
        </w:rPr>
        <w:t xml:space="preserve"> the </w:t>
      </w:r>
      <w:r>
        <w:rPr>
          <w:rFonts w:eastAsia="Calibri" w:cstheme="minorHAnsi"/>
          <w:color w:val="000000"/>
        </w:rPr>
        <w:t xml:space="preserve">Committee’s </w:t>
      </w:r>
      <w:r w:rsidRPr="0016677C">
        <w:rPr>
          <w:color w:val="000000"/>
        </w:rPr>
        <w:t xml:space="preserve">functions as follows: </w:t>
      </w:r>
    </w:p>
    <w:p w14:paraId="2C79AAB1" w14:textId="77777777" w:rsidR="00754197" w:rsidRPr="005B50E5" w:rsidRDefault="00754197" w:rsidP="00754197">
      <w:pPr>
        <w:pStyle w:val="ListParagraph"/>
        <w:numPr>
          <w:ilvl w:val="0"/>
          <w:numId w:val="42"/>
        </w:numPr>
        <w:spacing w:before="160" w:after="80"/>
        <w:rPr>
          <w:color w:val="000000"/>
        </w:rPr>
      </w:pPr>
      <w:r w:rsidRPr="005B50E5">
        <w:rPr>
          <w:color w:val="000000"/>
        </w:rPr>
        <w:t xml:space="preserve">On its own initiative or at the request of the Minister, </w:t>
      </w:r>
      <w:bookmarkStart w:id="1" w:name="_Hlk220658351"/>
      <w:r w:rsidRPr="005B50E5">
        <w:rPr>
          <w:color w:val="000000"/>
        </w:rPr>
        <w:t>to inquire into and report to the Minister about any of the following matters:</w:t>
      </w:r>
      <w:bookmarkEnd w:id="1"/>
    </w:p>
    <w:p w14:paraId="52961DA5" w14:textId="77777777" w:rsidR="00754197" w:rsidRPr="0016677C" w:rsidRDefault="00754197" w:rsidP="00754197">
      <w:pPr>
        <w:pStyle w:val="ListParagraph"/>
        <w:numPr>
          <w:ilvl w:val="1"/>
          <w:numId w:val="40"/>
        </w:numPr>
        <w:spacing w:before="160" w:after="80"/>
        <w:rPr>
          <w:color w:val="000000"/>
        </w:rPr>
      </w:pPr>
      <w:r w:rsidRPr="0016677C">
        <w:rPr>
          <w:color w:val="000000"/>
        </w:rPr>
        <w:t xml:space="preserve">the allocation or use of slots at Sydney Airport, </w:t>
      </w:r>
    </w:p>
    <w:p w14:paraId="63FC1882" w14:textId="77777777" w:rsidR="00754197" w:rsidRPr="0016677C" w:rsidRDefault="00754197" w:rsidP="00754197">
      <w:pPr>
        <w:pStyle w:val="ListParagraph"/>
        <w:numPr>
          <w:ilvl w:val="1"/>
          <w:numId w:val="40"/>
        </w:numPr>
        <w:spacing w:before="160" w:after="80"/>
        <w:rPr>
          <w:color w:val="000000"/>
        </w:rPr>
      </w:pPr>
      <w:r w:rsidRPr="0016677C">
        <w:rPr>
          <w:color w:val="000000"/>
        </w:rPr>
        <w:t xml:space="preserve">gate movements at Sydney Airport; and </w:t>
      </w:r>
    </w:p>
    <w:p w14:paraId="59451DB3" w14:textId="77777777" w:rsidR="00754197" w:rsidRPr="0016677C" w:rsidRDefault="00754197" w:rsidP="00754197">
      <w:pPr>
        <w:pStyle w:val="ListParagraph"/>
        <w:numPr>
          <w:ilvl w:val="1"/>
          <w:numId w:val="40"/>
        </w:numPr>
        <w:spacing w:before="160" w:after="80"/>
        <w:rPr>
          <w:color w:val="000000"/>
        </w:rPr>
      </w:pPr>
      <w:r w:rsidRPr="0016677C">
        <w:rPr>
          <w:color w:val="000000"/>
        </w:rPr>
        <w:t xml:space="preserve">compliance with the Act. </w:t>
      </w:r>
    </w:p>
    <w:p w14:paraId="4B913A23" w14:textId="77777777" w:rsidR="00754197" w:rsidRPr="0016677C" w:rsidRDefault="00754197" w:rsidP="00754197">
      <w:pPr>
        <w:pStyle w:val="ListParagraph"/>
        <w:numPr>
          <w:ilvl w:val="0"/>
          <w:numId w:val="41"/>
        </w:numPr>
        <w:spacing w:before="160" w:after="80"/>
        <w:rPr>
          <w:color w:val="000000"/>
        </w:rPr>
      </w:pPr>
      <w:r w:rsidRPr="0016677C">
        <w:rPr>
          <w:color w:val="000000"/>
        </w:rPr>
        <w:t xml:space="preserve">To publish information held by the Committee in accordance with the regulations, </w:t>
      </w:r>
    </w:p>
    <w:p w14:paraId="1D702FF3" w14:textId="77777777" w:rsidR="00754197" w:rsidRPr="0016677C" w:rsidRDefault="00754197" w:rsidP="00754197">
      <w:pPr>
        <w:pStyle w:val="ListParagraph"/>
        <w:numPr>
          <w:ilvl w:val="0"/>
          <w:numId w:val="41"/>
        </w:numPr>
        <w:spacing w:before="160" w:after="80"/>
        <w:rPr>
          <w:color w:val="000000"/>
        </w:rPr>
      </w:pPr>
      <w:r w:rsidRPr="0016677C">
        <w:rPr>
          <w:color w:val="000000"/>
        </w:rPr>
        <w:t xml:space="preserve">Such other functions conferred on the Committee by the Act, and </w:t>
      </w:r>
    </w:p>
    <w:p w14:paraId="73EC51F2" w14:textId="77777777" w:rsidR="00754197" w:rsidRDefault="00754197" w:rsidP="00754197">
      <w:pPr>
        <w:pStyle w:val="ListParagraph"/>
        <w:numPr>
          <w:ilvl w:val="0"/>
          <w:numId w:val="41"/>
        </w:numPr>
        <w:spacing w:before="160" w:after="80"/>
        <w:rPr>
          <w:lang w:eastAsia="en-AU"/>
        </w:rPr>
      </w:pPr>
      <w:r w:rsidRPr="0016677C">
        <w:rPr>
          <w:color w:val="000000"/>
        </w:rPr>
        <w:lastRenderedPageBreak/>
        <w:t xml:space="preserve">To do anything incidental to, or conducive to, the performance of the above functions. </w:t>
      </w:r>
    </w:p>
    <w:p w14:paraId="4C10947E" w14:textId="77777777" w:rsidR="00754197" w:rsidRDefault="00754197" w:rsidP="00754197">
      <w:pPr>
        <w:rPr>
          <w:rFonts w:eastAsia="Times New Roman" w:cstheme="minorHAnsi"/>
          <w:lang w:eastAsia="en-AU"/>
        </w:rPr>
      </w:pPr>
      <w:r w:rsidRPr="00747514">
        <w:rPr>
          <w:color w:val="000000"/>
        </w:rPr>
        <w:t xml:space="preserve">In addition to these functions, subsections 66 (7-10) of the Act provides for the Minister to request the Committee to </w:t>
      </w:r>
      <w:r w:rsidRPr="00747514">
        <w:rPr>
          <w:rFonts w:eastAsia="Calibri" w:cstheme="minorHAnsi"/>
          <w:color w:val="000000"/>
        </w:rPr>
        <w:t>undertake</w:t>
      </w:r>
      <w:r w:rsidRPr="00747514">
        <w:rPr>
          <w:color w:val="000000"/>
        </w:rPr>
        <w:t xml:space="preserve"> specific inquiries</w:t>
      </w:r>
      <w:r w:rsidRPr="00747514">
        <w:rPr>
          <w:rFonts w:eastAsia="Calibri" w:cstheme="minorHAnsi"/>
          <w:color w:val="000000"/>
        </w:rPr>
        <w:t xml:space="preserve"> into matters and report to the Minister on its findings.</w:t>
      </w:r>
    </w:p>
    <w:p w14:paraId="331D8F0C" w14:textId="77777777" w:rsidR="00754197" w:rsidRPr="00747514" w:rsidRDefault="00754197" w:rsidP="00754197">
      <w:pPr>
        <w:rPr>
          <w:rFonts w:eastAsia="Times New Roman" w:cstheme="minorHAnsi"/>
          <w:lang w:eastAsia="en-AU"/>
        </w:rPr>
      </w:pPr>
      <w:r w:rsidRPr="00747514">
        <w:rPr>
          <w:rFonts w:eastAsia="Times New Roman" w:cstheme="minorHAnsi"/>
          <w:lang w:eastAsia="en-AU"/>
        </w:rPr>
        <w:t xml:space="preserve">Matters related to the operation of Sydney Airport which lie outside the Committee’s functions include: </w:t>
      </w:r>
    </w:p>
    <w:p w14:paraId="1005A112" w14:textId="77777777" w:rsidR="00754197" w:rsidRPr="00747514" w:rsidRDefault="00754197" w:rsidP="00754197">
      <w:pPr>
        <w:pStyle w:val="Listparagraphbullets"/>
      </w:pPr>
      <w:r w:rsidRPr="00747514">
        <w:t>Maximum aircraft movement limits at Sydney Airport and for the Recovery Period as set in the Act,</w:t>
      </w:r>
    </w:p>
    <w:p w14:paraId="4300DD9F" w14:textId="77777777" w:rsidR="00754197" w:rsidRPr="00747514" w:rsidRDefault="00754197" w:rsidP="00754197">
      <w:pPr>
        <w:pStyle w:val="Listparagraphbullets"/>
      </w:pPr>
      <w:r w:rsidRPr="00747514">
        <w:t>Flight paths managed by Airservices Australia and matters of aircraft noise, an</w:t>
      </w:r>
      <w:r>
        <w:t>d</w:t>
      </w:r>
    </w:p>
    <w:p w14:paraId="1342EB71" w14:textId="77777777" w:rsidR="00754197" w:rsidRPr="00747514" w:rsidRDefault="00754197" w:rsidP="00754197">
      <w:pPr>
        <w:pStyle w:val="Listparagraphbullets"/>
      </w:pPr>
      <w:r w:rsidRPr="00747514">
        <w:t xml:space="preserve">Aircraft operations during curfew periods as set out in the </w:t>
      </w:r>
      <w:r w:rsidRPr="00747514">
        <w:rPr>
          <w:i/>
          <w:iCs/>
        </w:rPr>
        <w:t>Sydney Airport Curfew Act 1995</w:t>
      </w:r>
      <w:r>
        <w:t>.</w:t>
      </w:r>
    </w:p>
    <w:p w14:paraId="094EF6E4" w14:textId="77777777" w:rsidR="00754197" w:rsidRPr="009B0091" w:rsidRDefault="00754197" w:rsidP="00754197">
      <w:pPr>
        <w:pStyle w:val="Heading3"/>
      </w:pPr>
      <w:r w:rsidRPr="00747514">
        <w:t>Sydney</w:t>
      </w:r>
      <w:r w:rsidRPr="009B0091">
        <w:t xml:space="preserve"> Airport Demand Management Regulations 2025</w:t>
      </w:r>
    </w:p>
    <w:p w14:paraId="35623C14" w14:textId="77777777" w:rsidR="00754197" w:rsidRDefault="00754197" w:rsidP="00754197">
      <w:pPr>
        <w:pStyle w:val="ListLegal3"/>
        <w:numPr>
          <w:ilvl w:val="0"/>
          <w:numId w:val="0"/>
        </w:numPr>
        <w:rPr>
          <w:rFonts w:cstheme="minorHAnsi"/>
        </w:rPr>
      </w:pPr>
      <w:r>
        <w:t xml:space="preserve">Part 3 of the Regulations describes conditions of Committee membership and the procedures and operation of the Committee. </w:t>
      </w:r>
      <w:r>
        <w:rPr>
          <w:rFonts w:cstheme="minorHAnsi"/>
        </w:rPr>
        <w:t xml:space="preserve">Section 30 of the Regulations sets out </w:t>
      </w:r>
      <w:r w:rsidRPr="0016677C">
        <w:rPr>
          <w:lang w:val="en-AU"/>
        </w:rPr>
        <w:t xml:space="preserve">attendance by representatives of the department at </w:t>
      </w:r>
      <w:r>
        <w:rPr>
          <w:rFonts w:cstheme="minorHAnsi"/>
        </w:rPr>
        <w:t>Committee meetings as non-voting observers</w:t>
      </w:r>
      <w:r w:rsidRPr="008D49CA">
        <w:rPr>
          <w:rFonts w:cstheme="minorHAnsi"/>
        </w:rPr>
        <w:t xml:space="preserve">. </w:t>
      </w:r>
    </w:p>
    <w:p w14:paraId="14A7AE66" w14:textId="77777777" w:rsidR="00754197" w:rsidRDefault="00754197" w:rsidP="00754197">
      <w:pPr>
        <w:pStyle w:val="ListLegal3"/>
        <w:numPr>
          <w:ilvl w:val="0"/>
          <w:numId w:val="0"/>
        </w:numPr>
        <w:rPr>
          <w:rFonts w:cstheme="minorHAnsi"/>
        </w:rPr>
      </w:pPr>
      <w:r>
        <w:rPr>
          <w:rFonts w:cstheme="minorHAnsi"/>
        </w:rPr>
        <w:t xml:space="preserve">Part 4 of the Regulations sets out the obligations of the Slot Manager to provide the Committee with access to records to undertake its functions (section 33). It also provides for the Committee to request access to Slot Manager records (section 34).  </w:t>
      </w:r>
    </w:p>
    <w:p w14:paraId="7FDA3E71" w14:textId="77777777" w:rsidR="00754197" w:rsidRDefault="00754197" w:rsidP="00754197">
      <w:pPr>
        <w:pStyle w:val="ListLegal3"/>
        <w:numPr>
          <w:ilvl w:val="0"/>
          <w:numId w:val="0"/>
        </w:numPr>
      </w:pPr>
      <w:r>
        <w:rPr>
          <w:rFonts w:cstheme="minorHAnsi"/>
        </w:rPr>
        <w:t xml:space="preserve">Section 44 of the Regulations describes the obligations of the Committee in regard to generation, retention and destruction of its records. </w:t>
      </w:r>
    </w:p>
    <w:p w14:paraId="729A6883" w14:textId="77777777" w:rsidR="00754197" w:rsidRPr="009B0091" w:rsidRDefault="00754197" w:rsidP="00754197">
      <w:pPr>
        <w:pStyle w:val="Heading3"/>
      </w:pPr>
      <w:r w:rsidRPr="009B0091">
        <w:t>Sydney Airport Demand Management (Compliance Committee) Directions 2026</w:t>
      </w:r>
    </w:p>
    <w:p w14:paraId="28A86659" w14:textId="77777777" w:rsidR="00754197" w:rsidRPr="0016677C" w:rsidRDefault="00754197" w:rsidP="00754197">
      <w:r w:rsidRPr="0016677C">
        <w:rPr>
          <w:color w:val="000000"/>
        </w:rPr>
        <w:t>In accordance with section 67A of the Act</w:t>
      </w:r>
      <w:r>
        <w:rPr>
          <w:color w:val="000000"/>
        </w:rPr>
        <w:t>,</w:t>
      </w:r>
      <w:r w:rsidRPr="0016677C">
        <w:rPr>
          <w:color w:val="000000"/>
        </w:rPr>
        <w:t xml:space="preserve"> Minister King issued the Minister’s Directions</w:t>
      </w:r>
      <w:r w:rsidRPr="0016677C">
        <w:t xml:space="preserve"> </w:t>
      </w:r>
      <w:r>
        <w:rPr>
          <w:rFonts w:eastAsia="Times New Roman" w:cstheme="minorHAnsi"/>
          <w:lang w:eastAsia="en-AU"/>
        </w:rPr>
        <w:t>on 16 February 2026. The Directions set</w:t>
      </w:r>
      <w:r w:rsidRPr="0016677C">
        <w:t xml:space="preserve"> out the Minister’s priorities for the Committee as well as other specific requirements</w:t>
      </w:r>
      <w:r>
        <w:rPr>
          <w:rFonts w:eastAsia="Times New Roman" w:cstheme="minorHAnsi"/>
          <w:lang w:eastAsia="en-AU"/>
        </w:rPr>
        <w:t>.</w:t>
      </w:r>
      <w:r w:rsidRPr="0016677C">
        <w:t xml:space="preserve"> </w:t>
      </w:r>
    </w:p>
    <w:p w14:paraId="5F6B2871" w14:textId="77777777" w:rsidR="00754197" w:rsidRPr="00747514" w:rsidRDefault="00754197" w:rsidP="00754197">
      <w:pPr>
        <w:pStyle w:val="Heading4"/>
      </w:pPr>
      <w:r w:rsidRPr="00747514">
        <w:t xml:space="preserve">Statutory objectives </w:t>
      </w:r>
    </w:p>
    <w:bookmarkEnd w:id="0"/>
    <w:p w14:paraId="2CFB552A" w14:textId="77777777" w:rsidR="00754197" w:rsidRPr="0016677C" w:rsidRDefault="00754197" w:rsidP="00754197">
      <w:r w:rsidRPr="00824650">
        <w:t>Section</w:t>
      </w:r>
      <w:r w:rsidRPr="0016677C">
        <w:t xml:space="preserve"> 5 of the Minister’s Directions states the Committee must perform its functions consistent with the following statutory objectives. The Committee will undertake its functions with a view to the:</w:t>
      </w:r>
    </w:p>
    <w:p w14:paraId="40FEE521" w14:textId="77777777" w:rsidR="00754197" w:rsidRPr="0016677C" w:rsidRDefault="00754197" w:rsidP="00754197">
      <w:pPr>
        <w:pStyle w:val="Listparagraphbullets"/>
      </w:pPr>
      <w:r w:rsidRPr="0016677C">
        <w:t>Competitive use of Sydney Airport’s limited capacity</w:t>
      </w:r>
      <w:r w:rsidRPr="00FF08E1">
        <w:rPr>
          <w:rFonts w:eastAsia="Times New Roman" w:cstheme="minorHAnsi"/>
          <w:lang w:eastAsia="en-AU"/>
        </w:rPr>
        <w:t>,</w:t>
      </w:r>
    </w:p>
    <w:p w14:paraId="0DA8F7A9" w14:textId="77777777" w:rsidR="00754197" w:rsidRPr="0016677C" w:rsidRDefault="00754197" w:rsidP="00754197">
      <w:pPr>
        <w:pStyle w:val="Listparagraphbullets"/>
      </w:pPr>
      <w:r w:rsidRPr="0016677C">
        <w:t>Fair application of the legislative framework to all operators</w:t>
      </w:r>
      <w:r w:rsidRPr="00FF08E1">
        <w:rPr>
          <w:rFonts w:eastAsia="Times New Roman" w:cstheme="minorHAnsi"/>
          <w:lang w:eastAsia="en-AU"/>
        </w:rPr>
        <w:t>,</w:t>
      </w:r>
    </w:p>
    <w:p w14:paraId="2631CB9D" w14:textId="77777777" w:rsidR="00754197" w:rsidRPr="0016677C" w:rsidRDefault="00754197" w:rsidP="00754197">
      <w:pPr>
        <w:pStyle w:val="Listparagraphbullets"/>
      </w:pPr>
      <w:r w:rsidRPr="0016677C">
        <w:t>Efficient utilisation of slots, particularly during peak periods</w:t>
      </w:r>
      <w:r w:rsidRPr="00FF08E1">
        <w:rPr>
          <w:rFonts w:eastAsia="Times New Roman" w:cstheme="minorHAnsi"/>
          <w:lang w:eastAsia="en-AU"/>
        </w:rPr>
        <w:t>, and</w:t>
      </w:r>
    </w:p>
    <w:p w14:paraId="5F5D08DF" w14:textId="77777777" w:rsidR="00754197" w:rsidRPr="0016677C" w:rsidRDefault="00754197" w:rsidP="00754197">
      <w:pPr>
        <w:pStyle w:val="Listparagraphbullets"/>
      </w:pPr>
      <w:r w:rsidRPr="0016677C">
        <w:t>Transparent monitoring and reporting of compliance</w:t>
      </w:r>
      <w:r w:rsidRPr="00FF08E1">
        <w:rPr>
          <w:rFonts w:eastAsia="Times New Roman" w:cstheme="minorHAnsi"/>
          <w:lang w:eastAsia="en-AU"/>
        </w:rPr>
        <w:t>.</w:t>
      </w:r>
    </w:p>
    <w:p w14:paraId="0F2A2DC1" w14:textId="77777777" w:rsidR="00754197" w:rsidRPr="00747514" w:rsidRDefault="00754197" w:rsidP="00754197">
      <w:pPr>
        <w:pStyle w:val="Heading4"/>
      </w:pPr>
      <w:r w:rsidRPr="00747514">
        <w:t xml:space="preserve">Priorities of the Committee </w:t>
      </w:r>
    </w:p>
    <w:p w14:paraId="6029F750" w14:textId="77777777" w:rsidR="00754197" w:rsidRPr="0016677C" w:rsidRDefault="00754197" w:rsidP="00754197">
      <w:r w:rsidRPr="0016677C">
        <w:t xml:space="preserve">Section 6 of the Minister’s Directions establishes two priorities for the Committee: </w:t>
      </w:r>
    </w:p>
    <w:p w14:paraId="4501ACBA" w14:textId="77777777" w:rsidR="00754197" w:rsidRPr="00D848AB" w:rsidRDefault="00754197" w:rsidP="00754197">
      <w:pPr>
        <w:rPr>
          <w:b/>
          <w:color w:val="404040" w:themeColor="text1" w:themeTint="BF"/>
        </w:rPr>
      </w:pPr>
      <w:r w:rsidRPr="0016677C">
        <w:rPr>
          <w:b/>
          <w:u w:val="single"/>
        </w:rPr>
        <w:t>Priority 1</w:t>
      </w:r>
      <w:r w:rsidRPr="0016677C">
        <w:rPr>
          <w:b/>
        </w:rPr>
        <w:t>: Regularly review and advise on the effectiveness of compliance and enforcement tools available under the Act, Regulations and Scheme</w:t>
      </w:r>
      <w:r w:rsidRPr="00D848AB">
        <w:rPr>
          <w:b/>
          <w:color w:val="404040" w:themeColor="text1" w:themeTint="BF"/>
        </w:rPr>
        <w:t>.</w:t>
      </w:r>
    </w:p>
    <w:p w14:paraId="6C4C2E4A" w14:textId="77777777" w:rsidR="00754197" w:rsidRDefault="00754197" w:rsidP="00754197">
      <w:pPr>
        <w:rPr>
          <w:rFonts w:eastAsia="Times New Roman" w:cstheme="minorHAnsi"/>
          <w:lang w:eastAsia="en-AU"/>
        </w:rPr>
      </w:pPr>
      <w:r>
        <w:rPr>
          <w:rFonts w:eastAsia="Times New Roman" w:cstheme="minorHAnsi"/>
          <w:lang w:eastAsia="en-AU"/>
        </w:rPr>
        <w:t>The Committee will do this by:</w:t>
      </w:r>
    </w:p>
    <w:p w14:paraId="4198BB1A" w14:textId="77777777" w:rsidR="00754197" w:rsidRPr="0016677C" w:rsidRDefault="00754197" w:rsidP="00754197">
      <w:pPr>
        <w:pStyle w:val="Listparagraphbullets"/>
      </w:pPr>
      <w:r>
        <w:t>M</w:t>
      </w:r>
      <w:r w:rsidRPr="00EA1DB4">
        <w:t>onitoring trends in the allocation and use of slots</w:t>
      </w:r>
      <w:r>
        <w:t xml:space="preserve">, </w:t>
      </w:r>
      <w:r w:rsidRPr="00EA1DB4">
        <w:t>gate movements at Sydney Airport and compliance with the Act</w:t>
      </w:r>
      <w:r>
        <w:t xml:space="preserve">, </w:t>
      </w:r>
    </w:p>
    <w:p w14:paraId="1B4EB5C8" w14:textId="77777777" w:rsidR="00754197" w:rsidRPr="0016677C" w:rsidRDefault="00754197" w:rsidP="00754197">
      <w:pPr>
        <w:pStyle w:val="Listparagraphbullets"/>
      </w:pPr>
      <w:r>
        <w:t>R</w:t>
      </w:r>
      <w:r w:rsidRPr="0016677C">
        <w:t>eviewing the effectiveness of the compliance and enforcement system at achieving the statutory objectives</w:t>
      </w:r>
      <w:r>
        <w:t>,</w:t>
      </w:r>
      <w:r w:rsidRPr="0016677C">
        <w:t xml:space="preserve"> </w:t>
      </w:r>
      <w:r w:rsidRPr="00CB7268">
        <w:t>and</w:t>
      </w:r>
    </w:p>
    <w:p w14:paraId="35A06B42" w14:textId="77777777" w:rsidR="00754197" w:rsidRPr="0016677C" w:rsidRDefault="00754197" w:rsidP="00754197">
      <w:pPr>
        <w:pStyle w:val="Listparagraphbullets"/>
      </w:pPr>
      <w:r>
        <w:t>Preparing advice and reporting its findings to the Minister.</w:t>
      </w:r>
    </w:p>
    <w:p w14:paraId="663FA641" w14:textId="77777777" w:rsidR="00754197" w:rsidRPr="0016677C" w:rsidRDefault="00754197" w:rsidP="00754197">
      <w:pPr>
        <w:rPr>
          <w:b/>
          <w:color w:val="7F7F7F" w:themeColor="text1" w:themeTint="80"/>
        </w:rPr>
      </w:pPr>
      <w:r w:rsidRPr="0016677C">
        <w:rPr>
          <w:b/>
          <w:u w:val="single"/>
        </w:rPr>
        <w:t>Priority 2</w:t>
      </w:r>
      <w:r w:rsidRPr="0016677C">
        <w:rPr>
          <w:b/>
        </w:rPr>
        <w:t>:  Inquire into and report to the Minister about high-risk non-compliant behaviours and emerging circumstances and patterns of behaviour.</w:t>
      </w:r>
    </w:p>
    <w:p w14:paraId="32D9FF4E" w14:textId="77777777" w:rsidR="00754197" w:rsidRPr="00CE4473" w:rsidRDefault="00754197" w:rsidP="00754197">
      <w:pPr>
        <w:rPr>
          <w:rFonts w:cstheme="minorHAnsi"/>
        </w:rPr>
      </w:pPr>
      <w:r w:rsidRPr="0016677C">
        <w:t xml:space="preserve">The Committee will do this by: </w:t>
      </w:r>
    </w:p>
    <w:p w14:paraId="70241831" w14:textId="77777777" w:rsidR="00754197" w:rsidRDefault="00754197" w:rsidP="00754197">
      <w:pPr>
        <w:pStyle w:val="Listparagraphbullets"/>
      </w:pPr>
      <w:r>
        <w:lastRenderedPageBreak/>
        <w:t>Identifying high-risk non-compliant behaviours using:</w:t>
      </w:r>
    </w:p>
    <w:p w14:paraId="33C10D3B" w14:textId="77777777" w:rsidR="00754197" w:rsidRDefault="00754197" w:rsidP="00754197">
      <w:pPr>
        <w:pStyle w:val="Listparagraphbulletssecondlevel"/>
      </w:pPr>
      <w:r>
        <w:t>Information from the department about its regulatory assessment of non-compliance and operator behaviour;</w:t>
      </w:r>
    </w:p>
    <w:p w14:paraId="10256CF9" w14:textId="77777777" w:rsidR="00754197" w:rsidRDefault="00754197" w:rsidP="00754197">
      <w:pPr>
        <w:pStyle w:val="Listparagraphbulletssecondlevel"/>
      </w:pPr>
      <w:r>
        <w:t>Slot Manager reporting to the Committee;</w:t>
      </w:r>
      <w:r w:rsidRPr="0016677C">
        <w:t xml:space="preserve"> </w:t>
      </w:r>
    </w:p>
    <w:p w14:paraId="06D24C73" w14:textId="77777777" w:rsidR="00754197" w:rsidRPr="00CB2A6C" w:rsidRDefault="00754197" w:rsidP="00754197">
      <w:pPr>
        <w:pStyle w:val="Listparagraphbulletssecondlevel"/>
      </w:pPr>
      <w:r>
        <w:t xml:space="preserve">Earlier studies into slot use including the 2019 Productivity Commission’s </w:t>
      </w:r>
      <w:r w:rsidRPr="00FE7FA9">
        <w:rPr>
          <w:i/>
          <w:iCs/>
        </w:rPr>
        <w:t>Economic Regulation of Airports</w:t>
      </w:r>
      <w:r w:rsidRPr="0016677C">
        <w:rPr>
          <w:rStyle w:val="FootnoteReference"/>
          <w:i/>
        </w:rPr>
        <w:footnoteReference w:id="1"/>
      </w:r>
      <w:r>
        <w:t xml:space="preserve"> public inquiry; the 2021 </w:t>
      </w:r>
      <w:r w:rsidRPr="00FE7FA9">
        <w:rPr>
          <w:i/>
          <w:iCs/>
        </w:rPr>
        <w:t>Review of the Sydney Airport Demand Management Scheme</w:t>
      </w:r>
      <w:r w:rsidRPr="00CE4473">
        <w:t xml:space="preserve"> </w:t>
      </w:r>
      <w:r>
        <w:t>(Harris Review)</w:t>
      </w:r>
      <w:r w:rsidRPr="0016677C">
        <w:rPr>
          <w:rStyle w:val="FootnoteReference"/>
        </w:rPr>
        <w:footnoteReference w:id="2"/>
      </w:r>
      <w:r>
        <w:t xml:space="preserve">; and the 2024 </w:t>
      </w:r>
      <w:r w:rsidRPr="00FE7FA9">
        <w:rPr>
          <w:i/>
          <w:iCs/>
        </w:rPr>
        <w:t>Sydney Airport Domestic Slot Audit</w:t>
      </w:r>
      <w:r w:rsidRPr="0016677C">
        <w:rPr>
          <w:rStyle w:val="FootnoteReference"/>
          <w:i/>
        </w:rPr>
        <w:footnoteReference w:id="3"/>
      </w:r>
      <w:r>
        <w:t>.</w:t>
      </w:r>
    </w:p>
    <w:p w14:paraId="4CCB8FE6" w14:textId="77777777" w:rsidR="00754197" w:rsidRDefault="00754197" w:rsidP="00754197">
      <w:pPr>
        <w:pStyle w:val="Listparagraphbullets"/>
      </w:pPr>
      <w:r>
        <w:t>Inquiring into the impact of high-risk non-compliant behaviours on the statutory objectives; and</w:t>
      </w:r>
    </w:p>
    <w:p w14:paraId="385C4645" w14:textId="77777777" w:rsidR="00754197" w:rsidRPr="00C815D6" w:rsidRDefault="00754197" w:rsidP="00754197">
      <w:pPr>
        <w:pStyle w:val="Listparagraphbullets"/>
      </w:pPr>
      <w:r w:rsidRPr="00C815D6">
        <w:t>Preparing report</w:t>
      </w:r>
      <w:r>
        <w:t>s</w:t>
      </w:r>
      <w:r w:rsidRPr="00C815D6">
        <w:t xml:space="preserve"> for the Minister about its inquiries. </w:t>
      </w:r>
    </w:p>
    <w:p w14:paraId="47008521" w14:textId="77777777" w:rsidR="00754197" w:rsidRPr="00747514" w:rsidRDefault="00754197" w:rsidP="00754197">
      <w:pPr>
        <w:pStyle w:val="Heading4"/>
      </w:pPr>
      <w:r w:rsidRPr="00747514">
        <w:t>Secretariat</w:t>
      </w:r>
    </w:p>
    <w:p w14:paraId="7A002870" w14:textId="77777777" w:rsidR="00754197" w:rsidRDefault="00754197" w:rsidP="00754197">
      <w:pPr>
        <w:pStyle w:val="ListLegal3"/>
        <w:numPr>
          <w:ilvl w:val="0"/>
          <w:numId w:val="0"/>
        </w:numPr>
        <w:spacing w:before="160"/>
        <w:rPr>
          <w:rFonts w:cstheme="minorHAnsi"/>
        </w:rPr>
      </w:pPr>
      <w:r>
        <w:rPr>
          <w:rFonts w:cstheme="minorHAnsi"/>
        </w:rPr>
        <w:t xml:space="preserve">Section 7 of the Minister’s Directions requires the department to provide a secretariat function for the Committee. </w:t>
      </w:r>
      <w:r w:rsidRPr="005D2CBF">
        <w:rPr>
          <w:rFonts w:cstheme="minorHAnsi"/>
        </w:rPr>
        <w:t xml:space="preserve">The </w:t>
      </w:r>
      <w:r>
        <w:rPr>
          <w:rFonts w:cstheme="minorHAnsi"/>
        </w:rPr>
        <w:t>s</w:t>
      </w:r>
      <w:r w:rsidRPr="005D2CBF">
        <w:rPr>
          <w:rFonts w:cstheme="minorHAnsi"/>
        </w:rPr>
        <w:t>ecretariat is responsible for organising meetings</w:t>
      </w:r>
      <w:r>
        <w:rPr>
          <w:rFonts w:cstheme="minorHAnsi"/>
        </w:rPr>
        <w:t xml:space="preserve"> including preparing agendas, noting attendance of members and observers, taking minutes, maintaining an action register </w:t>
      </w:r>
      <w:r w:rsidRPr="005D2CBF">
        <w:rPr>
          <w:rFonts w:cstheme="minorHAnsi"/>
        </w:rPr>
        <w:t>and managing</w:t>
      </w:r>
      <w:r>
        <w:rPr>
          <w:rFonts w:cstheme="minorHAnsi"/>
        </w:rPr>
        <w:t xml:space="preserve"> the</w:t>
      </w:r>
      <w:r w:rsidRPr="005D2CBF">
        <w:rPr>
          <w:rFonts w:cstheme="minorHAnsi"/>
        </w:rPr>
        <w:t xml:space="preserve"> travel</w:t>
      </w:r>
      <w:r>
        <w:rPr>
          <w:rFonts w:cstheme="minorHAnsi"/>
        </w:rPr>
        <w:t xml:space="preserve"> arrangements of</w:t>
      </w:r>
      <w:r w:rsidRPr="005D2CBF">
        <w:rPr>
          <w:rFonts w:cstheme="minorHAnsi"/>
        </w:rPr>
        <w:t xml:space="preserve"> the Chair and the three appointed members.</w:t>
      </w:r>
      <w:r>
        <w:rPr>
          <w:rFonts w:cstheme="minorHAnsi"/>
        </w:rPr>
        <w:t xml:space="preserve"> The secretariat will also maintain a register of conflict of interest disclosures made by members.</w:t>
      </w:r>
      <w:r w:rsidRPr="005D2CBF">
        <w:rPr>
          <w:rFonts w:cstheme="minorHAnsi"/>
        </w:rPr>
        <w:t xml:space="preserve">  </w:t>
      </w:r>
    </w:p>
    <w:p w14:paraId="731C4EA4" w14:textId="77777777" w:rsidR="00754197" w:rsidRPr="000D57AC" w:rsidRDefault="00754197" w:rsidP="00754197">
      <w:pPr>
        <w:rPr>
          <w:rFonts w:cstheme="minorHAnsi"/>
        </w:rPr>
      </w:pPr>
      <w:r>
        <w:rPr>
          <w:rFonts w:cstheme="minorHAnsi"/>
        </w:rPr>
        <w:t xml:space="preserve">In performing its functions, the Committee will engage constructively with the department and </w:t>
      </w:r>
      <w:r w:rsidRPr="00B55CD6">
        <w:rPr>
          <w:rFonts w:cstheme="minorHAnsi"/>
        </w:rPr>
        <w:t xml:space="preserve">consider information or materials provided by the department. </w:t>
      </w:r>
      <w:r>
        <w:t xml:space="preserve">With the assistance of the secretariat, the Committee will </w:t>
      </w:r>
      <w:r>
        <w:rPr>
          <w:rFonts w:cstheme="minorHAnsi"/>
        </w:rPr>
        <w:t>e</w:t>
      </w:r>
      <w:r w:rsidRPr="001E65B8">
        <w:rPr>
          <w:rFonts w:cstheme="minorHAnsi"/>
        </w:rPr>
        <w:t>stablish and maintain internal processes</w:t>
      </w:r>
      <w:r>
        <w:rPr>
          <w:rFonts w:cstheme="minorHAnsi"/>
        </w:rPr>
        <w:t xml:space="preserve"> and systems</w:t>
      </w:r>
      <w:r w:rsidRPr="001E65B8">
        <w:rPr>
          <w:rFonts w:cstheme="minorHAnsi"/>
        </w:rPr>
        <w:t xml:space="preserve"> </w:t>
      </w:r>
      <w:r>
        <w:rPr>
          <w:rFonts w:cstheme="minorHAnsi"/>
        </w:rPr>
        <w:t>to support the performance of its functions.</w:t>
      </w:r>
    </w:p>
    <w:p w14:paraId="2001D075" w14:textId="77777777" w:rsidR="00754197" w:rsidRDefault="00754197" w:rsidP="00754197">
      <w:r>
        <w:t xml:space="preserve">The secretariat also supports the requirement set out in Section 8 of the Minister’s Directions for  the Committee to meet 4 times in a calendar year. </w:t>
      </w:r>
    </w:p>
    <w:p w14:paraId="00A6DB1F" w14:textId="77777777" w:rsidR="00754197" w:rsidRPr="00747514" w:rsidRDefault="00754197" w:rsidP="00754197">
      <w:pPr>
        <w:pStyle w:val="Heading4"/>
      </w:pPr>
      <w:r w:rsidRPr="00747514">
        <w:t xml:space="preserve">Annual report </w:t>
      </w:r>
    </w:p>
    <w:p w14:paraId="1C30D3BC" w14:textId="77777777" w:rsidR="00754197" w:rsidRPr="0016677C" w:rsidRDefault="00754197" w:rsidP="00754197">
      <w:pPr>
        <w:rPr>
          <w:lang w:val="en-US"/>
        </w:rPr>
      </w:pPr>
      <w:r w:rsidRPr="0016677C">
        <w:rPr>
          <w:lang w:val="x-none"/>
        </w:rPr>
        <w:t xml:space="preserve">Section 12 of the Minister’s Directions requires the Committee to deliver an annual report to the Minister </w:t>
      </w:r>
      <w:r w:rsidRPr="0016677C">
        <w:rPr>
          <w:lang w:val="en-US"/>
        </w:rPr>
        <w:t xml:space="preserve">by 31 October each year. </w:t>
      </w:r>
    </w:p>
    <w:p w14:paraId="183791DE" w14:textId="77777777" w:rsidR="00754197" w:rsidRPr="00603ECE" w:rsidRDefault="00754197" w:rsidP="00754197">
      <w:pPr>
        <w:rPr>
          <w:lang w:val="en-US"/>
        </w:rPr>
      </w:pPr>
      <w:r w:rsidRPr="0016677C">
        <w:rPr>
          <w:lang w:val="en-US"/>
        </w:rPr>
        <w:t xml:space="preserve">The Committee will prepare an annual report with information </w:t>
      </w:r>
      <w:r>
        <w:rPr>
          <w:rFonts w:cstheme="minorHAnsi"/>
          <w:lang w:val="en-US"/>
        </w:rPr>
        <w:t>relating to the last 12 months of its operations including:</w:t>
      </w:r>
    </w:p>
    <w:p w14:paraId="26E3A3F7" w14:textId="77777777" w:rsidR="00754197" w:rsidRPr="00FE7FA9" w:rsidRDefault="00754197" w:rsidP="00754197">
      <w:pPr>
        <w:pStyle w:val="Listparagraphbullets"/>
      </w:pPr>
      <w:r>
        <w:t>T</w:t>
      </w:r>
      <w:r w:rsidRPr="00FE7FA9">
        <w:t xml:space="preserve">he performance of </w:t>
      </w:r>
      <w:r>
        <w:t>its</w:t>
      </w:r>
      <w:r w:rsidRPr="00FE7FA9">
        <w:t xml:space="preserve"> functions</w:t>
      </w:r>
      <w:r>
        <w:t>;</w:t>
      </w:r>
    </w:p>
    <w:p w14:paraId="0616004E" w14:textId="77777777" w:rsidR="00754197" w:rsidRPr="00FE7FA9" w:rsidRDefault="00754197" w:rsidP="00754197">
      <w:pPr>
        <w:pStyle w:val="Listparagraphbullets"/>
      </w:pPr>
      <w:r>
        <w:t>T</w:t>
      </w:r>
      <w:r w:rsidRPr="00FE7FA9">
        <w:t>rends in slot use</w:t>
      </w:r>
      <w:r>
        <w:t xml:space="preserve"> and high-risk </w:t>
      </w:r>
      <w:r w:rsidRPr="00FE7FA9">
        <w:t>behaviours relating to non-compliance</w:t>
      </w:r>
      <w:r>
        <w:t>;</w:t>
      </w:r>
      <w:r w:rsidRPr="00FE7FA9">
        <w:t xml:space="preserve"> </w:t>
      </w:r>
    </w:p>
    <w:p w14:paraId="151669B2" w14:textId="77777777" w:rsidR="00754197" w:rsidRPr="00FE7FA9" w:rsidRDefault="00754197" w:rsidP="00754197">
      <w:pPr>
        <w:pStyle w:val="Listparagraphbullets"/>
      </w:pPr>
      <w:r>
        <w:t>M</w:t>
      </w:r>
      <w:r w:rsidRPr="00FE7FA9">
        <w:t>eetings held</w:t>
      </w:r>
      <w:r>
        <w:t>;</w:t>
      </w:r>
    </w:p>
    <w:p w14:paraId="17E19A16" w14:textId="77777777" w:rsidR="00754197" w:rsidRDefault="00754197" w:rsidP="00754197">
      <w:pPr>
        <w:pStyle w:val="Listparagraphbullets"/>
      </w:pPr>
      <w:r>
        <w:t>A</w:t>
      </w:r>
      <w:r w:rsidRPr="00E67D1E">
        <w:t>ny requests by the Minister for inquiry into a matter (as per subsection 66(7) of the Act)</w:t>
      </w:r>
      <w:r>
        <w:t>; and</w:t>
      </w:r>
    </w:p>
    <w:p w14:paraId="44E0F39A" w14:textId="77777777" w:rsidR="00754197" w:rsidRDefault="00754197" w:rsidP="00754197">
      <w:pPr>
        <w:pStyle w:val="Listparagraphbullets"/>
      </w:pPr>
      <w:r>
        <w:t>Any other matters related to the conduct of the Committee’s work</w:t>
      </w:r>
      <w:r w:rsidRPr="00E67D1E">
        <w:t xml:space="preserve">. </w:t>
      </w:r>
    </w:p>
    <w:p w14:paraId="04EE4695" w14:textId="77777777" w:rsidR="00754197" w:rsidRDefault="00754197" w:rsidP="00754197">
      <w:pPr>
        <w:rPr>
          <w:rFonts w:cstheme="minorHAnsi"/>
        </w:rPr>
      </w:pPr>
      <w:r>
        <w:rPr>
          <w:rFonts w:cstheme="minorHAnsi"/>
        </w:rPr>
        <w:t xml:space="preserve">Section 17 of the Minister’s Directions state the Committee’s initial annual report will only cover information related to the Northern Winter 2025 (NW25) scheduling season.  </w:t>
      </w:r>
    </w:p>
    <w:p w14:paraId="44168604" w14:textId="77777777" w:rsidR="00754197" w:rsidRDefault="00754197" w:rsidP="00754197">
      <w:pPr>
        <w:pStyle w:val="Heading2"/>
      </w:pPr>
      <w:r>
        <w:t>The Committee’s approach</w:t>
      </w:r>
    </w:p>
    <w:p w14:paraId="2F2010A9" w14:textId="77777777" w:rsidR="00754197" w:rsidRDefault="00754197" w:rsidP="00754197">
      <w:pPr>
        <w:keepNext/>
        <w:rPr>
          <w:rFonts w:eastAsia="Times New Roman" w:cstheme="minorHAnsi"/>
          <w:lang w:eastAsia="en-AU"/>
        </w:rPr>
      </w:pPr>
      <w:r>
        <w:t>In developing these Terms of Reference, the Committee has considered the above matters and the Act, Regulations and Ministerial Directions more generally and has decided it</w:t>
      </w:r>
      <w:r w:rsidRPr="00CA6FEC">
        <w:rPr>
          <w:rFonts w:eastAsia="Times New Roman" w:cstheme="minorHAnsi"/>
          <w:lang w:eastAsia="en-AU"/>
        </w:rPr>
        <w:t xml:space="preserve"> </w:t>
      </w:r>
      <w:r>
        <w:rPr>
          <w:rFonts w:eastAsia="Times New Roman" w:cstheme="minorHAnsi"/>
          <w:lang w:eastAsia="en-AU"/>
        </w:rPr>
        <w:t>will focus on:</w:t>
      </w:r>
    </w:p>
    <w:p w14:paraId="7C2BE8A0" w14:textId="77777777" w:rsidR="00754197" w:rsidRDefault="00754197" w:rsidP="00754197">
      <w:pPr>
        <w:pStyle w:val="Listparagraphbullets"/>
      </w:pPr>
      <w:r>
        <w:t>Formal compliance with the scheme,</w:t>
      </w:r>
    </w:p>
    <w:p w14:paraId="3B883C09" w14:textId="77777777" w:rsidR="00754197" w:rsidRDefault="00754197" w:rsidP="00754197">
      <w:pPr>
        <w:pStyle w:val="Listparagraphbullets"/>
      </w:pPr>
      <w:r>
        <w:t>The adoption of regulatory best practice by the Department and the Slot Manager,</w:t>
      </w:r>
    </w:p>
    <w:p w14:paraId="7473ED1F" w14:textId="77777777" w:rsidR="00754197" w:rsidRDefault="00754197" w:rsidP="00754197">
      <w:pPr>
        <w:pStyle w:val="Listparagraphbullets"/>
      </w:pPr>
      <w:r>
        <w:t>The identification of potential reforms to improve compliance and regulatory efficiency,</w:t>
      </w:r>
    </w:p>
    <w:p w14:paraId="1E5CC5E2" w14:textId="77777777" w:rsidR="00754197" w:rsidRDefault="00754197" w:rsidP="00754197">
      <w:pPr>
        <w:pStyle w:val="Listparagraphbullets"/>
      </w:pPr>
      <w:r>
        <w:lastRenderedPageBreak/>
        <w:t>The identification of existing and emerging anticompetitive conduct and other conduct that might lead to consumer detriment, and;</w:t>
      </w:r>
    </w:p>
    <w:p w14:paraId="6820403F" w14:textId="77777777" w:rsidR="00754197" w:rsidRPr="00CA6FEC" w:rsidRDefault="00754197" w:rsidP="00754197">
      <w:pPr>
        <w:pStyle w:val="Listparagraphbullets"/>
      </w:pPr>
      <w:r>
        <w:t>Any requests made by the Minister</w:t>
      </w:r>
    </w:p>
    <w:p w14:paraId="384DA63A" w14:textId="77777777" w:rsidR="00754197" w:rsidRDefault="00754197" w:rsidP="00754197">
      <w:pPr>
        <w:keepNext/>
        <w:rPr>
          <w:rFonts w:eastAsia="Times New Roman" w:cstheme="minorHAnsi"/>
          <w:lang w:eastAsia="en-AU"/>
        </w:rPr>
      </w:pPr>
      <w:r>
        <w:rPr>
          <w:rFonts w:eastAsia="Times New Roman" w:cstheme="minorHAnsi"/>
          <w:lang w:eastAsia="en-AU"/>
        </w:rPr>
        <w:t>It will do this</w:t>
      </w:r>
      <w:r w:rsidRPr="00CA6FEC">
        <w:rPr>
          <w:rFonts w:eastAsia="Times New Roman" w:cstheme="minorHAnsi"/>
          <w:lang w:eastAsia="en-AU"/>
        </w:rPr>
        <w:t xml:space="preserve"> by</w:t>
      </w:r>
      <w:r>
        <w:rPr>
          <w:rFonts w:eastAsia="Times New Roman" w:cstheme="minorHAnsi"/>
          <w:lang w:eastAsia="en-AU"/>
        </w:rPr>
        <w:t>:</w:t>
      </w:r>
    </w:p>
    <w:p w14:paraId="15EEC3C8" w14:textId="77777777" w:rsidR="00754197" w:rsidRDefault="00754197" w:rsidP="00754197">
      <w:pPr>
        <w:pStyle w:val="Listparagraphbullets"/>
        <w:keepNext/>
      </w:pPr>
      <w:r>
        <w:t>Meeting four times a year,</w:t>
      </w:r>
    </w:p>
    <w:p w14:paraId="03D998CA" w14:textId="77777777" w:rsidR="00754197" w:rsidRDefault="00754197" w:rsidP="00754197">
      <w:pPr>
        <w:pStyle w:val="Listparagraphbullets"/>
      </w:pPr>
      <w:r>
        <w:t xml:space="preserve">Receiving and reviewing compliance information from the Slot Manager and the Department at its regular meetings, </w:t>
      </w:r>
    </w:p>
    <w:p w14:paraId="4DC73BA6" w14:textId="77777777" w:rsidR="00754197" w:rsidRPr="00CA6FEC" w:rsidRDefault="00754197" w:rsidP="00754197">
      <w:pPr>
        <w:pStyle w:val="Listparagraphbullets"/>
      </w:pPr>
      <w:r>
        <w:t>Undertaking detailed analysis on specific matters as it feels appropriate or as requested by the Minister,</w:t>
      </w:r>
    </w:p>
    <w:p w14:paraId="6F4826F8" w14:textId="77777777" w:rsidR="00754197" w:rsidRDefault="00754197" w:rsidP="00754197">
      <w:pPr>
        <w:pStyle w:val="Listparagraphbullets"/>
      </w:pPr>
      <w:r>
        <w:t>As it deems appropriate, engaging with stakeholders including but not limited to the Department, Airservices, the Slot Manager, Sydney Airport, airlines and other aircraft operators using Sydney Airport,</w:t>
      </w:r>
    </w:p>
    <w:p w14:paraId="3E0BE5DD" w14:textId="77777777" w:rsidR="00754197" w:rsidRDefault="00754197" w:rsidP="00754197">
      <w:pPr>
        <w:pStyle w:val="Listparagraphbullets"/>
      </w:pPr>
      <w:r>
        <w:t>Seeking further information from the Department, the Slot Manager and Airservices to further investigate issues, and</w:t>
      </w:r>
    </w:p>
    <w:p w14:paraId="697E2D2B" w14:textId="77777777" w:rsidR="00754197" w:rsidRPr="00747514" w:rsidRDefault="00754197" w:rsidP="00754197">
      <w:pPr>
        <w:pStyle w:val="Listparagraphbullets"/>
      </w:pPr>
      <w:r>
        <w:t>Reporting to the Minister annually and at other times as the Committee feels appropriate</w:t>
      </w:r>
      <w:r w:rsidRPr="00747514">
        <w:t>.</w:t>
      </w:r>
    </w:p>
    <w:p w14:paraId="2897BB51" w14:textId="77777777" w:rsidR="00754197" w:rsidRPr="008A376B" w:rsidRDefault="00754197" w:rsidP="00754197">
      <w:pPr>
        <w:pStyle w:val="Heading2"/>
      </w:pPr>
      <w:r w:rsidRPr="00FE7FA9">
        <w:t>Review</w:t>
      </w:r>
      <w:r>
        <w:t>ing</w:t>
      </w:r>
      <w:r w:rsidRPr="008A376B">
        <w:t xml:space="preserve"> </w:t>
      </w:r>
      <w:bookmarkStart w:id="2" w:name="_Hlk159929407"/>
      <w:r w:rsidRPr="008A376B">
        <w:t>the Terms of Reference</w:t>
      </w:r>
    </w:p>
    <w:p w14:paraId="5FF9CD18" w14:textId="77777777" w:rsidR="00754197" w:rsidRPr="00B1784C" w:rsidRDefault="00754197" w:rsidP="00754197">
      <w:pPr>
        <w:rPr>
          <w:rFonts w:cstheme="minorHAnsi"/>
        </w:rPr>
      </w:pPr>
      <w:r w:rsidRPr="00B1784C">
        <w:rPr>
          <w:rFonts w:cstheme="minorHAnsi"/>
        </w:rPr>
        <w:t xml:space="preserve">The </w:t>
      </w:r>
      <w:r>
        <w:rPr>
          <w:rFonts w:cstheme="minorHAnsi"/>
        </w:rPr>
        <w:t xml:space="preserve">Committee will </w:t>
      </w:r>
      <w:r w:rsidRPr="00B1784C">
        <w:rPr>
          <w:rFonts w:cstheme="minorHAnsi"/>
        </w:rPr>
        <w:t xml:space="preserve">review </w:t>
      </w:r>
      <w:r>
        <w:rPr>
          <w:rFonts w:cstheme="minorHAnsi"/>
        </w:rPr>
        <w:t xml:space="preserve">these </w:t>
      </w:r>
      <w:r w:rsidRPr="00B1784C">
        <w:rPr>
          <w:rFonts w:cstheme="minorHAnsi"/>
        </w:rPr>
        <w:t>Terms of Reference every two years to ensure</w:t>
      </w:r>
      <w:r>
        <w:rPr>
          <w:rFonts w:cstheme="minorHAnsi"/>
        </w:rPr>
        <w:t xml:space="preserve"> it is up to date, or earlier as required</w:t>
      </w:r>
      <w:r w:rsidRPr="00B1784C">
        <w:rPr>
          <w:rFonts w:cstheme="minorHAnsi"/>
        </w:rPr>
        <w:t>.</w:t>
      </w:r>
      <w:r>
        <w:rPr>
          <w:rFonts w:cstheme="minorHAnsi"/>
        </w:rPr>
        <w:t xml:space="preserve"> </w:t>
      </w:r>
      <w:r w:rsidRPr="00B1784C">
        <w:rPr>
          <w:rFonts w:cstheme="minorHAnsi"/>
        </w:rPr>
        <w:t xml:space="preserve">Should the </w:t>
      </w:r>
      <w:r>
        <w:rPr>
          <w:rFonts w:cstheme="minorHAnsi"/>
        </w:rPr>
        <w:t>Minister’s</w:t>
      </w:r>
      <w:r w:rsidRPr="00B1784C">
        <w:rPr>
          <w:rFonts w:cstheme="minorHAnsi"/>
        </w:rPr>
        <w:t xml:space="preserve"> Directions </w:t>
      </w:r>
      <w:r>
        <w:rPr>
          <w:rFonts w:cstheme="minorHAnsi"/>
        </w:rPr>
        <w:t xml:space="preserve">be reissued </w:t>
      </w:r>
      <w:r w:rsidRPr="00B1784C">
        <w:rPr>
          <w:rFonts w:cstheme="minorHAnsi"/>
        </w:rPr>
        <w:t>to the Committee</w:t>
      </w:r>
      <w:r>
        <w:rPr>
          <w:rFonts w:cstheme="minorHAnsi"/>
        </w:rPr>
        <w:t>, it</w:t>
      </w:r>
      <w:r w:rsidRPr="00B1784C">
        <w:rPr>
          <w:rFonts w:cstheme="minorHAnsi"/>
        </w:rPr>
        <w:t xml:space="preserve"> will review </w:t>
      </w:r>
      <w:r>
        <w:rPr>
          <w:rFonts w:cstheme="minorHAnsi"/>
        </w:rPr>
        <w:t>these Ter</w:t>
      </w:r>
      <w:r w:rsidRPr="00B1784C">
        <w:rPr>
          <w:rFonts w:cstheme="minorHAnsi"/>
        </w:rPr>
        <w:t>m</w:t>
      </w:r>
      <w:r>
        <w:rPr>
          <w:rFonts w:cstheme="minorHAnsi"/>
        </w:rPr>
        <w:t>s of Reference</w:t>
      </w:r>
      <w:r w:rsidRPr="00B1784C">
        <w:rPr>
          <w:rFonts w:cstheme="minorHAnsi"/>
        </w:rPr>
        <w:t xml:space="preserve"> to ensure </w:t>
      </w:r>
      <w:r>
        <w:rPr>
          <w:rFonts w:cstheme="minorHAnsi"/>
        </w:rPr>
        <w:t xml:space="preserve">they </w:t>
      </w:r>
      <w:r w:rsidRPr="00B1784C">
        <w:rPr>
          <w:rFonts w:cstheme="minorHAnsi"/>
        </w:rPr>
        <w:t xml:space="preserve">remain aligned </w:t>
      </w:r>
      <w:r>
        <w:rPr>
          <w:rFonts w:cstheme="minorHAnsi"/>
        </w:rPr>
        <w:t xml:space="preserve">with </w:t>
      </w:r>
      <w:r w:rsidRPr="00B1784C">
        <w:rPr>
          <w:rFonts w:cstheme="minorHAnsi"/>
        </w:rPr>
        <w:t xml:space="preserve">the </w:t>
      </w:r>
      <w:r>
        <w:rPr>
          <w:rFonts w:cstheme="minorHAnsi"/>
        </w:rPr>
        <w:t xml:space="preserve">new Ministerial </w:t>
      </w:r>
      <w:r w:rsidRPr="00B1784C">
        <w:rPr>
          <w:rFonts w:cstheme="minorHAnsi"/>
        </w:rPr>
        <w:t xml:space="preserve">Directions. </w:t>
      </w:r>
    </w:p>
    <w:bookmarkEnd w:id="2"/>
    <w:p w14:paraId="0D3DF42E" w14:textId="77777777" w:rsidR="00754197" w:rsidRPr="00EA62F1" w:rsidRDefault="00754197" w:rsidP="00754197">
      <w:pPr>
        <w:pStyle w:val="Heading3"/>
      </w:pPr>
      <w:r w:rsidRPr="00EA62F1">
        <w:t xml:space="preserve">Document </w:t>
      </w:r>
      <w:r>
        <w:t>co</w:t>
      </w:r>
      <w:r w:rsidRPr="00EA62F1">
        <w:t>ntrol</w:t>
      </w:r>
    </w:p>
    <w:tbl>
      <w:tblPr>
        <w:tblStyle w:val="DefaultTable1"/>
        <w:tblW w:w="5000" w:type="pct"/>
        <w:tblLook w:val="04A0" w:firstRow="1" w:lastRow="0" w:firstColumn="1" w:lastColumn="0" w:noHBand="0" w:noVBand="1"/>
        <w:tblDescription w:val="Document control"/>
      </w:tblPr>
      <w:tblGrid>
        <w:gridCol w:w="1197"/>
        <w:gridCol w:w="1592"/>
        <w:gridCol w:w="1464"/>
        <w:gridCol w:w="5611"/>
      </w:tblGrid>
      <w:tr w:rsidR="00754197" w:rsidRPr="00B1784C" w14:paraId="08CE1AA3" w14:textId="77777777" w:rsidTr="00EC7B5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7" w:type="pct"/>
            <w:shd w:val="clear" w:color="auto" w:fill="081E3E"/>
            <w:hideMark/>
          </w:tcPr>
          <w:p w14:paraId="1CCD2FC0" w14:textId="77777777" w:rsidR="00754197" w:rsidRPr="008A376B" w:rsidRDefault="00754197" w:rsidP="00EC7B56">
            <w:pPr>
              <w:rPr>
                <w:b w:val="0"/>
                <w:color w:val="FFFFFF"/>
              </w:rPr>
            </w:pPr>
            <w:r w:rsidRPr="0016677C">
              <w:rPr>
                <w:color w:val="FFFFFF"/>
              </w:rPr>
              <w:t>Version</w:t>
            </w:r>
          </w:p>
        </w:tc>
        <w:tc>
          <w:tcPr>
            <w:tcW w:w="807" w:type="pct"/>
            <w:shd w:val="clear" w:color="auto" w:fill="081E3E"/>
            <w:hideMark/>
          </w:tcPr>
          <w:p w14:paraId="06ADA495" w14:textId="77777777" w:rsidR="00754197" w:rsidRPr="008A376B" w:rsidRDefault="00754197" w:rsidP="00EC7B56">
            <w:pPr>
              <w:cnfStyle w:val="100000000000" w:firstRow="1" w:lastRow="0" w:firstColumn="0" w:lastColumn="0" w:oddVBand="0" w:evenVBand="0" w:oddHBand="0" w:evenHBand="0" w:firstRowFirstColumn="0" w:firstRowLastColumn="0" w:lastRowFirstColumn="0" w:lastRowLastColumn="0"/>
              <w:rPr>
                <w:b w:val="0"/>
                <w:color w:val="FFFFFF"/>
              </w:rPr>
            </w:pPr>
            <w:r w:rsidRPr="0016677C">
              <w:rPr>
                <w:color w:val="FFFFFF"/>
              </w:rPr>
              <w:t>Release date</w:t>
            </w:r>
          </w:p>
        </w:tc>
        <w:tc>
          <w:tcPr>
            <w:tcW w:w="742" w:type="pct"/>
            <w:shd w:val="clear" w:color="auto" w:fill="081E3E"/>
            <w:hideMark/>
          </w:tcPr>
          <w:p w14:paraId="4E8F94B6" w14:textId="77777777" w:rsidR="00754197" w:rsidRPr="008A376B" w:rsidRDefault="00754197" w:rsidP="00EC7B56">
            <w:pPr>
              <w:cnfStyle w:val="100000000000" w:firstRow="1" w:lastRow="0" w:firstColumn="0" w:lastColumn="0" w:oddVBand="0" w:evenVBand="0" w:oddHBand="0" w:evenHBand="0" w:firstRowFirstColumn="0" w:firstRowLastColumn="0" w:lastRowFirstColumn="0" w:lastRowLastColumn="0"/>
              <w:rPr>
                <w:b w:val="0"/>
                <w:color w:val="FFFFFF"/>
              </w:rPr>
            </w:pPr>
            <w:r w:rsidRPr="0016677C">
              <w:rPr>
                <w:color w:val="FFFFFF"/>
              </w:rPr>
              <w:t>Approver</w:t>
            </w:r>
          </w:p>
        </w:tc>
        <w:tc>
          <w:tcPr>
            <w:tcW w:w="2844" w:type="pct"/>
            <w:shd w:val="clear" w:color="auto" w:fill="081E3E"/>
            <w:hideMark/>
          </w:tcPr>
          <w:p w14:paraId="7548E6E0" w14:textId="77777777" w:rsidR="00754197" w:rsidRPr="008A376B" w:rsidRDefault="00754197" w:rsidP="00EC7B56">
            <w:pPr>
              <w:cnfStyle w:val="100000000000" w:firstRow="1" w:lastRow="0" w:firstColumn="0" w:lastColumn="0" w:oddVBand="0" w:evenVBand="0" w:oddHBand="0" w:evenHBand="0" w:firstRowFirstColumn="0" w:firstRowLastColumn="0" w:lastRowFirstColumn="0" w:lastRowLastColumn="0"/>
              <w:rPr>
                <w:b w:val="0"/>
                <w:color w:val="FFFFFF"/>
              </w:rPr>
            </w:pPr>
            <w:r w:rsidRPr="0016677C">
              <w:rPr>
                <w:color w:val="FFFFFF"/>
              </w:rPr>
              <w:t>Reason for update</w:t>
            </w:r>
          </w:p>
        </w:tc>
      </w:tr>
      <w:tr w:rsidR="00754197" w:rsidRPr="00B1784C" w14:paraId="4A3E586F" w14:textId="77777777" w:rsidTr="00EC7B56">
        <w:trPr>
          <w:cantSplit/>
        </w:trPr>
        <w:tc>
          <w:tcPr>
            <w:cnfStyle w:val="001000000000" w:firstRow="0" w:lastRow="0" w:firstColumn="1" w:lastColumn="0" w:oddVBand="0" w:evenVBand="0" w:oddHBand="0" w:evenHBand="0" w:firstRowFirstColumn="0" w:firstRowLastColumn="0" w:lastRowFirstColumn="0" w:lastRowLastColumn="0"/>
            <w:tcW w:w="607" w:type="pct"/>
          </w:tcPr>
          <w:p w14:paraId="65E08B0C" w14:textId="77777777" w:rsidR="00754197" w:rsidRPr="008A376B" w:rsidRDefault="00754197" w:rsidP="00EC7B56">
            <w:pPr>
              <w:rPr>
                <w:b w:val="0"/>
                <w:color w:val="000000"/>
              </w:rPr>
            </w:pPr>
            <w:r w:rsidRPr="008A376B">
              <w:rPr>
                <w:color w:val="000000"/>
              </w:rPr>
              <w:t>1.</w:t>
            </w:r>
            <w:r>
              <w:rPr>
                <w:rFonts w:cstheme="minorHAnsi"/>
                <w:bCs/>
                <w:color w:val="000000"/>
              </w:rPr>
              <w:t>0</w:t>
            </w:r>
          </w:p>
        </w:tc>
        <w:tc>
          <w:tcPr>
            <w:tcW w:w="807" w:type="pct"/>
          </w:tcPr>
          <w:p w14:paraId="72432F29" w14:textId="77777777" w:rsidR="00754197" w:rsidRPr="008A376B" w:rsidRDefault="00754197" w:rsidP="00EC7B56">
            <w:pPr>
              <w:cnfStyle w:val="000000000000" w:firstRow="0" w:lastRow="0" w:firstColumn="0" w:lastColumn="0" w:oddVBand="0" w:evenVBand="0" w:oddHBand="0" w:evenHBand="0" w:firstRowFirstColumn="0" w:firstRowLastColumn="0" w:lastRowFirstColumn="0" w:lastRowLastColumn="0"/>
              <w:rPr>
                <w:color w:val="000000"/>
              </w:rPr>
            </w:pPr>
            <w:r>
              <w:rPr>
                <w:rFonts w:cstheme="minorHAnsi"/>
              </w:rPr>
              <w:t>April 2026</w:t>
            </w:r>
            <w:r w:rsidRPr="00B1784C">
              <w:rPr>
                <w:rFonts w:cstheme="minorHAnsi"/>
              </w:rPr>
              <w:fldChar w:fldCharType="begin"/>
            </w:r>
            <w:r w:rsidRPr="00B1784C">
              <w:rPr>
                <w:rFonts w:cstheme="minorHAnsi"/>
              </w:rPr>
              <w:instrText xml:space="preserve"> CREATEDATE  \@ "MMM yyyy"  \* MERGEFORMAT </w:instrText>
            </w:r>
            <w:r w:rsidRPr="00B1784C">
              <w:rPr>
                <w:rFonts w:cstheme="minorHAnsi"/>
              </w:rPr>
              <w:fldChar w:fldCharType="separate"/>
            </w:r>
            <w:r w:rsidRPr="00B1784C">
              <w:rPr>
                <w:rFonts w:cstheme="minorHAnsi"/>
              </w:rPr>
              <w:fldChar w:fldCharType="end"/>
            </w:r>
          </w:p>
        </w:tc>
        <w:tc>
          <w:tcPr>
            <w:tcW w:w="742" w:type="pct"/>
          </w:tcPr>
          <w:p w14:paraId="16753600" w14:textId="77777777" w:rsidR="00754197" w:rsidRPr="008A376B" w:rsidRDefault="00754197" w:rsidP="00EC7B56">
            <w:pPr>
              <w:cnfStyle w:val="000000000000" w:firstRow="0" w:lastRow="0" w:firstColumn="0" w:lastColumn="0" w:oddVBand="0" w:evenVBand="0" w:oddHBand="0" w:evenHBand="0" w:firstRowFirstColumn="0" w:firstRowLastColumn="0" w:lastRowFirstColumn="0" w:lastRowLastColumn="0"/>
              <w:rPr>
                <w:color w:val="000000"/>
              </w:rPr>
            </w:pPr>
            <w:r>
              <w:rPr>
                <w:color w:val="000000"/>
              </w:rPr>
              <w:t>Chair</w:t>
            </w:r>
          </w:p>
        </w:tc>
        <w:tc>
          <w:tcPr>
            <w:tcW w:w="2844" w:type="pct"/>
            <w:hideMark/>
          </w:tcPr>
          <w:p w14:paraId="29A56C74" w14:textId="77777777" w:rsidR="00754197" w:rsidRPr="008A376B" w:rsidRDefault="00754197" w:rsidP="00EC7B56">
            <w:pPr>
              <w:cnfStyle w:val="000000000000" w:firstRow="0" w:lastRow="0" w:firstColumn="0" w:lastColumn="0" w:oddVBand="0" w:evenVBand="0" w:oddHBand="0" w:evenHBand="0" w:firstRowFirstColumn="0" w:firstRowLastColumn="0" w:lastRowFirstColumn="0" w:lastRowLastColumn="0"/>
              <w:rPr>
                <w:color w:val="000000"/>
              </w:rPr>
            </w:pPr>
            <w:r>
              <w:rPr>
                <w:rFonts w:cstheme="minorHAnsi"/>
                <w:color w:val="000000"/>
              </w:rPr>
              <w:t>Initial draft</w:t>
            </w:r>
          </w:p>
        </w:tc>
      </w:tr>
      <w:tr w:rsidR="00754197" w:rsidRPr="00B1784C" w14:paraId="30BB54C4" w14:textId="77777777" w:rsidTr="00EC7B5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7" w:type="pct"/>
          </w:tcPr>
          <w:p w14:paraId="54D3804D" w14:textId="77777777" w:rsidR="00754197" w:rsidRPr="00B1784C" w:rsidRDefault="00754197" w:rsidP="00EC7B56">
            <w:pPr>
              <w:rPr>
                <w:rFonts w:cstheme="minorHAnsi"/>
                <w:bCs/>
                <w:color w:val="000000"/>
              </w:rPr>
            </w:pPr>
            <w:r>
              <w:rPr>
                <w:rFonts w:cstheme="minorHAnsi"/>
                <w:bCs/>
                <w:color w:val="000000"/>
              </w:rPr>
              <w:t>1.1</w:t>
            </w:r>
          </w:p>
        </w:tc>
        <w:tc>
          <w:tcPr>
            <w:tcW w:w="807" w:type="pct"/>
          </w:tcPr>
          <w:p w14:paraId="50EDEBFA" w14:textId="77777777" w:rsidR="00754197" w:rsidRDefault="00754197" w:rsidP="00EC7B56">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May 2026</w:t>
            </w:r>
          </w:p>
        </w:tc>
        <w:tc>
          <w:tcPr>
            <w:tcW w:w="742" w:type="pct"/>
          </w:tcPr>
          <w:p w14:paraId="5282C623" w14:textId="77777777" w:rsidR="00754197" w:rsidRPr="00B1784C" w:rsidRDefault="00754197" w:rsidP="00EC7B56">
            <w:pPr>
              <w:cnfStyle w:val="000000010000" w:firstRow="0" w:lastRow="0" w:firstColumn="0" w:lastColumn="0" w:oddVBand="0" w:evenVBand="0" w:oddHBand="0" w:evenHBand="1" w:firstRowFirstColumn="0" w:firstRowLastColumn="0" w:lastRowFirstColumn="0" w:lastRowLastColumn="0"/>
              <w:rPr>
                <w:rFonts w:cstheme="minorHAnsi"/>
                <w:color w:val="000000"/>
              </w:rPr>
            </w:pPr>
            <w:r>
              <w:rPr>
                <w:rFonts w:cstheme="minorHAnsi"/>
                <w:color w:val="000000"/>
              </w:rPr>
              <w:t>Committee</w:t>
            </w:r>
          </w:p>
        </w:tc>
        <w:tc>
          <w:tcPr>
            <w:tcW w:w="2844" w:type="pct"/>
          </w:tcPr>
          <w:p w14:paraId="7DF81144" w14:textId="17EBA2A0" w:rsidR="00754197" w:rsidRPr="00B1784C" w:rsidRDefault="00A364F7" w:rsidP="00EC7B56">
            <w:pPr>
              <w:cnfStyle w:val="000000010000" w:firstRow="0" w:lastRow="0" w:firstColumn="0" w:lastColumn="0" w:oddVBand="0" w:evenVBand="0" w:oddHBand="0" w:evenHBand="1" w:firstRowFirstColumn="0" w:firstRowLastColumn="0" w:lastRowFirstColumn="0" w:lastRowLastColumn="0"/>
              <w:rPr>
                <w:rFonts w:cstheme="minorHAnsi"/>
                <w:color w:val="000000"/>
              </w:rPr>
            </w:pPr>
            <w:r>
              <w:rPr>
                <w:rFonts w:cstheme="minorHAnsi"/>
                <w:color w:val="000000"/>
              </w:rPr>
              <w:t>Endorsed as</w:t>
            </w:r>
            <w:r w:rsidR="00754197">
              <w:rPr>
                <w:rFonts w:cstheme="minorHAnsi"/>
                <w:color w:val="000000"/>
              </w:rPr>
              <w:t xml:space="preserve"> final ToR</w:t>
            </w:r>
          </w:p>
        </w:tc>
      </w:tr>
    </w:tbl>
    <w:p w14:paraId="1DAFAECF" w14:textId="77777777" w:rsidR="00754197" w:rsidRPr="00E67D1E" w:rsidRDefault="00754197" w:rsidP="00754197">
      <w:pPr>
        <w:rPr>
          <w:rFonts w:cstheme="minorHAnsi"/>
        </w:rPr>
      </w:pPr>
    </w:p>
    <w:p w14:paraId="77D1F93D" w14:textId="77777777" w:rsidR="00754197" w:rsidRDefault="00754197" w:rsidP="00754197"/>
    <w:p w14:paraId="15701C4C" w14:textId="77777777" w:rsidR="00286352" w:rsidRPr="00C211DF" w:rsidRDefault="00286352" w:rsidP="00C211DF"/>
    <w:sectPr w:rsidR="00286352" w:rsidRPr="00C211DF" w:rsidSect="00C211DF">
      <w:headerReference w:type="even" r:id="rId12"/>
      <w:footerReference w:type="even" r:id="rId13"/>
      <w:footerReference w:type="default" r:id="rId14"/>
      <w:headerReference w:type="first" r:id="rId15"/>
      <w:footerReference w:type="first" r:id="rId16"/>
      <w:pgSz w:w="11906" w:h="16838" w:code="9"/>
      <w:pgMar w:top="1021" w:right="1021" w:bottom="1021" w:left="1021" w:header="340" w:footer="39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628E" w14:textId="77777777" w:rsidR="008D0538" w:rsidRDefault="008D0538" w:rsidP="008456D5">
      <w:pPr>
        <w:spacing w:after="0"/>
      </w:pPr>
      <w:r>
        <w:separator/>
      </w:r>
    </w:p>
  </w:endnote>
  <w:endnote w:type="continuationSeparator" w:id="0">
    <w:p w14:paraId="1C7A3DC2" w14:textId="77777777" w:rsidR="008D0538" w:rsidRDefault="008D0538" w:rsidP="0084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A44" w14:textId="07C9CF1C" w:rsidR="00180B5B" w:rsidRDefault="00754197" w:rsidP="00180B5B">
    <w:pPr>
      <w:pStyle w:val="Footer"/>
      <w:spacing w:before="720"/>
      <w:jc w:val="right"/>
    </w:pPr>
    <w:r>
      <w:rPr>
        <w:noProof/>
        <w:lang w:eastAsia="en-AU"/>
      </w:rPr>
      <mc:AlternateContent>
        <mc:Choice Requires="wps">
          <w:drawing>
            <wp:anchor distT="0" distB="0" distL="0" distR="0" simplePos="0" relativeHeight="251673600" behindDoc="0" locked="0" layoutInCell="1" allowOverlap="1" wp14:anchorId="641B2994" wp14:editId="63CD8822">
              <wp:simplePos x="635" y="635"/>
              <wp:positionH relativeFrom="page">
                <wp:align>center</wp:align>
              </wp:positionH>
              <wp:positionV relativeFrom="page">
                <wp:align>bottom</wp:align>
              </wp:positionV>
              <wp:extent cx="726440" cy="407670"/>
              <wp:effectExtent l="0" t="0" r="16510" b="0"/>
              <wp:wrapNone/>
              <wp:docPr id="5701579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C50F07F" w14:textId="782734AA" w:rsidR="00754197" w:rsidRPr="00754197" w:rsidRDefault="00754197" w:rsidP="00754197">
                          <w:pPr>
                            <w:spacing w:after="0"/>
                            <w:rPr>
                              <w:rFonts w:ascii="Aptos" w:eastAsia="Aptos" w:hAnsi="Aptos" w:cs="Aptos"/>
                              <w:noProof/>
                              <w:color w:val="FF0000"/>
                              <w:sz w:val="28"/>
                              <w:szCs w:val="28"/>
                            </w:rPr>
                          </w:pPr>
                          <w:r w:rsidRPr="0075419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B2994" id="_x0000_t202" coordsize="21600,21600" o:spt="202" path="m,l,21600r21600,l21600,xe">
              <v:stroke joinstyle="miter"/>
              <v:path gradientshapeok="t" o:connecttype="rect"/>
            </v:shapetype>
            <v:shape id="Text Box 5" o:spid="_x0000_s1027" type="#_x0000_t202" alt="OFFICIAL" style="position:absolute;left:0;text-align:left;margin-left:0;margin-top:0;width:57.2pt;height:32.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fill o:detectmouseclick="t"/>
              <v:textbox style="mso-fit-shape-to-text:t" inset="0,0,0,15pt">
                <w:txbxContent>
                  <w:p w14:paraId="6C50F07F" w14:textId="782734AA" w:rsidR="00754197" w:rsidRPr="00754197" w:rsidRDefault="00754197" w:rsidP="00754197">
                    <w:pPr>
                      <w:spacing w:after="0"/>
                      <w:rPr>
                        <w:rFonts w:ascii="Aptos" w:eastAsia="Aptos" w:hAnsi="Aptos" w:cs="Aptos"/>
                        <w:noProof/>
                        <w:color w:val="FF0000"/>
                        <w:sz w:val="28"/>
                        <w:szCs w:val="28"/>
                      </w:rPr>
                    </w:pPr>
                    <w:r w:rsidRPr="00754197">
                      <w:rPr>
                        <w:rFonts w:ascii="Aptos" w:eastAsia="Aptos" w:hAnsi="Aptos" w:cs="Aptos"/>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052769D7" wp14:editId="0F4ECCD2">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57E7A9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052769D7"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157E7A9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r w:rsidR="00180B5B">
      <w:rPr>
        <w:noProof/>
        <w:lang w:eastAsia="en-AU"/>
      </w:rPr>
      <mc:AlternateContent>
        <mc:Choice Requires="wps">
          <w:drawing>
            <wp:inline distT="0" distB="0" distL="0" distR="0" wp14:anchorId="1E2C5411" wp14:editId="6FEF2667">
              <wp:extent cx="4320000" cy="539280"/>
              <wp:effectExtent l="0" t="0" r="4445" b="0"/>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Content>
                            <w:p w14:paraId="190CAB67" w14:textId="77777777" w:rsidR="00180B5B" w:rsidRDefault="00180B5B" w:rsidP="00180B5B">
                              <w:pPr>
                                <w:pStyle w:val="Footer"/>
                              </w:pPr>
                              <w:r>
                                <w:t>Document Title</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inline>
          </w:drawing>
        </mc:Choice>
        <mc:Fallback>
          <w:pict>
            <v:shape w14:anchorId="1E2C5411" id="Text Box 18" o:spid="_x0000_s1029" type="#_x0000_t202" alt="&quot;&quot;" style="width:340.15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190CAB67" w14:textId="77777777" w:rsidR="00180B5B" w:rsidRDefault="00180B5B" w:rsidP="00180B5B">
                        <w:pPr>
                          <w:pStyle w:val="Footer"/>
                        </w:pPr>
                        <w:r>
                          <w:t>Document Title</w:t>
                        </w:r>
                      </w:p>
                    </w:sdtContent>
                  </w:sdt>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343D" w14:textId="662A3BDE" w:rsidR="00754197" w:rsidRDefault="00754197" w:rsidP="00754197">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365613">
      <w:rPr>
        <w:rFonts w:cs="Segoe UI"/>
        <w:noProof/>
        <w:szCs w:val="18"/>
      </w:rPr>
      <w:t>Sydney Airport Demand Management Compliance Committee—Compliance Committee Terms of Reference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76BD" w14:textId="55CA7B9E" w:rsidR="00754197" w:rsidRDefault="00754197" w:rsidP="00754197">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365613">
      <w:rPr>
        <w:rFonts w:cs="Segoe UI"/>
        <w:noProof/>
        <w:szCs w:val="18"/>
      </w:rPr>
      <w:t>Sydney Airport Demand Management Compliance Committee—Compliance Committee Terms of Reference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3DAF" w14:textId="77777777" w:rsidR="008D0538" w:rsidRPr="005912BE" w:rsidRDefault="008D0538" w:rsidP="005912BE">
      <w:pPr>
        <w:spacing w:before="300"/>
        <w:rPr>
          <w:color w:val="347C7E" w:themeColor="accent2"/>
        </w:rPr>
      </w:pPr>
      <w:r w:rsidRPr="001606C9">
        <w:rPr>
          <w:color w:val="1A3E3F" w:themeColor="accent2" w:themeShade="80"/>
        </w:rPr>
        <w:t>----------</w:t>
      </w:r>
    </w:p>
  </w:footnote>
  <w:footnote w:type="continuationSeparator" w:id="0">
    <w:p w14:paraId="477988AA" w14:textId="77777777" w:rsidR="008D0538" w:rsidRDefault="008D0538" w:rsidP="008456D5">
      <w:pPr>
        <w:spacing w:after="0"/>
      </w:pPr>
      <w:r>
        <w:continuationSeparator/>
      </w:r>
    </w:p>
  </w:footnote>
  <w:footnote w:id="1">
    <w:p w14:paraId="4D538249" w14:textId="77777777" w:rsidR="00754197" w:rsidRPr="008A376B" w:rsidRDefault="00754197" w:rsidP="00754197">
      <w:pPr>
        <w:pStyle w:val="FootnoteText"/>
        <w:rPr>
          <w:rStyle w:val="Hyperlink"/>
          <w:i/>
        </w:rPr>
      </w:pPr>
      <w:r w:rsidRPr="008A376B">
        <w:rPr>
          <w:rStyle w:val="FootnoteReference"/>
        </w:rPr>
        <w:footnoteRef/>
      </w:r>
      <w:r>
        <w:t xml:space="preserve"> </w:t>
      </w:r>
      <w:hyperlink r:id="rId1" w:history="1">
        <w:r w:rsidRPr="00FE7FA9">
          <w:rPr>
            <w:rStyle w:val="Hyperlink"/>
            <w:rFonts w:cstheme="minorHAnsi"/>
            <w:i/>
            <w:iCs/>
          </w:rPr>
          <w:t>Economic Regulation of Airports (2019) - Public inquiry | Productivity Commission</w:t>
        </w:r>
      </w:hyperlink>
    </w:p>
  </w:footnote>
  <w:footnote w:id="2">
    <w:p w14:paraId="17B9FE5E" w14:textId="77777777" w:rsidR="00754197" w:rsidRDefault="00754197" w:rsidP="00754197">
      <w:pPr>
        <w:pStyle w:val="FootnoteText"/>
      </w:pPr>
      <w:r w:rsidRPr="008A376B">
        <w:rPr>
          <w:rStyle w:val="FootnoteReference"/>
        </w:rPr>
        <w:footnoteRef/>
      </w:r>
      <w:r>
        <w:t xml:space="preserve"> </w:t>
      </w:r>
      <w:hyperlink r:id="rId2" w:history="1">
        <w:r w:rsidRPr="00B1784C">
          <w:rPr>
            <w:rStyle w:val="Hyperlink"/>
            <w:rFonts w:cstheme="minorHAnsi"/>
            <w:i/>
            <w:iCs/>
          </w:rPr>
          <w:t>Review of the Sydney Airport Demand Management Scheme</w:t>
        </w:r>
      </w:hyperlink>
    </w:p>
  </w:footnote>
  <w:footnote w:id="3">
    <w:p w14:paraId="55601970" w14:textId="77777777" w:rsidR="00754197" w:rsidRDefault="00754197" w:rsidP="00754197">
      <w:pPr>
        <w:pStyle w:val="FootnoteText"/>
      </w:pPr>
      <w:r w:rsidRPr="008A376B">
        <w:rPr>
          <w:rStyle w:val="FootnoteReference"/>
        </w:rPr>
        <w:footnoteRef/>
      </w:r>
      <w:r>
        <w:t xml:space="preserve"> </w:t>
      </w:r>
      <w:hyperlink r:id="rId3" w:history="1">
        <w:r w:rsidRPr="00B1784C">
          <w:rPr>
            <w:rStyle w:val="Hyperlink"/>
            <w:rFonts w:cstheme="minorHAnsi"/>
            <w:i/>
            <w:iCs/>
          </w:rPr>
          <w:t>Sydney Airport Domestic Slot Audit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FAB4" w14:textId="509796CC" w:rsidR="00180B5B" w:rsidRDefault="00754197" w:rsidP="00180B5B">
    <w:pPr>
      <w:pStyle w:val="Header"/>
      <w:spacing w:after="1320"/>
      <w:jc w:val="left"/>
    </w:pPr>
    <w:r>
      <w:rPr>
        <w:noProof/>
      </w:rPr>
      <mc:AlternateContent>
        <mc:Choice Requires="wps">
          <w:drawing>
            <wp:anchor distT="0" distB="0" distL="0" distR="0" simplePos="0" relativeHeight="251670528" behindDoc="0" locked="0" layoutInCell="1" allowOverlap="1" wp14:anchorId="1B42E326" wp14:editId="3D844EB7">
              <wp:simplePos x="635" y="635"/>
              <wp:positionH relativeFrom="page">
                <wp:align>center</wp:align>
              </wp:positionH>
              <wp:positionV relativeFrom="page">
                <wp:align>top</wp:align>
              </wp:positionV>
              <wp:extent cx="726440" cy="407670"/>
              <wp:effectExtent l="0" t="0" r="16510" b="11430"/>
              <wp:wrapNone/>
              <wp:docPr id="1380662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1444ED0" w14:textId="4490534F" w:rsidR="00754197" w:rsidRPr="00754197" w:rsidRDefault="00754197" w:rsidP="00754197">
                          <w:pPr>
                            <w:spacing w:after="0"/>
                            <w:rPr>
                              <w:rFonts w:ascii="Aptos" w:eastAsia="Aptos" w:hAnsi="Aptos" w:cs="Aptos"/>
                              <w:noProof/>
                              <w:color w:val="FF0000"/>
                              <w:sz w:val="28"/>
                              <w:szCs w:val="28"/>
                            </w:rPr>
                          </w:pPr>
                          <w:r w:rsidRPr="0075419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2E326"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51444ED0" w14:textId="4490534F" w:rsidR="00754197" w:rsidRPr="00754197" w:rsidRDefault="00754197" w:rsidP="00754197">
                    <w:pPr>
                      <w:spacing w:after="0"/>
                      <w:rPr>
                        <w:rFonts w:ascii="Aptos" w:eastAsia="Aptos" w:hAnsi="Aptos" w:cs="Aptos"/>
                        <w:noProof/>
                        <w:color w:val="FF0000"/>
                        <w:sz w:val="28"/>
                        <w:szCs w:val="28"/>
                      </w:rPr>
                    </w:pPr>
                    <w:r w:rsidRPr="00754197">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l  \* MERGEFORMAT ">
      <w:r w:rsidR="00365613" w:rsidRPr="00365613">
        <w:rPr>
          <w:b/>
          <w:bCs/>
          <w:noProof/>
          <w:lang w:val="en-US"/>
        </w:rPr>
        <w:t>Sydney Airport Demand Management Compliance Committee—Compliance Committee Terms</w:t>
      </w:r>
      <w:r w:rsidR="00365613">
        <w:rPr>
          <w:noProof/>
        </w:rPr>
        <w:t xml:space="preserve"> of Reference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BAB4" w14:textId="7A56B6B9" w:rsidR="00B8500B" w:rsidRPr="00B8500B" w:rsidRDefault="00B8500B" w:rsidP="00B8500B">
    <w:pPr>
      <w:pStyle w:val="Header"/>
      <w:tabs>
        <w:tab w:val="clear" w:pos="4513"/>
        <w:tab w:val="clear" w:pos="9026"/>
      </w:tabs>
      <w:jc w:val="left"/>
      <w:rPr>
        <w:rFonts w:ascii="Aptos" w:hAnsi="Apto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E1D1E04"/>
    <w:multiLevelType w:val="hybridMultilevel"/>
    <w:tmpl w:val="583C5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6A44331"/>
    <w:multiLevelType w:val="hybridMultilevel"/>
    <w:tmpl w:val="DEDC22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E80C94"/>
    <w:multiLevelType w:val="hybridMultilevel"/>
    <w:tmpl w:val="8FDA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C172DB"/>
    <w:multiLevelType w:val="hybridMultilevel"/>
    <w:tmpl w:val="3CDC19D0"/>
    <w:lvl w:ilvl="0" w:tplc="0C090019">
      <w:start w:val="1"/>
      <w:numFmt w:val="lowerLetter"/>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0D55C7"/>
    <w:multiLevelType w:val="hybridMultilevel"/>
    <w:tmpl w:val="E65A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B72A66"/>
    <w:multiLevelType w:val="hybridMultilevel"/>
    <w:tmpl w:val="DC680F24"/>
    <w:lvl w:ilvl="0" w:tplc="FFFFFFFF">
      <w:start w:val="1"/>
      <w:numFmt w:val="bullet"/>
      <w:lvlText w:val=""/>
      <w:lvlJc w:val="left"/>
      <w:pPr>
        <w:ind w:left="717" w:hanging="360"/>
      </w:pPr>
      <w:rPr>
        <w:rFonts w:ascii="Symbol" w:hAnsi="Symbol" w:hint="default"/>
      </w:rPr>
    </w:lvl>
    <w:lvl w:ilvl="1" w:tplc="0C09001B">
      <w:start w:val="1"/>
      <w:numFmt w:val="lowerRoman"/>
      <w:lvlText w:val="%2."/>
      <w:lvlJc w:val="right"/>
      <w:pPr>
        <w:ind w:left="1437" w:hanging="360"/>
      </w:p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56853383">
    <w:abstractNumId w:val="9"/>
  </w:num>
  <w:num w:numId="2" w16cid:durableId="701713210">
    <w:abstractNumId w:val="7"/>
  </w:num>
  <w:num w:numId="3" w16cid:durableId="1017535935">
    <w:abstractNumId w:val="6"/>
  </w:num>
  <w:num w:numId="4" w16cid:durableId="273557915">
    <w:abstractNumId w:val="5"/>
  </w:num>
  <w:num w:numId="5" w16cid:durableId="160125757">
    <w:abstractNumId w:val="4"/>
  </w:num>
  <w:num w:numId="6" w16cid:durableId="1864828660">
    <w:abstractNumId w:val="8"/>
  </w:num>
  <w:num w:numId="7" w16cid:durableId="1281691941">
    <w:abstractNumId w:val="3"/>
  </w:num>
  <w:num w:numId="8" w16cid:durableId="1202472784">
    <w:abstractNumId w:val="2"/>
  </w:num>
  <w:num w:numId="9" w16cid:durableId="550383934">
    <w:abstractNumId w:val="1"/>
  </w:num>
  <w:num w:numId="10" w16cid:durableId="446698692">
    <w:abstractNumId w:val="0"/>
  </w:num>
  <w:num w:numId="11" w16cid:durableId="1567497298">
    <w:abstractNumId w:val="17"/>
  </w:num>
  <w:num w:numId="12" w16cid:durableId="1457985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383102">
    <w:abstractNumId w:val="27"/>
  </w:num>
  <w:num w:numId="14" w16cid:durableId="868688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277414">
    <w:abstractNumId w:val="10"/>
  </w:num>
  <w:num w:numId="16" w16cid:durableId="1446191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289841">
    <w:abstractNumId w:val="16"/>
  </w:num>
  <w:num w:numId="18" w16cid:durableId="1162745629">
    <w:abstractNumId w:val="11"/>
  </w:num>
  <w:num w:numId="19" w16cid:durableId="311370835">
    <w:abstractNumId w:val="14"/>
  </w:num>
  <w:num w:numId="20" w16cid:durableId="1379401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455731">
    <w:abstractNumId w:val="15"/>
  </w:num>
  <w:num w:numId="22" w16cid:durableId="1185052822">
    <w:abstractNumId w:val="22"/>
  </w:num>
  <w:num w:numId="23" w16cid:durableId="2754550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30880">
    <w:abstractNumId w:val="23"/>
  </w:num>
  <w:num w:numId="25" w16cid:durableId="1410272272">
    <w:abstractNumId w:val="23"/>
  </w:num>
  <w:num w:numId="26" w16cid:durableId="1525362666">
    <w:abstractNumId w:val="23"/>
  </w:num>
  <w:num w:numId="27" w16cid:durableId="2102026117">
    <w:abstractNumId w:val="23"/>
  </w:num>
  <w:num w:numId="28" w16cid:durableId="2020234851">
    <w:abstractNumId w:val="25"/>
  </w:num>
  <w:num w:numId="29" w16cid:durableId="1673991151">
    <w:abstractNumId w:val="19"/>
  </w:num>
  <w:num w:numId="30" w16cid:durableId="1137138799">
    <w:abstractNumId w:val="12"/>
  </w:num>
  <w:num w:numId="31" w16cid:durableId="1092244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92612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038016">
    <w:abstractNumId w:val="20"/>
  </w:num>
  <w:num w:numId="34" w16cid:durableId="1051730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5364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568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55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5676401">
    <w:abstractNumId w:val="24"/>
  </w:num>
  <w:num w:numId="39" w16cid:durableId="168372359">
    <w:abstractNumId w:val="13"/>
  </w:num>
  <w:num w:numId="40" w16cid:durableId="1434210542">
    <w:abstractNumId w:val="26"/>
  </w:num>
  <w:num w:numId="41" w16cid:durableId="382102420">
    <w:abstractNumId w:val="21"/>
  </w:num>
  <w:num w:numId="42" w16cid:durableId="107241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97"/>
    <w:rsid w:val="00002322"/>
    <w:rsid w:val="00012455"/>
    <w:rsid w:val="0001430B"/>
    <w:rsid w:val="00023138"/>
    <w:rsid w:val="000341E0"/>
    <w:rsid w:val="0003692C"/>
    <w:rsid w:val="00042B10"/>
    <w:rsid w:val="00045815"/>
    <w:rsid w:val="000571FF"/>
    <w:rsid w:val="00065852"/>
    <w:rsid w:val="00066D44"/>
    <w:rsid w:val="00082970"/>
    <w:rsid w:val="0009128E"/>
    <w:rsid w:val="000A7241"/>
    <w:rsid w:val="000B6365"/>
    <w:rsid w:val="000B6727"/>
    <w:rsid w:val="000B7FE4"/>
    <w:rsid w:val="000D1EE7"/>
    <w:rsid w:val="000E0AE8"/>
    <w:rsid w:val="000E24BA"/>
    <w:rsid w:val="000E485A"/>
    <w:rsid w:val="000E5674"/>
    <w:rsid w:val="000E7E9F"/>
    <w:rsid w:val="000F32E0"/>
    <w:rsid w:val="001145AA"/>
    <w:rsid w:val="001325EA"/>
    <w:rsid w:val="001349C6"/>
    <w:rsid w:val="0013609D"/>
    <w:rsid w:val="001606C9"/>
    <w:rsid w:val="00180B5B"/>
    <w:rsid w:val="00184D81"/>
    <w:rsid w:val="00197047"/>
    <w:rsid w:val="001A2ACB"/>
    <w:rsid w:val="001D448A"/>
    <w:rsid w:val="00203702"/>
    <w:rsid w:val="00210798"/>
    <w:rsid w:val="002229F7"/>
    <w:rsid w:val="002254D5"/>
    <w:rsid w:val="0022611D"/>
    <w:rsid w:val="0026422D"/>
    <w:rsid w:val="00266955"/>
    <w:rsid w:val="00281EF4"/>
    <w:rsid w:val="00284164"/>
    <w:rsid w:val="00286352"/>
    <w:rsid w:val="00292887"/>
    <w:rsid w:val="002959FB"/>
    <w:rsid w:val="002B3569"/>
    <w:rsid w:val="002B7197"/>
    <w:rsid w:val="002C7F82"/>
    <w:rsid w:val="002E1ADA"/>
    <w:rsid w:val="002F196B"/>
    <w:rsid w:val="003061E6"/>
    <w:rsid w:val="00307611"/>
    <w:rsid w:val="00315346"/>
    <w:rsid w:val="003336F9"/>
    <w:rsid w:val="00336641"/>
    <w:rsid w:val="003639B0"/>
    <w:rsid w:val="00364C4C"/>
    <w:rsid w:val="00365613"/>
    <w:rsid w:val="00365B5E"/>
    <w:rsid w:val="00370119"/>
    <w:rsid w:val="003720E9"/>
    <w:rsid w:val="00375F11"/>
    <w:rsid w:val="00377A77"/>
    <w:rsid w:val="0038444F"/>
    <w:rsid w:val="0039375C"/>
    <w:rsid w:val="003C5F38"/>
    <w:rsid w:val="003C625A"/>
    <w:rsid w:val="003E4AC2"/>
    <w:rsid w:val="003F1371"/>
    <w:rsid w:val="003F40D3"/>
    <w:rsid w:val="003F775D"/>
    <w:rsid w:val="0040088A"/>
    <w:rsid w:val="00420F04"/>
    <w:rsid w:val="00430511"/>
    <w:rsid w:val="0043679C"/>
    <w:rsid w:val="00442985"/>
    <w:rsid w:val="00450D0E"/>
    <w:rsid w:val="00474BA2"/>
    <w:rsid w:val="00477E77"/>
    <w:rsid w:val="00483596"/>
    <w:rsid w:val="004A14B1"/>
    <w:rsid w:val="004A66B4"/>
    <w:rsid w:val="004B5820"/>
    <w:rsid w:val="004E33B9"/>
    <w:rsid w:val="004F77AA"/>
    <w:rsid w:val="00532390"/>
    <w:rsid w:val="0053245C"/>
    <w:rsid w:val="00541213"/>
    <w:rsid w:val="00546218"/>
    <w:rsid w:val="005653A9"/>
    <w:rsid w:val="00576584"/>
    <w:rsid w:val="005912BE"/>
    <w:rsid w:val="005C4BEC"/>
    <w:rsid w:val="005E3B6A"/>
    <w:rsid w:val="005F3518"/>
    <w:rsid w:val="005F4C0C"/>
    <w:rsid w:val="005F794B"/>
    <w:rsid w:val="00611370"/>
    <w:rsid w:val="00611CC1"/>
    <w:rsid w:val="0061205C"/>
    <w:rsid w:val="006358F4"/>
    <w:rsid w:val="00670566"/>
    <w:rsid w:val="00686A7B"/>
    <w:rsid w:val="006A00A7"/>
    <w:rsid w:val="006A0F8A"/>
    <w:rsid w:val="006A266A"/>
    <w:rsid w:val="006B7939"/>
    <w:rsid w:val="006C5007"/>
    <w:rsid w:val="006D50A5"/>
    <w:rsid w:val="006E1ECA"/>
    <w:rsid w:val="007065F0"/>
    <w:rsid w:val="007112F3"/>
    <w:rsid w:val="00735121"/>
    <w:rsid w:val="007358BA"/>
    <w:rsid w:val="00735F3B"/>
    <w:rsid w:val="00743295"/>
    <w:rsid w:val="007432FA"/>
    <w:rsid w:val="00754197"/>
    <w:rsid w:val="007770EA"/>
    <w:rsid w:val="007912B4"/>
    <w:rsid w:val="00795815"/>
    <w:rsid w:val="007A00CE"/>
    <w:rsid w:val="007A05BE"/>
    <w:rsid w:val="007A34FA"/>
    <w:rsid w:val="007C4FC3"/>
    <w:rsid w:val="007D620F"/>
    <w:rsid w:val="007D6EBC"/>
    <w:rsid w:val="007F6774"/>
    <w:rsid w:val="008067A1"/>
    <w:rsid w:val="008114A2"/>
    <w:rsid w:val="008246E2"/>
    <w:rsid w:val="00832FCE"/>
    <w:rsid w:val="008456D5"/>
    <w:rsid w:val="0084634B"/>
    <w:rsid w:val="00854B89"/>
    <w:rsid w:val="008566EB"/>
    <w:rsid w:val="008571F0"/>
    <w:rsid w:val="00872ED8"/>
    <w:rsid w:val="008872B6"/>
    <w:rsid w:val="00893DE5"/>
    <w:rsid w:val="008A15DB"/>
    <w:rsid w:val="008A1887"/>
    <w:rsid w:val="008A3E38"/>
    <w:rsid w:val="008B6A81"/>
    <w:rsid w:val="008D0538"/>
    <w:rsid w:val="008E2009"/>
    <w:rsid w:val="008E2A0D"/>
    <w:rsid w:val="00937B2E"/>
    <w:rsid w:val="00954CED"/>
    <w:rsid w:val="00956F8D"/>
    <w:rsid w:val="009601BB"/>
    <w:rsid w:val="009753E9"/>
    <w:rsid w:val="009909EC"/>
    <w:rsid w:val="00995429"/>
    <w:rsid w:val="00996B8C"/>
    <w:rsid w:val="009B00F2"/>
    <w:rsid w:val="009E7BE1"/>
    <w:rsid w:val="00A02957"/>
    <w:rsid w:val="00A070A2"/>
    <w:rsid w:val="00A146EE"/>
    <w:rsid w:val="00A364F7"/>
    <w:rsid w:val="00A52658"/>
    <w:rsid w:val="00A55479"/>
    <w:rsid w:val="00A5708E"/>
    <w:rsid w:val="00A6373C"/>
    <w:rsid w:val="00A75289"/>
    <w:rsid w:val="00A842BD"/>
    <w:rsid w:val="00A94ABD"/>
    <w:rsid w:val="00A95970"/>
    <w:rsid w:val="00AA0024"/>
    <w:rsid w:val="00AA141C"/>
    <w:rsid w:val="00AC159A"/>
    <w:rsid w:val="00AC6A79"/>
    <w:rsid w:val="00AD7703"/>
    <w:rsid w:val="00AE1A3E"/>
    <w:rsid w:val="00AE7707"/>
    <w:rsid w:val="00AF2D33"/>
    <w:rsid w:val="00B0347E"/>
    <w:rsid w:val="00B0484D"/>
    <w:rsid w:val="00B04943"/>
    <w:rsid w:val="00B13298"/>
    <w:rsid w:val="00B22784"/>
    <w:rsid w:val="00B347B6"/>
    <w:rsid w:val="00B42AC2"/>
    <w:rsid w:val="00B67B49"/>
    <w:rsid w:val="00B67E65"/>
    <w:rsid w:val="00B800E2"/>
    <w:rsid w:val="00B8500B"/>
    <w:rsid w:val="00B9430D"/>
    <w:rsid w:val="00B97404"/>
    <w:rsid w:val="00BB1553"/>
    <w:rsid w:val="00BB1F15"/>
    <w:rsid w:val="00BB284C"/>
    <w:rsid w:val="00BB3AAC"/>
    <w:rsid w:val="00BC675F"/>
    <w:rsid w:val="00BD258A"/>
    <w:rsid w:val="00BD3D56"/>
    <w:rsid w:val="00BE3AD8"/>
    <w:rsid w:val="00BF672A"/>
    <w:rsid w:val="00C15B6A"/>
    <w:rsid w:val="00C173B8"/>
    <w:rsid w:val="00C211DF"/>
    <w:rsid w:val="00C3532C"/>
    <w:rsid w:val="00C55250"/>
    <w:rsid w:val="00C622E6"/>
    <w:rsid w:val="00C743FE"/>
    <w:rsid w:val="00C755D7"/>
    <w:rsid w:val="00C80562"/>
    <w:rsid w:val="00C92C1B"/>
    <w:rsid w:val="00CB05EE"/>
    <w:rsid w:val="00CD233E"/>
    <w:rsid w:val="00CF6CFD"/>
    <w:rsid w:val="00CF763F"/>
    <w:rsid w:val="00CF78A5"/>
    <w:rsid w:val="00D02062"/>
    <w:rsid w:val="00D5655E"/>
    <w:rsid w:val="00D62C1B"/>
    <w:rsid w:val="00D87ECA"/>
    <w:rsid w:val="00D91B0E"/>
    <w:rsid w:val="00D923B6"/>
    <w:rsid w:val="00D93AEC"/>
    <w:rsid w:val="00D96BC0"/>
    <w:rsid w:val="00DA6576"/>
    <w:rsid w:val="00DB67FB"/>
    <w:rsid w:val="00DC6CE3"/>
    <w:rsid w:val="00DD09C2"/>
    <w:rsid w:val="00DE1CCD"/>
    <w:rsid w:val="00DE29E8"/>
    <w:rsid w:val="00DE4362"/>
    <w:rsid w:val="00DE4FE2"/>
    <w:rsid w:val="00DE6C2D"/>
    <w:rsid w:val="00E04908"/>
    <w:rsid w:val="00E10508"/>
    <w:rsid w:val="00E15207"/>
    <w:rsid w:val="00E2218A"/>
    <w:rsid w:val="00E30EB4"/>
    <w:rsid w:val="00E33073"/>
    <w:rsid w:val="00E81B25"/>
    <w:rsid w:val="00E81B93"/>
    <w:rsid w:val="00E81F32"/>
    <w:rsid w:val="00E94FDD"/>
    <w:rsid w:val="00E95BA5"/>
    <w:rsid w:val="00EA2BA7"/>
    <w:rsid w:val="00EA2E88"/>
    <w:rsid w:val="00EB1F99"/>
    <w:rsid w:val="00EB2124"/>
    <w:rsid w:val="00ED0CE0"/>
    <w:rsid w:val="00ED26BB"/>
    <w:rsid w:val="00F11869"/>
    <w:rsid w:val="00F1186C"/>
    <w:rsid w:val="00F1428D"/>
    <w:rsid w:val="00F337F7"/>
    <w:rsid w:val="00F67CDB"/>
    <w:rsid w:val="00F7368B"/>
    <w:rsid w:val="00F77D6E"/>
    <w:rsid w:val="00F87D5B"/>
    <w:rsid w:val="00FA1424"/>
    <w:rsid w:val="00FA4036"/>
    <w:rsid w:val="00FB301F"/>
    <w:rsid w:val="00FB62C8"/>
    <w:rsid w:val="00FC32B2"/>
    <w:rsid w:val="00FC34AF"/>
    <w:rsid w:val="00FD16D1"/>
    <w:rsid w:val="00FD6A40"/>
    <w:rsid w:val="00FF1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FB6C1"/>
  <w15:chartTrackingRefBased/>
  <w15:docId w15:val="{F4D32F2B-F55E-4D31-AAE3-BA395CA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97"/>
    <w:pPr>
      <w:spacing w:before="0" w:after="160"/>
    </w:pPr>
    <w:rPr>
      <w:rFonts w:ascii="Calibri" w:hAnsi="Calibri"/>
      <w:color w:val="auto"/>
    </w:rPr>
  </w:style>
  <w:style w:type="paragraph" w:styleId="Heading1">
    <w:name w:val="heading 1"/>
    <w:basedOn w:val="Normal"/>
    <w:next w:val="Normal"/>
    <w:link w:val="Heading1Char"/>
    <w:uiPriority w:val="9"/>
    <w:qFormat/>
    <w:rsid w:val="00DE4362"/>
    <w:pPr>
      <w:keepNext/>
      <w:keepLines/>
      <w:spacing w:before="48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1606C9"/>
    <w:pPr>
      <w:keepNext/>
      <w:keepLines/>
      <w:spacing w:before="24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754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qFormat/>
    <w:rsid w:val="003F775D"/>
    <w:pPr>
      <w:numPr>
        <w:ilvl w:val="1"/>
        <w:numId w:val="18"/>
      </w:numPr>
    </w:pPr>
  </w:style>
  <w:style w:type="paragraph" w:customStyle="1" w:styleId="Heading3Numbered">
    <w:name w:val="Heading 3 Numbered"/>
    <w:basedOn w:val="Heading3"/>
    <w:uiPriority w:val="10"/>
    <w:qFormat/>
    <w:rsid w:val="003F775D"/>
    <w:pPr>
      <w:numPr>
        <w:ilvl w:val="2"/>
        <w:numId w:val="18"/>
      </w:numPr>
    </w:pPr>
  </w:style>
  <w:style w:type="paragraph" w:customStyle="1" w:styleId="Heading4Numbered">
    <w:name w:val="Heading 4 Numbered"/>
    <w:basedOn w:val="Heading4"/>
    <w:uiPriority w:val="10"/>
    <w:qFormat/>
    <w:rsid w:val="003F775D"/>
    <w:pPr>
      <w:numPr>
        <w:ilvl w:val="3"/>
        <w:numId w:val="18"/>
      </w:numPr>
    </w:pPr>
  </w:style>
  <w:style w:type="paragraph" w:customStyle="1" w:styleId="Heading5Numbered">
    <w:name w:val="Heading 5 Numbered"/>
    <w:basedOn w:val="Heading5"/>
    <w:uiPriority w:val="10"/>
    <w:qFormat/>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qFormat/>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qFormat/>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4A66B4"/>
    <w:pPr>
      <w:keepLines/>
      <w:tabs>
        <w:tab w:val="right" w:pos="21688"/>
      </w:tabs>
      <w:ind w:left="567" w:hanging="567"/>
    </w:pPr>
    <w:rPr>
      <w:b/>
      <w:sz w:val="24"/>
      <w:u w:val="single" w:color="347C7E" w:themeColor="accent2"/>
    </w:rPr>
  </w:style>
  <w:style w:type="paragraph" w:styleId="TOC2">
    <w:name w:val="toc 2"/>
    <w:basedOn w:val="Normal"/>
    <w:next w:val="Normal"/>
    <w:autoRedefine/>
    <w:uiPriority w:val="39"/>
    <w:rsid w:val="004A66B4"/>
    <w:pPr>
      <w:keepLines/>
      <w:tabs>
        <w:tab w:val="right" w:pos="21688"/>
      </w:tabs>
      <w:spacing w:before="80"/>
      <w:ind w:left="567" w:hanging="567"/>
    </w:pPr>
    <w:rPr>
      <w:noProof/>
    </w:rPr>
  </w:style>
  <w:style w:type="paragraph" w:styleId="TOC3">
    <w:name w:val="toc 3"/>
    <w:basedOn w:val="Normal"/>
    <w:next w:val="Normal"/>
    <w:autoRedefine/>
    <w:uiPriority w:val="39"/>
    <w:rsid w:val="004A66B4"/>
    <w:pPr>
      <w:tabs>
        <w:tab w:val="right" w:pos="21688"/>
      </w:tabs>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1606C9"/>
    <w:pPr>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8566EB"/>
    <w:pPr>
      <w:spacing w:before="60" w:after="60"/>
      <w:jc w:val="center"/>
    </w:pPr>
    <w:rPr>
      <w:b/>
      <w:bCs/>
      <w:caps/>
      <w:color w:val="E10000"/>
      <w:sz w:val="28"/>
      <w:szCs w:val="28"/>
      <w:shd w:val="clear" w:color="auto" w:fill="FFFFFF" w:themeFill="background1"/>
      <w:lang w:val="en-US"/>
    </w:rPr>
  </w:style>
  <w:style w:type="paragraph" w:customStyle="1" w:styleId="DocHeading">
    <w:name w:val="DocHeading"/>
    <w:basedOn w:val="Heading1"/>
    <w:qFormat/>
    <w:rsid w:val="008566EB"/>
    <w:rPr>
      <w:rFonts w:asciiTheme="minorHAnsi" w:hAnsiTheme="minorHAnsi" w:cstheme="minorHAnsi"/>
    </w:rPr>
  </w:style>
  <w:style w:type="paragraph" w:customStyle="1" w:styleId="DocResources">
    <w:name w:val="DocResources"/>
    <w:basedOn w:val="Heading2"/>
    <w:qFormat/>
    <w:rsid w:val="008566EB"/>
    <w:rPr>
      <w:rFonts w:asciiTheme="minorHAnsi" w:hAnsiTheme="minorHAnsi" w:cstheme="minorHAnsi"/>
    </w:rPr>
  </w:style>
  <w:style w:type="paragraph" w:customStyle="1" w:styleId="flag">
    <w:name w:val="flag"/>
    <w:basedOn w:val="Normal"/>
    <w:qFormat/>
    <w:rsid w:val="008566EB"/>
    <w:pPr>
      <w:spacing w:before="120" w:after="120"/>
      <w:jc w:val="center"/>
    </w:pPr>
    <w:rPr>
      <w:noProof/>
    </w:rPr>
  </w:style>
  <w:style w:type="character" w:styleId="UnresolvedMention">
    <w:name w:val="Unresolved Mention"/>
    <w:basedOn w:val="DefaultParagraphFont"/>
    <w:uiPriority w:val="99"/>
    <w:semiHidden/>
    <w:unhideWhenUsed/>
    <w:rsid w:val="000571FF"/>
    <w:rPr>
      <w:color w:val="605E5C"/>
      <w:shd w:val="clear" w:color="auto" w:fill="E1DFDD"/>
    </w:rPr>
  </w:style>
  <w:style w:type="paragraph" w:styleId="ListParagraph">
    <w:name w:val="List Paragraph"/>
    <w:basedOn w:val="Normal"/>
    <w:uiPriority w:val="99"/>
    <w:unhideWhenUsed/>
    <w:qFormat/>
    <w:rsid w:val="004E33B9"/>
    <w:pPr>
      <w:ind w:left="720"/>
      <w:contextualSpacing/>
    </w:pPr>
  </w:style>
  <w:style w:type="character" w:styleId="FollowedHyperlink">
    <w:name w:val="FollowedHyperlink"/>
    <w:basedOn w:val="DefaultParagraphFont"/>
    <w:uiPriority w:val="99"/>
    <w:semiHidden/>
    <w:unhideWhenUsed/>
    <w:rsid w:val="00A75289"/>
    <w:rPr>
      <w:color w:val="0046FF" w:themeColor="followedHyperlink"/>
      <w:u w:val="single"/>
    </w:rPr>
  </w:style>
  <w:style w:type="character" w:customStyle="1" w:styleId="bold">
    <w:name w:val="bold"/>
    <w:basedOn w:val="DefaultParagraphFont"/>
    <w:uiPriority w:val="1"/>
    <w:qFormat/>
    <w:rsid w:val="00C173B8"/>
    <w:rPr>
      <w:b/>
    </w:rPr>
  </w:style>
  <w:style w:type="paragraph" w:styleId="NormalWeb">
    <w:name w:val="Normal (Web)"/>
    <w:basedOn w:val="Normal"/>
    <w:uiPriority w:val="99"/>
    <w:semiHidden/>
    <w:unhideWhenUsed/>
    <w:rsid w:val="000D1EE7"/>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5C399179B804053A64F7C777AA10D7B">
    <w:name w:val="F5C399179B804053A64F7C777AA10D7B"/>
    <w:rsid w:val="00307611"/>
    <w:pPr>
      <w:spacing w:before="0" w:after="160" w:line="259" w:lineRule="auto"/>
    </w:pPr>
    <w:rPr>
      <w:rFonts w:eastAsiaTheme="minorEastAsia"/>
      <w:color w:val="auto"/>
      <w:lang w:eastAsia="en-AU"/>
    </w:rPr>
  </w:style>
  <w:style w:type="paragraph" w:customStyle="1" w:styleId="CCpagebreak">
    <w:name w:val="CC page break"/>
    <w:basedOn w:val="Normal"/>
    <w:link w:val="CCpagebreakChar"/>
    <w:rsid w:val="007F6774"/>
    <w:pPr>
      <w:pageBreakBefore/>
      <w:spacing w:after="0"/>
    </w:pPr>
  </w:style>
  <w:style w:type="character" w:customStyle="1" w:styleId="CCpagebreakChar">
    <w:name w:val="CC page break Char"/>
    <w:basedOn w:val="DefaultParagraphFont"/>
    <w:link w:val="CCpagebreak"/>
    <w:rsid w:val="007F6774"/>
  </w:style>
  <w:style w:type="paragraph" w:customStyle="1" w:styleId="Whiteblockcoverpage">
    <w:name w:val="White block cover page"/>
    <w:basedOn w:val="Normal"/>
    <w:link w:val="WhiteblockcoverpageChar"/>
    <w:qFormat/>
    <w:rsid w:val="00DE6C2D"/>
    <w:pPr>
      <w:framePr w:w="24381" w:h="817" w:hRule="exact" w:hSpace="181" w:wrap="around" w:vAnchor="page" w:hAnchor="page" w:xAlign="center" w:yAlign="bottom"/>
      <w:spacing w:after="0"/>
    </w:pPr>
    <w:rPr>
      <w:noProof/>
    </w:rPr>
  </w:style>
  <w:style w:type="character" w:customStyle="1" w:styleId="WhiteblockcoverpageChar">
    <w:name w:val="White block cover page Char"/>
    <w:basedOn w:val="DefaultParagraphFont"/>
    <w:link w:val="Whiteblockcoverpage"/>
    <w:rsid w:val="00DE6C2D"/>
    <w:rPr>
      <w:noProof/>
    </w:rPr>
  </w:style>
  <w:style w:type="character" w:customStyle="1" w:styleId="Heading7Char">
    <w:name w:val="Heading 7 Char"/>
    <w:basedOn w:val="DefaultParagraphFont"/>
    <w:link w:val="Heading7"/>
    <w:uiPriority w:val="9"/>
    <w:semiHidden/>
    <w:rsid w:val="00754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197"/>
    <w:rPr>
      <w:rFonts w:eastAsiaTheme="majorEastAsia" w:cstheme="majorBidi"/>
      <w:color w:val="272727" w:themeColor="text1" w:themeTint="D8"/>
    </w:rPr>
  </w:style>
  <w:style w:type="character" w:styleId="IntenseEmphasis">
    <w:name w:val="Intense Emphasis"/>
    <w:basedOn w:val="DefaultParagraphFont"/>
    <w:uiPriority w:val="28"/>
    <w:rsid w:val="00754197"/>
    <w:rPr>
      <w:i/>
      <w:iCs/>
      <w:color w:val="06162E" w:themeColor="accent1" w:themeShade="BF"/>
    </w:rPr>
  </w:style>
  <w:style w:type="paragraph" w:styleId="IntenseQuote">
    <w:name w:val="Intense Quote"/>
    <w:basedOn w:val="Normal"/>
    <w:next w:val="Normal"/>
    <w:link w:val="IntenseQuoteChar"/>
    <w:uiPriority w:val="30"/>
    <w:semiHidden/>
    <w:qFormat/>
    <w:rsid w:val="00754197"/>
    <w:pPr>
      <w:pBdr>
        <w:top w:val="single" w:sz="4" w:space="10" w:color="06162E" w:themeColor="accent1" w:themeShade="BF"/>
        <w:bottom w:val="single" w:sz="4" w:space="10" w:color="06162E" w:themeColor="accent1" w:themeShade="BF"/>
      </w:pBdr>
      <w:spacing w:before="360" w:after="360"/>
      <w:ind w:left="864" w:right="864"/>
      <w:jc w:val="center"/>
    </w:pPr>
    <w:rPr>
      <w:i/>
      <w:iCs/>
      <w:color w:val="06162E" w:themeColor="accent1" w:themeShade="BF"/>
    </w:rPr>
  </w:style>
  <w:style w:type="character" w:customStyle="1" w:styleId="IntenseQuoteChar">
    <w:name w:val="Intense Quote Char"/>
    <w:basedOn w:val="DefaultParagraphFont"/>
    <w:link w:val="IntenseQuote"/>
    <w:uiPriority w:val="30"/>
    <w:semiHidden/>
    <w:rsid w:val="00754197"/>
    <w:rPr>
      <w:i/>
      <w:iCs/>
      <w:color w:val="06162E" w:themeColor="accent1" w:themeShade="BF"/>
    </w:rPr>
  </w:style>
  <w:style w:type="character" w:styleId="IntenseReference">
    <w:name w:val="Intense Reference"/>
    <w:basedOn w:val="DefaultParagraphFont"/>
    <w:uiPriority w:val="32"/>
    <w:semiHidden/>
    <w:qFormat/>
    <w:rsid w:val="00754197"/>
    <w:rPr>
      <w:b/>
      <w:bCs/>
      <w:smallCaps/>
      <w:color w:val="06162E" w:themeColor="accent1" w:themeShade="BF"/>
      <w:spacing w:val="5"/>
    </w:rPr>
  </w:style>
  <w:style w:type="paragraph" w:customStyle="1" w:styleId="Listparagraphbulletssecondlevel">
    <w:name w:val="List paragraph—bullets—second level"/>
    <w:basedOn w:val="Listparagraphbullets"/>
    <w:autoRedefine/>
    <w:qFormat/>
    <w:rsid w:val="00754197"/>
    <w:pPr>
      <w:numPr>
        <w:numId w:val="38"/>
      </w:numPr>
      <w:spacing w:before="80" w:after="0"/>
      <w:ind w:left="1134" w:hanging="567"/>
    </w:pPr>
    <w:rPr>
      <w:color w:val="000000"/>
      <w:szCs w:val="20"/>
    </w:rPr>
  </w:style>
  <w:style w:type="paragraph" w:customStyle="1" w:styleId="Listparagraphbullets">
    <w:name w:val="List paragraph—bullets"/>
    <w:basedOn w:val="ListParagraph"/>
    <w:qFormat/>
    <w:rsid w:val="00754197"/>
    <w:pPr>
      <w:numPr>
        <w:numId w:val="39"/>
      </w:numPr>
      <w:ind w:left="567" w:hanging="567"/>
    </w:pPr>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0958">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596403983">
      <w:bodyDiv w:val="1"/>
      <w:marLeft w:val="0"/>
      <w:marRight w:val="0"/>
      <w:marTop w:val="0"/>
      <w:marBottom w:val="0"/>
      <w:divBdr>
        <w:top w:val="none" w:sz="0" w:space="0" w:color="auto"/>
        <w:left w:val="none" w:sz="0" w:space="0" w:color="auto"/>
        <w:bottom w:val="none" w:sz="0" w:space="0" w:color="auto"/>
        <w:right w:val="none" w:sz="0" w:space="0" w:color="auto"/>
      </w:divBdr>
      <w:divsChild>
        <w:div w:id="1236472106">
          <w:marLeft w:val="0"/>
          <w:marRight w:val="0"/>
          <w:marTop w:val="0"/>
          <w:marBottom w:val="0"/>
          <w:divBdr>
            <w:top w:val="none" w:sz="0" w:space="0" w:color="auto"/>
            <w:left w:val="none" w:sz="0" w:space="0" w:color="auto"/>
            <w:bottom w:val="none" w:sz="0" w:space="0" w:color="auto"/>
            <w:right w:val="none" w:sz="0" w:space="0" w:color="auto"/>
          </w:divBdr>
        </w:div>
        <w:div w:id="122888494">
          <w:marLeft w:val="0"/>
          <w:marRight w:val="0"/>
          <w:marTop w:val="0"/>
          <w:marBottom w:val="0"/>
          <w:divBdr>
            <w:top w:val="none" w:sz="0" w:space="0" w:color="auto"/>
            <w:left w:val="none" w:sz="0" w:space="0" w:color="auto"/>
            <w:bottom w:val="none" w:sz="0" w:space="0" w:color="auto"/>
            <w:right w:val="none" w:sz="0" w:space="0" w:color="auto"/>
          </w:divBdr>
        </w:div>
        <w:div w:id="1995062538">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603419198">
      <w:bodyDiv w:val="1"/>
      <w:marLeft w:val="0"/>
      <w:marRight w:val="0"/>
      <w:marTop w:val="0"/>
      <w:marBottom w:val="0"/>
      <w:divBdr>
        <w:top w:val="none" w:sz="0" w:space="0" w:color="auto"/>
        <w:left w:val="none" w:sz="0" w:space="0" w:color="auto"/>
        <w:bottom w:val="none" w:sz="0" w:space="0" w:color="auto"/>
        <w:right w:val="none" w:sz="0" w:space="0" w:color="auto"/>
      </w:divBdr>
    </w:div>
    <w:div w:id="758328698">
      <w:bodyDiv w:val="1"/>
      <w:marLeft w:val="0"/>
      <w:marRight w:val="0"/>
      <w:marTop w:val="0"/>
      <w:marBottom w:val="0"/>
      <w:divBdr>
        <w:top w:val="none" w:sz="0" w:space="0" w:color="auto"/>
        <w:left w:val="none" w:sz="0" w:space="0" w:color="auto"/>
        <w:bottom w:val="none" w:sz="0" w:space="0" w:color="auto"/>
        <w:right w:val="none" w:sz="0" w:space="0" w:color="auto"/>
      </w:divBdr>
    </w:div>
    <w:div w:id="871575620">
      <w:bodyDiv w:val="1"/>
      <w:marLeft w:val="0"/>
      <w:marRight w:val="0"/>
      <w:marTop w:val="0"/>
      <w:marBottom w:val="0"/>
      <w:divBdr>
        <w:top w:val="none" w:sz="0" w:space="0" w:color="auto"/>
        <w:left w:val="none" w:sz="0" w:space="0" w:color="auto"/>
        <w:bottom w:val="none" w:sz="0" w:space="0" w:color="auto"/>
        <w:right w:val="none" w:sz="0" w:space="0" w:color="auto"/>
      </w:divBdr>
    </w:div>
    <w:div w:id="1763069979">
      <w:bodyDiv w:val="1"/>
      <w:marLeft w:val="0"/>
      <w:marRight w:val="0"/>
      <w:marTop w:val="0"/>
      <w:marBottom w:val="0"/>
      <w:divBdr>
        <w:top w:val="none" w:sz="0" w:space="0" w:color="auto"/>
        <w:left w:val="none" w:sz="0" w:space="0" w:color="auto"/>
        <w:bottom w:val="none" w:sz="0" w:space="0" w:color="auto"/>
        <w:right w:val="none" w:sz="0" w:space="0" w:color="auto"/>
      </w:divBdr>
    </w:div>
    <w:div w:id="1876573739">
      <w:bodyDiv w:val="1"/>
      <w:marLeft w:val="0"/>
      <w:marRight w:val="0"/>
      <w:marTop w:val="0"/>
      <w:marBottom w:val="0"/>
      <w:divBdr>
        <w:top w:val="none" w:sz="0" w:space="0" w:color="auto"/>
        <w:left w:val="none" w:sz="0" w:space="0" w:color="auto"/>
        <w:bottom w:val="none" w:sz="0" w:space="0" w:color="auto"/>
        <w:right w:val="none" w:sz="0" w:space="0" w:color="auto"/>
      </w:divBdr>
    </w:div>
    <w:div w:id="18941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rastructure.gov.au/sites/default/files/documents/sydney-airport-domestic-slot-audit-report-november-2024.pdf" TargetMode="External"/><Relationship Id="rId2" Type="http://schemas.openxmlformats.org/officeDocument/2006/relationships/hyperlink" Target="https://www.infrastructure.gov.au/sites/default/files/documents/sydney-airport-demand-management-review.pdf" TargetMode="External"/><Relationship Id="rId1" Type="http://schemas.openxmlformats.org/officeDocument/2006/relationships/hyperlink" Target="https://www.pc.gov.au/inquiries-and-research/airports-2019/" TargetMode="External"/></Relationships>
</file>

<file path=word/theme/theme1.xml><?xml version="1.0" encoding="utf-8"?>
<a:theme xmlns:a="http://schemas.openxmlformats.org/drawingml/2006/main" name="Infra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A130D97559814FA456582674036081" ma:contentTypeVersion="0" ma:contentTypeDescription="Create a new document." ma:contentTypeScope="" ma:versionID="b9112b7482317f54acb3ecfc0a03fb1b">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409EC6-63A4-4332-94CC-B0958B130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943D83-488F-4EF9-A068-BA862AF1E1E4}">
  <ds:schemaRefs>
    <ds:schemaRef ds:uri="http://schemas.microsoft.com/sharepoint/v3/contenttype/forms"/>
  </ds:schemaRefs>
</ds:datastoreItem>
</file>

<file path=customXml/itemProps4.xml><?xml version="1.0" encoding="utf-8"?>
<ds:datastoreItem xmlns:ds="http://schemas.openxmlformats.org/officeDocument/2006/customXml" ds:itemID="{0A08EA15-B870-4D65-9C1D-91920CCAB9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18E397-38E4-408A-AC69-2B4D53CD6B1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1422</Words>
  <Characters>8180</Characters>
  <Application>Microsoft Office Word</Application>
  <DocSecurity>0</DocSecurity>
  <Lines>151</Lines>
  <Paragraphs>110</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MARTIN, Scott</dc:creator>
  <cp:keywords/>
  <dc:description/>
  <cp:lastModifiedBy>MARTIN, Scott</cp:lastModifiedBy>
  <cp:revision>6</cp:revision>
  <cp:lastPrinted>2026-05-12T05:25:00Z</cp:lastPrinted>
  <dcterms:created xsi:type="dcterms:W3CDTF">2026-05-10T23:36:00Z</dcterms:created>
  <dcterms:modified xsi:type="dcterms:W3CDTF">2026-05-12T05:25:00Z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63dabd8,524b3d18,34bf48fe</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5cbe6bd,21fbeb83,4ff426cf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