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0F91E" w14:textId="77777777" w:rsidR="00D5724D" w:rsidRDefault="000C40EF" w:rsidP="004A2F7F">
      <w:pPr>
        <w:spacing w:before="0"/>
        <w:ind w:left="-993"/>
      </w:pPr>
      <w:r>
        <w:rPr>
          <w:noProof/>
        </w:rPr>
        <w:drawing>
          <wp:inline distT="0" distB="0" distL="0" distR="0" wp14:anchorId="28D0FB5A" wp14:editId="63D68201">
            <wp:extent cx="10744471" cy="1884827"/>
            <wp:effectExtent l="0" t="0" r="0" b="1270"/>
            <wp:docPr id="2" name="Picture 2"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logo--landscape--jpeg.jpg"/>
                    <pic:cNvPicPr/>
                  </pic:nvPicPr>
                  <pic:blipFill>
                    <a:blip r:embed="rId9">
                      <a:extLst>
                        <a:ext uri="{28A0092B-C50C-407E-A947-70E740481C1C}">
                          <a14:useLocalDpi xmlns:a14="http://schemas.microsoft.com/office/drawing/2010/main" val="0"/>
                        </a:ext>
                      </a:extLst>
                    </a:blip>
                    <a:stretch>
                      <a:fillRect/>
                    </a:stretch>
                  </pic:blipFill>
                  <pic:spPr>
                    <a:xfrm>
                      <a:off x="0" y="0"/>
                      <a:ext cx="10922335" cy="1916028"/>
                    </a:xfrm>
                    <a:prstGeom prst="rect">
                      <a:avLst/>
                    </a:prstGeom>
                  </pic:spPr>
                </pic:pic>
              </a:graphicData>
            </a:graphic>
          </wp:inline>
        </w:drawing>
      </w:r>
    </w:p>
    <w:p w14:paraId="28D0F91F" w14:textId="7859B323" w:rsidR="009B52F3" w:rsidRPr="009B52F3" w:rsidRDefault="00A91957" w:rsidP="006710DE">
      <w:pPr>
        <w:pStyle w:val="Heading1"/>
      </w:pPr>
      <w:r w:rsidRPr="00A07C01">
        <w:t>Summary of amendments to the Disability Standards for Accessible Public Transport 2002</w:t>
      </w:r>
    </w:p>
    <w:p w14:paraId="1F150F70" w14:textId="6C770020" w:rsidR="00470BA8" w:rsidRDefault="007808A7" w:rsidP="009B52F3">
      <w:pPr>
        <w:rPr>
          <w:rFonts w:eastAsia="Calibri" w:cs="Times New Roman"/>
          <w:b/>
          <w:color w:val="081E3E"/>
          <w:kern w:val="12"/>
          <w:sz w:val="20"/>
          <w:szCs w:val="20"/>
        </w:rPr>
        <w:sectPr w:rsidR="00470BA8" w:rsidSect="00183A24">
          <w:footerReference w:type="default" r:id="rId10"/>
          <w:headerReference w:type="first" r:id="rId11"/>
          <w:pgSz w:w="16838" w:h="11906" w:orient="landscape" w:code="9"/>
          <w:pgMar w:top="28" w:right="1021" w:bottom="1021" w:left="1021" w:header="340" w:footer="0" w:gutter="0"/>
          <w:cols w:space="708"/>
          <w:docGrid w:linePitch="360"/>
        </w:sectPr>
      </w:pPr>
      <w:r>
        <w:rPr>
          <w:rFonts w:eastAsia="Calibri" w:cs="Times New Roman"/>
          <w:b/>
          <w:color w:val="081E3E"/>
          <w:kern w:val="12"/>
          <w:sz w:val="20"/>
          <w:szCs w:val="20"/>
        </w:rPr>
        <w:t>October 2026</w:t>
      </w:r>
    </w:p>
    <w:p w14:paraId="06EF0246" w14:textId="77777777" w:rsidR="003D7EFD" w:rsidRDefault="003D7EFD" w:rsidP="003D7EFD">
      <w:pPr>
        <w:pStyle w:val="Heading2"/>
      </w:pPr>
      <w:r>
        <w:t>Purpose of this document</w:t>
      </w:r>
    </w:p>
    <w:p w14:paraId="1A36E60A" w14:textId="77777777" w:rsidR="003D7EFD" w:rsidRDefault="003D7EFD" w:rsidP="003D7EFD">
      <w:pPr>
        <w:rPr>
          <w:sz w:val="24"/>
          <w:szCs w:val="24"/>
        </w:rPr>
      </w:pPr>
      <w:r w:rsidRPr="00BA7950">
        <w:rPr>
          <w:sz w:val="24"/>
          <w:szCs w:val="24"/>
        </w:rPr>
        <w:t xml:space="preserve">The </w:t>
      </w:r>
      <w:r w:rsidRPr="00AC04B4">
        <w:rPr>
          <w:sz w:val="24"/>
          <w:szCs w:val="24"/>
        </w:rPr>
        <w:t>Disability Standards for Accessible Public Transport 2002</w:t>
      </w:r>
      <w:r w:rsidRPr="00BA7950">
        <w:rPr>
          <w:sz w:val="24"/>
          <w:szCs w:val="24"/>
        </w:rPr>
        <w:t xml:space="preserve"> (Transport Standards) were amended on </w:t>
      </w:r>
      <w:r>
        <w:rPr>
          <w:sz w:val="24"/>
          <w:szCs w:val="24"/>
        </w:rPr>
        <w:t>13 October 2026</w:t>
      </w:r>
      <w:r w:rsidRPr="00BA7950">
        <w:rPr>
          <w:sz w:val="24"/>
          <w:szCs w:val="24"/>
        </w:rPr>
        <w:t xml:space="preserve"> to introduce new requirements to improve the accessibility of public transport and help remove discrimination against people with disability. This document provides information about the new compliance obligations of operators and providers</w:t>
      </w:r>
      <w:r>
        <w:rPr>
          <w:sz w:val="24"/>
          <w:szCs w:val="24"/>
        </w:rPr>
        <w:t xml:space="preserve"> and</w:t>
      </w:r>
      <w:r w:rsidRPr="00BA7950">
        <w:rPr>
          <w:sz w:val="24"/>
          <w:szCs w:val="24"/>
        </w:rPr>
        <w:t xml:space="preserve"> summarises new requirements</w:t>
      </w:r>
      <w:r>
        <w:rPr>
          <w:sz w:val="24"/>
          <w:szCs w:val="24"/>
        </w:rPr>
        <w:t xml:space="preserve"> in each Part of the Transport Standards</w:t>
      </w:r>
      <w:r w:rsidRPr="00BA7950">
        <w:rPr>
          <w:sz w:val="24"/>
          <w:szCs w:val="24"/>
        </w:rPr>
        <w:t xml:space="preserve">. Operators and providers should consider this </w:t>
      </w:r>
      <w:r>
        <w:rPr>
          <w:sz w:val="24"/>
          <w:szCs w:val="24"/>
        </w:rPr>
        <w:t xml:space="preserve">summary </w:t>
      </w:r>
      <w:r w:rsidRPr="00BA7950">
        <w:rPr>
          <w:sz w:val="24"/>
          <w:szCs w:val="24"/>
        </w:rPr>
        <w:t>document in conjunction with the</w:t>
      </w:r>
      <w:r>
        <w:rPr>
          <w:sz w:val="24"/>
          <w:szCs w:val="24"/>
        </w:rPr>
        <w:t xml:space="preserve"> </w:t>
      </w:r>
      <w:hyperlink r:id="rId12" w:history="1">
        <w:r w:rsidRPr="002358B2">
          <w:rPr>
            <w:rStyle w:val="Hyperlink"/>
            <w:sz w:val="24"/>
            <w:szCs w:val="24"/>
          </w:rPr>
          <w:t>Disability Standards for Accessible Public Transport Amendment 2026</w:t>
        </w:r>
      </w:hyperlink>
      <w:r w:rsidRPr="00BA7950">
        <w:rPr>
          <w:sz w:val="24"/>
          <w:szCs w:val="24"/>
        </w:rPr>
        <w:t xml:space="preserve"> </w:t>
      </w:r>
      <w:r>
        <w:rPr>
          <w:sz w:val="24"/>
          <w:szCs w:val="24"/>
        </w:rPr>
        <w:t xml:space="preserve">(amending instrument) </w:t>
      </w:r>
      <w:r w:rsidRPr="00BA7950">
        <w:rPr>
          <w:sz w:val="24"/>
          <w:szCs w:val="24"/>
        </w:rPr>
        <w:t xml:space="preserve">and </w:t>
      </w:r>
      <w:r>
        <w:rPr>
          <w:sz w:val="24"/>
          <w:szCs w:val="24"/>
        </w:rPr>
        <w:t>its</w:t>
      </w:r>
      <w:r w:rsidRPr="00BA7950">
        <w:rPr>
          <w:sz w:val="24"/>
          <w:szCs w:val="24"/>
        </w:rPr>
        <w:t xml:space="preserve"> </w:t>
      </w:r>
      <w:hyperlink r:id="rId13" w:history="1">
        <w:r w:rsidRPr="007B3799">
          <w:rPr>
            <w:rStyle w:val="Hyperlink"/>
            <w:sz w:val="24"/>
            <w:szCs w:val="24"/>
          </w:rPr>
          <w:t>explanatory statement</w:t>
        </w:r>
      </w:hyperlink>
      <w:r w:rsidRPr="00BA7950">
        <w:rPr>
          <w:sz w:val="24"/>
          <w:szCs w:val="24"/>
        </w:rPr>
        <w:t xml:space="preserve"> to understand the full scope of amendments and their new compliance obligations.</w:t>
      </w:r>
      <w:r>
        <w:rPr>
          <w:sz w:val="24"/>
          <w:szCs w:val="24"/>
        </w:rPr>
        <w:t xml:space="preserve"> </w:t>
      </w:r>
      <w:r w:rsidRPr="00A5267F">
        <w:rPr>
          <w:sz w:val="24"/>
          <w:szCs w:val="24"/>
        </w:rPr>
        <w:t>A compilation, which is an updated version of the Transport Standards that combines the existing requirements and the amendments into a single document, will be published on the Federal Register of Legislation</w:t>
      </w:r>
      <w:r>
        <w:rPr>
          <w:sz w:val="24"/>
          <w:szCs w:val="24"/>
        </w:rPr>
        <w:t xml:space="preserve"> shortly</w:t>
      </w:r>
      <w:r w:rsidRPr="00A5267F">
        <w:rPr>
          <w:sz w:val="24"/>
          <w:szCs w:val="24"/>
        </w:rPr>
        <w:t>.</w:t>
      </w:r>
      <w:r>
        <w:rPr>
          <w:sz w:val="24"/>
          <w:szCs w:val="24"/>
        </w:rPr>
        <w:t xml:space="preserve"> </w:t>
      </w:r>
    </w:p>
    <w:p w14:paraId="4723C05C" w14:textId="0162E833" w:rsidR="003D7EFD" w:rsidRPr="00FA3202" w:rsidRDefault="003D7EFD" w:rsidP="003D7EFD">
      <w:pPr>
        <w:rPr>
          <w:sz w:val="24"/>
          <w:szCs w:val="24"/>
        </w:rPr>
      </w:pPr>
      <w:r>
        <w:rPr>
          <w:sz w:val="24"/>
          <w:szCs w:val="24"/>
        </w:rPr>
        <w:t xml:space="preserve">A glossary of key terms used in this document is available at </w:t>
      </w:r>
      <w:r w:rsidRPr="009C1BB2">
        <w:rPr>
          <w:b/>
          <w:bCs/>
          <w:sz w:val="24"/>
          <w:szCs w:val="24"/>
        </w:rPr>
        <w:t>Appendix A.</w:t>
      </w:r>
      <w:r>
        <w:rPr>
          <w:b/>
          <w:bCs/>
          <w:sz w:val="24"/>
          <w:szCs w:val="24"/>
        </w:rPr>
        <w:t xml:space="preserve"> </w:t>
      </w:r>
      <w:r>
        <w:rPr>
          <w:sz w:val="24"/>
          <w:szCs w:val="24"/>
        </w:rPr>
        <w:t xml:space="preserve">Further information about the reforms is available at </w:t>
      </w:r>
      <w:hyperlink r:id="rId14" w:history="1">
        <w:r w:rsidRPr="008E702C">
          <w:rPr>
            <w:rStyle w:val="Hyperlink"/>
            <w:sz w:val="24"/>
            <w:szCs w:val="24"/>
          </w:rPr>
          <w:t>www.infrastructure.gov.au/transportstandards</w:t>
        </w:r>
      </w:hyperlink>
      <w:r>
        <w:rPr>
          <w:sz w:val="24"/>
          <w:szCs w:val="24"/>
        </w:rPr>
        <w:t>.</w:t>
      </w:r>
    </w:p>
    <w:p w14:paraId="41976223" w14:textId="77777777" w:rsidR="003D7EFD" w:rsidRDefault="003D7EFD" w:rsidP="003D7EFD">
      <w:pPr>
        <w:pStyle w:val="Heading3"/>
      </w:pPr>
      <w:r>
        <w:t>What are the Transport Standards and the Transport Standards Guidelines?</w:t>
      </w:r>
    </w:p>
    <w:p w14:paraId="679CB4F3" w14:textId="77777777" w:rsidR="003D7EFD" w:rsidRPr="00BA7950" w:rsidRDefault="003D7EFD" w:rsidP="003D7EFD">
      <w:pPr>
        <w:rPr>
          <w:sz w:val="24"/>
          <w:szCs w:val="24"/>
        </w:rPr>
      </w:pPr>
      <w:r w:rsidRPr="00BA7950">
        <w:rPr>
          <w:sz w:val="24"/>
          <w:szCs w:val="24"/>
        </w:rPr>
        <w:t xml:space="preserve">The Transport Standards are a legislative instrument made under the </w:t>
      </w:r>
      <w:r w:rsidRPr="00BA7950">
        <w:rPr>
          <w:i/>
          <w:iCs/>
          <w:sz w:val="24"/>
          <w:szCs w:val="24"/>
        </w:rPr>
        <w:t>Disability Discrimination Act 1992</w:t>
      </w:r>
      <w:r w:rsidRPr="00BA7950">
        <w:rPr>
          <w:sz w:val="24"/>
          <w:szCs w:val="24"/>
        </w:rPr>
        <w:t xml:space="preserve">. The Transport Standards provide requirements for operators and providers to make their services accessible and remove discrimination against people with disability. Operators and providers must comply with the Transport Standards. The Transport Standards are supported by the </w:t>
      </w:r>
      <w:hyperlink r:id="rId15" w:history="1">
        <w:r w:rsidRPr="007B3799">
          <w:rPr>
            <w:rStyle w:val="Hyperlink"/>
            <w:sz w:val="24"/>
            <w:szCs w:val="24"/>
          </w:rPr>
          <w:t xml:space="preserve">Disability Standards for Accessible Public Transport Guidelines </w:t>
        </w:r>
        <w:r w:rsidRPr="007B3799">
          <w:rPr>
            <w:rStyle w:val="Hyperlink"/>
            <w:sz w:val="24"/>
            <w:szCs w:val="24"/>
          </w:rPr>
          <w:lastRenderedPageBreak/>
          <w:t>2026</w:t>
        </w:r>
      </w:hyperlink>
      <w:r w:rsidRPr="00BA7950">
        <w:rPr>
          <w:sz w:val="24"/>
          <w:szCs w:val="24"/>
        </w:rPr>
        <w:t xml:space="preserve"> (Guidelines). The Guidelines provide additional information to assist operators and providers to understand and implement their obligations under the Transport Standards.</w:t>
      </w:r>
      <w:r>
        <w:rPr>
          <w:sz w:val="24"/>
          <w:szCs w:val="24"/>
        </w:rPr>
        <w:t xml:space="preserve"> The Guidelines have been updated to reflect the amendments to the Transport Standards.</w:t>
      </w:r>
    </w:p>
    <w:p w14:paraId="01D6BF20" w14:textId="77777777" w:rsidR="003D7EFD" w:rsidRDefault="003D7EFD" w:rsidP="003D7EFD">
      <w:pPr>
        <w:pStyle w:val="Heading3"/>
      </w:pPr>
      <w:r>
        <w:t>When do the new requirements need to be implemented?</w:t>
      </w:r>
    </w:p>
    <w:p w14:paraId="266ED0DE" w14:textId="77777777" w:rsidR="003D7EFD" w:rsidRPr="00BA7950" w:rsidRDefault="003D7EFD" w:rsidP="003D7EFD">
      <w:pPr>
        <w:spacing w:before="80"/>
        <w:rPr>
          <w:sz w:val="24"/>
          <w:szCs w:val="24"/>
        </w:rPr>
      </w:pPr>
      <w:r w:rsidRPr="004C5A2F">
        <w:rPr>
          <w:sz w:val="24"/>
          <w:szCs w:val="24"/>
          <w:lang w:val="x-none"/>
        </w:rPr>
        <w:t xml:space="preserve">Each section in the Transport Standards contains a table that lists the assets </w:t>
      </w:r>
      <w:r>
        <w:rPr>
          <w:sz w:val="24"/>
          <w:szCs w:val="24"/>
          <w:lang w:val="x-none"/>
        </w:rPr>
        <w:t xml:space="preserve">that </w:t>
      </w:r>
      <w:r w:rsidRPr="004C5A2F">
        <w:rPr>
          <w:sz w:val="24"/>
          <w:szCs w:val="24"/>
          <w:lang w:val="x-none"/>
        </w:rPr>
        <w:t>the requirements of the section apply to. Part 35 of the amended Transport Standards outlines when operators and providers must comply with new requirements. Operators and providers should also consider the guidance contained in Part 35 of the Guidelines to understand how the amendments affect projects in planning or under construction.</w:t>
      </w:r>
      <w:r>
        <w:rPr>
          <w:sz w:val="24"/>
          <w:szCs w:val="24"/>
          <w:lang w:val="x-none"/>
        </w:rPr>
        <w:t xml:space="preserve"> </w:t>
      </w:r>
      <w:r w:rsidRPr="00BA7950">
        <w:rPr>
          <w:sz w:val="24"/>
          <w:szCs w:val="24"/>
        </w:rPr>
        <w:t>There are three ways new requirements will be implemented. Amendments may:</w:t>
      </w:r>
    </w:p>
    <w:p w14:paraId="044FAEDE" w14:textId="77777777" w:rsidR="003D7EFD" w:rsidRPr="00BA7950" w:rsidRDefault="003D7EFD" w:rsidP="003D7EFD">
      <w:pPr>
        <w:pStyle w:val="Listparagraphbullets"/>
      </w:pPr>
      <w:r w:rsidRPr="00BA7950">
        <w:t>apply on the commencement day. These amendments are largely definitional or clarify existing requirements, meaning they do not require material changes to assets or processes.</w:t>
      </w:r>
    </w:p>
    <w:p w14:paraId="7FF4396F" w14:textId="77777777" w:rsidR="003D7EFD" w:rsidRPr="00BA7950" w:rsidRDefault="003D7EFD" w:rsidP="003D7EFD">
      <w:pPr>
        <w:pStyle w:val="Listparagraphbullets"/>
      </w:pPr>
      <w:r w:rsidRPr="00BA7950">
        <w:t>apply to new assets or assets that are substantially refurbished or altered on or after the commencement day.</w:t>
      </w:r>
    </w:p>
    <w:p w14:paraId="574C5FC4" w14:textId="77777777" w:rsidR="003D7EFD" w:rsidRDefault="003D7EFD" w:rsidP="003D7EFD">
      <w:pPr>
        <w:pStyle w:val="Listparagraphbullets"/>
      </w:pPr>
      <w:r w:rsidRPr="00BA7950">
        <w:t>apply to assets that existed prior to the commencement day, and require compliance by a set timeframe (5- or 10-years). This means these assets must be compliant with relevant requirements by the date 5- or 10- years from the commencement date, as the case may be.</w:t>
      </w:r>
    </w:p>
    <w:p w14:paraId="2802D991" w14:textId="156231CB" w:rsidR="003D7EFD" w:rsidRPr="00BA7950" w:rsidRDefault="003D7EFD" w:rsidP="003D7EFD">
      <w:pPr>
        <w:pStyle w:val="Bullet1"/>
        <w:numPr>
          <w:ilvl w:val="0"/>
          <w:numId w:val="0"/>
        </w:numPr>
        <w:ind w:left="284" w:hanging="284"/>
        <w:rPr>
          <w:sz w:val="24"/>
          <w:szCs w:val="24"/>
        </w:rPr>
      </w:pPr>
      <w:r>
        <w:rPr>
          <w:sz w:val="24"/>
          <w:szCs w:val="24"/>
        </w:rPr>
        <w:t xml:space="preserve">The commencement day for the amended Transport Standards </w:t>
      </w:r>
      <w:r w:rsidRPr="00C81017">
        <w:rPr>
          <w:sz w:val="24"/>
          <w:szCs w:val="24"/>
        </w:rPr>
        <w:t xml:space="preserve">is </w:t>
      </w:r>
      <w:r w:rsidR="00B835BB">
        <w:rPr>
          <w:sz w:val="24"/>
          <w:szCs w:val="24"/>
        </w:rPr>
        <w:t>13</w:t>
      </w:r>
      <w:r w:rsidRPr="009467C0">
        <w:rPr>
          <w:sz w:val="24"/>
          <w:szCs w:val="24"/>
        </w:rPr>
        <w:t xml:space="preserve"> October 2026</w:t>
      </w:r>
      <w:r>
        <w:rPr>
          <w:sz w:val="24"/>
          <w:szCs w:val="24"/>
        </w:rPr>
        <w:t>.</w:t>
      </w:r>
    </w:p>
    <w:p w14:paraId="106150B7" w14:textId="77777777" w:rsidR="003D7EFD" w:rsidRDefault="003D7EFD" w:rsidP="003D7EFD">
      <w:pPr>
        <w:pStyle w:val="Heading2"/>
      </w:pPr>
      <w:r>
        <w:t>Do the amendments affect existing Transport Standards compliance obligations?</w:t>
      </w:r>
    </w:p>
    <w:p w14:paraId="00624970" w14:textId="77777777" w:rsidR="003D7EFD" w:rsidRDefault="003D7EFD" w:rsidP="003D7EFD">
      <w:pPr>
        <w:rPr>
          <w:sz w:val="24"/>
          <w:szCs w:val="24"/>
        </w:rPr>
      </w:pPr>
      <w:r>
        <w:rPr>
          <w:sz w:val="24"/>
          <w:szCs w:val="24"/>
        </w:rPr>
        <w:t>The amendments to the Transport Standards do not</w:t>
      </w:r>
      <w:r w:rsidRPr="00D4605B">
        <w:rPr>
          <w:sz w:val="24"/>
          <w:szCs w:val="24"/>
        </w:rPr>
        <w:t xml:space="preserve"> change the compliance dates</w:t>
      </w:r>
      <w:r>
        <w:rPr>
          <w:sz w:val="24"/>
          <w:szCs w:val="24"/>
        </w:rPr>
        <w:t xml:space="preserve"> or</w:t>
      </w:r>
      <w:r w:rsidRPr="0066350B">
        <w:rPr>
          <w:sz w:val="24"/>
          <w:szCs w:val="24"/>
        </w:rPr>
        <w:t xml:space="preserve"> provide </w:t>
      </w:r>
      <w:r>
        <w:rPr>
          <w:sz w:val="24"/>
          <w:szCs w:val="24"/>
        </w:rPr>
        <w:t xml:space="preserve">public transport operators and providers </w:t>
      </w:r>
      <w:r w:rsidRPr="0066350B">
        <w:rPr>
          <w:sz w:val="24"/>
          <w:szCs w:val="24"/>
        </w:rPr>
        <w:t>additional time</w:t>
      </w:r>
      <w:r w:rsidRPr="00D4605B">
        <w:rPr>
          <w:sz w:val="24"/>
          <w:szCs w:val="24"/>
        </w:rPr>
        <w:t xml:space="preserve"> </w:t>
      </w:r>
      <w:r>
        <w:rPr>
          <w:sz w:val="24"/>
          <w:szCs w:val="24"/>
        </w:rPr>
        <w:t>to meet</w:t>
      </w:r>
      <w:r w:rsidRPr="00D4605B">
        <w:rPr>
          <w:sz w:val="24"/>
          <w:szCs w:val="24"/>
        </w:rPr>
        <w:t xml:space="preserve"> </w:t>
      </w:r>
      <w:r w:rsidRPr="00BA7950">
        <w:rPr>
          <w:sz w:val="24"/>
          <w:szCs w:val="24"/>
        </w:rPr>
        <w:t>the requirements of the Transport Standards that existed before the amended Transport Standards came into effect</w:t>
      </w:r>
      <w:r>
        <w:rPr>
          <w:sz w:val="24"/>
          <w:szCs w:val="24"/>
        </w:rPr>
        <w:t xml:space="preserve">. All existing assets must now be compliant with </w:t>
      </w:r>
      <w:r w:rsidRPr="00BA7950">
        <w:rPr>
          <w:sz w:val="24"/>
          <w:szCs w:val="24"/>
        </w:rPr>
        <w:t>the requirements of the Transport Standards that existed before the</w:t>
      </w:r>
      <w:r>
        <w:rPr>
          <w:sz w:val="24"/>
          <w:szCs w:val="24"/>
        </w:rPr>
        <w:t>se amendments, e</w:t>
      </w:r>
      <w:r w:rsidRPr="004C5A2F">
        <w:rPr>
          <w:sz w:val="24"/>
          <w:szCs w:val="24"/>
        </w:rPr>
        <w:t>xcept</w:t>
      </w:r>
      <w:r w:rsidRPr="00BA7950">
        <w:rPr>
          <w:sz w:val="24"/>
          <w:szCs w:val="24"/>
        </w:rPr>
        <w:t xml:space="preserve"> for trains and trams which </w:t>
      </w:r>
      <w:r>
        <w:rPr>
          <w:sz w:val="24"/>
          <w:szCs w:val="24"/>
        </w:rPr>
        <w:t xml:space="preserve">continue to </w:t>
      </w:r>
      <w:r w:rsidRPr="00BA7950">
        <w:rPr>
          <w:sz w:val="24"/>
          <w:szCs w:val="24"/>
        </w:rPr>
        <w:t>have until 31 December 2032</w:t>
      </w:r>
      <w:r>
        <w:rPr>
          <w:sz w:val="24"/>
          <w:szCs w:val="24"/>
        </w:rPr>
        <w:t xml:space="preserve"> to meet relevant requirements</w:t>
      </w:r>
      <w:r w:rsidRPr="004C5A2F">
        <w:rPr>
          <w:sz w:val="24"/>
          <w:szCs w:val="24"/>
        </w:rPr>
        <w:t>.</w:t>
      </w:r>
      <w:r w:rsidRPr="00BA7950">
        <w:rPr>
          <w:sz w:val="24"/>
          <w:szCs w:val="24"/>
        </w:rPr>
        <w:t xml:space="preserve"> </w:t>
      </w:r>
      <w:r>
        <w:rPr>
          <w:sz w:val="24"/>
          <w:szCs w:val="24"/>
        </w:rPr>
        <w:t xml:space="preserve"> </w:t>
      </w:r>
    </w:p>
    <w:p w14:paraId="55A7EFB4" w14:textId="77777777" w:rsidR="003D7EFD" w:rsidRPr="00D13524" w:rsidRDefault="003D7EFD" w:rsidP="00CC6750">
      <w:pPr>
        <w:pStyle w:val="Heading2"/>
      </w:pPr>
      <w:r w:rsidRPr="00D13524">
        <w:t xml:space="preserve">Summary of </w:t>
      </w:r>
      <w:r>
        <w:t>new requirements and compliance obligations</w:t>
      </w:r>
    </w:p>
    <w:p w14:paraId="26A3B811" w14:textId="77777777" w:rsidR="003D7EFD" w:rsidRPr="006D099C" w:rsidRDefault="003D7EFD" w:rsidP="003D7EFD">
      <w:pPr>
        <w:rPr>
          <w:sz w:val="24"/>
          <w:szCs w:val="24"/>
        </w:rPr>
      </w:pPr>
      <w:r w:rsidRPr="006936C2">
        <w:rPr>
          <w:sz w:val="24"/>
          <w:szCs w:val="24"/>
        </w:rPr>
        <w:t xml:space="preserve">The </w:t>
      </w:r>
      <w:r w:rsidRPr="004C5A2F">
        <w:rPr>
          <w:sz w:val="24"/>
          <w:szCs w:val="24"/>
        </w:rPr>
        <w:t>table</w:t>
      </w:r>
      <w:r>
        <w:rPr>
          <w:sz w:val="24"/>
          <w:szCs w:val="24"/>
        </w:rPr>
        <w:t>s</w:t>
      </w:r>
      <w:r w:rsidRPr="006936C2">
        <w:rPr>
          <w:sz w:val="24"/>
          <w:szCs w:val="24"/>
        </w:rPr>
        <w:t xml:space="preserve"> below </w:t>
      </w:r>
      <w:r w:rsidRPr="004C5A2F">
        <w:rPr>
          <w:sz w:val="24"/>
          <w:szCs w:val="24"/>
        </w:rPr>
        <w:t>summarise</w:t>
      </w:r>
      <w:r w:rsidRPr="006936C2">
        <w:rPr>
          <w:sz w:val="24"/>
          <w:szCs w:val="24"/>
        </w:rPr>
        <w:t xml:space="preserve"> new requirements </w:t>
      </w:r>
      <w:r>
        <w:rPr>
          <w:sz w:val="24"/>
          <w:szCs w:val="24"/>
        </w:rPr>
        <w:t>in each Part of</w:t>
      </w:r>
      <w:r w:rsidRPr="006936C2">
        <w:rPr>
          <w:sz w:val="24"/>
          <w:szCs w:val="24"/>
        </w:rPr>
        <w:t xml:space="preserve"> the </w:t>
      </w:r>
      <w:r>
        <w:rPr>
          <w:sz w:val="24"/>
          <w:szCs w:val="24"/>
        </w:rPr>
        <w:t>Transport Standards</w:t>
      </w:r>
      <w:r w:rsidRPr="006936C2">
        <w:rPr>
          <w:sz w:val="24"/>
          <w:szCs w:val="24"/>
        </w:rPr>
        <w:t xml:space="preserve">, including </w:t>
      </w:r>
      <w:r>
        <w:rPr>
          <w:sz w:val="24"/>
          <w:szCs w:val="24"/>
        </w:rPr>
        <w:t>information about which</w:t>
      </w:r>
      <w:r w:rsidRPr="006936C2">
        <w:rPr>
          <w:sz w:val="24"/>
          <w:szCs w:val="24"/>
        </w:rPr>
        <w:t xml:space="preserve"> assets</w:t>
      </w:r>
      <w:r>
        <w:rPr>
          <w:sz w:val="24"/>
          <w:szCs w:val="24"/>
        </w:rPr>
        <w:t xml:space="preserve"> the requirements apply to</w:t>
      </w:r>
      <w:r w:rsidRPr="006936C2">
        <w:rPr>
          <w:sz w:val="24"/>
          <w:szCs w:val="24"/>
        </w:rPr>
        <w:t>, the implementation approach, and references to relevant sections of the Transport Standards Guidelines</w:t>
      </w:r>
      <w:r w:rsidRPr="004C5A2F">
        <w:rPr>
          <w:sz w:val="24"/>
          <w:szCs w:val="24"/>
        </w:rPr>
        <w:t>.</w:t>
      </w:r>
      <w:r w:rsidRPr="006936C2">
        <w:rPr>
          <w:sz w:val="24"/>
          <w:szCs w:val="24"/>
        </w:rPr>
        <w:t xml:space="preserve"> Please note the </w:t>
      </w:r>
      <w:r w:rsidRPr="004C5A2F">
        <w:rPr>
          <w:sz w:val="24"/>
          <w:szCs w:val="24"/>
        </w:rPr>
        <w:t>table</w:t>
      </w:r>
      <w:r>
        <w:rPr>
          <w:sz w:val="24"/>
          <w:szCs w:val="24"/>
        </w:rPr>
        <w:t>s</w:t>
      </w:r>
      <w:r w:rsidRPr="004C5A2F">
        <w:rPr>
          <w:sz w:val="24"/>
          <w:szCs w:val="24"/>
        </w:rPr>
        <w:t xml:space="preserve"> do</w:t>
      </w:r>
      <w:r w:rsidRPr="006936C2">
        <w:rPr>
          <w:sz w:val="24"/>
          <w:szCs w:val="24"/>
        </w:rPr>
        <w:t xml:space="preserve"> not include all amendments. For example, some amendments do not have substantial or material impacts on the obligations of operators and providers – this includes definitional changes such as updating the terminology ‘service animal’ to ‘assistance animal’. </w:t>
      </w:r>
      <w:r>
        <w:rPr>
          <w:sz w:val="24"/>
          <w:szCs w:val="24"/>
        </w:rPr>
        <w:t>O</w:t>
      </w:r>
      <w:r w:rsidRPr="004C5A2F">
        <w:rPr>
          <w:sz w:val="24"/>
          <w:szCs w:val="24"/>
        </w:rPr>
        <w:t>perators</w:t>
      </w:r>
      <w:r w:rsidRPr="006936C2">
        <w:rPr>
          <w:sz w:val="24"/>
          <w:szCs w:val="24"/>
        </w:rPr>
        <w:t xml:space="preserve"> and providers should consider the amended Transport Standards</w:t>
      </w:r>
      <w:r>
        <w:rPr>
          <w:sz w:val="24"/>
          <w:szCs w:val="24"/>
        </w:rPr>
        <w:t>, Guidelines</w:t>
      </w:r>
      <w:r w:rsidRPr="006936C2">
        <w:rPr>
          <w:sz w:val="24"/>
          <w:szCs w:val="24"/>
        </w:rPr>
        <w:t xml:space="preserve"> and the explanatory statement to understand the full scope of </w:t>
      </w:r>
      <w:r>
        <w:rPr>
          <w:sz w:val="24"/>
          <w:szCs w:val="24"/>
        </w:rPr>
        <w:t xml:space="preserve">changes. </w:t>
      </w:r>
    </w:p>
    <w:p w14:paraId="71D926B6" w14:textId="77777777" w:rsidR="003D7EFD" w:rsidRDefault="003D7EFD" w:rsidP="00CC6750">
      <w:pPr>
        <w:pStyle w:val="Tablefigureheading"/>
      </w:pPr>
      <w:r>
        <w:lastRenderedPageBreak/>
        <w:t xml:space="preserve">Table </w:t>
      </w:r>
      <w:fldSimple w:instr=" SEQ Table \* ARABIC ">
        <w:r>
          <w:rPr>
            <w:noProof/>
          </w:rPr>
          <w:t>1</w:t>
        </w:r>
      </w:fldSimple>
      <w:r>
        <w:t xml:space="preserve">: Summary of </w:t>
      </w:r>
      <w:r w:rsidRPr="00D109A5">
        <w:t>amendments to Part 2 (Access paths)</w:t>
      </w:r>
    </w:p>
    <w:tbl>
      <w:tblPr>
        <w:tblStyle w:val="DefaultTable1"/>
        <w:tblW w:w="14737" w:type="dxa"/>
        <w:tblLook w:val="04A0" w:firstRow="1" w:lastRow="0" w:firstColumn="1" w:lastColumn="0" w:noHBand="0" w:noVBand="1"/>
        <w:tblCaption w:val="Summary of amendments to Part 2 (Access paths)"/>
        <w:tblDescription w:val="Table 1: Summary of amendments to Part 2 (Access paths)"/>
      </w:tblPr>
      <w:tblGrid>
        <w:gridCol w:w="1843"/>
        <w:gridCol w:w="3239"/>
        <w:gridCol w:w="1624"/>
        <w:gridCol w:w="1516"/>
        <w:gridCol w:w="1604"/>
        <w:gridCol w:w="2651"/>
        <w:gridCol w:w="2260"/>
      </w:tblGrid>
      <w:tr w:rsidR="003D7EFD" w:rsidRPr="00D13524" w14:paraId="2B6A3C7E" w14:textId="77777777" w:rsidTr="00CC6750">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2AEF959" w14:textId="77777777" w:rsidR="003D7EFD" w:rsidRPr="00D13524" w:rsidRDefault="003D7EFD" w:rsidP="005C1094">
            <w:pPr>
              <w:suppressAutoHyphens w:val="0"/>
              <w:spacing w:before="0" w:after="0"/>
              <w:rPr>
                <w:rFonts w:ascii="Calibri" w:eastAsia="Aptos" w:hAnsi="Calibri" w:cs="Calibri"/>
                <w:b w:val="0"/>
                <w:color w:val="auto"/>
                <w:kern w:val="2"/>
                <w14:ligatures w14:val="standardContextual"/>
              </w:rPr>
            </w:pPr>
            <w:r>
              <w:rPr>
                <w:rFonts w:ascii="Calibri" w:eastAsia="Aptos" w:hAnsi="Calibri" w:cs="Calibri"/>
                <w:color w:val="auto"/>
                <w:kern w:val="2"/>
                <w14:ligatures w14:val="standardContextual"/>
              </w:rPr>
              <w:t>Transport Standards section</w:t>
            </w:r>
          </w:p>
        </w:tc>
        <w:tc>
          <w:tcPr>
            <w:tcW w:w="3239" w:type="dxa"/>
            <w:vAlign w:val="center"/>
          </w:tcPr>
          <w:p w14:paraId="7DA08E17" w14:textId="77777777" w:rsidR="003D7EFD" w:rsidRPr="00D13524"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E7BD8">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1378027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Applicable conveyances</w:t>
            </w:r>
          </w:p>
        </w:tc>
        <w:tc>
          <w:tcPr>
            <w:tcW w:w="1516" w:type="dxa"/>
            <w:shd w:val="clear" w:color="auto" w:fill="081E3E" w:themeFill="text2"/>
            <w:vAlign w:val="center"/>
          </w:tcPr>
          <w:p w14:paraId="7E04523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Applicable premises</w:t>
            </w:r>
          </w:p>
        </w:tc>
        <w:tc>
          <w:tcPr>
            <w:tcW w:w="1604" w:type="dxa"/>
            <w:shd w:val="clear" w:color="auto" w:fill="081E3E" w:themeFill="text2"/>
            <w:vAlign w:val="center"/>
          </w:tcPr>
          <w:p w14:paraId="06D416C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Applicable infrastructure</w:t>
            </w:r>
          </w:p>
        </w:tc>
        <w:tc>
          <w:tcPr>
            <w:tcW w:w="2651" w:type="dxa"/>
            <w:vAlign w:val="center"/>
          </w:tcPr>
          <w:p w14:paraId="117991E7" w14:textId="77777777" w:rsidR="003D7EFD" w:rsidRPr="00D13524"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E7BD8">
              <w:rPr>
                <w:rFonts w:ascii="Calibri" w:eastAsia="Aptos" w:hAnsi="Calibri" w:cs="Calibri"/>
                <w:color w:val="auto"/>
                <w:kern w:val="2"/>
                <w14:ligatures w14:val="standardContextual"/>
              </w:rPr>
              <w:t>Implementation approach</w:t>
            </w:r>
          </w:p>
        </w:tc>
        <w:tc>
          <w:tcPr>
            <w:tcW w:w="2260" w:type="dxa"/>
            <w:vAlign w:val="center"/>
          </w:tcPr>
          <w:p w14:paraId="7FDF0FB3" w14:textId="77777777" w:rsidR="003D7EFD" w:rsidRPr="00D13524"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E7BD8">
              <w:rPr>
                <w:rFonts w:ascii="Calibri" w:eastAsia="Aptos" w:hAnsi="Calibri" w:cs="Calibri"/>
                <w:color w:val="auto"/>
                <w:kern w:val="2"/>
                <w14:ligatures w14:val="standardContextual"/>
              </w:rPr>
              <w:t>Relevant Guidelines section</w:t>
            </w:r>
          </w:p>
        </w:tc>
      </w:tr>
      <w:tr w:rsidR="003D7EFD" w:rsidRPr="00D13524" w14:paraId="22C973DF" w14:textId="77777777" w:rsidTr="00CC6750">
        <w:trPr>
          <w:cantSplit/>
        </w:trPr>
        <w:tc>
          <w:tcPr>
            <w:cnfStyle w:val="001000000000" w:firstRow="0" w:lastRow="0" w:firstColumn="1" w:lastColumn="0" w:oddVBand="0" w:evenVBand="0" w:oddHBand="0" w:evenHBand="0" w:firstRowFirstColumn="0" w:firstRowLastColumn="0" w:lastRowFirstColumn="0" w:lastRowLastColumn="0"/>
            <w:tcW w:w="1843" w:type="dxa"/>
          </w:tcPr>
          <w:p w14:paraId="259F67FF" w14:textId="77777777" w:rsidR="003D7EFD" w:rsidRPr="00D13524" w:rsidRDefault="003D7EFD" w:rsidP="005C1094">
            <w:pPr>
              <w:suppressAutoHyphens w:val="0"/>
              <w:spacing w:before="0" w:after="0"/>
              <w:rPr>
                <w:rFonts w:ascii="Calibri" w:eastAsia="Aptos" w:hAnsi="Calibri" w:cs="Calibri"/>
                <w:bCs/>
                <w:color w:val="auto"/>
                <w:kern w:val="2"/>
                <w14:ligatures w14:val="standardContextual"/>
              </w:rPr>
            </w:pPr>
            <w:r w:rsidRPr="00D13524">
              <w:rPr>
                <w:rFonts w:ascii="Calibri" w:eastAsia="Aptos" w:hAnsi="Calibri" w:cs="Calibri"/>
                <w:b w:val="0"/>
                <w:bCs/>
                <w:color w:val="auto"/>
                <w:kern w:val="2"/>
                <w14:ligatures w14:val="standardContextual"/>
              </w:rPr>
              <w:t>2.5 Poles and objects etc.</w:t>
            </w:r>
          </w:p>
        </w:tc>
        <w:tc>
          <w:tcPr>
            <w:tcW w:w="3239" w:type="dxa"/>
          </w:tcPr>
          <w:p w14:paraId="6F655A48"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New testing requirements for measuring the luminance contrast of an obstacle against surrounding surfaces.</w:t>
            </w:r>
          </w:p>
        </w:tc>
        <w:tc>
          <w:tcPr>
            <w:tcW w:w="1624" w:type="dxa"/>
          </w:tcPr>
          <w:p w14:paraId="1E456249"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Nil</w:t>
            </w:r>
          </w:p>
        </w:tc>
        <w:tc>
          <w:tcPr>
            <w:tcW w:w="1516" w:type="dxa"/>
          </w:tcPr>
          <w:p w14:paraId="66D8542C"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All (except premises to which the Premises Standards apply)</w:t>
            </w:r>
          </w:p>
        </w:tc>
        <w:tc>
          <w:tcPr>
            <w:tcW w:w="1604" w:type="dxa"/>
          </w:tcPr>
          <w:p w14:paraId="14220B08"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All</w:t>
            </w:r>
          </w:p>
        </w:tc>
        <w:tc>
          <w:tcPr>
            <w:tcW w:w="2651" w:type="dxa"/>
          </w:tcPr>
          <w:p w14:paraId="790DECB9"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 xml:space="preserve">New and substantially refurbished premises and infrastructure </w:t>
            </w:r>
          </w:p>
          <w:p w14:paraId="263F659A"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69298A1A" w14:textId="77777777" w:rsidR="003D7EFD" w:rsidRPr="00D13524"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 xml:space="preserve">Newly installed poles and other structures </w:t>
            </w:r>
          </w:p>
        </w:tc>
        <w:tc>
          <w:tcPr>
            <w:tcW w:w="2260" w:type="dxa"/>
          </w:tcPr>
          <w:p w14:paraId="79A3FA62" w14:textId="77777777" w:rsidR="003D7EFD" w:rsidRPr="0076307D"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lang w:val="en-US"/>
                <w14:ligatures w14:val="standardContextual"/>
              </w:rPr>
            </w:pPr>
            <w:r w:rsidRPr="00D13524">
              <w:rPr>
                <w:rFonts w:ascii="Calibri" w:eastAsia="Aptos" w:hAnsi="Calibri" w:cs="Calibri"/>
                <w:color w:val="auto"/>
                <w:kern w:val="2"/>
                <w14:ligatures w14:val="standardContextual"/>
              </w:rPr>
              <w:t>2.3 Avoidance of hazards on access paths</w:t>
            </w:r>
            <w:r w:rsidRPr="0076307D">
              <w:rPr>
                <w:rFonts w:ascii="Calibri" w:eastAsia="Aptos" w:hAnsi="Calibri" w:cs="Calibri"/>
                <w:color w:val="auto"/>
                <w:kern w:val="2"/>
                <w:lang w:val="en-US"/>
                <w14:ligatures w14:val="standardContextual"/>
              </w:rPr>
              <w:t xml:space="preserve"> </w:t>
            </w:r>
          </w:p>
        </w:tc>
      </w:tr>
      <w:tr w:rsidR="003D7EFD" w:rsidRPr="00D13524" w14:paraId="2EA7A9E5" w14:textId="77777777" w:rsidTr="00CC675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256EE5A4" w14:textId="77777777" w:rsidR="003D7EFD" w:rsidRPr="00D13524" w:rsidRDefault="003D7EFD" w:rsidP="005C1094">
            <w:pPr>
              <w:suppressAutoHyphens w:val="0"/>
              <w:spacing w:before="0" w:after="0"/>
              <w:rPr>
                <w:rFonts w:ascii="Calibri" w:eastAsia="Aptos" w:hAnsi="Calibri" w:cs="Calibri"/>
                <w:bCs/>
                <w:color w:val="auto"/>
                <w:kern w:val="2"/>
                <w14:ligatures w14:val="standardContextual"/>
              </w:rPr>
            </w:pPr>
            <w:r w:rsidRPr="00D13524">
              <w:rPr>
                <w:rFonts w:ascii="Calibri" w:eastAsia="Aptos" w:hAnsi="Calibri" w:cs="Calibri"/>
                <w:b w:val="0"/>
                <w:bCs/>
                <w:color w:val="auto"/>
                <w:kern w:val="2"/>
                <w14:ligatures w14:val="standardContextual"/>
              </w:rPr>
              <w:t>2.6 Access paths – conveyances</w:t>
            </w:r>
          </w:p>
        </w:tc>
        <w:tc>
          <w:tcPr>
            <w:tcW w:w="3239" w:type="dxa"/>
          </w:tcPr>
          <w:p w14:paraId="2A6C7DD3"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New minimum vertical dimensions for access paths in which obstructions must not be present.</w:t>
            </w:r>
          </w:p>
        </w:tc>
        <w:tc>
          <w:tcPr>
            <w:tcW w:w="1624" w:type="dxa"/>
          </w:tcPr>
          <w:p w14:paraId="1F23D8CD"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Buses, ferries, trains, trams, and light rail</w:t>
            </w:r>
          </w:p>
        </w:tc>
        <w:tc>
          <w:tcPr>
            <w:tcW w:w="1516" w:type="dxa"/>
          </w:tcPr>
          <w:p w14:paraId="3D40FF73"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Nil</w:t>
            </w:r>
          </w:p>
        </w:tc>
        <w:tc>
          <w:tcPr>
            <w:tcW w:w="1604" w:type="dxa"/>
          </w:tcPr>
          <w:p w14:paraId="0194A37E"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Nil</w:t>
            </w:r>
          </w:p>
          <w:p w14:paraId="3E50BB8A" w14:textId="77777777" w:rsidR="003D7EFD" w:rsidRPr="00D13524" w:rsidRDefault="003D7EFD" w:rsidP="005C1094">
            <w:pPr>
              <w:spacing w:before="160"/>
              <w:cnfStyle w:val="000000010000" w:firstRow="0" w:lastRow="0" w:firstColumn="0" w:lastColumn="0" w:oddVBand="0" w:evenVBand="0" w:oddHBand="0" w:evenHBand="1" w:firstRowFirstColumn="0" w:firstRowLastColumn="0" w:lastRowFirstColumn="0" w:lastRowLastColumn="0"/>
              <w:rPr>
                <w:rFonts w:ascii="Calibri" w:eastAsia="Aptos" w:hAnsi="Calibri" w:cs="Calibri"/>
              </w:rPr>
            </w:pPr>
          </w:p>
          <w:p w14:paraId="3A3781C3" w14:textId="77777777" w:rsidR="003D7EFD" w:rsidRPr="00D13524" w:rsidRDefault="003D7EFD" w:rsidP="005C1094">
            <w:pPr>
              <w:spacing w:before="16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7E79F8F7" w14:textId="77777777" w:rsidR="003D7EFD" w:rsidRPr="00D13524" w:rsidRDefault="003D7EFD" w:rsidP="005C1094">
            <w:pPr>
              <w:spacing w:before="160"/>
              <w:jc w:val="center"/>
              <w:cnfStyle w:val="000000010000" w:firstRow="0" w:lastRow="0" w:firstColumn="0" w:lastColumn="0" w:oddVBand="0" w:evenVBand="0" w:oddHBand="0" w:evenHBand="1" w:firstRowFirstColumn="0" w:firstRowLastColumn="0" w:lastRowFirstColumn="0" w:lastRowLastColumn="0"/>
              <w:rPr>
                <w:rFonts w:ascii="Calibri" w:eastAsia="Aptos" w:hAnsi="Calibri" w:cs="Calibri"/>
              </w:rPr>
            </w:pPr>
          </w:p>
        </w:tc>
        <w:tc>
          <w:tcPr>
            <w:tcW w:w="2651" w:type="dxa"/>
          </w:tcPr>
          <w:p w14:paraId="285127D9"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 xml:space="preserve">New and substantially refurbished conveyances </w:t>
            </w:r>
          </w:p>
          <w:p w14:paraId="4C727D15"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5F3572E2" w14:textId="77777777" w:rsidR="003D7EFD" w:rsidRPr="00D13524"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Newly installed objects or fixtures</w:t>
            </w:r>
          </w:p>
        </w:tc>
        <w:tc>
          <w:tcPr>
            <w:tcW w:w="2260" w:type="dxa"/>
          </w:tcPr>
          <w:p w14:paraId="2085234B" w14:textId="77777777" w:rsidR="003D7EFD" w:rsidRPr="0076307D"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D13524">
              <w:rPr>
                <w:rFonts w:ascii="Calibri" w:eastAsia="Aptos" w:hAnsi="Calibri" w:cs="Calibri"/>
                <w:color w:val="auto"/>
                <w:kern w:val="2"/>
                <w14:ligatures w14:val="standardContextual"/>
              </w:rPr>
              <w:t>2.6 Access paths on conveyances</w:t>
            </w:r>
          </w:p>
        </w:tc>
      </w:tr>
    </w:tbl>
    <w:p w14:paraId="712D9220" w14:textId="77777777" w:rsidR="003D7EFD" w:rsidRDefault="003D7EFD" w:rsidP="00CC6750">
      <w:pPr>
        <w:pStyle w:val="Tablefigureheading"/>
      </w:pPr>
      <w:r>
        <w:t xml:space="preserve">Table </w:t>
      </w:r>
      <w:fldSimple w:instr=" SEQ Table \* ARABIC ">
        <w:r>
          <w:rPr>
            <w:noProof/>
          </w:rPr>
          <w:t>2</w:t>
        </w:r>
      </w:fldSimple>
      <w:r>
        <w:t xml:space="preserve">: </w:t>
      </w:r>
      <w:r w:rsidRPr="00DF6DC9">
        <w:t>Summary of amendments to Part 3 (Manoeuvring)</w:t>
      </w:r>
    </w:p>
    <w:tbl>
      <w:tblPr>
        <w:tblStyle w:val="DefaultTable1"/>
        <w:tblW w:w="14737" w:type="dxa"/>
        <w:tblLook w:val="04A0" w:firstRow="1" w:lastRow="0" w:firstColumn="1" w:lastColumn="0" w:noHBand="0" w:noVBand="1"/>
        <w:tblCaption w:val="Summary of amendments to Part 3 (Manoeuvring)"/>
        <w:tblDescription w:val="Table 2: Summary of amendments to Part 3 (Manoeuvring)"/>
      </w:tblPr>
      <w:tblGrid>
        <w:gridCol w:w="1843"/>
        <w:gridCol w:w="3239"/>
        <w:gridCol w:w="1624"/>
        <w:gridCol w:w="1516"/>
        <w:gridCol w:w="1604"/>
        <w:gridCol w:w="2651"/>
        <w:gridCol w:w="2260"/>
      </w:tblGrid>
      <w:tr w:rsidR="003D7EFD" w:rsidRPr="00A503DC" w14:paraId="00B9FF17" w14:textId="77777777" w:rsidTr="00CC6750">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C4BD0F4"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039C203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178DD14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36A15F3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67CE881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79479C4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4B43BD1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E8CAE0C" w14:textId="77777777" w:rsidTr="00CC6750">
        <w:trPr>
          <w:cantSplit/>
        </w:trPr>
        <w:tc>
          <w:tcPr>
            <w:cnfStyle w:val="001000000000" w:firstRow="0" w:lastRow="0" w:firstColumn="1" w:lastColumn="0" w:oddVBand="0" w:evenVBand="0" w:oddHBand="0" w:evenHBand="0" w:firstRowFirstColumn="0" w:firstRowLastColumn="0" w:lastRowFirstColumn="0" w:lastRowLastColumn="0"/>
            <w:tcW w:w="1843" w:type="dxa"/>
          </w:tcPr>
          <w:p w14:paraId="7A7BBFC3"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3.2 Obstructions in manoeuvring area – conveyances</w:t>
            </w:r>
          </w:p>
        </w:tc>
        <w:tc>
          <w:tcPr>
            <w:tcW w:w="3239" w:type="dxa"/>
          </w:tcPr>
          <w:p w14:paraId="787894B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minimum vertical dimensions for manoeuvring areas in which obstructions must not be present.</w:t>
            </w:r>
          </w:p>
        </w:tc>
        <w:tc>
          <w:tcPr>
            <w:tcW w:w="1624" w:type="dxa"/>
          </w:tcPr>
          <w:p w14:paraId="44ED7BF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ferries, and accessible rail, tram and light rail cars</w:t>
            </w:r>
          </w:p>
        </w:tc>
        <w:tc>
          <w:tcPr>
            <w:tcW w:w="1516" w:type="dxa"/>
          </w:tcPr>
          <w:p w14:paraId="65B9334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0CF028D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745CA7D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219F98C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02B4000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objects or fixtures</w:t>
            </w:r>
          </w:p>
        </w:tc>
        <w:tc>
          <w:tcPr>
            <w:tcW w:w="2260" w:type="dxa"/>
          </w:tcPr>
          <w:p w14:paraId="4E72C7B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 General</w:t>
            </w:r>
            <w:r w:rsidRPr="00A503DC">
              <w:rPr>
                <w:rFonts w:ascii="Calibri" w:eastAsia="Aptos" w:hAnsi="Calibri" w:cs="Calibri"/>
                <w:color w:val="auto"/>
                <w:kern w:val="2"/>
                <w14:ligatures w14:val="standardContextual"/>
              </w:rPr>
              <w:br/>
            </w:r>
          </w:p>
          <w:p w14:paraId="2463AA65"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3.2 Obstructions in manoeuvring areas on conveyances</w:t>
            </w:r>
          </w:p>
        </w:tc>
      </w:tr>
      <w:tr w:rsidR="003D7EFD" w:rsidRPr="00A503DC" w14:paraId="3D8D3BDC" w14:textId="77777777" w:rsidTr="00CC6750">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5FDD588"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3.4 Co-location of manoeuvring areas with access paths and allocated spaces - conveyances</w:t>
            </w:r>
          </w:p>
        </w:tc>
        <w:tc>
          <w:tcPr>
            <w:tcW w:w="3239" w:type="dxa"/>
          </w:tcPr>
          <w:p w14:paraId="45F58DB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manoeuvring areas to be co-located with access paths and allocated spaces.</w:t>
            </w:r>
          </w:p>
        </w:tc>
        <w:tc>
          <w:tcPr>
            <w:tcW w:w="1624" w:type="dxa"/>
          </w:tcPr>
          <w:p w14:paraId="784A47A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ferries, and accessible rail, tram and light rail cars</w:t>
            </w:r>
          </w:p>
        </w:tc>
        <w:tc>
          <w:tcPr>
            <w:tcW w:w="1516" w:type="dxa"/>
          </w:tcPr>
          <w:p w14:paraId="54AB7E8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5222B99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1935E16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tc>
        <w:tc>
          <w:tcPr>
            <w:tcW w:w="2260" w:type="dxa"/>
          </w:tcPr>
          <w:p w14:paraId="4315955F"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 General</w:t>
            </w:r>
            <w:r w:rsidRPr="00A503DC">
              <w:rPr>
                <w:rFonts w:ascii="Calibri" w:eastAsia="Aptos" w:hAnsi="Calibri" w:cs="Calibri"/>
                <w:color w:val="auto"/>
                <w:kern w:val="2"/>
                <w14:ligatures w14:val="standardContextual"/>
              </w:rPr>
              <w:br/>
            </w:r>
          </w:p>
          <w:p w14:paraId="2E102CA3"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3.3 Co-location of manoeuvring areas with access paths and allocated spaces</w:t>
            </w:r>
          </w:p>
        </w:tc>
      </w:tr>
    </w:tbl>
    <w:p w14:paraId="6E3E4E2C" w14:textId="77777777" w:rsidR="003D7EFD" w:rsidRDefault="003D7EFD" w:rsidP="002E5654">
      <w:pPr>
        <w:pStyle w:val="Tablefigureheading"/>
      </w:pPr>
      <w:r>
        <w:lastRenderedPageBreak/>
        <w:t xml:space="preserve">Table </w:t>
      </w:r>
      <w:fldSimple w:instr=" SEQ Table \* ARABIC ">
        <w:r>
          <w:rPr>
            <w:noProof/>
          </w:rPr>
          <w:t>3</w:t>
        </w:r>
      </w:fldSimple>
      <w:r>
        <w:t xml:space="preserve">: </w:t>
      </w:r>
      <w:r w:rsidRPr="009B1546">
        <w:t>Summary of amendments to Part 5 (Resting points)</w:t>
      </w:r>
    </w:p>
    <w:tbl>
      <w:tblPr>
        <w:tblStyle w:val="DefaultTable1"/>
        <w:tblW w:w="14737" w:type="dxa"/>
        <w:tblLook w:val="04A0" w:firstRow="1" w:lastRow="0" w:firstColumn="1" w:lastColumn="0" w:noHBand="0" w:noVBand="1"/>
        <w:tblCaption w:val="Summary of amendments to Part 5 (Resting points)"/>
        <w:tblDescription w:val="Table 3: Summary of amendments to Part 5 (Resting points)"/>
      </w:tblPr>
      <w:tblGrid>
        <w:gridCol w:w="1843"/>
        <w:gridCol w:w="3239"/>
        <w:gridCol w:w="1624"/>
        <w:gridCol w:w="1516"/>
        <w:gridCol w:w="1604"/>
        <w:gridCol w:w="2651"/>
        <w:gridCol w:w="2260"/>
      </w:tblGrid>
      <w:tr w:rsidR="003D7EFD" w:rsidRPr="00A503DC" w14:paraId="603D2F1E" w14:textId="77777777" w:rsidTr="00CC6750">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749D35C"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163E677C"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314CB9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7FD2A3D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4EE4361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23FADE4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6A2D204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35B740B3" w14:textId="77777777" w:rsidTr="00CC6750">
        <w:trPr>
          <w:cantSplit/>
        </w:trPr>
        <w:tc>
          <w:tcPr>
            <w:cnfStyle w:val="001000000000" w:firstRow="0" w:lastRow="0" w:firstColumn="1" w:lastColumn="0" w:oddVBand="0" w:evenVBand="0" w:oddHBand="0" w:evenHBand="0" w:firstRowFirstColumn="0" w:firstRowLastColumn="0" w:lastRowFirstColumn="0" w:lastRowLastColumn="0"/>
            <w:tcW w:w="1843" w:type="dxa"/>
          </w:tcPr>
          <w:p w14:paraId="2645897C"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5.1 When resting points must be provided</w:t>
            </w:r>
          </w:p>
        </w:tc>
        <w:tc>
          <w:tcPr>
            <w:tcW w:w="3239" w:type="dxa"/>
          </w:tcPr>
          <w:p w14:paraId="54B82FF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 to provide a flat and stable space beside a resting point.</w:t>
            </w:r>
          </w:p>
        </w:tc>
        <w:tc>
          <w:tcPr>
            <w:tcW w:w="1624" w:type="dxa"/>
          </w:tcPr>
          <w:p w14:paraId="3915E3D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17D35EC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22E84C7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44CB40D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resting points</w:t>
            </w:r>
          </w:p>
          <w:p w14:paraId="44831B0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74B0816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resting points – 5-year set timeframe</w:t>
            </w:r>
          </w:p>
        </w:tc>
        <w:tc>
          <w:tcPr>
            <w:tcW w:w="2260" w:type="dxa"/>
          </w:tcPr>
          <w:p w14:paraId="32605C0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5.1 Resting points on access paths</w:t>
            </w:r>
          </w:p>
        </w:tc>
      </w:tr>
    </w:tbl>
    <w:p w14:paraId="5239E9CB" w14:textId="77777777" w:rsidR="003D7EFD" w:rsidRDefault="003D7EFD" w:rsidP="002E5654">
      <w:pPr>
        <w:pStyle w:val="Tablefigureheading"/>
      </w:pPr>
      <w:r>
        <w:t xml:space="preserve">Table </w:t>
      </w:r>
      <w:fldSimple w:instr=" SEQ Table \* ARABIC ">
        <w:r>
          <w:rPr>
            <w:noProof/>
          </w:rPr>
          <w:t>4</w:t>
        </w:r>
      </w:fldSimple>
      <w:r>
        <w:t xml:space="preserve">: </w:t>
      </w:r>
      <w:r w:rsidRPr="00E62392">
        <w:t>Summary of amendments to Part 6 (Ramps)</w:t>
      </w:r>
    </w:p>
    <w:tbl>
      <w:tblPr>
        <w:tblStyle w:val="DefaultTable1"/>
        <w:tblW w:w="14737" w:type="dxa"/>
        <w:tblLook w:val="04A0" w:firstRow="1" w:lastRow="0" w:firstColumn="1" w:lastColumn="0" w:noHBand="0" w:noVBand="1"/>
        <w:tblCaption w:val="Summary of amendments to Part 6 (Ramps)"/>
        <w:tblDescription w:val="Summary of amendments to Part 6 (Ramps)"/>
      </w:tblPr>
      <w:tblGrid>
        <w:gridCol w:w="1843"/>
        <w:gridCol w:w="3239"/>
        <w:gridCol w:w="1624"/>
        <w:gridCol w:w="1516"/>
        <w:gridCol w:w="1604"/>
        <w:gridCol w:w="2651"/>
        <w:gridCol w:w="2260"/>
      </w:tblGrid>
      <w:tr w:rsidR="003D7EFD" w:rsidRPr="00A503DC" w14:paraId="58A13E54"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12CAF7A0"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0F8A77A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4E1D739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5AE983C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4B728F5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4F2C399"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70466BC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51DF7BD8"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3CE10DBC"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6.5 Slope of fixed gangways connected to pontoon wharves</w:t>
            </w:r>
          </w:p>
        </w:tc>
        <w:tc>
          <w:tcPr>
            <w:tcW w:w="3239" w:type="dxa"/>
          </w:tcPr>
          <w:p w14:paraId="20D8AA6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Clarifications to requirements to reflect variable tidal environments and new requirements for the gradient of fixed gangways.</w:t>
            </w:r>
          </w:p>
        </w:tc>
        <w:tc>
          <w:tcPr>
            <w:tcW w:w="1624" w:type="dxa"/>
          </w:tcPr>
          <w:p w14:paraId="330D373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1D0BE2A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6C02871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Pontoon wharves</w:t>
            </w:r>
          </w:p>
        </w:tc>
        <w:tc>
          <w:tcPr>
            <w:tcW w:w="2651" w:type="dxa"/>
          </w:tcPr>
          <w:p w14:paraId="3806661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fixed gangways</w:t>
            </w:r>
          </w:p>
        </w:tc>
        <w:tc>
          <w:tcPr>
            <w:tcW w:w="2260" w:type="dxa"/>
          </w:tcPr>
          <w:p w14:paraId="68863778"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6.2 Minimisation of fixed gangway gradients</w:t>
            </w:r>
            <w:r w:rsidRPr="00A503DC">
              <w:rPr>
                <w:rFonts w:ascii="Calibri" w:eastAsia="Aptos" w:hAnsi="Calibri" w:cs="Calibri"/>
                <w:color w:val="auto"/>
                <w:kern w:val="2"/>
                <w14:ligatures w14:val="standardContextual"/>
              </w:rPr>
              <w:br/>
            </w:r>
          </w:p>
          <w:p w14:paraId="000AF7A0"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6.3 Maintaining accessibility of gangways affected by extreme tidal regimes</w:t>
            </w:r>
            <w:r w:rsidRPr="00A503DC">
              <w:rPr>
                <w:rFonts w:ascii="Calibri" w:eastAsia="Aptos" w:hAnsi="Calibri" w:cs="Calibri"/>
                <w:color w:val="auto"/>
                <w:kern w:val="2"/>
                <w14:ligatures w14:val="standardContextual"/>
              </w:rPr>
              <w:br/>
            </w:r>
          </w:p>
          <w:p w14:paraId="3FCA605C"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6.4 Nationally consistent chart datum and tide tables</w:t>
            </w:r>
          </w:p>
        </w:tc>
      </w:tr>
    </w:tbl>
    <w:p w14:paraId="059EED75" w14:textId="77777777" w:rsidR="003D7EFD" w:rsidRDefault="003D7EFD" w:rsidP="002E5654">
      <w:pPr>
        <w:pStyle w:val="Tablefigureheading"/>
      </w:pPr>
      <w:r>
        <w:lastRenderedPageBreak/>
        <w:t xml:space="preserve">Table </w:t>
      </w:r>
      <w:fldSimple w:instr=" SEQ Table \* ARABIC ">
        <w:r>
          <w:rPr>
            <w:noProof/>
          </w:rPr>
          <w:t>5</w:t>
        </w:r>
      </w:fldSimple>
      <w:r>
        <w:t xml:space="preserve">: </w:t>
      </w:r>
      <w:r w:rsidRPr="0057056C">
        <w:t>Summary of amendments to Part 7 (Waiting areas)</w:t>
      </w:r>
    </w:p>
    <w:tbl>
      <w:tblPr>
        <w:tblStyle w:val="DefaultTable1"/>
        <w:tblW w:w="14737" w:type="dxa"/>
        <w:tblLook w:val="04A0" w:firstRow="1" w:lastRow="0" w:firstColumn="1" w:lastColumn="0" w:noHBand="0" w:noVBand="1"/>
        <w:tblCaption w:val="Summary of amendments to Part 7 (Waiting areas)"/>
        <w:tblDescription w:val="Summary of amendments to Part 7 (Waiting areas)"/>
      </w:tblPr>
      <w:tblGrid>
        <w:gridCol w:w="1843"/>
        <w:gridCol w:w="3239"/>
        <w:gridCol w:w="1624"/>
        <w:gridCol w:w="1516"/>
        <w:gridCol w:w="1604"/>
        <w:gridCol w:w="2651"/>
        <w:gridCol w:w="2260"/>
      </w:tblGrid>
      <w:tr w:rsidR="003D7EFD" w:rsidRPr="00A503DC" w14:paraId="47E1AEC7" w14:textId="77777777" w:rsidTr="002E565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D0848C4"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01DC67F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F8C28C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3F04EB7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3AC9A279"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646AD3EC"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7150E803"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5C0A3D92"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7FAF38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7.1 Minimum number of priority seats and allocated spaces</w:t>
            </w:r>
          </w:p>
        </w:tc>
        <w:tc>
          <w:tcPr>
            <w:tcW w:w="3239" w:type="dxa"/>
          </w:tcPr>
          <w:p w14:paraId="315CE60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to determine minimum number of allocated spaces and priority seats to be provided in waiting areas.</w:t>
            </w:r>
          </w:p>
        </w:tc>
        <w:tc>
          <w:tcPr>
            <w:tcW w:w="1624" w:type="dxa"/>
          </w:tcPr>
          <w:p w14:paraId="53F12A3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65ECE54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4C25C81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078E8C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seating and allocated spaces in premises and infrastructure</w:t>
            </w:r>
          </w:p>
          <w:p w14:paraId="1986E16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6681EE5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seating and allocated spaces in – 5-year set timeframe</w:t>
            </w:r>
          </w:p>
        </w:tc>
        <w:tc>
          <w:tcPr>
            <w:tcW w:w="2260" w:type="dxa"/>
          </w:tcPr>
          <w:p w14:paraId="21A1ECE8"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7.1 General principle</w:t>
            </w:r>
          </w:p>
        </w:tc>
      </w:tr>
    </w:tbl>
    <w:p w14:paraId="0FE8FA36" w14:textId="77777777" w:rsidR="003D7EFD" w:rsidRDefault="003D7EFD" w:rsidP="002E5654">
      <w:pPr>
        <w:pStyle w:val="Tablefigureheading"/>
      </w:pPr>
      <w:r>
        <w:t xml:space="preserve">Table </w:t>
      </w:r>
      <w:fldSimple w:instr=" SEQ Table \* ARABIC ">
        <w:r>
          <w:rPr>
            <w:noProof/>
          </w:rPr>
          <w:t>6</w:t>
        </w:r>
      </w:fldSimple>
      <w:r>
        <w:t xml:space="preserve">: </w:t>
      </w:r>
      <w:r w:rsidRPr="00831021">
        <w:t>Summary of amendments to Part 8 (Boarding)</w:t>
      </w:r>
    </w:p>
    <w:tbl>
      <w:tblPr>
        <w:tblStyle w:val="DefaultTable1"/>
        <w:tblW w:w="14737" w:type="dxa"/>
        <w:tblLook w:val="04A0" w:firstRow="1" w:lastRow="0" w:firstColumn="1" w:lastColumn="0" w:noHBand="0" w:noVBand="1"/>
        <w:tblCaption w:val="Summary of amendments to Part 8 (Boarding)"/>
        <w:tblDescription w:val="Summary of amendments to Part 8 (Boarding)"/>
      </w:tblPr>
      <w:tblGrid>
        <w:gridCol w:w="1843"/>
        <w:gridCol w:w="3239"/>
        <w:gridCol w:w="1624"/>
        <w:gridCol w:w="1516"/>
        <w:gridCol w:w="1604"/>
        <w:gridCol w:w="2651"/>
        <w:gridCol w:w="2260"/>
      </w:tblGrid>
      <w:tr w:rsidR="003D7EFD" w:rsidRPr="00A503DC" w14:paraId="0C8AAFAA" w14:textId="77777777" w:rsidTr="002E565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7D399DE"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0BC2D8F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4D09D37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0D037439"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588E745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6C11177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66BD705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21E9946D"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F81D73D"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8.1A Nominated assistance boarding points - trains</w:t>
            </w:r>
          </w:p>
        </w:tc>
        <w:tc>
          <w:tcPr>
            <w:tcW w:w="3239" w:type="dxa"/>
          </w:tcPr>
          <w:p w14:paraId="732B07C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to ensure independent boarding is provided at all accessible train doors, or instances where this is not possible, direct assistance is available.</w:t>
            </w:r>
          </w:p>
        </w:tc>
        <w:tc>
          <w:tcPr>
            <w:tcW w:w="1624" w:type="dxa"/>
          </w:tcPr>
          <w:p w14:paraId="54D5C46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Trains</w:t>
            </w:r>
          </w:p>
        </w:tc>
        <w:tc>
          <w:tcPr>
            <w:tcW w:w="1516" w:type="dxa"/>
          </w:tcPr>
          <w:p w14:paraId="27DD0B0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Train stations</w:t>
            </w:r>
          </w:p>
        </w:tc>
        <w:tc>
          <w:tcPr>
            <w:tcW w:w="1604" w:type="dxa"/>
          </w:tcPr>
          <w:p w14:paraId="65FCA9F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Train platforms</w:t>
            </w:r>
          </w:p>
        </w:tc>
        <w:tc>
          <w:tcPr>
            <w:tcW w:w="2651" w:type="dxa"/>
          </w:tcPr>
          <w:p w14:paraId="291138D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 premises and infrastructure</w:t>
            </w:r>
          </w:p>
          <w:p w14:paraId="14BDFD8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57B3D5B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boarding points</w:t>
            </w:r>
          </w:p>
        </w:tc>
        <w:tc>
          <w:tcPr>
            <w:tcW w:w="2260" w:type="dxa"/>
          </w:tcPr>
          <w:p w14:paraId="291ADE1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8.2 Independent access</w:t>
            </w:r>
            <w:r w:rsidRPr="00A503DC">
              <w:rPr>
                <w:rFonts w:ascii="Calibri" w:eastAsia="Aptos" w:hAnsi="Calibri" w:cs="Calibri"/>
                <w:color w:val="auto"/>
                <w:kern w:val="2"/>
                <w14:ligatures w14:val="standardContextual"/>
              </w:rPr>
              <w:br/>
            </w:r>
          </w:p>
          <w:p w14:paraId="06C707ED"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8.3 Nominated assistance boarding points</w:t>
            </w:r>
            <w:r w:rsidRPr="00A503DC">
              <w:rPr>
                <w:rFonts w:ascii="Calibri" w:eastAsia="Aptos" w:hAnsi="Calibri" w:cs="Calibri"/>
                <w:color w:val="auto"/>
                <w:kern w:val="2"/>
                <w14:ligatures w14:val="standardContextual"/>
              </w:rPr>
              <w:br/>
            </w:r>
          </w:p>
          <w:p w14:paraId="1C87D455"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8.5 Train and ferry boarding points</w:t>
            </w:r>
          </w:p>
        </w:tc>
      </w:tr>
      <w:tr w:rsidR="003D7EFD" w:rsidRPr="00A503DC" w14:paraId="431B727A"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8EFE16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8.1B Boarding points – buses, trams and light rail</w:t>
            </w:r>
          </w:p>
        </w:tc>
        <w:tc>
          <w:tcPr>
            <w:tcW w:w="3239" w:type="dxa"/>
          </w:tcPr>
          <w:p w14:paraId="45A6208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design requirements for bus, tram and light rail boarding points.</w:t>
            </w:r>
          </w:p>
        </w:tc>
        <w:tc>
          <w:tcPr>
            <w:tcW w:w="1624" w:type="dxa"/>
          </w:tcPr>
          <w:p w14:paraId="113AB02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1384FBE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6FC15D3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 tram and light rail boarding points</w:t>
            </w:r>
          </w:p>
        </w:tc>
        <w:tc>
          <w:tcPr>
            <w:tcW w:w="2651" w:type="dxa"/>
          </w:tcPr>
          <w:p w14:paraId="6821973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additional or replacement boarding points</w:t>
            </w:r>
          </w:p>
        </w:tc>
        <w:tc>
          <w:tcPr>
            <w:tcW w:w="2260" w:type="dxa"/>
          </w:tcPr>
          <w:p w14:paraId="6BB3E908"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8.4 Bus, tram and light rail boarding points</w:t>
            </w:r>
            <w:r w:rsidRPr="00A503DC">
              <w:rPr>
                <w:rFonts w:ascii="Calibri" w:eastAsia="Aptos" w:hAnsi="Calibri" w:cs="Calibri"/>
                <w:color w:val="auto"/>
                <w:kern w:val="2"/>
                <w14:ligatures w14:val="standardContextual"/>
              </w:rPr>
              <w:br/>
            </w:r>
          </w:p>
          <w:p w14:paraId="6FFFCAFE"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8.6 Hail-and-ride boarding points</w:t>
            </w:r>
          </w:p>
        </w:tc>
      </w:tr>
      <w:tr w:rsidR="003D7EFD" w:rsidRPr="00A503DC" w14:paraId="16A7A9D7"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0F03841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w:t>
            </w:r>
            <w:r w:rsidRPr="00A503DC">
              <w:rPr>
                <w:rFonts w:ascii="Calibri" w:eastAsia="Aptos" w:hAnsi="Calibri" w:cs="Calibri"/>
                <w:b w:val="0"/>
                <w:color w:val="auto"/>
                <w:kern w:val="2"/>
                <w14:ligatures w14:val="standardContextual"/>
              </w:rPr>
              <w:t xml:space="preserve">1C </w:t>
            </w:r>
            <w:r w:rsidRPr="00A503DC">
              <w:rPr>
                <w:rFonts w:ascii="Calibri" w:eastAsia="Aptos" w:hAnsi="Calibri" w:cs="Calibri"/>
                <w:b w:val="0"/>
                <w:bCs/>
                <w:color w:val="auto"/>
                <w:kern w:val="2"/>
                <w14:ligatures w14:val="standardContextual"/>
              </w:rPr>
              <w:t>Identification of accessible car on conveyances</w:t>
            </w:r>
          </w:p>
        </w:tc>
        <w:tc>
          <w:tcPr>
            <w:tcW w:w="3239" w:type="dxa"/>
          </w:tcPr>
          <w:p w14:paraId="14EE608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identification of cars on trains that contain certain accessibility features.</w:t>
            </w:r>
          </w:p>
        </w:tc>
        <w:tc>
          <w:tcPr>
            <w:tcW w:w="1624" w:type="dxa"/>
          </w:tcPr>
          <w:p w14:paraId="17FA31E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Trains</w:t>
            </w:r>
          </w:p>
        </w:tc>
        <w:tc>
          <w:tcPr>
            <w:tcW w:w="1516" w:type="dxa"/>
          </w:tcPr>
          <w:p w14:paraId="74582A8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5635F5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004C992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tc>
        <w:tc>
          <w:tcPr>
            <w:tcW w:w="2260" w:type="dxa"/>
          </w:tcPr>
          <w:p w14:paraId="159BD784"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6F8A573B"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392B588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8.6A Boarding ramps</w:t>
            </w:r>
          </w:p>
        </w:tc>
        <w:tc>
          <w:tcPr>
            <w:tcW w:w="3239" w:type="dxa"/>
          </w:tcPr>
          <w:p w14:paraId="4EEF302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boarding ramps that are not fixed to conveyances to have edge barriers.</w:t>
            </w:r>
          </w:p>
        </w:tc>
        <w:tc>
          <w:tcPr>
            <w:tcW w:w="1624" w:type="dxa"/>
          </w:tcPr>
          <w:p w14:paraId="491610D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dedicated school buses and small aircraft)</w:t>
            </w:r>
          </w:p>
        </w:tc>
        <w:tc>
          <w:tcPr>
            <w:tcW w:w="1516" w:type="dxa"/>
          </w:tcPr>
          <w:p w14:paraId="6E900FE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27BF9D1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7CFA326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additional or replacement boarding ramps</w:t>
            </w:r>
          </w:p>
        </w:tc>
        <w:tc>
          <w:tcPr>
            <w:tcW w:w="2260" w:type="dxa"/>
          </w:tcPr>
          <w:p w14:paraId="256D6CD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8.7 Ramp edge barriers</w:t>
            </w:r>
            <w:r w:rsidRPr="00A503DC">
              <w:rPr>
                <w:rFonts w:ascii="Calibri" w:eastAsia="Aptos" w:hAnsi="Calibri" w:cs="Calibri"/>
                <w:color w:val="auto"/>
                <w:kern w:val="2"/>
                <w14:ligatures w14:val="standardContextual"/>
              </w:rPr>
              <w:br/>
            </w:r>
          </w:p>
          <w:p w14:paraId="71F56E03"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8.8 Removable gangway maintenance</w:t>
            </w:r>
          </w:p>
        </w:tc>
      </w:tr>
      <w:tr w:rsidR="003D7EFD" w:rsidRPr="00A503DC" w14:paraId="2EC10951"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2941733D"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8.6C – 8.6H (requirements for removable gangways)</w:t>
            </w:r>
          </w:p>
        </w:tc>
        <w:tc>
          <w:tcPr>
            <w:tcW w:w="3239" w:type="dxa"/>
          </w:tcPr>
          <w:p w14:paraId="4EEEA7E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 range of new requirements to ensure removable gangways are safe and accessible, including specifications for length and security, handrails, side and edge barriers, gradient, surfaces, and strength testing.</w:t>
            </w:r>
          </w:p>
        </w:tc>
        <w:tc>
          <w:tcPr>
            <w:tcW w:w="1624" w:type="dxa"/>
          </w:tcPr>
          <w:p w14:paraId="34AD14D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Ferries</w:t>
            </w:r>
          </w:p>
        </w:tc>
        <w:tc>
          <w:tcPr>
            <w:tcW w:w="1516" w:type="dxa"/>
          </w:tcPr>
          <w:p w14:paraId="6F05BC4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A1585E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36BFB88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additional or replacement removable gangways</w:t>
            </w:r>
          </w:p>
        </w:tc>
        <w:tc>
          <w:tcPr>
            <w:tcW w:w="2260" w:type="dxa"/>
          </w:tcPr>
          <w:p w14:paraId="7416EE4E"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8.8 Removable gangway maintenance</w:t>
            </w:r>
          </w:p>
        </w:tc>
      </w:tr>
      <w:tr w:rsidR="003D7EFD" w:rsidRPr="00A503DC" w14:paraId="4D36DCFB"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3E8F405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8.7 Requesting use of boarding device to alight</w:t>
            </w:r>
          </w:p>
        </w:tc>
        <w:tc>
          <w:tcPr>
            <w:tcW w:w="3239" w:type="dxa"/>
          </w:tcPr>
          <w:p w14:paraId="18A33FB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to assist in requesting the use of a boarding device, including the operation of switches and buttons, and links to hearing augmentation systems.</w:t>
            </w:r>
          </w:p>
        </w:tc>
        <w:tc>
          <w:tcPr>
            <w:tcW w:w="1624" w:type="dxa"/>
          </w:tcPr>
          <w:p w14:paraId="49D1071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coaches, ferries, trains, trams, and light rail.</w:t>
            </w:r>
          </w:p>
        </w:tc>
        <w:tc>
          <w:tcPr>
            <w:tcW w:w="1516" w:type="dxa"/>
          </w:tcPr>
          <w:p w14:paraId="730A81A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51CE49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707B727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w:t>
            </w:r>
            <w:r w:rsidRPr="00A503DC" w:rsidDel="007552B0">
              <w:rPr>
                <w:rFonts w:ascii="Calibri" w:eastAsia="Aptos" w:hAnsi="Calibri" w:cs="Calibri"/>
                <w:color w:val="auto"/>
                <w:kern w:val="2"/>
                <w14:ligatures w14:val="standardContextual"/>
              </w:rPr>
              <w:t xml:space="preserve"> </w:t>
            </w:r>
            <w:r w:rsidRPr="00A503DC">
              <w:rPr>
                <w:rFonts w:ascii="Calibri" w:eastAsia="Aptos" w:hAnsi="Calibri" w:cs="Calibri"/>
                <w:color w:val="auto"/>
                <w:kern w:val="2"/>
                <w14:ligatures w14:val="standardContextual"/>
              </w:rPr>
              <w:t>conveyances</w:t>
            </w:r>
          </w:p>
          <w:p w14:paraId="4AE31CD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05D552D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devices installed in conveyances</w:t>
            </w:r>
          </w:p>
        </w:tc>
        <w:tc>
          <w:tcPr>
            <w:tcW w:w="2260" w:type="dxa"/>
          </w:tcPr>
          <w:p w14:paraId="63D71469"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4AB2CF71"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4CC8650C" w14:textId="77777777" w:rsidR="003D7EFD" w:rsidRPr="00A503DC" w:rsidRDefault="003D7EFD" w:rsidP="005C1094">
            <w:pPr>
              <w:suppressAutoHyphens w:val="0"/>
              <w:spacing w:before="0" w:after="0"/>
              <w:rPr>
                <w:rFonts w:ascii="Calibri" w:eastAsia="Aptos" w:hAnsi="Calibri" w:cs="Calibri"/>
                <w:color w:val="auto"/>
                <w:kern w:val="2"/>
                <w14:ligatures w14:val="standardContextual"/>
              </w:rPr>
            </w:pPr>
            <w:r w:rsidRPr="00A503DC">
              <w:rPr>
                <w:rFonts w:ascii="Calibri" w:eastAsia="Aptos" w:hAnsi="Calibri" w:cs="Calibri"/>
                <w:b w:val="0"/>
                <w:bCs/>
                <w:color w:val="auto"/>
                <w:kern w:val="2"/>
                <w14:ligatures w14:val="standardContextual"/>
              </w:rPr>
              <w:t>8.8 Requesting use of</w:t>
            </w:r>
            <w:r w:rsidRPr="00A503DC">
              <w:rPr>
                <w:rFonts w:ascii="Calibri" w:eastAsia="Aptos" w:hAnsi="Calibri" w:cs="Calibri"/>
                <w:b w:val="0"/>
                <w:color w:val="auto"/>
                <w:kern w:val="2"/>
                <w14:ligatures w14:val="standardContextual"/>
              </w:rPr>
              <w:t xml:space="preserve"> boarding device to board</w:t>
            </w:r>
          </w:p>
        </w:tc>
        <w:tc>
          <w:tcPr>
            <w:tcW w:w="3239" w:type="dxa"/>
          </w:tcPr>
          <w:p w14:paraId="3ED94B5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t>New requirements regarding the location of devices to signal the needs for a boarding device to board a conveyance.</w:t>
            </w:r>
          </w:p>
        </w:tc>
        <w:tc>
          <w:tcPr>
            <w:tcW w:w="1624" w:type="dxa"/>
          </w:tcPr>
          <w:p w14:paraId="312CE5A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2272503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167B479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1275180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3127D80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609663D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Newly installed devices </w:t>
            </w:r>
          </w:p>
        </w:tc>
        <w:tc>
          <w:tcPr>
            <w:tcW w:w="2260" w:type="dxa"/>
          </w:tcPr>
          <w:p w14:paraId="048057BE"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8.9 Notification by passenger of need for boarding device</w:t>
            </w:r>
          </w:p>
        </w:tc>
      </w:tr>
      <w:tr w:rsidR="003D7EFD" w:rsidRPr="00A503DC" w14:paraId="6603B389"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48CCFD77"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8.9 Identification of lead stops</w:t>
            </w:r>
          </w:p>
        </w:tc>
        <w:tc>
          <w:tcPr>
            <w:tcW w:w="3239" w:type="dxa"/>
          </w:tcPr>
          <w:p w14:paraId="7B2488C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lead stops at bus zones and interchanges to be clearly identified. </w:t>
            </w:r>
          </w:p>
        </w:tc>
        <w:tc>
          <w:tcPr>
            <w:tcW w:w="1624" w:type="dxa"/>
          </w:tcPr>
          <w:p w14:paraId="43A0569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7926DB7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 stations</w:t>
            </w:r>
          </w:p>
        </w:tc>
        <w:tc>
          <w:tcPr>
            <w:tcW w:w="1604" w:type="dxa"/>
          </w:tcPr>
          <w:p w14:paraId="62BE1A5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 zones and bus interchanges</w:t>
            </w:r>
          </w:p>
        </w:tc>
        <w:tc>
          <w:tcPr>
            <w:tcW w:w="2651" w:type="dxa"/>
          </w:tcPr>
          <w:p w14:paraId="3204E80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lead stops</w:t>
            </w:r>
          </w:p>
          <w:p w14:paraId="014704E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1C93E50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lead stops – 5-year set timeframe</w:t>
            </w:r>
          </w:p>
        </w:tc>
        <w:tc>
          <w:tcPr>
            <w:tcW w:w="2260" w:type="dxa"/>
          </w:tcPr>
          <w:p w14:paraId="70C58EC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8.10 Identification of lead stops</w:t>
            </w:r>
          </w:p>
        </w:tc>
      </w:tr>
      <w:tr w:rsidR="003D7EFD" w:rsidRPr="00A503DC" w14:paraId="52196F75"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70B7067"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8.10 - 8.12 (requirements for passenger loading zones and taxi ranks)</w:t>
            </w:r>
          </w:p>
        </w:tc>
        <w:tc>
          <w:tcPr>
            <w:tcW w:w="3239" w:type="dxa"/>
          </w:tcPr>
          <w:p w14:paraId="4CE3ECE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 range of new requirements for the minimum number and design of accessible vehicle spaces in passenger loading zones and taxi ranks within, or associated with, public transport premises or infrastructure, and taxi ranks on public streets.</w:t>
            </w:r>
          </w:p>
        </w:tc>
        <w:tc>
          <w:tcPr>
            <w:tcW w:w="1624" w:type="dxa"/>
          </w:tcPr>
          <w:p w14:paraId="5F03DFF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32B4BBB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A92F86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53518BB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passenger loading zones and taxi ranks</w:t>
            </w:r>
          </w:p>
          <w:p w14:paraId="7A690F8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2B86263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passenger loading zones and taxi ranks – 10-year set timeframe</w:t>
            </w:r>
          </w:p>
        </w:tc>
        <w:tc>
          <w:tcPr>
            <w:tcW w:w="2260" w:type="dxa"/>
          </w:tcPr>
          <w:p w14:paraId="5474898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7.1 General principles</w:t>
            </w:r>
          </w:p>
          <w:p w14:paraId="15CC1A4B"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br/>
              <w:t>8.11 Taxi ranks and passenger loading zones</w:t>
            </w:r>
          </w:p>
        </w:tc>
      </w:tr>
      <w:tr w:rsidR="003D7EFD" w:rsidRPr="00A503DC" w14:paraId="7CD43636"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34D5CEE5"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8.13 Public parking areas within premises and infrastructure</w:t>
            </w:r>
          </w:p>
        </w:tc>
        <w:tc>
          <w:tcPr>
            <w:tcW w:w="3239" w:type="dxa"/>
          </w:tcPr>
          <w:p w14:paraId="096EF68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the design and number of accessible parking spaces that must be provided. </w:t>
            </w:r>
          </w:p>
        </w:tc>
        <w:tc>
          <w:tcPr>
            <w:tcW w:w="1624" w:type="dxa"/>
          </w:tcPr>
          <w:p w14:paraId="00F4F3B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50355B7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2A02A45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4268A20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public parking areas</w:t>
            </w:r>
            <w:r w:rsidRPr="00A503DC">
              <w:rPr>
                <w:rFonts w:ascii="Calibri" w:eastAsia="Aptos" w:hAnsi="Calibri" w:cs="Calibri"/>
                <w:color w:val="auto"/>
                <w:kern w:val="2"/>
                <w14:ligatures w14:val="standardContextual"/>
              </w:rPr>
              <w:br/>
            </w:r>
          </w:p>
          <w:p w14:paraId="431CFEB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public parking areas – 10-year set timeframe</w:t>
            </w:r>
          </w:p>
        </w:tc>
        <w:tc>
          <w:tcPr>
            <w:tcW w:w="2260" w:type="dxa"/>
          </w:tcPr>
          <w:p w14:paraId="4A64D5AD"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2.2 Continuous accessibility</w:t>
            </w:r>
            <w:r w:rsidRPr="00A503DC">
              <w:rPr>
                <w:rFonts w:ascii="Calibri" w:eastAsia="Aptos" w:hAnsi="Calibri" w:cs="Calibri"/>
                <w:color w:val="auto"/>
                <w:kern w:val="2"/>
                <w14:ligatures w14:val="standardContextual"/>
              </w:rPr>
              <w:br/>
            </w:r>
          </w:p>
          <w:p w14:paraId="196618DB"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8.12 Accessible parking spaces in infrastructure off-street carparks</w:t>
            </w:r>
          </w:p>
        </w:tc>
      </w:tr>
    </w:tbl>
    <w:p w14:paraId="7430BFB5" w14:textId="77777777" w:rsidR="003D7EFD" w:rsidRDefault="003D7EFD" w:rsidP="002E5654">
      <w:pPr>
        <w:pStyle w:val="Tablefigureheading"/>
      </w:pPr>
      <w:r>
        <w:t xml:space="preserve">Table </w:t>
      </w:r>
      <w:fldSimple w:instr=" SEQ Table \* ARABIC ">
        <w:r>
          <w:rPr>
            <w:noProof/>
          </w:rPr>
          <w:t>7</w:t>
        </w:r>
      </w:fldSimple>
      <w:r>
        <w:t xml:space="preserve">: </w:t>
      </w:r>
      <w:r w:rsidRPr="008C0FAC">
        <w:t>Summary of amendments to Part 9 (Allocated spaces)</w:t>
      </w:r>
    </w:p>
    <w:tbl>
      <w:tblPr>
        <w:tblStyle w:val="DefaultTable1"/>
        <w:tblW w:w="14737" w:type="dxa"/>
        <w:tblLook w:val="04A0" w:firstRow="1" w:lastRow="0" w:firstColumn="1" w:lastColumn="0" w:noHBand="0" w:noVBand="1"/>
        <w:tblCaption w:val="Summary of amendments to Part 9 (Allocated spaces)"/>
        <w:tblDescription w:val="Summary of amendments to Part 9 (Allocated spaces)"/>
      </w:tblPr>
      <w:tblGrid>
        <w:gridCol w:w="1843"/>
        <w:gridCol w:w="3239"/>
        <w:gridCol w:w="1624"/>
        <w:gridCol w:w="1516"/>
        <w:gridCol w:w="1604"/>
        <w:gridCol w:w="2651"/>
        <w:gridCol w:w="2260"/>
      </w:tblGrid>
      <w:tr w:rsidR="003D7EFD" w:rsidRPr="00A503DC" w14:paraId="176F8817" w14:textId="77777777" w:rsidTr="002E565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D3779F8"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244ED24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EE57D3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50203F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795E27B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2C26784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5AE17C6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35F4CA7D"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2CC4A50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9.1A Unobstructed vertical dimension of an allocated space</w:t>
            </w:r>
          </w:p>
        </w:tc>
        <w:tc>
          <w:tcPr>
            <w:tcW w:w="3239" w:type="dxa"/>
          </w:tcPr>
          <w:p w14:paraId="0EFD0DF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defining a minimum vertical height within allocated spaces that must not obstructed.</w:t>
            </w:r>
          </w:p>
        </w:tc>
        <w:tc>
          <w:tcPr>
            <w:tcW w:w="1624" w:type="dxa"/>
          </w:tcPr>
          <w:p w14:paraId="1D0D643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dedicated school buses, small aircraft and taxis)</w:t>
            </w:r>
          </w:p>
        </w:tc>
        <w:tc>
          <w:tcPr>
            <w:tcW w:w="1516" w:type="dxa"/>
          </w:tcPr>
          <w:p w14:paraId="25CA879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65C198F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F16B43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350BA1E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1A4FF10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objects and fixtures that project into allocated spaces</w:t>
            </w:r>
          </w:p>
        </w:tc>
        <w:tc>
          <w:tcPr>
            <w:tcW w:w="2260" w:type="dxa"/>
          </w:tcPr>
          <w:p w14:paraId="07DEF4B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2.6 Access paths on conveyances</w:t>
            </w:r>
            <w:r w:rsidRPr="00A503DC">
              <w:rPr>
                <w:rFonts w:ascii="Calibri" w:eastAsia="Aptos" w:hAnsi="Calibri" w:cs="Calibri"/>
                <w:color w:val="auto"/>
                <w:kern w:val="2"/>
                <w14:ligatures w14:val="standardContextual"/>
              </w:rPr>
              <w:br/>
            </w:r>
          </w:p>
          <w:p w14:paraId="0F5EA90F"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3.2 Obstructions in manoeuvring areas on conveyances</w:t>
            </w:r>
            <w:r w:rsidRPr="00A503DC">
              <w:rPr>
                <w:rFonts w:ascii="Calibri" w:eastAsia="Aptos" w:hAnsi="Calibri" w:cs="Calibri"/>
                <w:color w:val="auto"/>
                <w:kern w:val="2"/>
                <w14:ligatures w14:val="standardContextual"/>
              </w:rPr>
              <w:br/>
            </w:r>
          </w:p>
          <w:p w14:paraId="3D886E1B"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3.3 Co-location of manoeuvring area with access paths and allocated spaces</w:t>
            </w:r>
          </w:p>
        </w:tc>
      </w:tr>
      <w:tr w:rsidR="003D7EFD" w:rsidRPr="00A503DC" w14:paraId="694615AB"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0B08FE99"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9.1B Information must be provided – priority access of allocated spaces</w:t>
            </w:r>
          </w:p>
        </w:tc>
        <w:tc>
          <w:tcPr>
            <w:tcW w:w="3239" w:type="dxa"/>
          </w:tcPr>
          <w:p w14:paraId="731BD73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allocated spaces to be accompanied by signage stating that people using mobility aids have priority access to use the allocated space. </w:t>
            </w:r>
          </w:p>
        </w:tc>
        <w:tc>
          <w:tcPr>
            <w:tcW w:w="1624" w:type="dxa"/>
          </w:tcPr>
          <w:p w14:paraId="0E1D776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ferries, trains, trams, and light rail.</w:t>
            </w:r>
          </w:p>
        </w:tc>
        <w:tc>
          <w:tcPr>
            <w:tcW w:w="1516" w:type="dxa"/>
          </w:tcPr>
          <w:p w14:paraId="1B7AC3C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FB63BF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1D27E1F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1E150CD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289A3F7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signage</w:t>
            </w:r>
          </w:p>
        </w:tc>
        <w:tc>
          <w:tcPr>
            <w:tcW w:w="2260" w:type="dxa"/>
          </w:tcPr>
          <w:p w14:paraId="40827EC5"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6FAB8949"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40BA339D"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9.7 Consolidation of allocated spaces</w:t>
            </w:r>
          </w:p>
        </w:tc>
        <w:tc>
          <w:tcPr>
            <w:tcW w:w="3239" w:type="dxa"/>
          </w:tcPr>
          <w:p w14:paraId="425AD67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Clarifications to specify that, if possible, allocated spaces must be consolidated to accommodate larger mobility aids, and requirements for the design of consolidated allocated spaces.</w:t>
            </w:r>
          </w:p>
        </w:tc>
        <w:tc>
          <w:tcPr>
            <w:tcW w:w="1624" w:type="dxa"/>
          </w:tcPr>
          <w:p w14:paraId="31E36C0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ferries, trains, trams, and light rail.</w:t>
            </w:r>
          </w:p>
        </w:tc>
        <w:tc>
          <w:tcPr>
            <w:tcW w:w="1516" w:type="dxa"/>
          </w:tcPr>
          <w:p w14:paraId="7CB5051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79213E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A138EF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highlight w:val="yellow"/>
                <w14:ligatures w14:val="standardContextual"/>
              </w:rPr>
            </w:pPr>
            <w:r w:rsidRPr="00A503DC">
              <w:rPr>
                <w:rFonts w:ascii="Calibri" w:eastAsia="Aptos" w:hAnsi="Calibri" w:cs="Calibri"/>
                <w:color w:val="auto"/>
                <w:kern w:val="2"/>
                <w14:ligatures w14:val="standardContextual"/>
              </w:rPr>
              <w:t>New conveyances</w:t>
            </w:r>
          </w:p>
        </w:tc>
        <w:tc>
          <w:tcPr>
            <w:tcW w:w="2260" w:type="dxa"/>
          </w:tcPr>
          <w:p w14:paraId="6B607D15"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9.1 Manoeuvring area not to be compromised</w:t>
            </w:r>
          </w:p>
        </w:tc>
      </w:tr>
    </w:tbl>
    <w:p w14:paraId="22BE9CB3" w14:textId="77777777" w:rsidR="003D7EFD" w:rsidRDefault="003D7EFD" w:rsidP="002E5654">
      <w:pPr>
        <w:pStyle w:val="Tablefigureheading"/>
      </w:pPr>
      <w:r>
        <w:t xml:space="preserve">Table </w:t>
      </w:r>
      <w:fldSimple w:instr=" SEQ Table \* ARABIC ">
        <w:r>
          <w:rPr>
            <w:noProof/>
          </w:rPr>
          <w:t>8</w:t>
        </w:r>
      </w:fldSimple>
      <w:r>
        <w:t xml:space="preserve">: </w:t>
      </w:r>
      <w:r w:rsidRPr="00F0296F">
        <w:t>Summary of amendments to Part 10 (Surfaces)</w:t>
      </w:r>
    </w:p>
    <w:tbl>
      <w:tblPr>
        <w:tblStyle w:val="DefaultTable1"/>
        <w:tblW w:w="14737" w:type="dxa"/>
        <w:tblLook w:val="04A0" w:firstRow="1" w:lastRow="0" w:firstColumn="1" w:lastColumn="0" w:noHBand="0" w:noVBand="1"/>
        <w:tblCaption w:val="Summary of amendments to Part 10 (Surfaces)"/>
        <w:tblDescription w:val="Summary of amendments to Part 10 (Surfaces)"/>
      </w:tblPr>
      <w:tblGrid>
        <w:gridCol w:w="1843"/>
        <w:gridCol w:w="3239"/>
        <w:gridCol w:w="1624"/>
        <w:gridCol w:w="1516"/>
        <w:gridCol w:w="1604"/>
        <w:gridCol w:w="2651"/>
        <w:gridCol w:w="2260"/>
      </w:tblGrid>
      <w:tr w:rsidR="003D7EFD" w:rsidRPr="00A503DC" w14:paraId="4AEE7A84" w14:textId="77777777" w:rsidTr="002E565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58E3727"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3BE6888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1610166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02376CB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235199E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C89A6A3"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17CA676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6C1FEFD" w14:textId="77777777" w:rsidTr="002E565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9DF037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10.2 Slip resistance for premises and infrastructure</w:t>
            </w:r>
          </w:p>
        </w:tc>
        <w:tc>
          <w:tcPr>
            <w:tcW w:w="3239" w:type="dxa"/>
          </w:tcPr>
          <w:p w14:paraId="3B94496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the slip resistance of surfaces in premises and infrastructure, including in a range of conditions that the surface is likely to be subject to (e.g. rain). </w:t>
            </w:r>
          </w:p>
        </w:tc>
        <w:tc>
          <w:tcPr>
            <w:tcW w:w="1624" w:type="dxa"/>
          </w:tcPr>
          <w:p w14:paraId="42D0496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4B9D10F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639FD88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6435B6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floors in premises and infrastructure</w:t>
            </w:r>
          </w:p>
        </w:tc>
        <w:tc>
          <w:tcPr>
            <w:tcW w:w="2260" w:type="dxa"/>
          </w:tcPr>
          <w:p w14:paraId="6115A75A"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10.1 Surfaces of access paths</w:t>
            </w:r>
          </w:p>
        </w:tc>
      </w:tr>
      <w:tr w:rsidR="003D7EFD" w:rsidRPr="00A503DC" w14:paraId="7D3124D1" w14:textId="77777777" w:rsidTr="002E565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2B5FFAD7"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10.4 Luminance contrasting floor and wall surfaces in premises and infrastructure</w:t>
            </w:r>
          </w:p>
        </w:tc>
        <w:tc>
          <w:tcPr>
            <w:tcW w:w="3239" w:type="dxa"/>
          </w:tcPr>
          <w:p w14:paraId="1C26D62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luminance contrast requirements for access paths against surrounding surfaces, fixtures and fittings.</w:t>
            </w:r>
          </w:p>
        </w:tc>
        <w:tc>
          <w:tcPr>
            <w:tcW w:w="1624" w:type="dxa"/>
          </w:tcPr>
          <w:p w14:paraId="18F2A46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2F99140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1EA11A0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256FF96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surfaces, columns, street furniture and fixtures in premises and infrastructure</w:t>
            </w:r>
          </w:p>
          <w:p w14:paraId="53BE9D4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52A3CE7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surfaces, columns, street furniture and fixtures in premises and infrastructure – 10-year set timeframe</w:t>
            </w:r>
          </w:p>
        </w:tc>
        <w:tc>
          <w:tcPr>
            <w:tcW w:w="2260" w:type="dxa"/>
          </w:tcPr>
          <w:p w14:paraId="71344467"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bl>
    <w:p w14:paraId="615E5A70" w14:textId="77777777" w:rsidR="003D7EFD" w:rsidRDefault="003D7EFD" w:rsidP="00B05A51">
      <w:pPr>
        <w:pStyle w:val="Tablefigureheading"/>
      </w:pPr>
      <w:r>
        <w:lastRenderedPageBreak/>
        <w:t xml:space="preserve">Table </w:t>
      </w:r>
      <w:fldSimple w:instr=" SEQ Table \* ARABIC ">
        <w:r>
          <w:rPr>
            <w:noProof/>
          </w:rPr>
          <w:t>9</w:t>
        </w:r>
      </w:fldSimple>
      <w:r>
        <w:t xml:space="preserve">: </w:t>
      </w:r>
      <w:r w:rsidRPr="00D1610F">
        <w:t>Summary of amendments to Part 11 (Handrails and grabrails)</w:t>
      </w:r>
    </w:p>
    <w:tbl>
      <w:tblPr>
        <w:tblStyle w:val="DefaultTable1"/>
        <w:tblW w:w="14737" w:type="dxa"/>
        <w:tblLook w:val="04A0" w:firstRow="1" w:lastRow="0" w:firstColumn="1" w:lastColumn="0" w:noHBand="0" w:noVBand="1"/>
        <w:tblCaption w:val="Summary of amendments to Part 11 (Handrails and grabrails)"/>
        <w:tblDescription w:val="Summary of amendments to Part 11 (Handrails and grabrails)"/>
      </w:tblPr>
      <w:tblGrid>
        <w:gridCol w:w="1843"/>
        <w:gridCol w:w="3239"/>
        <w:gridCol w:w="1624"/>
        <w:gridCol w:w="1516"/>
        <w:gridCol w:w="1604"/>
        <w:gridCol w:w="2651"/>
        <w:gridCol w:w="2260"/>
      </w:tblGrid>
      <w:tr w:rsidR="003D7EFD" w:rsidRPr="00A503DC" w14:paraId="42946B58"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BC065E8"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1F1272B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21C78CA8"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7F6BC90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650BA34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A849CC3"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1C7EABE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22B4242E"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52E6E6E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11.1 General requirements – premises and infrastructure</w:t>
            </w:r>
          </w:p>
        </w:tc>
        <w:tc>
          <w:tcPr>
            <w:tcW w:w="3239" w:type="dxa"/>
          </w:tcPr>
          <w:p w14:paraId="7F36421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design specifications for handrails in premises and infrastructure, including requirements for domed warning indicators and luminance contrast.</w:t>
            </w:r>
          </w:p>
        </w:tc>
        <w:tc>
          <w:tcPr>
            <w:tcW w:w="1624" w:type="dxa"/>
          </w:tcPr>
          <w:p w14:paraId="5F92D32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1EBAAA9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7A2EA07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9CEF7F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handrails</w:t>
            </w:r>
          </w:p>
        </w:tc>
        <w:tc>
          <w:tcPr>
            <w:tcW w:w="2260" w:type="dxa"/>
          </w:tcPr>
          <w:p w14:paraId="440C30AD"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11.1 Handrails on access paths</w:t>
            </w:r>
          </w:p>
        </w:tc>
      </w:tr>
      <w:tr w:rsidR="003D7EFD" w:rsidRPr="00A503DC" w14:paraId="3BCD9E6F"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73DCCF8D"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11.2 Handrails to be provided on access paths</w:t>
            </w:r>
          </w:p>
        </w:tc>
        <w:tc>
          <w:tcPr>
            <w:tcW w:w="3239" w:type="dxa"/>
          </w:tcPr>
          <w:p w14:paraId="7913421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handrails to be placed continuously along both side of access paths on overbridges and through subways.</w:t>
            </w:r>
          </w:p>
        </w:tc>
        <w:tc>
          <w:tcPr>
            <w:tcW w:w="1624" w:type="dxa"/>
          </w:tcPr>
          <w:p w14:paraId="72DA6B1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404BB80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33E0FBC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5927E37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and substantially refurbished premises and infrastructure </w:t>
            </w:r>
          </w:p>
        </w:tc>
        <w:tc>
          <w:tcPr>
            <w:tcW w:w="2260" w:type="dxa"/>
          </w:tcPr>
          <w:p w14:paraId="6A4D8AAA"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11.2 Handrails in overbridges and subways</w:t>
            </w:r>
          </w:p>
        </w:tc>
      </w:tr>
      <w:tr w:rsidR="003D7EFD" w:rsidRPr="00A503DC" w14:paraId="4C4A48B4"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5A43D9C5"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11.3 Handrails on steps and stairs – conveyances</w:t>
            </w:r>
          </w:p>
        </w:tc>
        <w:tc>
          <w:tcPr>
            <w:tcW w:w="3239" w:type="dxa"/>
          </w:tcPr>
          <w:p w14:paraId="7806456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handrails on stairs, including luminance contrast requirements and requirement for domes warning indicators.</w:t>
            </w:r>
          </w:p>
        </w:tc>
        <w:tc>
          <w:tcPr>
            <w:tcW w:w="1624" w:type="dxa"/>
          </w:tcPr>
          <w:p w14:paraId="23A1CE1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dedicated school buses, ferries and small aircraft)</w:t>
            </w:r>
          </w:p>
        </w:tc>
        <w:tc>
          <w:tcPr>
            <w:tcW w:w="1516" w:type="dxa"/>
          </w:tcPr>
          <w:p w14:paraId="116C5FC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05A37F8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6C60524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46407D4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3311E0F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handrails</w:t>
            </w:r>
          </w:p>
        </w:tc>
        <w:tc>
          <w:tcPr>
            <w:tcW w:w="2260" w:type="dxa"/>
          </w:tcPr>
          <w:p w14:paraId="4FF0EA21"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14.2 Stairs on trains</w:t>
            </w:r>
            <w:r w:rsidRPr="00A503DC">
              <w:rPr>
                <w:rFonts w:ascii="Calibri" w:eastAsia="Aptos" w:hAnsi="Calibri" w:cs="Calibri"/>
                <w:color w:val="auto"/>
                <w:kern w:val="2"/>
                <w14:ligatures w14:val="standardContextual"/>
              </w:rPr>
              <w:br/>
            </w:r>
          </w:p>
          <w:p w14:paraId="6852D1DF"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14.3 Stairs on buses</w:t>
            </w:r>
          </w:p>
        </w:tc>
      </w:tr>
      <w:tr w:rsidR="003D7EFD" w:rsidRPr="00A503DC" w14:paraId="3E995688"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58D4026C"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 xml:space="preserve">11.4A Handrails on passenger doors – buses </w:t>
            </w:r>
          </w:p>
        </w:tc>
        <w:tc>
          <w:tcPr>
            <w:tcW w:w="3239" w:type="dxa"/>
          </w:tcPr>
          <w:p w14:paraId="586DCBB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handrails on passenger doors on buses.</w:t>
            </w:r>
          </w:p>
        </w:tc>
        <w:tc>
          <w:tcPr>
            <w:tcW w:w="1624" w:type="dxa"/>
          </w:tcPr>
          <w:p w14:paraId="072C12B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w:t>
            </w:r>
          </w:p>
        </w:tc>
        <w:tc>
          <w:tcPr>
            <w:tcW w:w="1516" w:type="dxa"/>
          </w:tcPr>
          <w:p w14:paraId="40D64F3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8A9EA4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298DF5A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buses</w:t>
            </w:r>
          </w:p>
          <w:p w14:paraId="46158FF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4441969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handrails</w:t>
            </w:r>
          </w:p>
        </w:tc>
        <w:tc>
          <w:tcPr>
            <w:tcW w:w="2260" w:type="dxa"/>
          </w:tcPr>
          <w:p w14:paraId="233B8CE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27A3A8A3"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1B99665E"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11.4B Handrails on stairs – ferries</w:t>
            </w:r>
          </w:p>
        </w:tc>
        <w:tc>
          <w:tcPr>
            <w:tcW w:w="3239" w:type="dxa"/>
          </w:tcPr>
          <w:p w14:paraId="66F8D82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the design of handrails on stairs specific to ferries. </w:t>
            </w:r>
          </w:p>
        </w:tc>
        <w:tc>
          <w:tcPr>
            <w:tcW w:w="1624" w:type="dxa"/>
          </w:tcPr>
          <w:p w14:paraId="738905E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Ferries</w:t>
            </w:r>
          </w:p>
        </w:tc>
        <w:tc>
          <w:tcPr>
            <w:tcW w:w="1516" w:type="dxa"/>
          </w:tcPr>
          <w:p w14:paraId="6AB3DEB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1174A32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2A39BE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ferries</w:t>
            </w:r>
          </w:p>
          <w:p w14:paraId="19A0E87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4D0357F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handrails</w:t>
            </w:r>
          </w:p>
        </w:tc>
        <w:tc>
          <w:tcPr>
            <w:tcW w:w="2260" w:type="dxa"/>
          </w:tcPr>
          <w:p w14:paraId="1451F7FF"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11.2 Handrails on ferries</w:t>
            </w:r>
          </w:p>
        </w:tc>
      </w:tr>
      <w:tr w:rsidR="003D7EFD" w:rsidRPr="00A503DC" w14:paraId="3A90FC15"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4C89352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11.7 Grabrails in allocated spaces</w:t>
            </w:r>
          </w:p>
        </w:tc>
        <w:tc>
          <w:tcPr>
            <w:tcW w:w="3239" w:type="dxa"/>
          </w:tcPr>
          <w:p w14:paraId="46C80A8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luminance and location requirements for grabrails, including that they must be provided in allocated spaces.</w:t>
            </w:r>
          </w:p>
        </w:tc>
        <w:tc>
          <w:tcPr>
            <w:tcW w:w="1624" w:type="dxa"/>
          </w:tcPr>
          <w:p w14:paraId="0347D6B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 coaches, ferries, trains, trams and light rail.</w:t>
            </w:r>
          </w:p>
        </w:tc>
        <w:tc>
          <w:tcPr>
            <w:tcW w:w="1516" w:type="dxa"/>
          </w:tcPr>
          <w:p w14:paraId="760450B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1E99657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7DD6165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1923E37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10DA40BF" w14:textId="77777777" w:rsidR="003D7EFD" w:rsidRPr="00A503DC" w:rsidRDefault="003D7EFD" w:rsidP="005C1094">
            <w:pPr>
              <w:spacing w:before="160"/>
              <w:cnfStyle w:val="000000010000" w:firstRow="0" w:lastRow="0" w:firstColumn="0" w:lastColumn="0" w:oddVBand="0" w:evenVBand="0" w:oddHBand="0" w:evenHBand="1" w:firstRowFirstColumn="0" w:firstRowLastColumn="0" w:lastRowFirstColumn="0" w:lastRowLastColumn="0"/>
              <w:rPr>
                <w:rFonts w:ascii="Calibri" w:eastAsia="Aptos" w:hAnsi="Calibri" w:cs="Calibri"/>
              </w:rPr>
            </w:pPr>
            <w:r w:rsidRPr="00A503DC">
              <w:rPr>
                <w:rFonts w:ascii="Calibri" w:eastAsia="Aptos" w:hAnsi="Calibri" w:cs="Calibri"/>
              </w:rPr>
              <w:t>Newly installed grabrails</w:t>
            </w:r>
          </w:p>
        </w:tc>
        <w:tc>
          <w:tcPr>
            <w:tcW w:w="2260" w:type="dxa"/>
          </w:tcPr>
          <w:p w14:paraId="1FF2A42C"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11.4 Grabrails in allocated spaces</w:t>
            </w:r>
          </w:p>
        </w:tc>
      </w:tr>
      <w:tr w:rsidR="003D7EFD" w:rsidRPr="00A503DC" w14:paraId="6CDDA473"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6723922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11.8 Grabrails on access paths</w:t>
            </w:r>
          </w:p>
        </w:tc>
        <w:tc>
          <w:tcPr>
            <w:tcW w:w="3239" w:type="dxa"/>
          </w:tcPr>
          <w:p w14:paraId="5AAA20C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luminance and location requirements for grabrails, including that they must be provided along an access path where a person is likely to require support during boarding, alighting or transit.</w:t>
            </w:r>
          </w:p>
        </w:tc>
        <w:tc>
          <w:tcPr>
            <w:tcW w:w="1624" w:type="dxa"/>
          </w:tcPr>
          <w:p w14:paraId="4BB7765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trains, trams and light rail.</w:t>
            </w:r>
          </w:p>
        </w:tc>
        <w:tc>
          <w:tcPr>
            <w:tcW w:w="1516" w:type="dxa"/>
          </w:tcPr>
          <w:p w14:paraId="584496F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5A61538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62CD75C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7F2BF4B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5457C46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grabrails</w:t>
            </w:r>
          </w:p>
        </w:tc>
        <w:tc>
          <w:tcPr>
            <w:tcW w:w="2260" w:type="dxa"/>
          </w:tcPr>
          <w:p w14:paraId="46169EFA"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11.4 Grabrails on access paths on board conveyances</w:t>
            </w:r>
          </w:p>
        </w:tc>
      </w:tr>
    </w:tbl>
    <w:p w14:paraId="0DFAC27F" w14:textId="77777777" w:rsidR="003D7EFD" w:rsidRDefault="003D7EFD" w:rsidP="00B05A51">
      <w:pPr>
        <w:pStyle w:val="Tablefigureheading"/>
      </w:pPr>
      <w:r>
        <w:t xml:space="preserve">Table </w:t>
      </w:r>
      <w:fldSimple w:instr=" SEQ Table \* ARABIC ">
        <w:r>
          <w:rPr>
            <w:noProof/>
          </w:rPr>
          <w:t>10</w:t>
        </w:r>
      </w:fldSimple>
      <w:r>
        <w:t xml:space="preserve">: </w:t>
      </w:r>
      <w:r w:rsidRPr="00A35CD6">
        <w:t>Summary of amendments to Part 12 (Doorways and doors)</w:t>
      </w:r>
    </w:p>
    <w:tbl>
      <w:tblPr>
        <w:tblStyle w:val="DefaultTable1"/>
        <w:tblW w:w="14737" w:type="dxa"/>
        <w:tblLook w:val="04A0" w:firstRow="1" w:lastRow="0" w:firstColumn="1" w:lastColumn="0" w:noHBand="0" w:noVBand="1"/>
        <w:tblCaption w:val="Summary of amendments to Part 12 (Doorways and doors)"/>
        <w:tblDescription w:val="Summary of amendments to Part 12 (Doorways and doors)"/>
      </w:tblPr>
      <w:tblGrid>
        <w:gridCol w:w="1843"/>
        <w:gridCol w:w="3239"/>
        <w:gridCol w:w="1624"/>
        <w:gridCol w:w="1516"/>
        <w:gridCol w:w="1604"/>
        <w:gridCol w:w="2651"/>
        <w:gridCol w:w="2260"/>
      </w:tblGrid>
      <w:tr w:rsidR="003D7EFD" w:rsidRPr="00A503DC" w14:paraId="35447298"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8043935"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0513938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5B0E68E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52DAF96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359EA09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21836ED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4A40DBF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06743F33"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1DED0A76"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12.4 Clear opening of doorways</w:t>
            </w:r>
          </w:p>
        </w:tc>
        <w:tc>
          <w:tcPr>
            <w:tcW w:w="3239" w:type="dxa"/>
          </w:tcPr>
          <w:p w14:paraId="29B7112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doorways, including luminance contrast and door width.</w:t>
            </w:r>
          </w:p>
        </w:tc>
        <w:tc>
          <w:tcPr>
            <w:tcW w:w="1624" w:type="dxa"/>
          </w:tcPr>
          <w:p w14:paraId="6F19FF8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trains, trams and light rail.</w:t>
            </w:r>
          </w:p>
        </w:tc>
        <w:tc>
          <w:tcPr>
            <w:tcW w:w="1516" w:type="dxa"/>
          </w:tcPr>
          <w:p w14:paraId="536CA94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0AA6A3F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35EE1EA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doorways and doors</w:t>
            </w:r>
          </w:p>
          <w:p w14:paraId="0B1A4B7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0ACE4F4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doorways and doors – 5-year set timeframe</w:t>
            </w:r>
          </w:p>
        </w:tc>
        <w:tc>
          <w:tcPr>
            <w:tcW w:w="2260" w:type="dxa"/>
          </w:tcPr>
          <w:p w14:paraId="27C3327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12.2 Doors on access paths</w:t>
            </w:r>
          </w:p>
        </w:tc>
      </w:tr>
      <w:tr w:rsidR="003D7EFD" w:rsidRPr="00A503DC" w14:paraId="70464C96" w14:textId="77777777" w:rsidTr="005C10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4A948F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12.7 Unisex accessible toilet doors must be power assisted</w:t>
            </w:r>
          </w:p>
        </w:tc>
        <w:tc>
          <w:tcPr>
            <w:tcW w:w="3239" w:type="dxa"/>
          </w:tcPr>
          <w:p w14:paraId="5D600EF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doors of unisex accessible toilets must be power assisted.</w:t>
            </w:r>
          </w:p>
        </w:tc>
        <w:tc>
          <w:tcPr>
            <w:tcW w:w="1624" w:type="dxa"/>
          </w:tcPr>
          <w:p w14:paraId="492B8D5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Trains</w:t>
            </w:r>
          </w:p>
        </w:tc>
        <w:tc>
          <w:tcPr>
            <w:tcW w:w="1516" w:type="dxa"/>
          </w:tcPr>
          <w:p w14:paraId="26D9705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7EB75C2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5B56ED8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trains, premises and infrastructure</w:t>
            </w:r>
          </w:p>
          <w:p w14:paraId="30E3381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17EAF73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doors</w:t>
            </w:r>
          </w:p>
        </w:tc>
        <w:tc>
          <w:tcPr>
            <w:tcW w:w="2260" w:type="dxa"/>
          </w:tcPr>
          <w:p w14:paraId="2C19AE73"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12.2 Doors on access paths</w:t>
            </w:r>
          </w:p>
        </w:tc>
      </w:tr>
    </w:tbl>
    <w:p w14:paraId="53F51C63" w14:textId="77777777" w:rsidR="003D7EFD" w:rsidRDefault="003D7EFD" w:rsidP="00B05A51">
      <w:pPr>
        <w:pStyle w:val="Tablefigureheading"/>
      </w:pPr>
      <w:r>
        <w:lastRenderedPageBreak/>
        <w:t xml:space="preserve">Table </w:t>
      </w:r>
      <w:fldSimple w:instr=" SEQ Table \* ARABIC ">
        <w:r>
          <w:rPr>
            <w:noProof/>
          </w:rPr>
          <w:t>11</w:t>
        </w:r>
      </w:fldSimple>
      <w:r>
        <w:t xml:space="preserve">: </w:t>
      </w:r>
      <w:r w:rsidRPr="00826DC2">
        <w:t>Summary of amendments to Part 13 (Lifts)</w:t>
      </w:r>
    </w:p>
    <w:tbl>
      <w:tblPr>
        <w:tblStyle w:val="DefaultTable1"/>
        <w:tblW w:w="14737" w:type="dxa"/>
        <w:tblLook w:val="04A0" w:firstRow="1" w:lastRow="0" w:firstColumn="1" w:lastColumn="0" w:noHBand="0" w:noVBand="1"/>
        <w:tblCaption w:val="Summary of amendments to Part 13 (Lifts)"/>
        <w:tblDescription w:val="Summary of amendments to Part 13 (Lifts)"/>
      </w:tblPr>
      <w:tblGrid>
        <w:gridCol w:w="1843"/>
        <w:gridCol w:w="3239"/>
        <w:gridCol w:w="1624"/>
        <w:gridCol w:w="1516"/>
        <w:gridCol w:w="1604"/>
        <w:gridCol w:w="2651"/>
        <w:gridCol w:w="2260"/>
      </w:tblGrid>
      <w:tr w:rsidR="003D7EFD" w:rsidRPr="00A503DC" w14:paraId="0FA6A5D2"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7D4EF294"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58BD183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6955F68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21DF740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147237D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7CD4CEA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0B09BD0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242D1ADB"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073413B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13.1 Compliance with Australian Standards — premises and infrastructure</w:t>
            </w:r>
          </w:p>
        </w:tc>
        <w:tc>
          <w:tcPr>
            <w:tcW w:w="3239" w:type="dxa"/>
          </w:tcPr>
          <w:p w14:paraId="73E48C8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aps/>
                <w:color w:val="auto"/>
                <w:kern w:val="2"/>
                <w14:ligatures w14:val="standardContextual"/>
              </w:rPr>
            </w:pPr>
            <w:r w:rsidRPr="00A503DC">
              <w:rPr>
                <w:rFonts w:ascii="Calibri" w:eastAsia="Aptos" w:hAnsi="Calibri" w:cs="Calibri"/>
                <w:color w:val="auto"/>
                <w:kern w:val="2"/>
                <w14:ligatures w14:val="standardContextual"/>
              </w:rPr>
              <w:t>New requirements specifying that lift facilities must comply with referenced Australian Standards.</w:t>
            </w:r>
          </w:p>
        </w:tc>
        <w:tc>
          <w:tcPr>
            <w:tcW w:w="1624" w:type="dxa"/>
          </w:tcPr>
          <w:p w14:paraId="21EFC9F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072502E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31ECDB1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69CE6C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2C4E44B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51AE49C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lifts</w:t>
            </w:r>
          </w:p>
        </w:tc>
        <w:tc>
          <w:tcPr>
            <w:tcW w:w="2260" w:type="dxa"/>
          </w:tcPr>
          <w:p w14:paraId="26519E28"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13.1 Technical specifications</w:t>
            </w:r>
          </w:p>
        </w:tc>
      </w:tr>
      <w:tr w:rsidR="003D7EFD" w:rsidRPr="00A503DC" w14:paraId="56B81462"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716C117B"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13.2 Braille and tactile information at lift landings</w:t>
            </w:r>
          </w:p>
        </w:tc>
        <w:tc>
          <w:tcPr>
            <w:tcW w:w="3239" w:type="dxa"/>
          </w:tcPr>
          <w:p w14:paraId="59E7984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lift landings to include braille and tactile information identifying the platform, street, facility land, or level of the building.</w:t>
            </w:r>
          </w:p>
        </w:tc>
        <w:tc>
          <w:tcPr>
            <w:tcW w:w="1624" w:type="dxa"/>
          </w:tcPr>
          <w:p w14:paraId="24CA2B6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7AF08E3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798CFF3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3126D69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substantially refurbished lift landings</w:t>
            </w:r>
          </w:p>
          <w:p w14:paraId="3A0325F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25D436A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lift landings – 5-year set timeframe</w:t>
            </w:r>
          </w:p>
        </w:tc>
        <w:tc>
          <w:tcPr>
            <w:tcW w:w="2260" w:type="dxa"/>
          </w:tcPr>
          <w:p w14:paraId="594211F7"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4F3382AE"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6EF2E3C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13.3 Audible announcement in lift about location and directions</w:t>
            </w:r>
          </w:p>
        </w:tc>
        <w:tc>
          <w:tcPr>
            <w:tcW w:w="3239" w:type="dxa"/>
          </w:tcPr>
          <w:p w14:paraId="7718D32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lift cars to provide audio information to orient a person when they leave the lift.</w:t>
            </w:r>
          </w:p>
        </w:tc>
        <w:tc>
          <w:tcPr>
            <w:tcW w:w="1624" w:type="dxa"/>
          </w:tcPr>
          <w:p w14:paraId="0E6A8B0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2863E34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1B1412C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C216EA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599DE68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19A1092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lifts</w:t>
            </w:r>
          </w:p>
        </w:tc>
        <w:tc>
          <w:tcPr>
            <w:tcW w:w="2260" w:type="dxa"/>
          </w:tcPr>
          <w:p w14:paraId="51E81326"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7055A359"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062919F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13.4 Emergency communication systems in lift</w:t>
            </w:r>
          </w:p>
        </w:tc>
        <w:tc>
          <w:tcPr>
            <w:tcW w:w="3239" w:type="dxa"/>
          </w:tcPr>
          <w:p w14:paraId="71D4E60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lifts to include an emergency warning system, including compliance with referenced Australian Standards.</w:t>
            </w:r>
          </w:p>
        </w:tc>
        <w:tc>
          <w:tcPr>
            <w:tcW w:w="1624" w:type="dxa"/>
          </w:tcPr>
          <w:p w14:paraId="0F896C3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2609538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4ED5F17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09DBF3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3EBCADE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6767DDA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lifts</w:t>
            </w:r>
          </w:p>
        </w:tc>
        <w:tc>
          <w:tcPr>
            <w:tcW w:w="2260" w:type="dxa"/>
          </w:tcPr>
          <w:p w14:paraId="16AFC643"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bl>
    <w:p w14:paraId="20687137" w14:textId="77777777" w:rsidR="003D7EFD" w:rsidRDefault="003D7EFD" w:rsidP="00B05A51">
      <w:pPr>
        <w:pStyle w:val="Tablefigureheading"/>
      </w:pPr>
      <w:r>
        <w:lastRenderedPageBreak/>
        <w:t xml:space="preserve">Table </w:t>
      </w:r>
      <w:fldSimple w:instr=" SEQ Table \* ARABIC ">
        <w:r>
          <w:rPr>
            <w:noProof/>
          </w:rPr>
          <w:t>12</w:t>
        </w:r>
      </w:fldSimple>
      <w:r>
        <w:t xml:space="preserve">: </w:t>
      </w:r>
      <w:r w:rsidRPr="00B34232">
        <w:t>Summary of amendments to Part 14 (Stairs)</w:t>
      </w:r>
    </w:p>
    <w:tbl>
      <w:tblPr>
        <w:tblStyle w:val="DefaultTable1"/>
        <w:tblW w:w="14737" w:type="dxa"/>
        <w:tblLook w:val="04A0" w:firstRow="1" w:lastRow="0" w:firstColumn="1" w:lastColumn="0" w:noHBand="0" w:noVBand="1"/>
        <w:tblCaption w:val="Summary of amendments to Part 14 (Stairs)"/>
        <w:tblDescription w:val="Summary of amendments to Part 14 (Stairs)"/>
      </w:tblPr>
      <w:tblGrid>
        <w:gridCol w:w="1843"/>
        <w:gridCol w:w="3239"/>
        <w:gridCol w:w="1624"/>
        <w:gridCol w:w="1516"/>
        <w:gridCol w:w="1604"/>
        <w:gridCol w:w="2651"/>
        <w:gridCol w:w="2260"/>
      </w:tblGrid>
      <w:tr w:rsidR="003D7EFD" w:rsidRPr="00A503DC" w14:paraId="24BCBCEE"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1CC0366"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6AAB57A3"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4A4E048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2E10494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41D7A59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8F7B32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21A07BD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6B7A0F4A"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77A8C2A9"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14.1 Stairs, escalators etc. not to be sole means of access</w:t>
            </w:r>
          </w:p>
        </w:tc>
        <w:tc>
          <w:tcPr>
            <w:tcW w:w="3239" w:type="dxa"/>
          </w:tcPr>
          <w:p w14:paraId="2040C32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stairs, escalators and inclined travellators must not be the sole means of access.</w:t>
            </w:r>
          </w:p>
        </w:tc>
        <w:tc>
          <w:tcPr>
            <w:tcW w:w="1624" w:type="dxa"/>
          </w:tcPr>
          <w:p w14:paraId="6F8CAA3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dedicated school buses and small aircraft)</w:t>
            </w:r>
          </w:p>
        </w:tc>
        <w:tc>
          <w:tcPr>
            <w:tcW w:w="1516" w:type="dxa"/>
          </w:tcPr>
          <w:p w14:paraId="026B703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6EBC3B8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4645871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 premises and infrastructure</w:t>
            </w:r>
          </w:p>
        </w:tc>
        <w:tc>
          <w:tcPr>
            <w:tcW w:w="2260" w:type="dxa"/>
          </w:tcPr>
          <w:p w14:paraId="745B3E83"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14.1 Stairs. Escalators and inclined travellators not to be only means of access</w:t>
            </w:r>
          </w:p>
        </w:tc>
      </w:tr>
      <w:tr w:rsidR="003D7EFD" w:rsidRPr="00A503DC" w14:paraId="7137C5CB"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44A972B5"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14.2 Requirements for risers, treads and handrails on stairs</w:t>
            </w:r>
          </w:p>
        </w:tc>
        <w:tc>
          <w:tcPr>
            <w:tcW w:w="3239" w:type="dxa"/>
          </w:tcPr>
          <w:p w14:paraId="33A2681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the design of stairs in premises and infrastructure. </w:t>
            </w:r>
          </w:p>
        </w:tc>
        <w:tc>
          <w:tcPr>
            <w:tcW w:w="1624" w:type="dxa"/>
          </w:tcPr>
          <w:p w14:paraId="7880082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62C4C8A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3252B9D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2AAF1FC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1B63E10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61BB9B8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stairs</w:t>
            </w:r>
          </w:p>
        </w:tc>
        <w:tc>
          <w:tcPr>
            <w:tcW w:w="2260" w:type="dxa"/>
          </w:tcPr>
          <w:p w14:paraId="754B9FA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7163944C"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03ABE29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14.3A Stairs on ferries</w:t>
            </w:r>
          </w:p>
        </w:tc>
        <w:tc>
          <w:tcPr>
            <w:tcW w:w="3239" w:type="dxa"/>
          </w:tcPr>
          <w:p w14:paraId="741FF58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stairs on ferries.</w:t>
            </w:r>
          </w:p>
        </w:tc>
        <w:tc>
          <w:tcPr>
            <w:tcW w:w="1624" w:type="dxa"/>
          </w:tcPr>
          <w:p w14:paraId="091BD50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Ferries</w:t>
            </w:r>
          </w:p>
        </w:tc>
        <w:tc>
          <w:tcPr>
            <w:tcW w:w="1516" w:type="dxa"/>
          </w:tcPr>
          <w:p w14:paraId="0BC8270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188D842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0813420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ferries</w:t>
            </w:r>
          </w:p>
        </w:tc>
        <w:tc>
          <w:tcPr>
            <w:tcW w:w="2260" w:type="dxa"/>
          </w:tcPr>
          <w:p w14:paraId="65D9D8EB"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030DF9C7"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43D1B27"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14.4 Specific requirements – buses</w:t>
            </w:r>
          </w:p>
        </w:tc>
        <w:tc>
          <w:tcPr>
            <w:tcW w:w="3239" w:type="dxa"/>
          </w:tcPr>
          <w:p w14:paraId="07475E3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stairs on buses.</w:t>
            </w:r>
          </w:p>
        </w:tc>
        <w:tc>
          <w:tcPr>
            <w:tcW w:w="1624" w:type="dxa"/>
          </w:tcPr>
          <w:p w14:paraId="57F7376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(except dedicated school buses)</w:t>
            </w:r>
          </w:p>
        </w:tc>
        <w:tc>
          <w:tcPr>
            <w:tcW w:w="1516" w:type="dxa"/>
          </w:tcPr>
          <w:p w14:paraId="4215642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9B0F28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2456141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buses</w:t>
            </w:r>
          </w:p>
        </w:tc>
        <w:tc>
          <w:tcPr>
            <w:tcW w:w="2260" w:type="dxa"/>
          </w:tcPr>
          <w:p w14:paraId="154E9745"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14.3 Stairs on buses</w:t>
            </w:r>
          </w:p>
        </w:tc>
      </w:tr>
      <w:tr w:rsidR="003D7EFD" w:rsidRPr="00A503DC" w14:paraId="501F0953"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4A33F440"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14.5 Specifications for escalators in premises and infrastructure</w:t>
            </w:r>
          </w:p>
        </w:tc>
        <w:tc>
          <w:tcPr>
            <w:tcW w:w="3239" w:type="dxa"/>
          </w:tcPr>
          <w:p w14:paraId="462E147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minimum width of escalators and inclined travellators.</w:t>
            </w:r>
          </w:p>
        </w:tc>
        <w:tc>
          <w:tcPr>
            <w:tcW w:w="1624" w:type="dxa"/>
          </w:tcPr>
          <w:p w14:paraId="70D4FD1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35FD401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4F9117D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C4D3AC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09D48E5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br/>
              <w:t>Newly installed escalators and inclined travellators</w:t>
            </w:r>
          </w:p>
        </w:tc>
        <w:tc>
          <w:tcPr>
            <w:tcW w:w="2260" w:type="dxa"/>
          </w:tcPr>
          <w:p w14:paraId="3A650289"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13.1 Technical specifications</w:t>
            </w:r>
          </w:p>
        </w:tc>
      </w:tr>
    </w:tbl>
    <w:p w14:paraId="51B5A0E6" w14:textId="77777777" w:rsidR="003D7EFD" w:rsidRDefault="003D7EFD" w:rsidP="00B05A51">
      <w:pPr>
        <w:pStyle w:val="Tablefigureheading"/>
      </w:pPr>
      <w:r>
        <w:lastRenderedPageBreak/>
        <w:t xml:space="preserve">Table </w:t>
      </w:r>
      <w:fldSimple w:instr=" SEQ Table \* ARABIC ">
        <w:r>
          <w:rPr>
            <w:noProof/>
          </w:rPr>
          <w:t>13</w:t>
        </w:r>
      </w:fldSimple>
      <w:r>
        <w:t xml:space="preserve">: </w:t>
      </w:r>
      <w:r w:rsidRPr="00450087">
        <w:t>Summary of amendments to Part 15 (Toilets)</w:t>
      </w:r>
    </w:p>
    <w:tbl>
      <w:tblPr>
        <w:tblStyle w:val="DefaultTable1"/>
        <w:tblW w:w="14737" w:type="dxa"/>
        <w:tblLook w:val="04A0" w:firstRow="1" w:lastRow="0" w:firstColumn="1" w:lastColumn="0" w:noHBand="0" w:noVBand="1"/>
        <w:tblCaption w:val="Summary of amendments to Part 15 (Toilets)"/>
        <w:tblDescription w:val="Summary of amendments to Part 15 (Toilets)"/>
      </w:tblPr>
      <w:tblGrid>
        <w:gridCol w:w="1843"/>
        <w:gridCol w:w="3239"/>
        <w:gridCol w:w="1624"/>
        <w:gridCol w:w="1516"/>
        <w:gridCol w:w="1604"/>
        <w:gridCol w:w="2651"/>
        <w:gridCol w:w="2260"/>
      </w:tblGrid>
      <w:tr w:rsidR="003D7EFD" w:rsidRPr="00A503DC" w14:paraId="38E88BD9"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FEA7909"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2132342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1E08570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0FF4F4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1D9054CB"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4511C3F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5597BAD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69CF051B"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4C49DC5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15.1 Unisex accessible toilet – premises and infrastructure</w:t>
            </w:r>
          </w:p>
        </w:tc>
        <w:tc>
          <w:tcPr>
            <w:tcW w:w="3239" w:type="dxa"/>
          </w:tcPr>
          <w:p w14:paraId="4896237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unisex accessible toilets at premises and infrastructure.</w:t>
            </w:r>
          </w:p>
        </w:tc>
        <w:tc>
          <w:tcPr>
            <w:tcW w:w="1624" w:type="dxa"/>
          </w:tcPr>
          <w:p w14:paraId="42DC22E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12334C5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5503577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7C3FC8E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tc>
        <w:tc>
          <w:tcPr>
            <w:tcW w:w="2260" w:type="dxa"/>
          </w:tcPr>
          <w:p w14:paraId="360BEB43"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15.1 Location</w:t>
            </w:r>
            <w:r w:rsidRPr="00A503DC">
              <w:rPr>
                <w:rFonts w:ascii="Calibri" w:eastAsia="Aptos" w:hAnsi="Calibri" w:cs="Calibri"/>
                <w:color w:val="auto"/>
                <w:kern w:val="2"/>
                <w14:ligatures w14:val="standardContextual"/>
              </w:rPr>
              <w:br/>
            </w:r>
          </w:p>
          <w:p w14:paraId="024D47FA"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15.2 Size</w:t>
            </w:r>
          </w:p>
        </w:tc>
      </w:tr>
      <w:tr w:rsidR="003D7EFD" w:rsidRPr="00A503DC" w14:paraId="38834B71"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4603BAF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15.3 Unisex accessible toilet – ferries and accessible rail cars</w:t>
            </w:r>
          </w:p>
        </w:tc>
        <w:tc>
          <w:tcPr>
            <w:tcW w:w="3239" w:type="dxa"/>
          </w:tcPr>
          <w:p w14:paraId="18299F7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if two or more unisex accessible toilets are provided on board a ferry or accessible rail car, they must be provided in equal or near equal proportions of left- and right-hand configurations.</w:t>
            </w:r>
          </w:p>
        </w:tc>
        <w:tc>
          <w:tcPr>
            <w:tcW w:w="1624" w:type="dxa"/>
          </w:tcPr>
          <w:p w14:paraId="0FD7F92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Ferries, accessible rail cars</w:t>
            </w:r>
          </w:p>
        </w:tc>
        <w:tc>
          <w:tcPr>
            <w:tcW w:w="1516" w:type="dxa"/>
          </w:tcPr>
          <w:p w14:paraId="6B7EA50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48E2FD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0DCF638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ferries and accessible rail cars</w:t>
            </w:r>
          </w:p>
        </w:tc>
        <w:tc>
          <w:tcPr>
            <w:tcW w:w="2260" w:type="dxa"/>
          </w:tcPr>
          <w:p w14:paraId="682A83C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15.1 Location</w:t>
            </w:r>
            <w:r w:rsidRPr="00A503DC">
              <w:rPr>
                <w:rFonts w:ascii="Calibri" w:eastAsia="Aptos" w:hAnsi="Calibri" w:cs="Calibri"/>
                <w:color w:val="auto"/>
                <w:kern w:val="2"/>
                <w14:ligatures w14:val="standardContextual"/>
              </w:rPr>
              <w:br/>
            </w:r>
          </w:p>
          <w:p w14:paraId="420DDFDA"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15.2 Size</w:t>
            </w:r>
            <w:r w:rsidRPr="00A503DC">
              <w:rPr>
                <w:rFonts w:ascii="Calibri" w:eastAsia="Aptos" w:hAnsi="Calibri" w:cs="Calibri"/>
                <w:color w:val="auto"/>
                <w:kern w:val="2"/>
                <w14:ligatures w14:val="standardContextual"/>
              </w:rPr>
              <w:br/>
            </w:r>
          </w:p>
          <w:p w14:paraId="29518C62"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15.3 Equal proportion of left- and right-hand configurations</w:t>
            </w:r>
          </w:p>
        </w:tc>
      </w:tr>
      <w:tr w:rsidR="003D7EFD" w:rsidRPr="00A503DC" w14:paraId="492ECBE2"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1FF1FE9A"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15.4 Requirements for accessible toilets – ferries and accessible rail cars</w:t>
            </w:r>
          </w:p>
        </w:tc>
        <w:tc>
          <w:tcPr>
            <w:tcW w:w="3239" w:type="dxa"/>
          </w:tcPr>
          <w:p w14:paraId="21C1178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accessible toilets on ferries and accessible rail cars to have hand washing facilities located within the toilet cubicle in accordance with a referenced Australian Standard.</w:t>
            </w:r>
          </w:p>
        </w:tc>
        <w:tc>
          <w:tcPr>
            <w:tcW w:w="1624" w:type="dxa"/>
          </w:tcPr>
          <w:p w14:paraId="07B0C87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Ferries, accessible rail cars</w:t>
            </w:r>
          </w:p>
        </w:tc>
        <w:tc>
          <w:tcPr>
            <w:tcW w:w="1516" w:type="dxa"/>
          </w:tcPr>
          <w:p w14:paraId="2406A9E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2EB12A1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5DA84AA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ferries and accessible rail cars</w:t>
            </w:r>
          </w:p>
        </w:tc>
        <w:tc>
          <w:tcPr>
            <w:tcW w:w="2260" w:type="dxa"/>
          </w:tcPr>
          <w:p w14:paraId="1C45FA5C"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15.1 Location</w:t>
            </w:r>
            <w:r w:rsidRPr="00A503DC">
              <w:rPr>
                <w:rFonts w:ascii="Calibri" w:eastAsia="Aptos" w:hAnsi="Calibri" w:cs="Calibri"/>
                <w:color w:val="auto"/>
                <w:kern w:val="2"/>
                <w14:ligatures w14:val="standardContextual"/>
              </w:rPr>
              <w:br/>
            </w:r>
          </w:p>
          <w:p w14:paraId="43A26CA5"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15.2 Size</w:t>
            </w:r>
          </w:p>
        </w:tc>
      </w:tr>
    </w:tbl>
    <w:p w14:paraId="2350840E" w14:textId="77777777" w:rsidR="003D7EFD" w:rsidRDefault="003D7EFD" w:rsidP="00B05A51">
      <w:pPr>
        <w:pStyle w:val="Tablefigureheading"/>
      </w:pPr>
      <w:r>
        <w:t xml:space="preserve">Table </w:t>
      </w:r>
      <w:fldSimple w:instr=" SEQ Table \* ARABIC ">
        <w:r>
          <w:rPr>
            <w:noProof/>
          </w:rPr>
          <w:t>14</w:t>
        </w:r>
      </w:fldSimple>
      <w:r>
        <w:t xml:space="preserve">: </w:t>
      </w:r>
      <w:r w:rsidRPr="009E2BDD">
        <w:t>Summary of amendments to Part 16 (Symbols)</w:t>
      </w:r>
    </w:p>
    <w:tbl>
      <w:tblPr>
        <w:tblStyle w:val="DefaultTable1"/>
        <w:tblW w:w="14737" w:type="dxa"/>
        <w:tblLook w:val="04A0" w:firstRow="1" w:lastRow="0" w:firstColumn="1" w:lastColumn="0" w:noHBand="0" w:noVBand="1"/>
        <w:tblCaption w:val="Summary of amendments to Part 16 (Symbols)"/>
        <w:tblDescription w:val="Summary of amendments to Part 16 (Symbols)"/>
      </w:tblPr>
      <w:tblGrid>
        <w:gridCol w:w="1843"/>
        <w:gridCol w:w="3239"/>
        <w:gridCol w:w="1624"/>
        <w:gridCol w:w="1516"/>
        <w:gridCol w:w="1604"/>
        <w:gridCol w:w="2651"/>
        <w:gridCol w:w="2260"/>
      </w:tblGrid>
      <w:tr w:rsidR="003D7EFD" w:rsidRPr="00A503DC" w14:paraId="3EE3A117"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2E6D697"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4CC33FF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979A9C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B739A0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2CE8CAE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79BC908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5202578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1A3A6F2"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DA7D628"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16.1   International symbol for accessibility and deafness</w:t>
            </w:r>
          </w:p>
        </w:tc>
        <w:tc>
          <w:tcPr>
            <w:tcW w:w="3239" w:type="dxa"/>
          </w:tcPr>
          <w:p w14:paraId="6ACF9E7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outlining specifications and how international symbols for accessibility and deafness should be provided.</w:t>
            </w:r>
          </w:p>
        </w:tc>
        <w:tc>
          <w:tcPr>
            <w:tcW w:w="1624" w:type="dxa"/>
          </w:tcPr>
          <w:p w14:paraId="39FEFE3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066B6CC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6239F91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515FAE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1746C942"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17.1 Location of signs</w:t>
            </w:r>
          </w:p>
        </w:tc>
      </w:tr>
    </w:tbl>
    <w:p w14:paraId="4E484DB5" w14:textId="77777777" w:rsidR="003D7EFD" w:rsidRDefault="003D7EFD" w:rsidP="00B05A51">
      <w:pPr>
        <w:pStyle w:val="Tablefigureheading"/>
      </w:pPr>
      <w:r>
        <w:lastRenderedPageBreak/>
        <w:t xml:space="preserve">Table </w:t>
      </w:r>
      <w:fldSimple w:instr=" SEQ Table \* ARABIC ">
        <w:r>
          <w:rPr>
            <w:noProof/>
          </w:rPr>
          <w:t>15</w:t>
        </w:r>
      </w:fldSimple>
      <w:r>
        <w:t xml:space="preserve">: </w:t>
      </w:r>
      <w:r w:rsidRPr="004F77EB">
        <w:t>Summary of amendments to Part 17 (Signs)</w:t>
      </w:r>
    </w:p>
    <w:tbl>
      <w:tblPr>
        <w:tblStyle w:val="DefaultTable1"/>
        <w:tblW w:w="14737" w:type="dxa"/>
        <w:tblLook w:val="04A0" w:firstRow="1" w:lastRow="0" w:firstColumn="1" w:lastColumn="0" w:noHBand="0" w:noVBand="1"/>
        <w:tblCaption w:val="Summary of amendments to Part 17 (Signs)"/>
        <w:tblDescription w:val="Summary of amendments to Part 17 (Signs)"/>
      </w:tblPr>
      <w:tblGrid>
        <w:gridCol w:w="1843"/>
        <w:gridCol w:w="3239"/>
        <w:gridCol w:w="1624"/>
        <w:gridCol w:w="1516"/>
        <w:gridCol w:w="1604"/>
        <w:gridCol w:w="2651"/>
        <w:gridCol w:w="2260"/>
      </w:tblGrid>
      <w:tr w:rsidR="003D7EFD" w:rsidRPr="00A503DC" w14:paraId="70166BDF"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6D9F0A5"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31F1C64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234F7D1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3B7D934C"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5B88A53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24366028"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5513B513"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9DA5E4D"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27353F47"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17.1 Height, illumination and legibility</w:t>
            </w:r>
          </w:p>
        </w:tc>
        <w:tc>
          <w:tcPr>
            <w:tcW w:w="3239" w:type="dxa"/>
          </w:tcPr>
          <w:p w14:paraId="40C9449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design of signs, including letter height and font and luminance contrast.</w:t>
            </w:r>
          </w:p>
        </w:tc>
        <w:tc>
          <w:tcPr>
            <w:tcW w:w="1624" w:type="dxa"/>
          </w:tcPr>
          <w:p w14:paraId="0459E8E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084852F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59A382E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70E2BCF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4577A3F9"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17.2 Signs identifying accessible features or facilities</w:t>
            </w:r>
          </w:p>
        </w:tc>
      </w:tr>
      <w:tr w:rsidR="003D7EFD" w:rsidRPr="00A503DC" w14:paraId="07EF0118"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6960777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17.2 Location of signs</w:t>
            </w:r>
          </w:p>
        </w:tc>
        <w:tc>
          <w:tcPr>
            <w:tcW w:w="3239" w:type="dxa"/>
          </w:tcPr>
          <w:p w14:paraId="34D381E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location of signs and requirements for signs directing people to accessible entrances.</w:t>
            </w:r>
          </w:p>
        </w:tc>
        <w:tc>
          <w:tcPr>
            <w:tcW w:w="1624" w:type="dxa"/>
          </w:tcPr>
          <w:p w14:paraId="312BF9F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aircraft, trains, trams and light rail</w:t>
            </w:r>
          </w:p>
        </w:tc>
        <w:tc>
          <w:tcPr>
            <w:tcW w:w="1516" w:type="dxa"/>
          </w:tcPr>
          <w:p w14:paraId="7F21AAF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49A9641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27242A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7473577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17.1 Location of signs</w:t>
            </w:r>
          </w:p>
        </w:tc>
      </w:tr>
      <w:tr w:rsidR="003D7EFD" w:rsidRPr="00A503DC" w14:paraId="23701FDE"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7709BB2D"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17.3 Signs in spaces with hearing augmentation systems</w:t>
            </w:r>
          </w:p>
        </w:tc>
        <w:tc>
          <w:tcPr>
            <w:tcW w:w="3239" w:type="dxa"/>
          </w:tcPr>
          <w:p w14:paraId="4B5E95C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signage to be provided to identify spaces where a hearing augmentation system is installed.</w:t>
            </w:r>
          </w:p>
        </w:tc>
        <w:tc>
          <w:tcPr>
            <w:tcW w:w="1624" w:type="dxa"/>
          </w:tcPr>
          <w:p w14:paraId="06A5950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aircraft, trains, trams and light rail</w:t>
            </w:r>
          </w:p>
        </w:tc>
        <w:tc>
          <w:tcPr>
            <w:tcW w:w="1516" w:type="dxa"/>
          </w:tcPr>
          <w:p w14:paraId="195389F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34E14AD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4201AA3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54ED01EF"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26.1 Hearing augmentation - conveyances</w:t>
            </w:r>
          </w:p>
        </w:tc>
      </w:tr>
      <w:tr w:rsidR="003D7EFD" w:rsidRPr="00A503DC" w14:paraId="41DF9771"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F834CA9"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17.3A Signs in sanitary facilities</w:t>
            </w:r>
          </w:p>
        </w:tc>
        <w:tc>
          <w:tcPr>
            <w:tcW w:w="3239" w:type="dxa"/>
          </w:tcPr>
          <w:p w14:paraId="0B20AE0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signage must be provided to direct users to accessible sanitary facilities and to identify if a unisex toilet is suitable for left- or right-handed use.</w:t>
            </w:r>
          </w:p>
        </w:tc>
        <w:tc>
          <w:tcPr>
            <w:tcW w:w="1624" w:type="dxa"/>
          </w:tcPr>
          <w:p w14:paraId="7FC1636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aircraft, trains, trams and light rail</w:t>
            </w:r>
          </w:p>
        </w:tc>
        <w:tc>
          <w:tcPr>
            <w:tcW w:w="1516" w:type="dxa"/>
          </w:tcPr>
          <w:p w14:paraId="390FB2A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2A46505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684197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74D2464B"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17.2 Signs identifying accessible features or facilities</w:t>
            </w:r>
          </w:p>
        </w:tc>
      </w:tr>
      <w:tr w:rsidR="003D7EFD" w:rsidRPr="00A503DC" w14:paraId="21BC5D9F"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39C1AEFB"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17.5 Digital information display screens</w:t>
            </w:r>
          </w:p>
        </w:tc>
        <w:tc>
          <w:tcPr>
            <w:tcW w:w="3239" w:type="dxa"/>
          </w:tcPr>
          <w:p w14:paraId="5662A05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provision of information on digital information display screens, including location and design requirements.</w:t>
            </w:r>
          </w:p>
        </w:tc>
        <w:tc>
          <w:tcPr>
            <w:tcW w:w="1624" w:type="dxa"/>
          </w:tcPr>
          <w:p w14:paraId="20AEC6B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6C09ED0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3D85A7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2E12CD5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digital information display screens</w:t>
            </w:r>
          </w:p>
        </w:tc>
        <w:tc>
          <w:tcPr>
            <w:tcW w:w="2260" w:type="dxa"/>
          </w:tcPr>
          <w:p w14:paraId="225B403E"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17.3 Digital information screens</w:t>
            </w:r>
          </w:p>
        </w:tc>
      </w:tr>
      <w:tr w:rsidR="003D7EFD" w:rsidRPr="00A503DC" w14:paraId="30E0911C"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52606118"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Section 17.6 – 17.6E (requirements for braille and tactile signs and labels)</w:t>
            </w:r>
          </w:p>
        </w:tc>
        <w:tc>
          <w:tcPr>
            <w:tcW w:w="3239" w:type="dxa"/>
          </w:tcPr>
          <w:p w14:paraId="5679C8B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 range of new requirements for the design of braille and tactile signs and labels, including design requirements, formatting and location.</w:t>
            </w:r>
          </w:p>
        </w:tc>
        <w:tc>
          <w:tcPr>
            <w:tcW w:w="1624" w:type="dxa"/>
          </w:tcPr>
          <w:p w14:paraId="1916A72C"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1517F26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2BBA58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3C9D76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signage</w:t>
            </w:r>
          </w:p>
        </w:tc>
        <w:tc>
          <w:tcPr>
            <w:tcW w:w="2260" w:type="dxa"/>
          </w:tcPr>
          <w:p w14:paraId="715A50F4"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17.4 Braille design requirements </w:t>
            </w:r>
          </w:p>
        </w:tc>
      </w:tr>
    </w:tbl>
    <w:p w14:paraId="322BAB60" w14:textId="77777777" w:rsidR="003D7EFD" w:rsidRDefault="003D7EFD" w:rsidP="00B05A51">
      <w:pPr>
        <w:pStyle w:val="Tablefigureheading"/>
      </w:pPr>
      <w:r>
        <w:t xml:space="preserve">Table </w:t>
      </w:r>
      <w:fldSimple w:instr=" SEQ Table \* ARABIC ">
        <w:r>
          <w:rPr>
            <w:noProof/>
          </w:rPr>
          <w:t>16</w:t>
        </w:r>
      </w:fldSimple>
      <w:r>
        <w:t xml:space="preserve">: </w:t>
      </w:r>
      <w:r w:rsidRPr="00903A24">
        <w:t>Summary of amendments to Part 18 (Tactile ground surface indicators)</w:t>
      </w:r>
    </w:p>
    <w:tbl>
      <w:tblPr>
        <w:tblStyle w:val="DefaultTable1"/>
        <w:tblW w:w="14737" w:type="dxa"/>
        <w:tblLook w:val="04A0" w:firstRow="1" w:lastRow="0" w:firstColumn="1" w:lastColumn="0" w:noHBand="0" w:noVBand="1"/>
        <w:tblCaption w:val="Summary of amendments to Part 18 (Tactile ground surface indicators)"/>
        <w:tblDescription w:val="Summary of amendments to Part 18 (Tactile ground surface indicators)"/>
      </w:tblPr>
      <w:tblGrid>
        <w:gridCol w:w="1843"/>
        <w:gridCol w:w="3239"/>
        <w:gridCol w:w="1624"/>
        <w:gridCol w:w="1516"/>
        <w:gridCol w:w="1604"/>
        <w:gridCol w:w="2651"/>
        <w:gridCol w:w="2260"/>
      </w:tblGrid>
      <w:tr w:rsidR="003D7EFD" w:rsidRPr="00A503DC" w14:paraId="3CA727FA"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505A514C"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33EDBF2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42CA2BC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60FD71F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760ADFC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1A38ED6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14F957B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26B7F497"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73B57E81"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18.1 Location</w:t>
            </w:r>
          </w:p>
        </w:tc>
        <w:tc>
          <w:tcPr>
            <w:tcW w:w="3239" w:type="dxa"/>
          </w:tcPr>
          <w:p w14:paraId="14C30F2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Australian/New Zealand Standard specifications for the location of warning TGSIs.</w:t>
            </w:r>
          </w:p>
        </w:tc>
        <w:tc>
          <w:tcPr>
            <w:tcW w:w="1624" w:type="dxa"/>
          </w:tcPr>
          <w:p w14:paraId="1A29216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36F3959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39BF3AB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783B7AE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tactile ground surface indicators in premises and infrastructure</w:t>
            </w:r>
          </w:p>
          <w:p w14:paraId="1CE6F19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62D0246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tactile ground surface indicators – 10-year set timeframe</w:t>
            </w:r>
          </w:p>
        </w:tc>
        <w:tc>
          <w:tcPr>
            <w:tcW w:w="2260" w:type="dxa"/>
          </w:tcPr>
          <w:p w14:paraId="66121DE5"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18.1 Directional tactile ground surface indicators</w:t>
            </w:r>
            <w:r w:rsidRPr="00A503DC">
              <w:rPr>
                <w:rFonts w:ascii="Calibri" w:eastAsia="Aptos" w:hAnsi="Calibri" w:cs="Calibri"/>
                <w:color w:val="auto"/>
                <w:kern w:val="2"/>
                <w14:ligatures w14:val="standardContextual"/>
              </w:rPr>
              <w:br/>
            </w:r>
          </w:p>
          <w:p w14:paraId="6011D226"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18.2 Integrating wayfinding elements</w:t>
            </w:r>
          </w:p>
        </w:tc>
      </w:tr>
      <w:tr w:rsidR="003D7EFD" w:rsidRPr="00A503DC" w14:paraId="5E25631E" w14:textId="77777777" w:rsidTr="005C109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A2F1733"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18.2 Style and dimensions</w:t>
            </w:r>
          </w:p>
        </w:tc>
        <w:tc>
          <w:tcPr>
            <w:tcW w:w="3239" w:type="dxa"/>
          </w:tcPr>
          <w:p w14:paraId="7B99F14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Australian/New Zealand Standard specifications for the design of warning and directional TGSIs.</w:t>
            </w:r>
          </w:p>
        </w:tc>
        <w:tc>
          <w:tcPr>
            <w:tcW w:w="1624" w:type="dxa"/>
          </w:tcPr>
          <w:p w14:paraId="5BC9B3B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6400509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premises to which the Premises Standards apply)</w:t>
            </w:r>
          </w:p>
        </w:tc>
        <w:tc>
          <w:tcPr>
            <w:tcW w:w="1604" w:type="dxa"/>
          </w:tcPr>
          <w:p w14:paraId="7B218EC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516EFF7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tactile ground surface indicators in premises and infrastructure</w:t>
            </w:r>
          </w:p>
          <w:p w14:paraId="2A4A973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0A9750C1"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tactile ground surface indicators – 10-year set timeframe</w:t>
            </w:r>
          </w:p>
        </w:tc>
        <w:tc>
          <w:tcPr>
            <w:tcW w:w="2260" w:type="dxa"/>
          </w:tcPr>
          <w:p w14:paraId="6A01ABB1"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18.1 Directional tactile ground surface indicators</w:t>
            </w:r>
            <w:r w:rsidRPr="00A503DC">
              <w:rPr>
                <w:rFonts w:ascii="Calibri" w:eastAsia="Aptos" w:hAnsi="Calibri" w:cs="Calibri"/>
                <w:color w:val="auto"/>
                <w:kern w:val="2"/>
                <w14:ligatures w14:val="standardContextual"/>
              </w:rPr>
              <w:br/>
            </w:r>
          </w:p>
          <w:p w14:paraId="5D248C40"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18.2 Integrating wayfinding elements</w:t>
            </w:r>
          </w:p>
        </w:tc>
      </w:tr>
    </w:tbl>
    <w:p w14:paraId="5B585701" w14:textId="77777777" w:rsidR="003D7EFD" w:rsidRDefault="003D7EFD" w:rsidP="00B05A51">
      <w:pPr>
        <w:pStyle w:val="Tablefigureheading"/>
      </w:pPr>
      <w:r>
        <w:lastRenderedPageBreak/>
        <w:t xml:space="preserve">Table </w:t>
      </w:r>
      <w:fldSimple w:instr=" SEQ Table \* ARABIC ">
        <w:r>
          <w:rPr>
            <w:noProof/>
          </w:rPr>
          <w:t>17</w:t>
        </w:r>
      </w:fldSimple>
      <w:r>
        <w:t xml:space="preserve">: </w:t>
      </w:r>
      <w:r w:rsidRPr="004119BB">
        <w:t>Summary of amendments to Part 21 (Door controls, switches and general-purpose outlets)</w:t>
      </w:r>
    </w:p>
    <w:tbl>
      <w:tblPr>
        <w:tblStyle w:val="DefaultTable1"/>
        <w:tblW w:w="14737" w:type="dxa"/>
        <w:tblLook w:val="04A0" w:firstRow="1" w:lastRow="0" w:firstColumn="1" w:lastColumn="0" w:noHBand="0" w:noVBand="1"/>
        <w:tblCaption w:val="Summary of amendments to Part 21 (Door controls, switches and general purpose outlets)"/>
        <w:tblDescription w:val="Summary of amendments to Part 21 (Door controls, switches and general purpose outlets)"/>
      </w:tblPr>
      <w:tblGrid>
        <w:gridCol w:w="1843"/>
        <w:gridCol w:w="3239"/>
        <w:gridCol w:w="1624"/>
        <w:gridCol w:w="1516"/>
        <w:gridCol w:w="1604"/>
        <w:gridCol w:w="2651"/>
        <w:gridCol w:w="2260"/>
      </w:tblGrid>
      <w:tr w:rsidR="003D7EFD" w:rsidRPr="00A503DC" w14:paraId="3AC474AD"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70EAAC9"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38BAD0A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1E3D5F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C940DC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66E1ECE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44A30B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2D3A907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6DDB9507"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1DBCF61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21.3   Location of passenger-operated controls for opening and locking doors</w:t>
            </w:r>
          </w:p>
        </w:tc>
        <w:tc>
          <w:tcPr>
            <w:tcW w:w="3239" w:type="dxa"/>
          </w:tcPr>
          <w:p w14:paraId="75391FF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for the location of passenger-operated opening and locking controls.</w:t>
            </w:r>
          </w:p>
        </w:tc>
        <w:tc>
          <w:tcPr>
            <w:tcW w:w="1624" w:type="dxa"/>
          </w:tcPr>
          <w:p w14:paraId="2B8BA07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coaches, ferries, trains, trams and light rail</w:t>
            </w:r>
          </w:p>
        </w:tc>
        <w:tc>
          <w:tcPr>
            <w:tcW w:w="1516" w:type="dxa"/>
          </w:tcPr>
          <w:p w14:paraId="2696EFE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077F785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0389D9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57035B1D"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36CB418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controls</w:t>
            </w:r>
          </w:p>
        </w:tc>
        <w:tc>
          <w:tcPr>
            <w:tcW w:w="2260" w:type="dxa"/>
          </w:tcPr>
          <w:p w14:paraId="2E9D914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21.1 Application is only to doors for public use</w:t>
            </w:r>
          </w:p>
        </w:tc>
      </w:tr>
    </w:tbl>
    <w:p w14:paraId="1BF122E2" w14:textId="77777777" w:rsidR="003D7EFD" w:rsidRDefault="003D7EFD" w:rsidP="00B05A51">
      <w:pPr>
        <w:pStyle w:val="Tablefigureheading"/>
      </w:pPr>
      <w:r>
        <w:t xml:space="preserve">Table </w:t>
      </w:r>
      <w:fldSimple w:instr=" SEQ Table \* ARABIC ">
        <w:r>
          <w:rPr>
            <w:noProof/>
          </w:rPr>
          <w:t>18</w:t>
        </w:r>
      </w:fldSimple>
      <w:r>
        <w:t xml:space="preserve">: </w:t>
      </w:r>
      <w:r w:rsidRPr="0024533C">
        <w:t>Summary of amendments to Part 24 (Access gates)</w:t>
      </w:r>
    </w:p>
    <w:tbl>
      <w:tblPr>
        <w:tblStyle w:val="DefaultTable1"/>
        <w:tblW w:w="14737" w:type="dxa"/>
        <w:tblLook w:val="04A0" w:firstRow="1" w:lastRow="0" w:firstColumn="1" w:lastColumn="0" w:noHBand="0" w:noVBand="1"/>
        <w:tblCaption w:val="Summary of amendments to Part 24 (Access gates)"/>
        <w:tblDescription w:val="Summary of amendments to Part 24 (Access gates)"/>
      </w:tblPr>
      <w:tblGrid>
        <w:gridCol w:w="1843"/>
        <w:gridCol w:w="3239"/>
        <w:gridCol w:w="1624"/>
        <w:gridCol w:w="1516"/>
        <w:gridCol w:w="1604"/>
        <w:gridCol w:w="2651"/>
        <w:gridCol w:w="2260"/>
      </w:tblGrid>
      <w:tr w:rsidR="003D7EFD" w:rsidRPr="00A503DC" w14:paraId="513FA272"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CD3FCF7"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3B9C406F"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7460BEB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3E812488"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7B635C2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2DD25F51"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7A9F6DA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311BC7A9"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1147E188"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24.1 Access gates</w:t>
            </w:r>
          </w:p>
        </w:tc>
        <w:tc>
          <w:tcPr>
            <w:tcW w:w="3239" w:type="dxa"/>
          </w:tcPr>
          <w:p w14:paraId="0DA3EA6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the minimum width of an accessible gate separating paid and unpaid areas of a station or interchange.</w:t>
            </w:r>
          </w:p>
        </w:tc>
        <w:tc>
          <w:tcPr>
            <w:tcW w:w="1624" w:type="dxa"/>
          </w:tcPr>
          <w:p w14:paraId="6463927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516" w:type="dxa"/>
          </w:tcPr>
          <w:p w14:paraId="5AF7739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6219575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137AFD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premises and infrastructure</w:t>
            </w:r>
          </w:p>
          <w:p w14:paraId="5062B1A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754599D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access gates</w:t>
            </w:r>
          </w:p>
        </w:tc>
        <w:tc>
          <w:tcPr>
            <w:tcW w:w="2260" w:type="dxa"/>
          </w:tcPr>
          <w:p w14:paraId="0A2B104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 24.1 Access gates</w:t>
            </w:r>
          </w:p>
        </w:tc>
      </w:tr>
    </w:tbl>
    <w:p w14:paraId="11C778C3" w14:textId="77777777" w:rsidR="003D7EFD" w:rsidRDefault="003D7EFD" w:rsidP="00B05A51">
      <w:pPr>
        <w:pStyle w:val="Tablefigureheading"/>
      </w:pPr>
      <w:r>
        <w:t xml:space="preserve">Table </w:t>
      </w:r>
      <w:fldSimple w:instr=" SEQ Table \* ARABIC ">
        <w:r>
          <w:rPr>
            <w:noProof/>
          </w:rPr>
          <w:t>19</w:t>
        </w:r>
      </w:fldSimple>
      <w:r>
        <w:t xml:space="preserve">: </w:t>
      </w:r>
      <w:r w:rsidRPr="00E835D2">
        <w:t>Summary of amendments to Part 25 (Payment of fares)</w:t>
      </w:r>
    </w:p>
    <w:tbl>
      <w:tblPr>
        <w:tblStyle w:val="DefaultTable1"/>
        <w:tblW w:w="14737" w:type="dxa"/>
        <w:tblLook w:val="04A0" w:firstRow="1" w:lastRow="0" w:firstColumn="1" w:lastColumn="0" w:noHBand="0" w:noVBand="1"/>
        <w:tblCaption w:val="Summary of amendments to Part 25 (Payment of fares)"/>
        <w:tblDescription w:val="Summary of amendments to Part 25 (Payment of fares)"/>
      </w:tblPr>
      <w:tblGrid>
        <w:gridCol w:w="1843"/>
        <w:gridCol w:w="3239"/>
        <w:gridCol w:w="1624"/>
        <w:gridCol w:w="1516"/>
        <w:gridCol w:w="1604"/>
        <w:gridCol w:w="2651"/>
        <w:gridCol w:w="2260"/>
      </w:tblGrid>
      <w:tr w:rsidR="003D7EFD" w:rsidRPr="00A503DC" w14:paraId="2BF7221D"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C708691"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73E7253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058BA63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59737F5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3EE908C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0D02311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282198F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04D60840"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42E48435"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25.2 Requirements for an accessible fare system</w:t>
            </w:r>
          </w:p>
        </w:tc>
        <w:tc>
          <w:tcPr>
            <w:tcW w:w="3239" w:type="dxa"/>
          </w:tcPr>
          <w:p w14:paraId="53B0BEA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design features that fare payment systems must meet, such as vending machines, check-in kiosks and cashes reload and validation devices.</w:t>
            </w:r>
          </w:p>
        </w:tc>
        <w:tc>
          <w:tcPr>
            <w:tcW w:w="1624" w:type="dxa"/>
          </w:tcPr>
          <w:p w14:paraId="3E8E8E2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7DF0D35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1AE9D5D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17BDED3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 premises and infrastructure</w:t>
            </w:r>
          </w:p>
          <w:p w14:paraId="6C42AC8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54E1847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fare system elements</w:t>
            </w:r>
          </w:p>
        </w:tc>
        <w:tc>
          <w:tcPr>
            <w:tcW w:w="2260" w:type="dxa"/>
          </w:tcPr>
          <w:p w14:paraId="6AA2D550"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25.1 General principles</w:t>
            </w:r>
            <w:r w:rsidRPr="00A503DC">
              <w:rPr>
                <w:rFonts w:ascii="Calibri" w:eastAsia="Aptos" w:hAnsi="Calibri" w:cs="Calibri"/>
                <w:color w:val="auto"/>
                <w:kern w:val="2"/>
                <w14:ligatures w14:val="standardContextual"/>
              </w:rPr>
              <w:br/>
            </w:r>
          </w:p>
          <w:p w14:paraId="03DE5E58"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25.3 requirements for an accessible fare system</w:t>
            </w:r>
          </w:p>
        </w:tc>
      </w:tr>
    </w:tbl>
    <w:p w14:paraId="22072E28" w14:textId="77777777" w:rsidR="003D7EFD" w:rsidRDefault="003D7EFD" w:rsidP="00B05A51">
      <w:pPr>
        <w:pStyle w:val="Tablefigureheading"/>
      </w:pPr>
      <w:r>
        <w:lastRenderedPageBreak/>
        <w:t xml:space="preserve">Table </w:t>
      </w:r>
      <w:fldSimple w:instr=" SEQ Table \* ARABIC ">
        <w:r>
          <w:rPr>
            <w:noProof/>
          </w:rPr>
          <w:t>20</w:t>
        </w:r>
      </w:fldSimple>
      <w:r>
        <w:t xml:space="preserve">: </w:t>
      </w:r>
      <w:r w:rsidRPr="00E666C5">
        <w:t>Summary of amendments to Part 27 (Information)</w:t>
      </w:r>
    </w:p>
    <w:tbl>
      <w:tblPr>
        <w:tblStyle w:val="DefaultTable1"/>
        <w:tblW w:w="14737" w:type="dxa"/>
        <w:tblLook w:val="04A0" w:firstRow="1" w:lastRow="0" w:firstColumn="1" w:lastColumn="0" w:noHBand="0" w:noVBand="1"/>
        <w:tblCaption w:val="Summary of amendments to Part 27 (Information)"/>
        <w:tblDescription w:val="Summary of amendments to Part 27 (Information)"/>
      </w:tblPr>
      <w:tblGrid>
        <w:gridCol w:w="1843"/>
        <w:gridCol w:w="3239"/>
        <w:gridCol w:w="1624"/>
        <w:gridCol w:w="1516"/>
        <w:gridCol w:w="1604"/>
        <w:gridCol w:w="2651"/>
        <w:gridCol w:w="2260"/>
      </w:tblGrid>
      <w:tr w:rsidR="003D7EFD" w:rsidRPr="00A503DC" w14:paraId="41E5D9BC"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8828322"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11ED779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5E116CD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5D8A3D0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1B5491E9"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166E52FE"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2172885B"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8A60946"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29DED07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27.1 Provision of information in multiple formats</w:t>
            </w:r>
          </w:p>
        </w:tc>
        <w:tc>
          <w:tcPr>
            <w:tcW w:w="3239" w:type="dxa"/>
          </w:tcPr>
          <w:p w14:paraId="63F171C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general information about public transport services cannot be provided solely in an online format.</w:t>
            </w:r>
          </w:p>
        </w:tc>
        <w:tc>
          <w:tcPr>
            <w:tcW w:w="1624" w:type="dxa"/>
          </w:tcPr>
          <w:p w14:paraId="40A5B5E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303F5E7E"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0A18D4E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75AB6BB0"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highlight w:val="yellow"/>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4C4F48BB"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27.1 Access to information about public transport services</w:t>
            </w:r>
          </w:p>
        </w:tc>
      </w:tr>
      <w:tr w:rsidR="003D7EFD" w:rsidRPr="00A503DC" w14:paraId="62E8D16F"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34BE860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27.2 Direct assistance to be provided</w:t>
            </w:r>
          </w:p>
        </w:tc>
        <w:tc>
          <w:tcPr>
            <w:tcW w:w="3239" w:type="dxa"/>
          </w:tcPr>
          <w:p w14:paraId="0C281B2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information in infrequently requested formats must be provided in a timely manner if not immediately available, and equivalent access by direct assistance must be provided until the request is fulfilled.</w:t>
            </w:r>
          </w:p>
        </w:tc>
        <w:tc>
          <w:tcPr>
            <w:tcW w:w="1624" w:type="dxa"/>
          </w:tcPr>
          <w:p w14:paraId="79A6568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7D5224B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357C98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9DA8D9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highlight w:val="yellow"/>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0077B6E0"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27.1 Access to information about public transport services</w:t>
            </w:r>
          </w:p>
          <w:p w14:paraId="0BAF6600"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br/>
              <w:t>27.2 Timely provision of information</w:t>
            </w:r>
          </w:p>
        </w:tc>
      </w:tr>
      <w:tr w:rsidR="003D7EFD" w:rsidRPr="00A503DC" w14:paraId="53D124DD"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18B786F3"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27.3 Size and format of printing on request</w:t>
            </w:r>
          </w:p>
        </w:tc>
        <w:tc>
          <w:tcPr>
            <w:tcW w:w="3239" w:type="dxa"/>
          </w:tcPr>
          <w:p w14:paraId="53C0DE8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large print versions of documents must be made available, including design and formatting requirements.</w:t>
            </w:r>
          </w:p>
        </w:tc>
        <w:tc>
          <w:tcPr>
            <w:tcW w:w="1624" w:type="dxa"/>
          </w:tcPr>
          <w:p w14:paraId="2926FC5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57AAD6F7"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005A14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030877E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updated information provided to the public</w:t>
            </w:r>
          </w:p>
        </w:tc>
        <w:tc>
          <w:tcPr>
            <w:tcW w:w="2260" w:type="dxa"/>
          </w:tcPr>
          <w:p w14:paraId="76EBEC32"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27.1 Access to information about public transport services</w:t>
            </w:r>
          </w:p>
        </w:tc>
      </w:tr>
      <w:tr w:rsidR="003D7EFD" w:rsidRPr="00A503DC" w14:paraId="5949F59F"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980160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27.5 Braille embossed print format</w:t>
            </w:r>
          </w:p>
        </w:tc>
        <w:tc>
          <w:tcPr>
            <w:tcW w:w="3239" w:type="dxa"/>
          </w:tcPr>
          <w:p w14:paraId="61D9683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the format in which braille must be provided in embossed formats.</w:t>
            </w:r>
          </w:p>
        </w:tc>
        <w:tc>
          <w:tcPr>
            <w:tcW w:w="1624" w:type="dxa"/>
          </w:tcPr>
          <w:p w14:paraId="6C804B9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10DFD2F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75AE2187"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34492E4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76814BE8"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27.1 Access to information about public transport services</w:t>
            </w:r>
          </w:p>
        </w:tc>
      </w:tr>
      <w:tr w:rsidR="003D7EFD" w:rsidRPr="00A503DC" w14:paraId="6D2253EA"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0560B5CC"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27.6 Information about stops should be given during public transport journey</w:t>
            </w:r>
          </w:p>
        </w:tc>
        <w:tc>
          <w:tcPr>
            <w:tcW w:w="3239" w:type="dxa"/>
          </w:tcPr>
          <w:p w14:paraId="6A2B0F3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next stop information must be provided in both visual and audible formats.</w:t>
            </w:r>
          </w:p>
        </w:tc>
        <w:tc>
          <w:tcPr>
            <w:tcW w:w="1624" w:type="dxa"/>
          </w:tcPr>
          <w:p w14:paraId="10F30B4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 (except taxis and aircraft)</w:t>
            </w:r>
          </w:p>
        </w:tc>
        <w:tc>
          <w:tcPr>
            <w:tcW w:w="1516" w:type="dxa"/>
          </w:tcPr>
          <w:p w14:paraId="5705081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71393D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51BC89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conveyances</w:t>
            </w:r>
          </w:p>
          <w:p w14:paraId="55EB444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3DA69E6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Newly installed information displays and hearing augmentation systems</w:t>
            </w:r>
          </w:p>
        </w:tc>
        <w:tc>
          <w:tcPr>
            <w:tcW w:w="2260" w:type="dxa"/>
          </w:tcPr>
          <w:p w14:paraId="3C1783A6"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27.3 Passenger location during journey</w:t>
            </w:r>
          </w:p>
        </w:tc>
      </w:tr>
      <w:tr w:rsidR="003D7EFD" w:rsidRPr="00A503DC" w14:paraId="167D750A"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58FA255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Section 27.7 Online information about public transport services must be accessible</w:t>
            </w:r>
          </w:p>
        </w:tc>
        <w:tc>
          <w:tcPr>
            <w:tcW w:w="3239" w:type="dxa"/>
          </w:tcPr>
          <w:p w14:paraId="0F76E1F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minimum WCAG accessibility requirements for information provided by an operator or provider in an online format, including websites and mobile web systems.</w:t>
            </w:r>
          </w:p>
        </w:tc>
        <w:tc>
          <w:tcPr>
            <w:tcW w:w="1624" w:type="dxa"/>
          </w:tcPr>
          <w:p w14:paraId="5EC730B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1AA3FB7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1FF23C00"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2AF4A1F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and substantially refurbished or altered digital services</w:t>
            </w:r>
          </w:p>
          <w:p w14:paraId="05F58182"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3675FB5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tc>
        <w:tc>
          <w:tcPr>
            <w:tcW w:w="2260" w:type="dxa"/>
          </w:tcPr>
          <w:p w14:paraId="67392641"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27.6 Information and communications technology</w:t>
            </w:r>
          </w:p>
        </w:tc>
      </w:tr>
      <w:tr w:rsidR="003D7EFD" w:rsidRPr="00A503DC" w14:paraId="009C8F89"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65FFC9E9"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27.8 Information provided during disruptions</w:t>
            </w:r>
          </w:p>
        </w:tc>
        <w:tc>
          <w:tcPr>
            <w:tcW w:w="3239" w:type="dxa"/>
          </w:tcPr>
          <w:p w14:paraId="20F1E23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operators and providers must provide information about planned disruptions to services and alternative travel options in a variety of formats and with as much notice as can be reasonably provided in the circumstances.</w:t>
            </w:r>
          </w:p>
        </w:tc>
        <w:tc>
          <w:tcPr>
            <w:tcW w:w="1624" w:type="dxa"/>
          </w:tcPr>
          <w:p w14:paraId="7A80010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1BB4CB2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01E26E0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66A3309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1D8B35D3"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27.4 Information during service disruption</w:t>
            </w:r>
          </w:p>
        </w:tc>
      </w:tr>
      <w:tr w:rsidR="003D7EFD" w:rsidRPr="00A503DC" w14:paraId="2BAC5420"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13B30D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27.9 Communicating accessibility features of conveyances, premises and infrastructure</w:t>
            </w:r>
          </w:p>
        </w:tc>
        <w:tc>
          <w:tcPr>
            <w:tcW w:w="3239" w:type="dxa"/>
          </w:tcPr>
          <w:p w14:paraId="26CE9409"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specifying that operators and providers must publish information about accessibility features within their transport network and to identify access barriers within the network and publish information about solutions available to ensure access to the network </w:t>
            </w:r>
          </w:p>
        </w:tc>
        <w:tc>
          <w:tcPr>
            <w:tcW w:w="1624" w:type="dxa"/>
          </w:tcPr>
          <w:p w14:paraId="5E11E50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6F8B8E1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57D6594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552CB61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2F5359E4"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27.5 Communicating accessibility features of conveyances, premises and infrastructure</w:t>
            </w:r>
          </w:p>
        </w:tc>
      </w:tr>
      <w:tr w:rsidR="003D7EFD" w:rsidRPr="00A503DC" w14:paraId="27B003EE"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0D24105E"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27.10 Information and communication technology must be accessible</w:t>
            </w:r>
          </w:p>
        </w:tc>
        <w:tc>
          <w:tcPr>
            <w:tcW w:w="3239" w:type="dxa"/>
          </w:tcPr>
          <w:p w14:paraId="3B94973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any ICT hardware, services or software that is intended for public use must be accessible to people with disability.</w:t>
            </w:r>
          </w:p>
        </w:tc>
        <w:tc>
          <w:tcPr>
            <w:tcW w:w="1624" w:type="dxa"/>
          </w:tcPr>
          <w:p w14:paraId="4E7A64E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487F0EF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4D6F353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3E5A2E8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information and communication technology procurements</w:t>
            </w:r>
          </w:p>
        </w:tc>
        <w:tc>
          <w:tcPr>
            <w:tcW w:w="2260" w:type="dxa"/>
          </w:tcPr>
          <w:p w14:paraId="24B75120"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27.6 Information and communications technology</w:t>
            </w:r>
          </w:p>
        </w:tc>
      </w:tr>
    </w:tbl>
    <w:p w14:paraId="269389FE" w14:textId="77777777" w:rsidR="003D7EFD" w:rsidRDefault="003D7EFD" w:rsidP="00B05A51">
      <w:pPr>
        <w:pStyle w:val="Tablefigureheading"/>
      </w:pPr>
      <w:r>
        <w:lastRenderedPageBreak/>
        <w:t xml:space="preserve">Table </w:t>
      </w:r>
      <w:fldSimple w:instr=" SEQ Table \* ARABIC ">
        <w:r>
          <w:rPr>
            <w:noProof/>
          </w:rPr>
          <w:t>21</w:t>
        </w:r>
      </w:fldSimple>
      <w:r>
        <w:t xml:space="preserve">: </w:t>
      </w:r>
      <w:r w:rsidRPr="0075634C">
        <w:t>Summary of amendments to Part 28 (Booked services)</w:t>
      </w:r>
    </w:p>
    <w:tbl>
      <w:tblPr>
        <w:tblStyle w:val="DefaultTable1"/>
        <w:tblW w:w="14737" w:type="dxa"/>
        <w:tblLook w:val="04A0" w:firstRow="1" w:lastRow="0" w:firstColumn="1" w:lastColumn="0" w:noHBand="0" w:noVBand="1"/>
        <w:tblCaption w:val="Summary of amendments to Part 28 (Booked services)"/>
        <w:tblDescription w:val="Summary of amendments to Part 28 (Booked services)"/>
      </w:tblPr>
      <w:tblGrid>
        <w:gridCol w:w="1843"/>
        <w:gridCol w:w="3239"/>
        <w:gridCol w:w="1624"/>
        <w:gridCol w:w="1516"/>
        <w:gridCol w:w="1604"/>
        <w:gridCol w:w="2651"/>
        <w:gridCol w:w="2260"/>
      </w:tblGrid>
      <w:tr w:rsidR="003D7EFD" w:rsidRPr="00A503DC" w14:paraId="177AE3EC"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521A886"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774AC89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0AFE0D45"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F4FBD6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4121C7C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47F9C8FA"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549FF4B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61AD1233"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6086A25C" w14:textId="77777777" w:rsidR="003D7EFD" w:rsidRPr="00A503DC" w:rsidRDefault="003D7EFD" w:rsidP="005C1094">
            <w:pPr>
              <w:suppressAutoHyphens w:val="0"/>
              <w:spacing w:before="0" w:after="0"/>
              <w:rPr>
                <w:rFonts w:ascii="Calibri" w:eastAsia="Aptos" w:hAnsi="Calibri" w:cs="Calibri"/>
                <w:b w:val="0"/>
                <w:bCs/>
                <w:color w:val="auto"/>
                <w:kern w:val="2"/>
                <w14:ligatures w14:val="standardContextual"/>
              </w:rPr>
            </w:pPr>
            <w:r w:rsidRPr="00A503DC">
              <w:rPr>
                <w:rFonts w:ascii="Calibri" w:eastAsia="Aptos" w:hAnsi="Calibri" w:cs="Calibri"/>
                <w:b w:val="0"/>
                <w:bCs/>
                <w:color w:val="auto"/>
                <w:kern w:val="2"/>
                <w14:ligatures w14:val="standardContextual"/>
              </w:rPr>
              <w:t>Section 28.4 Location of carers, assistants and assistance animals</w:t>
            </w:r>
          </w:p>
        </w:tc>
        <w:tc>
          <w:tcPr>
            <w:tcW w:w="3239" w:type="dxa"/>
          </w:tcPr>
          <w:p w14:paraId="280F842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people with disability must be able to book seats that are appropriate their needs</w:t>
            </w:r>
          </w:p>
        </w:tc>
        <w:tc>
          <w:tcPr>
            <w:tcW w:w="1624" w:type="dxa"/>
          </w:tcPr>
          <w:p w14:paraId="764DB91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Aircraft, coaches, ferries, dial-a-ride services and trains.</w:t>
            </w:r>
          </w:p>
        </w:tc>
        <w:tc>
          <w:tcPr>
            <w:tcW w:w="1516" w:type="dxa"/>
          </w:tcPr>
          <w:p w14:paraId="1EC36B6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9FCD8A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040FCD3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6D409550"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28.1 Appropriate seats on booked services</w:t>
            </w:r>
          </w:p>
        </w:tc>
      </w:tr>
    </w:tbl>
    <w:p w14:paraId="47A01D59" w14:textId="77777777" w:rsidR="003D7EFD" w:rsidRDefault="003D7EFD" w:rsidP="00B05A51">
      <w:pPr>
        <w:pStyle w:val="Tablefigureheading"/>
      </w:pPr>
      <w:r>
        <w:t xml:space="preserve">Table </w:t>
      </w:r>
      <w:fldSimple w:instr=" SEQ Table \* ARABIC ">
        <w:r>
          <w:rPr>
            <w:noProof/>
          </w:rPr>
          <w:t>22</w:t>
        </w:r>
      </w:fldSimple>
      <w:r>
        <w:t xml:space="preserve">: </w:t>
      </w:r>
      <w:r w:rsidRPr="00B65060">
        <w:t>Summary of amendments to Part 31 (Priority seating)</w:t>
      </w:r>
    </w:p>
    <w:tbl>
      <w:tblPr>
        <w:tblStyle w:val="DefaultTable1"/>
        <w:tblW w:w="14737" w:type="dxa"/>
        <w:tblLook w:val="04A0" w:firstRow="1" w:lastRow="0" w:firstColumn="1" w:lastColumn="0" w:noHBand="0" w:noVBand="1"/>
        <w:tblCaption w:val="Summary of amendments to Part 31 (Priority seating)"/>
        <w:tblDescription w:val="Summary of amendments to Part 31 (Priority seating)"/>
      </w:tblPr>
      <w:tblGrid>
        <w:gridCol w:w="1843"/>
        <w:gridCol w:w="3239"/>
        <w:gridCol w:w="1624"/>
        <w:gridCol w:w="1516"/>
        <w:gridCol w:w="1604"/>
        <w:gridCol w:w="2651"/>
        <w:gridCol w:w="2260"/>
      </w:tblGrid>
      <w:tr w:rsidR="003D7EFD" w:rsidRPr="00A503DC" w14:paraId="710B8ECD" w14:textId="77777777" w:rsidTr="008E49B4">
        <w:trPr>
          <w:cnfStyle w:val="100000000000" w:firstRow="1" w:lastRow="0" w:firstColumn="0" w:lastColumn="0" w:oddVBand="0" w:evenVBand="0" w:oddHBand="0" w:evenHBand="0" w:firstRowFirstColumn="0" w:firstRowLastColumn="0" w:lastRowFirstColumn="0" w:lastRowLastColumn="0"/>
          <w:cantSplit/>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492AB9B"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69CE5610"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2BC88E3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480484C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7065E9D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10C864A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72CB01A8"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49C4C638"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6372499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31.1 Allocation of priority seating</w:t>
            </w:r>
          </w:p>
        </w:tc>
        <w:tc>
          <w:tcPr>
            <w:tcW w:w="3239" w:type="dxa"/>
          </w:tcPr>
          <w:p w14:paraId="327D9D6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the number of priority seats that must be provided on conveyances.</w:t>
            </w:r>
          </w:p>
        </w:tc>
        <w:tc>
          <w:tcPr>
            <w:tcW w:w="1624" w:type="dxa"/>
          </w:tcPr>
          <w:p w14:paraId="180BCB04"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ferries, rail cars, trams and light rail</w:t>
            </w:r>
          </w:p>
        </w:tc>
        <w:tc>
          <w:tcPr>
            <w:tcW w:w="1516" w:type="dxa"/>
          </w:tcPr>
          <w:p w14:paraId="1778091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301400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1202E8E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substantially refurbished conveyances</w:t>
            </w:r>
          </w:p>
          <w:p w14:paraId="14AD7F9F"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5F05B5DA"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seating in conveyances – 5-year set timeframe</w:t>
            </w:r>
          </w:p>
        </w:tc>
        <w:tc>
          <w:tcPr>
            <w:tcW w:w="2260" w:type="dxa"/>
          </w:tcPr>
          <w:p w14:paraId="791E43C9"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31.1 Priority seating and allocated spaces</w:t>
            </w:r>
          </w:p>
          <w:p w14:paraId="191B5CD3"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br/>
              <w:t>31.3 Use of folding seats in allocated spaces as priority seating</w:t>
            </w:r>
          </w:p>
        </w:tc>
      </w:tr>
      <w:tr w:rsidR="003D7EFD" w:rsidRPr="00A503DC" w14:paraId="7D8FFF62"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1CF53BB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31.2 Appearance and signage</w:t>
            </w:r>
          </w:p>
        </w:tc>
        <w:tc>
          <w:tcPr>
            <w:tcW w:w="3239" w:type="dxa"/>
          </w:tcPr>
          <w:p w14:paraId="06FFDDFB"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 xml:space="preserve">New requirements for the luminance contrast of the material of priority seats and for signage identifying the priority seat. </w:t>
            </w:r>
          </w:p>
        </w:tc>
        <w:tc>
          <w:tcPr>
            <w:tcW w:w="1624" w:type="dxa"/>
          </w:tcPr>
          <w:p w14:paraId="20F3902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ferries, rail cars, trams and light rail</w:t>
            </w:r>
          </w:p>
        </w:tc>
        <w:tc>
          <w:tcPr>
            <w:tcW w:w="1516" w:type="dxa"/>
          </w:tcPr>
          <w:p w14:paraId="3AEDAA7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4AB26F73"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3A6A7A26"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substantially refurbished conveyances</w:t>
            </w:r>
          </w:p>
          <w:p w14:paraId="21DCE8C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32DC215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seating in conveyances – 5-year set timeframe</w:t>
            </w:r>
          </w:p>
        </w:tc>
        <w:tc>
          <w:tcPr>
            <w:tcW w:w="2260" w:type="dxa"/>
          </w:tcPr>
          <w:p w14:paraId="41F80622"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31.2 Penalties for failing to vacate priority seats</w:t>
            </w:r>
          </w:p>
          <w:p w14:paraId="63102608" w14:textId="77777777" w:rsidR="003D7EFD" w:rsidRPr="00A503DC" w:rsidRDefault="003D7EFD" w:rsidP="005C1094">
            <w:pPr>
              <w:suppressAutoHyphens w:val="0"/>
              <w:spacing w:before="0" w:after="0"/>
              <w:contextualSpacing/>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br/>
              <w:t>31.4 Identification of passengers eligible for priority seats</w:t>
            </w:r>
          </w:p>
        </w:tc>
      </w:tr>
      <w:tr w:rsidR="003D7EFD" w:rsidRPr="00A503DC" w14:paraId="4D2139FA" w14:textId="77777777" w:rsidTr="008E49B4">
        <w:trPr>
          <w:cantSplit/>
        </w:trPr>
        <w:tc>
          <w:tcPr>
            <w:cnfStyle w:val="001000000000" w:firstRow="0" w:lastRow="0" w:firstColumn="1" w:lastColumn="0" w:oddVBand="0" w:evenVBand="0" w:oddHBand="0" w:evenHBand="0" w:firstRowFirstColumn="0" w:firstRowLastColumn="0" w:lastRowFirstColumn="0" w:lastRowLastColumn="0"/>
            <w:tcW w:w="1843" w:type="dxa"/>
          </w:tcPr>
          <w:p w14:paraId="184543D2"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31.3 Location of priority seats in conveyance</w:t>
            </w:r>
          </w:p>
        </w:tc>
        <w:tc>
          <w:tcPr>
            <w:tcW w:w="3239" w:type="dxa"/>
          </w:tcPr>
          <w:p w14:paraId="34479473"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operators and providers must ensure priority seats are easy to find and use by locating the seating as close as practicable to entrance doors, accessible facilities or staff.</w:t>
            </w:r>
          </w:p>
        </w:tc>
        <w:tc>
          <w:tcPr>
            <w:tcW w:w="1624" w:type="dxa"/>
          </w:tcPr>
          <w:p w14:paraId="3916CC5B"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ferries, rail cars, trams and light rail</w:t>
            </w:r>
          </w:p>
        </w:tc>
        <w:tc>
          <w:tcPr>
            <w:tcW w:w="1516" w:type="dxa"/>
          </w:tcPr>
          <w:p w14:paraId="3AAA8AF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3BA1D94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4B1977CC"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substantially refurbished conveyances</w:t>
            </w:r>
          </w:p>
          <w:p w14:paraId="2B15A261"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p>
          <w:p w14:paraId="780331D6"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seating in conveyances – 5-year set timeframe</w:t>
            </w:r>
          </w:p>
        </w:tc>
        <w:tc>
          <w:tcPr>
            <w:tcW w:w="2260" w:type="dxa"/>
          </w:tcPr>
          <w:p w14:paraId="2D9BCD56" w14:textId="77777777" w:rsidR="003D7EFD" w:rsidRPr="00A503DC" w:rsidRDefault="003D7EFD" w:rsidP="005C1094">
            <w:pPr>
              <w:suppressAutoHyphens w:val="0"/>
              <w:spacing w:before="0" w:after="0"/>
              <w:contextualSpacing/>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r>
      <w:tr w:rsidR="003D7EFD" w:rsidRPr="00A503DC" w14:paraId="1ECACCF9" w14:textId="77777777" w:rsidTr="008E49B4">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843" w:type="dxa"/>
          </w:tcPr>
          <w:p w14:paraId="0EBA0E94"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lastRenderedPageBreak/>
              <w:t>Section 31.4 Accommodation of assistance animals</w:t>
            </w:r>
          </w:p>
        </w:tc>
        <w:tc>
          <w:tcPr>
            <w:tcW w:w="3239" w:type="dxa"/>
          </w:tcPr>
          <w:p w14:paraId="12CE06AE"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operators and providers must ensure there is space under priority seats to accommodate assistance animals.</w:t>
            </w:r>
          </w:p>
        </w:tc>
        <w:tc>
          <w:tcPr>
            <w:tcW w:w="1624" w:type="dxa"/>
          </w:tcPr>
          <w:p w14:paraId="04E2FC8F"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Buses, ferries, rail cars, trams and light rail</w:t>
            </w:r>
          </w:p>
        </w:tc>
        <w:tc>
          <w:tcPr>
            <w:tcW w:w="1516" w:type="dxa"/>
          </w:tcPr>
          <w:p w14:paraId="12FFA808"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1604" w:type="dxa"/>
          </w:tcPr>
          <w:p w14:paraId="74DE0994"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Nil</w:t>
            </w:r>
          </w:p>
        </w:tc>
        <w:tc>
          <w:tcPr>
            <w:tcW w:w="2651" w:type="dxa"/>
          </w:tcPr>
          <w:p w14:paraId="0522685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or substantially refurbished conveyances</w:t>
            </w:r>
          </w:p>
          <w:p w14:paraId="14093835"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p>
          <w:p w14:paraId="40BE0CFD"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Existing seating in conveyances – 5-year set timeframe</w:t>
            </w:r>
          </w:p>
        </w:tc>
        <w:tc>
          <w:tcPr>
            <w:tcW w:w="2260" w:type="dxa"/>
          </w:tcPr>
          <w:p w14:paraId="5605278A" w14:textId="77777777" w:rsidR="003D7EFD" w:rsidRPr="00A503DC" w:rsidRDefault="003D7EFD" w:rsidP="005C1094">
            <w:pPr>
              <w:suppressAutoHyphens w:val="0"/>
              <w:spacing w:before="0" w:after="0"/>
              <w:cnfStyle w:val="000000010000" w:firstRow="0" w:lastRow="0" w:firstColumn="0" w:lastColumn="0" w:oddVBand="0" w:evenVBand="0" w:oddHBand="0" w:evenHBand="1"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31.5 Accommodation of assistance animals</w:t>
            </w:r>
          </w:p>
        </w:tc>
      </w:tr>
    </w:tbl>
    <w:p w14:paraId="65263F40" w14:textId="77777777" w:rsidR="003D7EFD" w:rsidRDefault="003D7EFD" w:rsidP="00B05A51">
      <w:pPr>
        <w:pStyle w:val="Tablefigureheading"/>
      </w:pPr>
      <w:r>
        <w:t xml:space="preserve">Table </w:t>
      </w:r>
      <w:fldSimple w:instr=" SEQ Table \* ARABIC ">
        <w:r>
          <w:rPr>
            <w:noProof/>
          </w:rPr>
          <w:t>23</w:t>
        </w:r>
      </w:fldSimple>
      <w:r>
        <w:t xml:space="preserve">: </w:t>
      </w:r>
      <w:r w:rsidRPr="00710656">
        <w:t>Summary of amendments to Part 31A (Training to prevent disability discrimination)</w:t>
      </w:r>
    </w:p>
    <w:tbl>
      <w:tblPr>
        <w:tblStyle w:val="DefaultTable1"/>
        <w:tblW w:w="14737" w:type="dxa"/>
        <w:tblLook w:val="04A0" w:firstRow="1" w:lastRow="0" w:firstColumn="1" w:lastColumn="0" w:noHBand="0" w:noVBand="1"/>
        <w:tblCaption w:val="Summary of amendments to Part 31A (Training to prevent disability discrimination)"/>
        <w:tblDescription w:val="Summary of amendments to Part 31A (Training to prevent disability discrimination)"/>
      </w:tblPr>
      <w:tblGrid>
        <w:gridCol w:w="1843"/>
        <w:gridCol w:w="3239"/>
        <w:gridCol w:w="1624"/>
        <w:gridCol w:w="1516"/>
        <w:gridCol w:w="1604"/>
        <w:gridCol w:w="2651"/>
        <w:gridCol w:w="2260"/>
      </w:tblGrid>
      <w:tr w:rsidR="003D7EFD" w:rsidRPr="00A503DC" w14:paraId="7E13B13B" w14:textId="77777777" w:rsidTr="005C1094">
        <w:trPr>
          <w:cnfStyle w:val="100000000000" w:firstRow="1" w:lastRow="0" w:firstColumn="0" w:lastColumn="0" w:oddVBand="0" w:evenVBand="0" w:oddHBand="0" w:evenHBand="0" w:firstRowFirstColumn="0" w:firstRowLastColumn="0" w:lastRowFirstColumn="0" w:lastRowLastColumn="0"/>
          <w:trHeight w:val="726"/>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7556F71" w14:textId="77777777" w:rsidR="003D7EFD" w:rsidRPr="00A503DC" w:rsidRDefault="003D7EFD" w:rsidP="005C1094">
            <w:pPr>
              <w:suppressAutoHyphens w:val="0"/>
              <w:spacing w:before="0" w:after="0"/>
              <w:rPr>
                <w:rFonts w:ascii="Calibri" w:eastAsia="Aptos" w:hAnsi="Calibri" w:cs="Calibri"/>
                <w:b w:val="0"/>
                <w:color w:val="auto"/>
                <w:kern w:val="2"/>
                <w14:ligatures w14:val="standardContextual"/>
              </w:rPr>
            </w:pPr>
            <w:r w:rsidRPr="00A503DC">
              <w:rPr>
                <w:rFonts w:ascii="Calibri" w:eastAsia="Aptos" w:hAnsi="Calibri" w:cs="Calibri"/>
                <w:color w:val="auto"/>
                <w:kern w:val="2"/>
                <w14:ligatures w14:val="standardContextual"/>
              </w:rPr>
              <w:t>Transport Standards section</w:t>
            </w:r>
          </w:p>
        </w:tc>
        <w:tc>
          <w:tcPr>
            <w:tcW w:w="3239" w:type="dxa"/>
            <w:vAlign w:val="center"/>
          </w:tcPr>
          <w:p w14:paraId="73A0F8D2"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Summary of change</w:t>
            </w:r>
          </w:p>
        </w:tc>
        <w:tc>
          <w:tcPr>
            <w:tcW w:w="1624" w:type="dxa"/>
            <w:shd w:val="clear" w:color="auto" w:fill="081E3E" w:themeFill="text2"/>
            <w:vAlign w:val="center"/>
          </w:tcPr>
          <w:p w14:paraId="0176880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conveyances</w:t>
            </w:r>
          </w:p>
        </w:tc>
        <w:tc>
          <w:tcPr>
            <w:tcW w:w="1516" w:type="dxa"/>
            <w:shd w:val="clear" w:color="auto" w:fill="081E3E" w:themeFill="text2"/>
            <w:vAlign w:val="center"/>
          </w:tcPr>
          <w:p w14:paraId="3B4D3236"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premises</w:t>
            </w:r>
          </w:p>
        </w:tc>
        <w:tc>
          <w:tcPr>
            <w:tcW w:w="1604" w:type="dxa"/>
            <w:shd w:val="clear" w:color="auto" w:fill="081E3E" w:themeFill="text2"/>
            <w:vAlign w:val="center"/>
          </w:tcPr>
          <w:p w14:paraId="1B8C07E7"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b w:val="0"/>
                <w:bCs/>
                <w:color w:val="auto"/>
                <w:kern w:val="2"/>
                <w14:ligatures w14:val="standardContextual"/>
              </w:rPr>
            </w:pPr>
            <w:r w:rsidRPr="00A503DC">
              <w:rPr>
                <w:rFonts w:ascii="Calibri" w:eastAsia="Aptos" w:hAnsi="Calibri" w:cs="Calibri"/>
                <w:bCs/>
                <w:color w:val="auto"/>
                <w:kern w:val="2"/>
                <w14:ligatures w14:val="standardContextual"/>
              </w:rPr>
              <w:t>Applicable infrastructure</w:t>
            </w:r>
          </w:p>
        </w:tc>
        <w:tc>
          <w:tcPr>
            <w:tcW w:w="2651" w:type="dxa"/>
            <w:vAlign w:val="center"/>
          </w:tcPr>
          <w:p w14:paraId="6617F664"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Implementation approach</w:t>
            </w:r>
          </w:p>
        </w:tc>
        <w:tc>
          <w:tcPr>
            <w:tcW w:w="2260" w:type="dxa"/>
            <w:vAlign w:val="center"/>
          </w:tcPr>
          <w:p w14:paraId="4054537D" w14:textId="77777777" w:rsidR="003D7EFD" w:rsidRPr="00A503DC" w:rsidRDefault="003D7EFD" w:rsidP="005C1094">
            <w:pPr>
              <w:suppressAutoHyphens w:val="0"/>
              <w:spacing w:before="0" w:after="0"/>
              <w:cnfStyle w:val="100000000000" w:firstRow="1"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Relevant Guidelines section</w:t>
            </w:r>
          </w:p>
        </w:tc>
      </w:tr>
      <w:tr w:rsidR="003D7EFD" w:rsidRPr="00A503DC" w14:paraId="129344C1" w14:textId="77777777" w:rsidTr="005C1094">
        <w:tc>
          <w:tcPr>
            <w:cnfStyle w:val="001000000000" w:firstRow="0" w:lastRow="0" w:firstColumn="1" w:lastColumn="0" w:oddVBand="0" w:evenVBand="0" w:oddHBand="0" w:evenHBand="0" w:firstRowFirstColumn="0" w:firstRowLastColumn="0" w:lastRowFirstColumn="0" w:lastRowLastColumn="0"/>
            <w:tcW w:w="1843" w:type="dxa"/>
          </w:tcPr>
          <w:p w14:paraId="548327EF" w14:textId="77777777" w:rsidR="003D7EFD" w:rsidRPr="00A503DC" w:rsidRDefault="003D7EFD" w:rsidP="005C1094">
            <w:pPr>
              <w:suppressAutoHyphens w:val="0"/>
              <w:spacing w:before="0" w:after="0"/>
              <w:rPr>
                <w:rFonts w:ascii="Calibri" w:eastAsia="Aptos" w:hAnsi="Calibri" w:cs="Calibri"/>
                <w:bCs/>
                <w:color w:val="auto"/>
                <w:kern w:val="2"/>
                <w14:ligatures w14:val="standardContextual"/>
              </w:rPr>
            </w:pPr>
            <w:r w:rsidRPr="00A503DC">
              <w:rPr>
                <w:rFonts w:ascii="Calibri" w:eastAsia="Aptos" w:hAnsi="Calibri" w:cs="Calibri"/>
                <w:b w:val="0"/>
                <w:bCs/>
                <w:color w:val="auto"/>
                <w:kern w:val="2"/>
                <w14:ligatures w14:val="standardContextual"/>
              </w:rPr>
              <w:t>Section 31A.1 Staff training</w:t>
            </w:r>
          </w:p>
        </w:tc>
        <w:tc>
          <w:tcPr>
            <w:tcW w:w="3239" w:type="dxa"/>
          </w:tcPr>
          <w:p w14:paraId="469FCD45"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New requirements specifying that operators and providers must provide staff with disability awareness training.</w:t>
            </w:r>
          </w:p>
        </w:tc>
        <w:tc>
          <w:tcPr>
            <w:tcW w:w="1624" w:type="dxa"/>
          </w:tcPr>
          <w:p w14:paraId="7B92BAE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516" w:type="dxa"/>
          </w:tcPr>
          <w:p w14:paraId="47197D9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1604" w:type="dxa"/>
          </w:tcPr>
          <w:p w14:paraId="37F42149"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All</w:t>
            </w:r>
          </w:p>
        </w:tc>
        <w:tc>
          <w:tcPr>
            <w:tcW w:w="2651" w:type="dxa"/>
          </w:tcPr>
          <w:p w14:paraId="2BADCB08"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5-year set timeframe</w:t>
            </w:r>
          </w:p>
        </w:tc>
        <w:tc>
          <w:tcPr>
            <w:tcW w:w="2260" w:type="dxa"/>
          </w:tcPr>
          <w:p w14:paraId="4552BFC2" w14:textId="77777777" w:rsidR="003D7EFD" w:rsidRPr="00A503DC" w:rsidRDefault="003D7EFD" w:rsidP="005C1094">
            <w:pPr>
              <w:suppressAutoHyphens w:val="0"/>
              <w:spacing w:before="0" w:after="0"/>
              <w:cnfStyle w:val="000000000000" w:firstRow="0" w:lastRow="0" w:firstColumn="0" w:lastColumn="0" w:oddVBand="0" w:evenVBand="0" w:oddHBand="0" w:evenHBand="0" w:firstRowFirstColumn="0" w:firstRowLastColumn="0" w:lastRowFirstColumn="0" w:lastRowLastColumn="0"/>
              <w:rPr>
                <w:rFonts w:ascii="Calibri" w:eastAsia="Aptos" w:hAnsi="Calibri" w:cs="Calibri"/>
                <w:color w:val="auto"/>
                <w:kern w:val="2"/>
                <w14:ligatures w14:val="standardContextual"/>
              </w:rPr>
            </w:pPr>
            <w:r w:rsidRPr="00A503DC">
              <w:rPr>
                <w:rFonts w:ascii="Calibri" w:eastAsia="Aptos" w:hAnsi="Calibri" w:cs="Calibri"/>
                <w:color w:val="auto"/>
                <w:kern w:val="2"/>
                <w14:ligatures w14:val="standardContextual"/>
              </w:rPr>
              <w:t>31A Training to prevent disability discrimination</w:t>
            </w:r>
          </w:p>
        </w:tc>
      </w:tr>
    </w:tbl>
    <w:p w14:paraId="32B34DE4" w14:textId="77777777" w:rsidR="003D7EFD" w:rsidRDefault="003D7EFD" w:rsidP="003D7EFD">
      <w:pPr>
        <w:suppressAutoHyphens w:val="0"/>
      </w:pPr>
      <w:r>
        <w:br w:type="page"/>
      </w:r>
    </w:p>
    <w:p w14:paraId="23BFE398" w14:textId="77777777" w:rsidR="003D7EFD" w:rsidRDefault="003D7EFD" w:rsidP="008E49B4">
      <w:pPr>
        <w:pStyle w:val="Heading2"/>
      </w:pPr>
      <w:r>
        <w:lastRenderedPageBreak/>
        <w:t>Appendix A – Glossary of key terms</w:t>
      </w:r>
    </w:p>
    <w:p w14:paraId="138B07CD" w14:textId="60D2C5FA" w:rsidR="003D7EFD" w:rsidRPr="00BE25F8" w:rsidRDefault="003D7EFD" w:rsidP="003D7EFD">
      <w:r w:rsidRPr="00BE25F8">
        <w:rPr>
          <w:b/>
          <w:bCs/>
        </w:rPr>
        <w:t xml:space="preserve">5-year set timeframe </w:t>
      </w:r>
      <w:r>
        <w:t>– operators and providers have 5 years from the commencement of the amended Transport Standards to comply with the given requirement</w:t>
      </w:r>
    </w:p>
    <w:p w14:paraId="57B7052F" w14:textId="77777777" w:rsidR="003D7EFD" w:rsidRDefault="003D7EFD" w:rsidP="003D7EFD">
      <w:r w:rsidRPr="00BE25F8">
        <w:rPr>
          <w:b/>
          <w:bCs/>
        </w:rPr>
        <w:t xml:space="preserve">10-year set timeframe </w:t>
      </w:r>
      <w:r>
        <w:t>– operators and providers have 5 years from the commencement of the amended Transport Standards to comply with the given requirement</w:t>
      </w:r>
    </w:p>
    <w:p w14:paraId="234EC161" w14:textId="77777777" w:rsidR="003D7EFD" w:rsidRDefault="003D7EFD" w:rsidP="003D7EFD">
      <w:r w:rsidRPr="001A6DBF">
        <w:rPr>
          <w:b/>
          <w:bCs/>
        </w:rPr>
        <w:t>Amending instrument</w:t>
      </w:r>
      <w:r>
        <w:t xml:space="preserve"> – the Disability Standards for Accessible Public Transport Amendment 2026</w:t>
      </w:r>
    </w:p>
    <w:p w14:paraId="1F5D6FE5" w14:textId="77777777" w:rsidR="003D7EFD" w:rsidRPr="001A6DBF" w:rsidRDefault="003D7EFD" w:rsidP="003D7EFD">
      <w:r w:rsidRPr="0074482E">
        <w:rPr>
          <w:b/>
          <w:bCs/>
        </w:rPr>
        <w:t>Amended Transport Standards</w:t>
      </w:r>
      <w:r>
        <w:t xml:space="preserve"> – the Transport Standards as amended by the Disability Standards for Accessible Public Transport Amendment 2026</w:t>
      </w:r>
    </w:p>
    <w:p w14:paraId="5E9A6CDF" w14:textId="77777777" w:rsidR="003D7EFD" w:rsidRPr="006A3F4C" w:rsidRDefault="003D7EFD" w:rsidP="003D7EFD">
      <w:r>
        <w:rPr>
          <w:b/>
          <w:bCs/>
        </w:rPr>
        <w:t xml:space="preserve">Application provisions </w:t>
      </w:r>
      <w:r>
        <w:t>– r</w:t>
      </w:r>
      <w:r w:rsidRPr="006A3F4C">
        <w:t>ules that determine which assets, services, information or operators a requirement applies to.</w:t>
      </w:r>
    </w:p>
    <w:p w14:paraId="654F8831" w14:textId="77777777" w:rsidR="003D7EFD" w:rsidRDefault="003D7EFD" w:rsidP="003D7EFD">
      <w:r w:rsidRPr="00510207">
        <w:rPr>
          <w:b/>
          <w:bCs/>
        </w:rPr>
        <w:t>Commencement day</w:t>
      </w:r>
      <w:r>
        <w:t xml:space="preserve"> – 12 October 2026, the day the amended Transport Standards came into effect</w:t>
      </w:r>
    </w:p>
    <w:p w14:paraId="3728B032" w14:textId="77777777" w:rsidR="003D7EFD" w:rsidRDefault="003D7EFD" w:rsidP="003D7EFD">
      <w:r w:rsidRPr="00B76B19">
        <w:rPr>
          <w:b/>
          <w:bCs/>
        </w:rPr>
        <w:t>Conveyance</w:t>
      </w:r>
      <w:r>
        <w:t xml:space="preserve"> – any rolling stock, vehicle or vessel classified as public transport within its jurisdiction, such as aircraft, buses, coaches, ferries, taxis, trains, trams, and light rail. It does not include charter boats (including water taxis), limousines, or self-drive rental cars.</w:t>
      </w:r>
    </w:p>
    <w:p w14:paraId="2EFC3353" w14:textId="77777777" w:rsidR="003D7EFD" w:rsidRDefault="003D7EFD" w:rsidP="003D7EFD">
      <w:r w:rsidRPr="00FD0C34">
        <w:rPr>
          <w:b/>
          <w:bCs/>
        </w:rPr>
        <w:t>Direct assistance</w:t>
      </w:r>
      <w:r>
        <w:t xml:space="preserve"> – help given to people with disability by an operator or provider to make public transport accessible or to provide non-discriminatory access on request</w:t>
      </w:r>
    </w:p>
    <w:p w14:paraId="1C49C3BB" w14:textId="77777777" w:rsidR="003D7EFD" w:rsidRDefault="003D7EFD" w:rsidP="003D7EFD">
      <w:r w:rsidRPr="00055B21">
        <w:rPr>
          <w:b/>
          <w:bCs/>
        </w:rPr>
        <w:t>Equivalent access</w:t>
      </w:r>
      <w:r>
        <w:t xml:space="preserve"> – a process under which an operator or provider may vary the equipment or facilities of the public transport service, as long as an equivalent standard of amenity, availability, comfort, convenience, dignity, price and safety is maintained. Equivalent access is often provided by direct assistance.</w:t>
      </w:r>
    </w:p>
    <w:p w14:paraId="54E6A8D6" w14:textId="77777777" w:rsidR="003D7EFD" w:rsidRDefault="003D7EFD" w:rsidP="003D7EFD">
      <w:r w:rsidRPr="001A6DBF">
        <w:rPr>
          <w:b/>
          <w:bCs/>
        </w:rPr>
        <w:t>Existing conveyances</w:t>
      </w:r>
      <w:r>
        <w:t xml:space="preserve"> – conveyances which either: </w:t>
      </w:r>
    </w:p>
    <w:p w14:paraId="2FE7F3A8" w14:textId="77777777" w:rsidR="003D7EFD" w:rsidRDefault="003D7EFD" w:rsidP="008E49B4">
      <w:pPr>
        <w:pStyle w:val="ListParagraph"/>
        <w:numPr>
          <w:ilvl w:val="0"/>
          <w:numId w:val="47"/>
        </w:numPr>
        <w:suppressAutoHyphens/>
        <w:spacing w:before="160" w:after="80"/>
        <w:ind w:left="567" w:hanging="567"/>
      </w:pPr>
      <w:r>
        <w:t xml:space="preserve">were in service immediately before the commencement of the amended Transport Standards but are not substantially refurbished after the commencement, or </w:t>
      </w:r>
    </w:p>
    <w:p w14:paraId="707B4CAB" w14:textId="77777777" w:rsidR="003D7EFD" w:rsidRDefault="003D7EFD" w:rsidP="008E49B4">
      <w:pPr>
        <w:pStyle w:val="ListParagraph"/>
        <w:numPr>
          <w:ilvl w:val="0"/>
          <w:numId w:val="47"/>
        </w:numPr>
        <w:suppressAutoHyphens/>
        <w:spacing w:before="160" w:after="80"/>
        <w:ind w:left="567" w:hanging="567"/>
      </w:pPr>
      <w:r>
        <w:t>entered service on or after the commencement day but which were subject to a binding order or lease agreement or whose design had been submitted as part of a procurement that happened before the commencement day.</w:t>
      </w:r>
    </w:p>
    <w:p w14:paraId="453937C1" w14:textId="77777777" w:rsidR="003D7EFD" w:rsidRDefault="003D7EFD" w:rsidP="003D7EFD">
      <w:r w:rsidRPr="0074482E">
        <w:rPr>
          <w:b/>
          <w:bCs/>
        </w:rPr>
        <w:t>Existing premises and infrastructure</w:t>
      </w:r>
      <w:r>
        <w:t xml:space="preserve"> – premises or infrastructure which either:</w:t>
      </w:r>
    </w:p>
    <w:p w14:paraId="3F1CB5DD" w14:textId="77777777" w:rsidR="003D7EFD" w:rsidRDefault="003D7EFD" w:rsidP="001B0918">
      <w:pPr>
        <w:pStyle w:val="ListParagraph"/>
        <w:numPr>
          <w:ilvl w:val="0"/>
          <w:numId w:val="48"/>
        </w:numPr>
        <w:suppressAutoHyphens/>
        <w:spacing w:before="160" w:after="80"/>
        <w:ind w:left="567" w:hanging="567"/>
      </w:pPr>
      <w:r>
        <w:t>were in use immediately before commencement and are not substantially refurbished after the commencement day, or</w:t>
      </w:r>
    </w:p>
    <w:p w14:paraId="4B79B574" w14:textId="77777777" w:rsidR="003D7EFD" w:rsidRDefault="003D7EFD" w:rsidP="001B0918">
      <w:pPr>
        <w:pStyle w:val="ListParagraph"/>
        <w:numPr>
          <w:ilvl w:val="0"/>
          <w:numId w:val="48"/>
        </w:numPr>
        <w:suppressAutoHyphens/>
        <w:spacing w:before="160" w:after="80"/>
        <w:ind w:left="567" w:hanging="567"/>
      </w:pPr>
      <w:r>
        <w:t>had started construction or substantial refurbishment on or after the commencement day and had not been completed by commencement day, or</w:t>
      </w:r>
    </w:p>
    <w:p w14:paraId="1732F8A3" w14:textId="77777777" w:rsidR="003D7EFD" w:rsidRDefault="003D7EFD" w:rsidP="001B0918">
      <w:pPr>
        <w:pStyle w:val="ListParagraph"/>
        <w:numPr>
          <w:ilvl w:val="0"/>
          <w:numId w:val="48"/>
        </w:numPr>
        <w:suppressAutoHyphens/>
        <w:spacing w:before="160" w:after="80"/>
        <w:ind w:left="567" w:hanging="567"/>
      </w:pPr>
      <w:r>
        <w:t>had received relevant approval to be constructed or substantially refurbished before the commencement day but construction had not yet started on that day</w:t>
      </w:r>
    </w:p>
    <w:p w14:paraId="1979425C" w14:textId="77777777" w:rsidR="003D7EFD" w:rsidRDefault="003D7EFD" w:rsidP="003D7EFD">
      <w:r w:rsidRPr="006A3F4C">
        <w:rPr>
          <w:b/>
          <w:bCs/>
        </w:rPr>
        <w:t>Existing train or tram</w:t>
      </w:r>
      <w:r>
        <w:t xml:space="preserve"> – a</w:t>
      </w:r>
      <w:r w:rsidRPr="006A3F4C">
        <w:t xml:space="preserve"> train or tram that was in service immediately before the Amendment Standards commenced and has not since been substantially refurbished or altered</w:t>
      </w:r>
    </w:p>
    <w:p w14:paraId="5BF37F4A" w14:textId="77777777" w:rsidR="003D7EFD" w:rsidRPr="00510207" w:rsidRDefault="003D7EFD" w:rsidP="003D7EFD">
      <w:r w:rsidRPr="00510207">
        <w:rPr>
          <w:b/>
          <w:bCs/>
        </w:rPr>
        <w:t>The Guidelines</w:t>
      </w:r>
      <w:r>
        <w:t xml:space="preserve"> – the </w:t>
      </w:r>
      <w:r w:rsidRPr="00510207">
        <w:rPr>
          <w:i/>
          <w:iCs/>
        </w:rPr>
        <w:t>Disability Standards for Accessible Public Transport Guidelines 2026</w:t>
      </w:r>
      <w:r>
        <w:t>, which provide guidance on interpreting and complying with the Transport Standards</w:t>
      </w:r>
    </w:p>
    <w:p w14:paraId="276718BE" w14:textId="77777777" w:rsidR="003D7EFD" w:rsidRPr="0074482E" w:rsidRDefault="003D7EFD" w:rsidP="003D7EFD">
      <w:r w:rsidRPr="0074482E">
        <w:rPr>
          <w:b/>
          <w:bCs/>
        </w:rPr>
        <w:lastRenderedPageBreak/>
        <w:t>Implementation approach</w:t>
      </w:r>
      <w:r>
        <w:t xml:space="preserve"> – the assets which must be compliant with the amended Transport Standards, and the timeframes in which these assets must be compliant</w:t>
      </w:r>
    </w:p>
    <w:p w14:paraId="392D0937" w14:textId="77777777" w:rsidR="003D7EFD" w:rsidRDefault="003D7EFD" w:rsidP="003D7EFD">
      <w:r w:rsidRPr="00FD0C34">
        <w:rPr>
          <w:b/>
          <w:bCs/>
        </w:rPr>
        <w:t>Infrastructure</w:t>
      </w:r>
      <w:r>
        <w:t xml:space="preserve"> – structures or facilities that is used by passengers in conjunction with travelling on a public transport service, but do not include any area beyond immediate boarding points</w:t>
      </w:r>
    </w:p>
    <w:p w14:paraId="0FC754CE" w14:textId="77777777" w:rsidR="003D7EFD" w:rsidRDefault="003D7EFD" w:rsidP="003D7EFD">
      <w:r w:rsidRPr="0074482E">
        <w:rPr>
          <w:b/>
          <w:bCs/>
        </w:rPr>
        <w:t>Luminance contrast</w:t>
      </w:r>
      <w:r>
        <w:t xml:space="preserve"> – the difference between the amount of light reflected by two surfaces</w:t>
      </w:r>
    </w:p>
    <w:p w14:paraId="6D0D23CC" w14:textId="77777777" w:rsidR="003D7EFD" w:rsidRDefault="003D7EFD" w:rsidP="003D7EFD">
      <w:r w:rsidRPr="0074482E">
        <w:rPr>
          <w:b/>
          <w:bCs/>
        </w:rPr>
        <w:t>Manoeuvring area</w:t>
      </w:r>
      <w:r>
        <w:t xml:space="preserve"> – an area in which a mobility device, such as a wheelchair, can turn</w:t>
      </w:r>
    </w:p>
    <w:p w14:paraId="2C233575" w14:textId="77777777" w:rsidR="003D7EFD" w:rsidRPr="006A3F4C" w:rsidRDefault="003D7EFD" w:rsidP="003D7EFD">
      <w:r>
        <w:rPr>
          <w:b/>
          <w:bCs/>
        </w:rPr>
        <w:t xml:space="preserve">New conveyance, premises or infrastructure </w:t>
      </w:r>
      <w:r>
        <w:t>– a</w:t>
      </w:r>
      <w:r w:rsidRPr="006A3F4C">
        <w:t xml:space="preserve"> conveyance</w:t>
      </w:r>
      <w:r>
        <w:t>, premises or infrastructure</w:t>
      </w:r>
      <w:r w:rsidRPr="006A3F4C">
        <w:t xml:space="preserve"> that comes into service on or after commencement of the Amendment Standards, including one that has been substantially refurbished or altered</w:t>
      </w:r>
    </w:p>
    <w:p w14:paraId="5DC69627" w14:textId="77777777" w:rsidR="003D7EFD" w:rsidRDefault="003D7EFD" w:rsidP="003D7EFD">
      <w:r w:rsidRPr="00FD0C34">
        <w:rPr>
          <w:b/>
          <w:bCs/>
        </w:rPr>
        <w:t>Operators</w:t>
      </w:r>
      <w:r>
        <w:t xml:space="preserve"> – people or organisations (including the staff of an organisation) that provide a public transport service </w:t>
      </w:r>
    </w:p>
    <w:p w14:paraId="267B4F67" w14:textId="77777777" w:rsidR="003D7EFD" w:rsidRDefault="003D7EFD" w:rsidP="003D7EFD">
      <w:r w:rsidRPr="0074482E">
        <w:rPr>
          <w:b/>
          <w:bCs/>
        </w:rPr>
        <w:t>Passing area</w:t>
      </w:r>
      <w:r>
        <w:t xml:space="preserve"> – an area in which two mobility aids, such as a wheelchair, can pass each other</w:t>
      </w:r>
    </w:p>
    <w:p w14:paraId="63A1F836" w14:textId="77777777" w:rsidR="003D7EFD" w:rsidRDefault="003D7EFD" w:rsidP="003D7EFD">
      <w:r w:rsidRPr="00FD0C34">
        <w:rPr>
          <w:b/>
          <w:bCs/>
        </w:rPr>
        <w:t>Premises</w:t>
      </w:r>
      <w:r>
        <w:t xml:space="preserve"> – structures, buildings or attached facilities that are provided for passenger use as part of a public transport service, such as a train station</w:t>
      </w:r>
    </w:p>
    <w:p w14:paraId="57BC08A2" w14:textId="77777777" w:rsidR="003D7EFD" w:rsidRDefault="003D7EFD" w:rsidP="003D7EFD">
      <w:r w:rsidRPr="003E702F">
        <w:rPr>
          <w:b/>
          <w:bCs/>
        </w:rPr>
        <w:t>Priority seat</w:t>
      </w:r>
      <w:r>
        <w:t xml:space="preserve"> – a seat identified as available for a person with disability if they require a seat</w:t>
      </w:r>
    </w:p>
    <w:p w14:paraId="63A40099" w14:textId="77777777" w:rsidR="003D7EFD" w:rsidRDefault="003D7EFD" w:rsidP="003D7EFD">
      <w:r w:rsidRPr="00FD0C34">
        <w:rPr>
          <w:b/>
          <w:bCs/>
        </w:rPr>
        <w:t>Providers</w:t>
      </w:r>
      <w:r>
        <w:t xml:space="preserve"> – people or organisations that are responsible for the supply or maintenance of public transport infrastructure</w:t>
      </w:r>
    </w:p>
    <w:p w14:paraId="25B7CDF1" w14:textId="77777777" w:rsidR="003D7EFD" w:rsidRDefault="003D7EFD" w:rsidP="003D7EFD">
      <w:r w:rsidRPr="006A3F4C">
        <w:rPr>
          <w:b/>
          <w:bCs/>
        </w:rPr>
        <w:t>Transitional provisions</w:t>
      </w:r>
      <w:r w:rsidRPr="0040274D">
        <w:rPr>
          <w:b/>
          <w:bCs/>
        </w:rPr>
        <w:t xml:space="preserve"> </w:t>
      </w:r>
      <w:r>
        <w:t xml:space="preserve">– rules </w:t>
      </w:r>
      <w:r w:rsidRPr="006A3F4C">
        <w:t>that explain how existing assets move from the previous requirements to the amended requirements</w:t>
      </w:r>
    </w:p>
    <w:p w14:paraId="176460A8" w14:textId="77777777" w:rsidR="003D7EFD" w:rsidRPr="009C1BB2" w:rsidRDefault="003D7EFD" w:rsidP="003D7EFD">
      <w:r w:rsidRPr="0040274D">
        <w:rPr>
          <w:b/>
          <w:bCs/>
        </w:rPr>
        <w:t>WCAG</w:t>
      </w:r>
      <w:r>
        <w:t xml:space="preserve"> – the Web Content Accessibility Guidelines</w:t>
      </w:r>
    </w:p>
    <w:p w14:paraId="64B0BCDC" w14:textId="77777777" w:rsidR="001A437A" w:rsidRDefault="001A437A"/>
    <w:sectPr w:rsidR="001A437A" w:rsidSect="00470BA8">
      <w:headerReference w:type="default" r:id="rId16"/>
      <w:type w:val="continuous"/>
      <w:pgSz w:w="16838" w:h="11906" w:orient="landscape" w:code="9"/>
      <w:pgMar w:top="1021" w:right="1021" w:bottom="1021" w:left="1021"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90195" w14:textId="77777777" w:rsidR="00900ADA" w:rsidRDefault="00900ADA" w:rsidP="008456D5">
      <w:pPr>
        <w:spacing w:before="0" w:after="0"/>
      </w:pPr>
      <w:r>
        <w:separator/>
      </w:r>
    </w:p>
  </w:endnote>
  <w:endnote w:type="continuationSeparator" w:id="0">
    <w:p w14:paraId="3AB6643C" w14:textId="77777777" w:rsidR="00900ADA" w:rsidRDefault="00900ADA"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B6E2" w14:textId="0A8064F1" w:rsidR="00B730C9" w:rsidRDefault="00B730C9" w:rsidP="00B730C9">
    <w:pPr>
      <w:pStyle w:val="Footer"/>
      <w:tabs>
        <w:tab w:val="clear" w:pos="4513"/>
        <w:tab w:val="clear" w:pos="9026"/>
        <w:tab w:val="right" w:pos="14742"/>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B835BB">
      <w:rPr>
        <w:rFonts w:cs="Segoe UI"/>
        <w:noProof/>
        <w:szCs w:val="18"/>
      </w:rPr>
      <w:t>Summary of amendments to the Disability Standards for Accessible Public Transport 2002</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1</w:t>
    </w:r>
    <w:r>
      <w:rPr>
        <w:rFonts w:cs="Segoe UI"/>
        <w:szCs w:val="18"/>
      </w:rPr>
      <w:fldChar w:fldCharType="end"/>
    </w:r>
  </w:p>
  <w:p w14:paraId="1B19C516" w14:textId="77777777" w:rsidR="00B730C9" w:rsidRDefault="00B730C9" w:rsidP="00B730C9">
    <w:pPr>
      <w:pStyle w:val="SecurityMarker"/>
      <w:spacing w:before="0" w:after="0"/>
      <w:ind w:left="-993"/>
    </w:pPr>
    <w:r>
      <w:rPr>
        <w:noProof/>
        <w:lang w:eastAsia="en-AU"/>
      </w:rPr>
      <w:drawing>
        <wp:inline distT="0" distB="0" distL="0" distR="0" wp14:anchorId="46AA8D52" wp14:editId="17FC62B3">
          <wp:extent cx="10692000" cy="183240"/>
          <wp:effectExtent l="0" t="0" r="0" b="7620"/>
          <wp:docPr id="1528662244" name="Picture 15286622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92000" cy="1832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691B3" w14:textId="77777777" w:rsidR="00900ADA" w:rsidRPr="005912BE" w:rsidRDefault="00900ADA" w:rsidP="005912BE">
      <w:pPr>
        <w:spacing w:before="300"/>
        <w:rPr>
          <w:color w:val="008089" w:themeColor="accent2"/>
        </w:rPr>
      </w:pPr>
      <w:r w:rsidRPr="000D244D">
        <w:rPr>
          <w:color w:val="004044" w:themeColor="accent2" w:themeShade="80"/>
        </w:rPr>
        <w:t>----------</w:t>
      </w:r>
    </w:p>
  </w:footnote>
  <w:footnote w:type="continuationSeparator" w:id="0">
    <w:p w14:paraId="43690B0C" w14:textId="77777777" w:rsidR="00900ADA" w:rsidRDefault="00900ADA" w:rsidP="008456D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0FB79" w14:textId="5D0CB612" w:rsidR="002C2348" w:rsidRDefault="00AA4B98" w:rsidP="00F82CA0">
    <w:pPr>
      <w:pStyle w:val="SecurityMarker"/>
    </w:pPr>
    <w:r>
      <w:rPr>
        <w:noProof/>
        <w:shd w:val="clear" w:color="auto" w:fill="auto"/>
      </w:rPr>
      <mc:AlternateContent>
        <mc:Choice Requires="wps">
          <w:drawing>
            <wp:anchor distT="0" distB="0" distL="0" distR="0" simplePos="0" relativeHeight="251663360" behindDoc="0" locked="0" layoutInCell="1" allowOverlap="1" wp14:anchorId="4BB1B910" wp14:editId="2CC47048">
              <wp:simplePos x="635" y="635"/>
              <wp:positionH relativeFrom="page">
                <wp:align>center</wp:align>
              </wp:positionH>
              <wp:positionV relativeFrom="page">
                <wp:align>top</wp:align>
              </wp:positionV>
              <wp:extent cx="972820" cy="509270"/>
              <wp:effectExtent l="0" t="0" r="17780" b="5080"/>
              <wp:wrapNone/>
              <wp:docPr id="466007275" name="Text Box 6"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2820" cy="509270"/>
                      </a:xfrm>
                      <a:prstGeom prst="rect">
                        <a:avLst/>
                      </a:prstGeom>
                      <a:noFill/>
                      <a:ln>
                        <a:noFill/>
                      </a:ln>
                    </wps:spPr>
                    <wps:txbx>
                      <w:txbxContent>
                        <w:p w14:paraId="1E21BF50" w14:textId="0FB53316" w:rsidR="00AA4B98" w:rsidRPr="00AA4B98" w:rsidRDefault="00AA4B98" w:rsidP="00AA4B98">
                          <w:pPr>
                            <w:spacing w:after="0"/>
                            <w:rPr>
                              <w:rFonts w:ascii="Aptos" w:eastAsia="Aptos" w:hAnsi="Aptos" w:cs="Aptos"/>
                              <w:noProof/>
                              <w:color w:val="FF0000"/>
                              <w:sz w:val="28"/>
                              <w:szCs w:val="28"/>
                            </w:rPr>
                          </w:pPr>
                          <w:r w:rsidRPr="00AA4B98">
                            <w:rPr>
                              <w:rFonts w:ascii="Aptos" w:eastAsia="Aptos" w:hAnsi="Aptos" w:cs="Aptos"/>
                              <w:noProof/>
                              <w:color w:val="FF0000"/>
                              <w:sz w:val="28"/>
                              <w:szCs w:val="28"/>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B1B910" id="_x0000_t202" coordsize="21600,21600" o:spt="202" path="m,l,21600r21600,l21600,xe">
              <v:stroke joinstyle="miter"/>
              <v:path gradientshapeok="t" o:connecttype="rect"/>
            </v:shapetype>
            <v:shape id="Text Box 6" o:spid="_x0000_s1026" type="#_x0000_t202" alt="UNOFFICIAL" style="position:absolute;left:0;text-align:left;margin-left:0;margin-top:0;width:76.6pt;height:40.1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" filled="f" stroked="f">
              <v:textbox style="mso-fit-shape-to-text:t" inset="0,15pt,0,0">
                <w:txbxContent>
                  <w:p w14:paraId="1E21BF50" w14:textId="0FB53316" w:rsidR="00AA4B98" w:rsidRPr="00AA4B98" w:rsidRDefault="00AA4B98" w:rsidP="00AA4B98">
                    <w:pPr>
                      <w:spacing w:after="0"/>
                      <w:rPr>
                        <w:rFonts w:ascii="Aptos" w:eastAsia="Aptos" w:hAnsi="Aptos" w:cs="Aptos"/>
                        <w:noProof/>
                        <w:color w:val="FF0000"/>
                        <w:sz w:val="28"/>
                        <w:szCs w:val="28"/>
                      </w:rPr>
                    </w:pPr>
                    <w:r w:rsidRPr="00AA4B98">
                      <w:rPr>
                        <w:rFonts w:ascii="Aptos" w:eastAsia="Aptos" w:hAnsi="Aptos" w:cs="Aptos"/>
                        <w:noProof/>
                        <w:color w:val="FF0000"/>
                        <w:sz w:val="28"/>
                        <w:szCs w:val="28"/>
                      </w:rPr>
                      <w:t>UNOFFICIAL</w:t>
                    </w:r>
                  </w:p>
                </w:txbxContent>
              </v:textbox>
              <w10:wrap anchorx="page" anchory="page"/>
            </v:shape>
          </w:pict>
        </mc:Fallback>
      </mc:AlternateContent>
    </w:r>
  </w:p>
  <w:sdt>
    <w:sdtPr>
      <w:alias w:val="Status"/>
      <w:tag w:val=""/>
      <w:id w:val="-1813397779"/>
      <w:placeholder>
        <w:docPart w:val="BFDF2B5F914A4456BA428C01F03056BB"/>
      </w:placeholder>
      <w:dataBinding w:prefixMappings="xmlns:ns0='http://purl.org/dc/elements/1.1/' xmlns:ns1='http://schemas.openxmlformats.org/package/2006/metadata/core-properties' " w:xpath="/ns1:coreProperties[1]/ns1:contentStatus[1]" w:storeItemID="{6C3C8BC8-F283-45AE-878A-BAB7291924A1}"/>
      <w:text/>
    </w:sdtPr>
    <w:sdtEndPr/>
    <w:sdtContent>
      <w:p w14:paraId="5B49B3E9" w14:textId="77777777" w:rsidR="002C2348" w:rsidRDefault="002C2348" w:rsidP="00F82CA0">
        <w:pPr>
          <w:pStyle w:val="SecurityMarker"/>
        </w:pPr>
        <w:r>
          <w:t>&lt;SELECT THE CLASSIFICATION MARKER ABOVE THAT APPLIES TO YOUR DOCUMENT, THEN DELETE THE OTHERS AND THIS TEXT&gt;</w:t>
        </w:r>
      </w:p>
    </w:sdtContent>
  </w:sdt>
  <w:p w14:paraId="28D0FB7A" w14:textId="77777777" w:rsidR="002C2348" w:rsidRDefault="002C2348" w:rsidP="00F82CA0">
    <w:pPr>
      <w:pStyle w:val="Header"/>
      <w:spacing w:after="720"/>
    </w:pPr>
    <w:fldSimple w:instr=" STYLEREF  &quot;Heading 1&quot; \l  \* MERGEFORMAT ">
      <w:r>
        <w:rPr>
          <w:noProof/>
        </w:rPr>
        <w:t>Heading 1</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3D19" w14:textId="4DEA1DB4" w:rsidR="00470BA8" w:rsidRDefault="00470BA8" w:rsidP="004F0F85">
    <w:pPr>
      <w:pStyle w:val="Header"/>
      <w:spacing w:after="240"/>
      <w:rPr>
        <w:rFonts w:cs="Segoe UI Light"/>
        <w:color w:val="001C40"/>
        <w:sz w:val="20"/>
        <w:szCs w:val="20"/>
      </w:rPr>
    </w:pPr>
    <w:r>
      <w:rPr>
        <w:rFonts w:cs="Segoe UI Light"/>
        <w:color w:val="001C40"/>
        <w:sz w:val="20"/>
        <w:szCs w:val="20"/>
      </w:rPr>
      <w:fldChar w:fldCharType="begin"/>
    </w:r>
    <w:r>
      <w:rPr>
        <w:rFonts w:cs="Segoe UI Light"/>
        <w:color w:val="001C40"/>
        <w:sz w:val="20"/>
        <w:szCs w:val="20"/>
      </w:rPr>
      <w:instrText xml:space="preserve"> STYLEREF  "Heading 2"  \* MERGEFORMAT </w:instrText>
    </w:r>
    <w:r>
      <w:rPr>
        <w:rFonts w:cs="Segoe UI Light"/>
        <w:color w:val="001C40"/>
        <w:sz w:val="20"/>
        <w:szCs w:val="20"/>
      </w:rPr>
      <w:fldChar w:fldCharType="separate"/>
    </w:r>
    <w:r w:rsidR="00B835BB">
      <w:rPr>
        <w:rFonts w:cs="Segoe UI Light"/>
        <w:noProof/>
        <w:color w:val="001C40"/>
        <w:sz w:val="20"/>
        <w:szCs w:val="20"/>
      </w:rPr>
      <w:t>Do the amendments affect existing Transport Standards compliance obligations?</w:t>
    </w:r>
    <w:r>
      <w:rPr>
        <w:rFonts w:cs="Segoe UI Light"/>
        <w:color w:val="001C4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CC5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3263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9AEC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F803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A8AC9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C7CAF1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FEFE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A64F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61C3D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DDC00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D54B4"/>
    <w:multiLevelType w:val="hybridMultilevel"/>
    <w:tmpl w:val="E4F2C8A2"/>
    <w:lvl w:ilvl="0" w:tplc="F152910C">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D621AED"/>
    <w:multiLevelType w:val="multilevel"/>
    <w:tmpl w:val="C2EED61A"/>
    <w:numStyleLink w:val="NumberedHeadings"/>
  </w:abstractNum>
  <w:abstractNum w:abstractNumId="13" w15:restartNumberingAfterBreak="0">
    <w:nsid w:val="0E1D1E04"/>
    <w:multiLevelType w:val="hybridMultilevel"/>
    <w:tmpl w:val="583C5B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1DC70292"/>
    <w:multiLevelType w:val="hybridMultilevel"/>
    <w:tmpl w:val="79CAC5D4"/>
    <w:lvl w:ilvl="0" w:tplc="9350F3B4">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3">
      <w:start w:val="1"/>
      <w:numFmt w:val="bullet"/>
      <w:lvlText w:val="o"/>
      <w:lvlJc w:val="left"/>
      <w:pPr>
        <w:ind w:left="1800" w:hanging="360"/>
      </w:pPr>
      <w:rPr>
        <w:rFonts w:ascii="Courier New" w:hAnsi="Courier New" w:cs="Courier New"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F484E36"/>
    <w:multiLevelType w:val="hybridMultilevel"/>
    <w:tmpl w:val="81702DD6"/>
    <w:lvl w:ilvl="0" w:tplc="48F42840">
      <w:start w:val="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webHidden w:val="0"/>
        <w:color w:val="auto"/>
        <w:sz w:val="22"/>
        <w:u w:val="none"/>
        <w:effect w:val="none"/>
        <w:vertAlign w:val="baseline"/>
        <w:specVanish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AA51938"/>
    <w:multiLevelType w:val="multilevel"/>
    <w:tmpl w:val="298C34E4"/>
    <w:numStyleLink w:val="AppendixNumbers"/>
  </w:abstractNum>
  <w:abstractNum w:abstractNumId="19"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49E80C94"/>
    <w:multiLevelType w:val="hybridMultilevel"/>
    <w:tmpl w:val="8FDA3C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545B01A1"/>
    <w:multiLevelType w:val="hybridMultilevel"/>
    <w:tmpl w:val="4AEEF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C934899"/>
    <w:multiLevelType w:val="hybridMultilevel"/>
    <w:tmpl w:val="CE32EE90"/>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8827E7D"/>
    <w:multiLevelType w:val="hybridMultilevel"/>
    <w:tmpl w:val="79D0BA36"/>
    <w:lvl w:ilvl="0" w:tplc="446AE6B6">
      <w:start w:val="1"/>
      <w:numFmt w:val="bullet"/>
      <w:pStyle w:val="Listparagraphbulletssecondlevel"/>
      <w:lvlText w:val=""/>
      <w:lvlJc w:val="left"/>
      <w:pPr>
        <w:ind w:left="927" w:hanging="360"/>
      </w:pPr>
      <w:rPr>
        <w:rFonts w:ascii="Symbol" w:hAnsi="Symbol" w:hint="default"/>
        <w:caps w:val="0"/>
        <w:strike w:val="0"/>
        <w:dstrike w:val="0"/>
        <w:vanish w:val="0"/>
        <w:webHidden w:val="0"/>
        <w:color w:val="auto"/>
        <w:sz w:val="22"/>
        <w:u w:val="none"/>
        <w:effect w:val="none"/>
        <w:vertAlign w:val="baseline"/>
        <w:specVanish w:val="0"/>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A0D55C7"/>
    <w:multiLevelType w:val="hybridMultilevel"/>
    <w:tmpl w:val="E65AC8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345F33"/>
    <w:multiLevelType w:val="hybridMultilevel"/>
    <w:tmpl w:val="CE32EE9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42753587">
    <w:abstractNumId w:val="9"/>
  </w:num>
  <w:num w:numId="2" w16cid:durableId="101416289">
    <w:abstractNumId w:val="7"/>
  </w:num>
  <w:num w:numId="3" w16cid:durableId="86926804">
    <w:abstractNumId w:val="6"/>
  </w:num>
  <w:num w:numId="4" w16cid:durableId="590506600">
    <w:abstractNumId w:val="5"/>
  </w:num>
  <w:num w:numId="5" w16cid:durableId="1868446061">
    <w:abstractNumId w:val="4"/>
  </w:num>
  <w:num w:numId="6" w16cid:durableId="195587856">
    <w:abstractNumId w:val="8"/>
  </w:num>
  <w:num w:numId="7" w16cid:durableId="2097704811">
    <w:abstractNumId w:val="3"/>
  </w:num>
  <w:num w:numId="8" w16cid:durableId="1286501000">
    <w:abstractNumId w:val="2"/>
  </w:num>
  <w:num w:numId="9" w16cid:durableId="155919553">
    <w:abstractNumId w:val="1"/>
  </w:num>
  <w:num w:numId="10" w16cid:durableId="1591741103">
    <w:abstractNumId w:val="0"/>
  </w:num>
  <w:num w:numId="11" w16cid:durableId="1243175621">
    <w:abstractNumId w:val="20"/>
  </w:num>
  <w:num w:numId="12" w16cid:durableId="542905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2180109">
    <w:abstractNumId w:val="30"/>
  </w:num>
  <w:num w:numId="14" w16cid:durableId="92746667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2060345">
    <w:abstractNumId w:val="11"/>
  </w:num>
  <w:num w:numId="16" w16cid:durableId="19079137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450911">
    <w:abstractNumId w:val="19"/>
  </w:num>
  <w:num w:numId="18" w16cid:durableId="881017737">
    <w:abstractNumId w:val="12"/>
  </w:num>
  <w:num w:numId="19" w16cid:durableId="714814030">
    <w:abstractNumId w:val="17"/>
  </w:num>
  <w:num w:numId="20" w16cid:durableId="4653187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83096744">
    <w:abstractNumId w:val="18"/>
  </w:num>
  <w:num w:numId="22" w16cid:durableId="1883862008">
    <w:abstractNumId w:val="24"/>
  </w:num>
  <w:num w:numId="23" w16cid:durableId="10071771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99401618">
    <w:abstractNumId w:val="26"/>
  </w:num>
  <w:num w:numId="25" w16cid:durableId="2080395902">
    <w:abstractNumId w:val="26"/>
  </w:num>
  <w:num w:numId="26" w16cid:durableId="1098524951">
    <w:abstractNumId w:val="26"/>
  </w:num>
  <w:num w:numId="27" w16cid:durableId="1421023668">
    <w:abstractNumId w:val="26"/>
  </w:num>
  <w:num w:numId="28" w16cid:durableId="1722943192">
    <w:abstractNumId w:val="2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4196354">
    <w:abstractNumId w:val="22"/>
  </w:num>
  <w:num w:numId="30" w16cid:durableId="1187704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5599628">
    <w:abstractNumId w:val="16"/>
  </w:num>
  <w:num w:numId="32" w16cid:durableId="1912500750">
    <w:abstractNumId w:val="16"/>
  </w:num>
  <w:num w:numId="33" w16cid:durableId="454447223">
    <w:abstractNumId w:val="27"/>
  </w:num>
  <w:num w:numId="34" w16cid:durableId="2078816550">
    <w:abstractNumId w:val="27"/>
  </w:num>
  <w:num w:numId="35" w16cid:durableId="939721253">
    <w:abstractNumId w:val="23"/>
  </w:num>
  <w:num w:numId="36" w16cid:durableId="869298707">
    <w:abstractNumId w:val="15"/>
  </w:num>
  <w:num w:numId="37" w16cid:durableId="2086679544">
    <w:abstractNumId w:val="10"/>
  </w:num>
  <w:num w:numId="38" w16cid:durableId="2020234851">
    <w:abstractNumId w:val="28"/>
  </w:num>
  <w:num w:numId="39" w16cid:durableId="1673991151">
    <w:abstractNumId w:val="21"/>
  </w:num>
  <w:num w:numId="40" w16cid:durableId="1137138799">
    <w:abstractNumId w:val="13"/>
  </w:num>
  <w:num w:numId="41" w16cid:durableId="10922447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5173060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5536446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256807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205590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4469610">
    <w:abstractNumId w:val="14"/>
  </w:num>
  <w:num w:numId="47" w16cid:durableId="1459564302">
    <w:abstractNumId w:val="25"/>
  </w:num>
  <w:num w:numId="48" w16cid:durableId="17759036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F3"/>
    <w:rsid w:val="0001430B"/>
    <w:rsid w:val="00073C0B"/>
    <w:rsid w:val="00074FC8"/>
    <w:rsid w:val="000757B1"/>
    <w:rsid w:val="000C40EF"/>
    <w:rsid w:val="000D244D"/>
    <w:rsid w:val="000E24BA"/>
    <w:rsid w:val="000E5674"/>
    <w:rsid w:val="000F672E"/>
    <w:rsid w:val="00131542"/>
    <w:rsid w:val="001349C6"/>
    <w:rsid w:val="00183A24"/>
    <w:rsid w:val="00190573"/>
    <w:rsid w:val="00193EF3"/>
    <w:rsid w:val="001A437A"/>
    <w:rsid w:val="001A6F6E"/>
    <w:rsid w:val="001B0918"/>
    <w:rsid w:val="001E4857"/>
    <w:rsid w:val="001F5825"/>
    <w:rsid w:val="00203071"/>
    <w:rsid w:val="002254D5"/>
    <w:rsid w:val="0022611D"/>
    <w:rsid w:val="00251DA4"/>
    <w:rsid w:val="00260BD5"/>
    <w:rsid w:val="0027220A"/>
    <w:rsid w:val="00284164"/>
    <w:rsid w:val="002B2E71"/>
    <w:rsid w:val="002B3569"/>
    <w:rsid w:val="002B7197"/>
    <w:rsid w:val="002C2348"/>
    <w:rsid w:val="002E1ADA"/>
    <w:rsid w:val="002E5654"/>
    <w:rsid w:val="00321DB1"/>
    <w:rsid w:val="00336AE0"/>
    <w:rsid w:val="00351AB4"/>
    <w:rsid w:val="003720E9"/>
    <w:rsid w:val="003C625A"/>
    <w:rsid w:val="003D7EFD"/>
    <w:rsid w:val="003F0EAE"/>
    <w:rsid w:val="003F4F56"/>
    <w:rsid w:val="003F775D"/>
    <w:rsid w:val="00420F04"/>
    <w:rsid w:val="00444726"/>
    <w:rsid w:val="004576FB"/>
    <w:rsid w:val="00470BA8"/>
    <w:rsid w:val="00474647"/>
    <w:rsid w:val="00477E77"/>
    <w:rsid w:val="004A2F7F"/>
    <w:rsid w:val="004B03E0"/>
    <w:rsid w:val="004C7C9B"/>
    <w:rsid w:val="004F0F85"/>
    <w:rsid w:val="004F593E"/>
    <w:rsid w:val="00515C0E"/>
    <w:rsid w:val="00524D1C"/>
    <w:rsid w:val="00541213"/>
    <w:rsid w:val="00546218"/>
    <w:rsid w:val="005603F5"/>
    <w:rsid w:val="005878B3"/>
    <w:rsid w:val="005912BE"/>
    <w:rsid w:val="005D3FCB"/>
    <w:rsid w:val="005F794B"/>
    <w:rsid w:val="00642909"/>
    <w:rsid w:val="00645BA5"/>
    <w:rsid w:val="006710DE"/>
    <w:rsid w:val="006D0081"/>
    <w:rsid w:val="006E0395"/>
    <w:rsid w:val="006E1ECA"/>
    <w:rsid w:val="00763588"/>
    <w:rsid w:val="007756C6"/>
    <w:rsid w:val="007808A7"/>
    <w:rsid w:val="00782B49"/>
    <w:rsid w:val="007A00C7"/>
    <w:rsid w:val="007A05BE"/>
    <w:rsid w:val="007B04D5"/>
    <w:rsid w:val="008067A1"/>
    <w:rsid w:val="00815709"/>
    <w:rsid w:val="008456D5"/>
    <w:rsid w:val="0084634B"/>
    <w:rsid w:val="00863F65"/>
    <w:rsid w:val="00882708"/>
    <w:rsid w:val="008A1887"/>
    <w:rsid w:val="008B6A81"/>
    <w:rsid w:val="008E1D20"/>
    <w:rsid w:val="008E2A0D"/>
    <w:rsid w:val="008E49B4"/>
    <w:rsid w:val="008F3DD3"/>
    <w:rsid w:val="00900ADA"/>
    <w:rsid w:val="00902D70"/>
    <w:rsid w:val="009033CA"/>
    <w:rsid w:val="00951405"/>
    <w:rsid w:val="009560FF"/>
    <w:rsid w:val="00956737"/>
    <w:rsid w:val="009A27A7"/>
    <w:rsid w:val="009B00F2"/>
    <w:rsid w:val="009B52F3"/>
    <w:rsid w:val="009D2721"/>
    <w:rsid w:val="009E49EA"/>
    <w:rsid w:val="009F6B4C"/>
    <w:rsid w:val="009F7051"/>
    <w:rsid w:val="00A070A2"/>
    <w:rsid w:val="00A2693F"/>
    <w:rsid w:val="00A45842"/>
    <w:rsid w:val="00A91957"/>
    <w:rsid w:val="00A95970"/>
    <w:rsid w:val="00AA4B98"/>
    <w:rsid w:val="00AD7703"/>
    <w:rsid w:val="00AF6FFE"/>
    <w:rsid w:val="00B05A51"/>
    <w:rsid w:val="00B1450F"/>
    <w:rsid w:val="00B22CE8"/>
    <w:rsid w:val="00B41970"/>
    <w:rsid w:val="00B42AC2"/>
    <w:rsid w:val="00B730C9"/>
    <w:rsid w:val="00B80CD9"/>
    <w:rsid w:val="00B835BB"/>
    <w:rsid w:val="00BB37C0"/>
    <w:rsid w:val="00BB3AAC"/>
    <w:rsid w:val="00C058FD"/>
    <w:rsid w:val="00C31205"/>
    <w:rsid w:val="00C34408"/>
    <w:rsid w:val="00C503F4"/>
    <w:rsid w:val="00CB2A6F"/>
    <w:rsid w:val="00CC6750"/>
    <w:rsid w:val="00CD233E"/>
    <w:rsid w:val="00CF6CFD"/>
    <w:rsid w:val="00D07944"/>
    <w:rsid w:val="00D1674F"/>
    <w:rsid w:val="00D34671"/>
    <w:rsid w:val="00D5655E"/>
    <w:rsid w:val="00D5724D"/>
    <w:rsid w:val="00D659E9"/>
    <w:rsid w:val="00D95B3B"/>
    <w:rsid w:val="00DB59A7"/>
    <w:rsid w:val="00DE06AB"/>
    <w:rsid w:val="00DE4362"/>
    <w:rsid w:val="00DE4FE2"/>
    <w:rsid w:val="00E04908"/>
    <w:rsid w:val="00E1015B"/>
    <w:rsid w:val="00E71689"/>
    <w:rsid w:val="00E76F76"/>
    <w:rsid w:val="00E83B82"/>
    <w:rsid w:val="00F201FB"/>
    <w:rsid w:val="00F67CDB"/>
    <w:rsid w:val="00F82CA0"/>
    <w:rsid w:val="00F97AF5"/>
    <w:rsid w:val="00FA54E8"/>
    <w:rsid w:val="00FB78D1"/>
    <w:rsid w:val="00FC32B2"/>
    <w:rsid w:val="00FC34AF"/>
    <w:rsid w:val="00FE7A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0F91B"/>
  <w15:chartTrackingRefBased/>
  <w15:docId w15:val="{D7218218-A0CB-4E31-BCD9-99B3F008B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B49"/>
    <w:pPr>
      <w:suppressAutoHyphens/>
    </w:pPr>
  </w:style>
  <w:style w:type="paragraph" w:styleId="Heading1">
    <w:name w:val="heading 1"/>
    <w:basedOn w:val="Normal"/>
    <w:next w:val="Normal"/>
    <w:link w:val="Heading1Char"/>
    <w:uiPriority w:val="9"/>
    <w:qFormat/>
    <w:rsid w:val="006710DE"/>
    <w:pPr>
      <w:keepNext/>
      <w:keepLines/>
      <w:spacing w:before="360" w:after="160"/>
      <w:contextualSpacing/>
      <w:outlineLvl w:val="0"/>
    </w:pPr>
    <w:rPr>
      <w:rFonts w:asciiTheme="majorHAnsi" w:eastAsiaTheme="majorEastAsia" w:hAnsiTheme="majorHAnsi" w:cstheme="majorBidi"/>
      <w:b/>
      <w:color w:val="081E3E" w:themeColor="text2"/>
      <w:sz w:val="56"/>
      <w:szCs w:val="56"/>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0D244D"/>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qFormat/>
    <w:rsid w:val="000D244D"/>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qFormat/>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qFormat/>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9B52F3"/>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9B52F3"/>
    <w:pPr>
      <w:keepNext/>
      <w:keepLines/>
      <w:suppressAutoHyphens w:val="0"/>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3D7EFD"/>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203071"/>
    <w:pPr>
      <w:spacing w:before="1680" w:after="480"/>
    </w:pPr>
    <w:rPr>
      <w:rFonts w:asciiTheme="majorHAnsi" w:eastAsiaTheme="majorEastAsia" w:hAnsiTheme="majorHAnsi" w:cstheme="majorBidi"/>
      <w:b/>
      <w:sz w:val="60"/>
      <w:szCs w:val="56"/>
    </w:rPr>
  </w:style>
  <w:style w:type="character" w:customStyle="1" w:styleId="TitleChar">
    <w:name w:val="Title Char"/>
    <w:basedOn w:val="DefaultParagraphFont"/>
    <w:link w:val="Title"/>
    <w:uiPriority w:val="17"/>
    <w:rsid w:val="00203071"/>
    <w:rPr>
      <w:rFonts w:asciiTheme="majorHAnsi" w:eastAsiaTheme="majorEastAsia" w:hAnsiTheme="majorHAnsi" w:cstheme="majorBidi"/>
      <w:b/>
      <w:kern w:val="12"/>
      <w:sz w:val="60"/>
      <w:szCs w:val="56"/>
    </w:rPr>
  </w:style>
  <w:style w:type="paragraph" w:styleId="Subtitle">
    <w:name w:val="Subtitle"/>
    <w:basedOn w:val="Normal"/>
    <w:next w:val="Normal"/>
    <w:link w:val="SubtitleChar"/>
    <w:uiPriority w:val="18"/>
    <w:qFormat/>
    <w:rsid w:val="00203071"/>
    <w:pPr>
      <w:numPr>
        <w:ilvl w:val="1"/>
      </w:numPr>
      <w:spacing w:before="48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203071"/>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0D244D"/>
    <w:rPr>
      <w:b/>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6710DE"/>
    <w:rPr>
      <w:rFonts w:asciiTheme="majorHAnsi" w:eastAsiaTheme="majorEastAsia" w:hAnsiTheme="majorHAnsi" w:cstheme="majorBidi"/>
      <w:b/>
      <w:color w:val="081E3E" w:themeColor="text2"/>
      <w:sz w:val="56"/>
      <w:szCs w:val="56"/>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203071"/>
    <w:pPr>
      <w:spacing w:before="240" w:after="240"/>
    </w:pPr>
    <w:rPr>
      <w:color w:val="377B88"/>
      <w:sz w:val="26"/>
      <w:lang w:val="x-none"/>
    </w:rPr>
  </w:style>
  <w:style w:type="character" w:customStyle="1" w:styleId="Heading3Char">
    <w:name w:val="Heading 3 Char"/>
    <w:basedOn w:val="DefaultParagraphFont"/>
    <w:link w:val="Heading3"/>
    <w:uiPriority w:val="9"/>
    <w:rsid w:val="000D244D"/>
    <w:rPr>
      <w:rFonts w:asciiTheme="majorHAnsi" w:eastAsiaTheme="majorEastAsia" w:hAnsiTheme="majorHAnsi" w:cstheme="majorBidi"/>
      <w:b/>
      <w:color w:val="6D7989" w:themeColor="accent4" w:themeShade="BF"/>
      <w:kern w:val="12"/>
      <w:sz w:val="32"/>
      <w:szCs w:val="24"/>
    </w:rPr>
  </w:style>
  <w:style w:type="character" w:customStyle="1" w:styleId="Heading4Char">
    <w:name w:val="Heading 4 Char"/>
    <w:basedOn w:val="DefaultParagraphFont"/>
    <w:link w:val="Heading4"/>
    <w:uiPriority w:val="9"/>
    <w:rsid w:val="000D244D"/>
    <w:rPr>
      <w:rFonts w:asciiTheme="majorHAnsi" w:eastAsiaTheme="majorEastAsia" w:hAnsiTheme="majorHAnsi" w:cstheme="majorBidi"/>
      <w:b/>
      <w:iCs/>
      <w:color w:val="49515C" w:themeColor="accent4" w:themeShade="80"/>
      <w:kern w:val="12"/>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13"/>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15"/>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qFormat/>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1F5825"/>
    <w:pPr>
      <w:numPr>
        <w:numId w:val="27"/>
      </w:numPr>
      <w:spacing w:before="80"/>
    </w:pPr>
    <w:rPr>
      <w:kern w:val="12"/>
      <w:sz w:val="20"/>
      <w:szCs w:val="20"/>
    </w:rPr>
  </w:style>
  <w:style w:type="paragraph" w:customStyle="1" w:styleId="Box2Text">
    <w:name w:val="Box 2 Text"/>
    <w:basedOn w:val="Normal"/>
    <w:uiPriority w:val="24"/>
    <w:qFormat/>
    <w:rsid w:val="001F5825"/>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1F5825"/>
    <w:pPr>
      <w:numPr>
        <w:ilvl w:val="1"/>
        <w:numId w:val="27"/>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1"/>
      </w:numPr>
    </w:pPr>
  </w:style>
  <w:style w:type="numbering" w:customStyle="1" w:styleId="ListLegal">
    <w:name w:val="List Legal"/>
    <w:uiPriority w:val="99"/>
    <w:rsid w:val="00477E77"/>
    <w:pPr>
      <w:numPr>
        <w:numId w:val="13"/>
      </w:numPr>
    </w:pPr>
  </w:style>
  <w:style w:type="numbering" w:customStyle="1" w:styleId="ListNumbered">
    <w:name w:val="List Numbered"/>
    <w:uiPriority w:val="99"/>
    <w:rsid w:val="00477E77"/>
    <w:pPr>
      <w:numPr>
        <w:numId w:val="15"/>
      </w:numPr>
    </w:pPr>
  </w:style>
  <w:style w:type="paragraph" w:customStyle="1" w:styleId="Heading1Numbered">
    <w:name w:val="Heading 1 Numbered"/>
    <w:basedOn w:val="Heading1"/>
    <w:uiPriority w:val="10"/>
    <w:rsid w:val="003F775D"/>
    <w:pPr>
      <w:numPr>
        <w:numId w:val="18"/>
      </w:numPr>
    </w:pPr>
  </w:style>
  <w:style w:type="paragraph" w:customStyle="1" w:styleId="Heading2Numbered">
    <w:name w:val="Heading 2 Numbered"/>
    <w:basedOn w:val="Heading2"/>
    <w:uiPriority w:val="10"/>
    <w:qFormat/>
    <w:rsid w:val="003F775D"/>
    <w:pPr>
      <w:numPr>
        <w:ilvl w:val="1"/>
        <w:numId w:val="18"/>
      </w:numPr>
    </w:pPr>
  </w:style>
  <w:style w:type="paragraph" w:customStyle="1" w:styleId="Heading3Numbered">
    <w:name w:val="Heading 3 Numbered"/>
    <w:basedOn w:val="Heading3"/>
    <w:uiPriority w:val="10"/>
    <w:qFormat/>
    <w:rsid w:val="003F775D"/>
    <w:pPr>
      <w:numPr>
        <w:ilvl w:val="2"/>
        <w:numId w:val="18"/>
      </w:numPr>
    </w:pPr>
  </w:style>
  <w:style w:type="paragraph" w:customStyle="1" w:styleId="Heading4Numbered">
    <w:name w:val="Heading 4 Numbered"/>
    <w:basedOn w:val="Heading4"/>
    <w:uiPriority w:val="10"/>
    <w:qFormat/>
    <w:rsid w:val="003F775D"/>
    <w:pPr>
      <w:numPr>
        <w:ilvl w:val="3"/>
        <w:numId w:val="18"/>
      </w:numPr>
    </w:pPr>
  </w:style>
  <w:style w:type="paragraph" w:customStyle="1" w:styleId="Heading5Numbered">
    <w:name w:val="Heading 5 Numbered"/>
    <w:basedOn w:val="Heading5"/>
    <w:uiPriority w:val="10"/>
    <w:qFormat/>
    <w:rsid w:val="003F775D"/>
    <w:pPr>
      <w:numPr>
        <w:ilvl w:val="4"/>
        <w:numId w:val="18"/>
      </w:numPr>
    </w:pPr>
  </w:style>
  <w:style w:type="numbering" w:customStyle="1" w:styleId="NumberedHeadings">
    <w:name w:val="Numbered Headings"/>
    <w:uiPriority w:val="99"/>
    <w:rsid w:val="003F775D"/>
    <w:pPr>
      <w:numPr>
        <w:numId w:val="17"/>
      </w:numPr>
    </w:pPr>
  </w:style>
  <w:style w:type="paragraph" w:customStyle="1" w:styleId="AppendixHeading1">
    <w:name w:val="Appendix Heading 1"/>
    <w:basedOn w:val="Heading1"/>
    <w:uiPriority w:val="11"/>
    <w:qFormat/>
    <w:rsid w:val="0001430B"/>
    <w:pPr>
      <w:numPr>
        <w:numId w:val="21"/>
      </w:numPr>
    </w:pPr>
  </w:style>
  <w:style w:type="paragraph" w:customStyle="1" w:styleId="AppendixHeading2">
    <w:name w:val="Appendix Heading 2"/>
    <w:basedOn w:val="Heading2"/>
    <w:uiPriority w:val="11"/>
    <w:qFormat/>
    <w:rsid w:val="0001430B"/>
    <w:pPr>
      <w:numPr>
        <w:ilvl w:val="1"/>
        <w:numId w:val="21"/>
      </w:numPr>
    </w:pPr>
  </w:style>
  <w:style w:type="paragraph" w:customStyle="1" w:styleId="AttachmentHeading1">
    <w:name w:val="Attachment Heading 1"/>
    <w:basedOn w:val="Heading1"/>
    <w:uiPriority w:val="11"/>
    <w:qFormat/>
    <w:rsid w:val="0001430B"/>
    <w:pPr>
      <w:numPr>
        <w:numId w:val="22"/>
      </w:numPr>
    </w:pPr>
  </w:style>
  <w:style w:type="paragraph" w:customStyle="1" w:styleId="AttachmentHeading2">
    <w:name w:val="Attachment Heading 2"/>
    <w:basedOn w:val="Heading2"/>
    <w:uiPriority w:val="11"/>
    <w:qFormat/>
    <w:rsid w:val="0001430B"/>
    <w:pPr>
      <w:numPr>
        <w:ilvl w:val="1"/>
        <w:numId w:val="22"/>
      </w:numPr>
    </w:pPr>
  </w:style>
  <w:style w:type="numbering" w:customStyle="1" w:styleId="AppendixNumbers">
    <w:name w:val="Appendix Numbers"/>
    <w:uiPriority w:val="99"/>
    <w:rsid w:val="0001430B"/>
    <w:pPr>
      <w:numPr>
        <w:numId w:val="19"/>
      </w:numPr>
    </w:pPr>
  </w:style>
  <w:style w:type="numbering" w:customStyle="1" w:styleId="AttachmentNumbers">
    <w:name w:val="Attachment Numbers"/>
    <w:uiPriority w:val="99"/>
    <w:rsid w:val="0001430B"/>
    <w:pPr>
      <w:numPr>
        <w:numId w:val="22"/>
      </w:numPr>
    </w:pPr>
  </w:style>
  <w:style w:type="paragraph" w:styleId="Quote">
    <w:name w:val="Quote"/>
    <w:basedOn w:val="Normal"/>
    <w:next w:val="Normal"/>
    <w:link w:val="QuoteChar"/>
    <w:uiPriority w:val="29"/>
    <w:qFormat/>
    <w:rsid w:val="00F201FB"/>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F201FB"/>
    <w:rPr>
      <w:b/>
      <w:iCs/>
      <w:color w:val="404040" w:themeColor="text1" w:themeTint="BF"/>
    </w:rPr>
  </w:style>
  <w:style w:type="paragraph" w:styleId="TOC1">
    <w:name w:val="toc 1"/>
    <w:basedOn w:val="Normal"/>
    <w:next w:val="Normal"/>
    <w:autoRedefine/>
    <w:uiPriority w:val="39"/>
    <w:rsid w:val="00D659E9"/>
    <w:pPr>
      <w:keepLines/>
      <w:tabs>
        <w:tab w:val="right" w:pos="14786"/>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99"/>
    <w:unhideWhenUsed/>
    <w:rsid w:val="006E1ECA"/>
    <w:pPr>
      <w:spacing w:before="80"/>
    </w:pPr>
  </w:style>
  <w:style w:type="paragraph" w:customStyle="1" w:styleId="Box2Checklist">
    <w:name w:val="Box 2 Checklist"/>
    <w:basedOn w:val="Box2Text"/>
    <w:uiPriority w:val="26"/>
    <w:qFormat/>
    <w:rsid w:val="001F5825"/>
    <w:pPr>
      <w:numPr>
        <w:ilvl w:val="2"/>
        <w:numId w:val="27"/>
      </w:numPr>
    </w:pPr>
    <w:rPr>
      <w:kern w:val="12"/>
      <w:sz w:val="20"/>
      <w:szCs w:val="20"/>
    </w:rPr>
  </w:style>
  <w:style w:type="numbering" w:customStyle="1" w:styleId="BoxedBullets">
    <w:name w:val="Boxed Bullets"/>
    <w:uiPriority w:val="99"/>
    <w:rsid w:val="001F5825"/>
    <w:pPr>
      <w:numPr>
        <w:numId w:val="24"/>
      </w:numPr>
    </w:pPr>
  </w:style>
  <w:style w:type="character" w:styleId="FollowedHyperlink">
    <w:name w:val="FollowedHyperlink"/>
    <w:basedOn w:val="DefaultParagraphFont"/>
    <w:uiPriority w:val="99"/>
    <w:semiHidden/>
    <w:unhideWhenUsed/>
    <w:rsid w:val="00444726"/>
    <w:rPr>
      <w:color w:val="0046FF" w:themeColor="followedHyperlink"/>
      <w:u w:val="single"/>
    </w:rPr>
  </w:style>
  <w:style w:type="paragraph" w:customStyle="1" w:styleId="SecurityMarker">
    <w:name w:val="Security Marker"/>
    <w:basedOn w:val="Normal"/>
    <w:qFormat/>
    <w:rsid w:val="00193EF3"/>
    <w:pPr>
      <w:spacing w:before="60" w:after="60"/>
      <w:jc w:val="center"/>
    </w:pPr>
    <w:rPr>
      <w:b/>
      <w:bCs/>
      <w:caps/>
      <w:color w:val="E10000"/>
      <w:shd w:val="clear" w:color="auto" w:fill="FFFFFF" w:themeFill="background1"/>
    </w:rPr>
  </w:style>
  <w:style w:type="character" w:customStyle="1" w:styleId="Heading7Char">
    <w:name w:val="Heading 7 Char"/>
    <w:basedOn w:val="DefaultParagraphFont"/>
    <w:link w:val="Heading7"/>
    <w:uiPriority w:val="9"/>
    <w:semiHidden/>
    <w:rsid w:val="009B52F3"/>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9B52F3"/>
    <w:rPr>
      <w:rFonts w:asciiTheme="majorHAnsi" w:eastAsiaTheme="majorEastAsia" w:hAnsiTheme="majorHAnsi" w:cstheme="majorBidi"/>
      <w:color w:val="272727" w:themeColor="text1" w:themeTint="D8"/>
      <w:szCs w:val="21"/>
    </w:rPr>
  </w:style>
  <w:style w:type="paragraph" w:customStyle="1" w:styleId="msonormal0">
    <w:name w:val="msonormal"/>
    <w:basedOn w:val="Normal"/>
    <w:rsid w:val="009B52F3"/>
    <w:pPr>
      <w:suppressAutoHyphens w:val="0"/>
      <w:spacing w:before="100" w:beforeAutospacing="1" w:after="100" w:afterAutospacing="1"/>
    </w:pPr>
    <w:rPr>
      <w:rFonts w:ascii="Times New Roman" w:eastAsia="Times New Roman" w:hAnsi="Times New Roman" w:cs="Times New Roman"/>
      <w:color w:val="auto"/>
      <w:sz w:val="24"/>
      <w:szCs w:val="24"/>
      <w:lang w:eastAsia="zh-CN"/>
    </w:rPr>
  </w:style>
  <w:style w:type="paragraph" w:styleId="TOC4">
    <w:name w:val="toc 4"/>
    <w:basedOn w:val="Normal"/>
    <w:next w:val="Normal"/>
    <w:autoRedefine/>
    <w:uiPriority w:val="39"/>
    <w:semiHidden/>
    <w:unhideWhenUsed/>
    <w:rsid w:val="009B52F3"/>
    <w:pPr>
      <w:tabs>
        <w:tab w:val="right" w:leader="dot" w:pos="9072"/>
      </w:tabs>
      <w:suppressAutoHyphens w:val="0"/>
      <w:spacing w:before="0" w:after="0"/>
      <w:ind w:left="567" w:right="567" w:hanging="567"/>
    </w:pPr>
    <w:rPr>
      <w:rFonts w:ascii="Calibri" w:hAnsi="Calibri"/>
      <w:color w:val="auto"/>
      <w:sz w:val="20"/>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列"/>
    <w:basedOn w:val="Normal"/>
    <w:link w:val="ListParagraphChar"/>
    <w:uiPriority w:val="34"/>
    <w:qFormat/>
    <w:rsid w:val="009B52F3"/>
    <w:pPr>
      <w:numPr>
        <w:numId w:val="29"/>
      </w:numPr>
      <w:suppressAutoHyphens w:val="0"/>
      <w:spacing w:before="0" w:after="160"/>
      <w:ind w:left="567" w:hanging="567"/>
      <w:contextualSpacing/>
    </w:pPr>
    <w:rPr>
      <w:rFonts w:ascii="Calibri" w:hAnsi="Calibri"/>
      <w:color w:val="auto"/>
    </w:rPr>
  </w:style>
  <w:style w:type="paragraph" w:customStyle="1" w:styleId="Heading2notshowing">
    <w:name w:val="Heading 2—not showing"/>
    <w:basedOn w:val="Normal"/>
    <w:next w:val="Normal"/>
    <w:qFormat/>
    <w:rsid w:val="009B52F3"/>
    <w:pPr>
      <w:keepNext/>
      <w:suppressAutoHyphens w:val="0"/>
      <w:spacing w:before="0" w:after="120"/>
      <w:outlineLvl w:val="1"/>
    </w:pPr>
    <w:rPr>
      <w:rFonts w:ascii="Calibri" w:eastAsia="MingLiU" w:hAnsi="Calibri" w:cs="Segoe UI Semibold"/>
      <w:b/>
      <w:color w:val="4C5564"/>
      <w:sz w:val="24"/>
      <w:szCs w:val="26"/>
    </w:rPr>
  </w:style>
  <w:style w:type="paragraph" w:customStyle="1" w:styleId="Heading3notshowing">
    <w:name w:val="Heading 3—not showing"/>
    <w:basedOn w:val="Normal"/>
    <w:next w:val="Normal"/>
    <w:qFormat/>
    <w:rsid w:val="009B52F3"/>
    <w:pPr>
      <w:keepNext/>
      <w:suppressAutoHyphens w:val="0"/>
      <w:spacing w:before="0" w:after="120"/>
      <w:outlineLvl w:val="2"/>
    </w:pPr>
    <w:rPr>
      <w:rFonts w:ascii="Calibri" w:eastAsia="MingLiU" w:hAnsi="Calibri" w:cs="Segoe UI Semibold"/>
      <w:b/>
      <w:color w:val="4C5564"/>
      <w:sz w:val="24"/>
      <w:szCs w:val="30"/>
    </w:rPr>
  </w:style>
  <w:style w:type="paragraph" w:customStyle="1" w:styleId="Listparagraphbullets">
    <w:name w:val="List paragraph—bullets"/>
    <w:basedOn w:val="ListParagraph"/>
    <w:qFormat/>
    <w:rsid w:val="009B52F3"/>
    <w:pPr>
      <w:numPr>
        <w:numId w:val="31"/>
      </w:numPr>
      <w:ind w:left="567" w:hanging="567"/>
    </w:pPr>
    <w:rPr>
      <w:lang w:eastAsia="zh-TW"/>
    </w:rPr>
  </w:style>
  <w:style w:type="paragraph" w:customStyle="1" w:styleId="Tabletext">
    <w:name w:val="Table text"/>
    <w:basedOn w:val="Normal"/>
    <w:qFormat/>
    <w:rsid w:val="009B52F3"/>
    <w:pPr>
      <w:suppressAutoHyphens w:val="0"/>
      <w:spacing w:before="40" w:after="40"/>
    </w:pPr>
    <w:rPr>
      <w:rFonts w:ascii="Calibri" w:eastAsia="Times New Roman" w:hAnsi="Calibri" w:cs="Times New Roman"/>
      <w:color w:val="auto"/>
      <w:szCs w:val="20"/>
    </w:rPr>
  </w:style>
  <w:style w:type="paragraph" w:customStyle="1" w:styleId="Tablerowcolumnheading">
    <w:name w:val="Table row/column heading"/>
    <w:basedOn w:val="Normal"/>
    <w:next w:val="Normal"/>
    <w:rsid w:val="009B52F3"/>
    <w:pPr>
      <w:shd w:val="clear" w:color="auto" w:fill="081E3E"/>
      <w:suppressAutoHyphens w:val="0"/>
      <w:spacing w:before="60" w:after="60"/>
    </w:pPr>
    <w:rPr>
      <w:rFonts w:ascii="Calibri" w:hAnsi="Calibri"/>
      <w:b/>
      <w:color w:val="FFFFFF" w:themeColor="background1"/>
      <w:szCs w:val="20"/>
    </w:rPr>
  </w:style>
  <w:style w:type="paragraph" w:customStyle="1" w:styleId="Tablefigureheading">
    <w:name w:val="Table/figure heading"/>
    <w:basedOn w:val="Normal"/>
    <w:next w:val="Normal"/>
    <w:qFormat/>
    <w:rsid w:val="00CC6750"/>
    <w:pPr>
      <w:keepNext/>
      <w:suppressAutoHyphens w:val="0"/>
      <w:spacing w:before="240" w:after="0"/>
    </w:pPr>
    <w:rPr>
      <w:rFonts w:ascii="Calibri" w:hAnsi="Calibri"/>
      <w:b/>
      <w:color w:val="002D72"/>
    </w:rPr>
  </w:style>
  <w:style w:type="paragraph" w:customStyle="1" w:styleId="Tabletextcentred">
    <w:name w:val="Table text—centred"/>
    <w:basedOn w:val="Tabletext"/>
    <w:next w:val="NoSpacing"/>
    <w:rsid w:val="009B52F3"/>
    <w:pPr>
      <w:jc w:val="center"/>
    </w:pPr>
  </w:style>
  <w:style w:type="paragraph" w:customStyle="1" w:styleId="Tablerowcolumnheadingcentred">
    <w:name w:val="Table row/column heading—centred"/>
    <w:basedOn w:val="Tablerowcolumnheading"/>
    <w:next w:val="Normal"/>
    <w:rsid w:val="009B52F3"/>
    <w:pPr>
      <w:jc w:val="center"/>
    </w:pPr>
  </w:style>
  <w:style w:type="paragraph" w:customStyle="1" w:styleId="Sourcenote">
    <w:name w:val="Source / note"/>
    <w:basedOn w:val="Normal"/>
    <w:qFormat/>
    <w:rsid w:val="009B52F3"/>
    <w:pPr>
      <w:suppressAutoHyphens w:val="0"/>
      <w:spacing w:before="0" w:after="160"/>
    </w:pPr>
    <w:rPr>
      <w:rFonts w:ascii="Calibri" w:eastAsia="PMingLiU" w:hAnsi="Calibri" w:cs="Mangal"/>
      <w:color w:val="595C6E"/>
      <w:sz w:val="20"/>
      <w:szCs w:val="20"/>
      <w:lang w:eastAsia="zh-TW"/>
    </w:rPr>
  </w:style>
  <w:style w:type="paragraph" w:customStyle="1" w:styleId="Normaldisclaimerpage">
    <w:name w:val="Normal—disclaimer page"/>
    <w:basedOn w:val="Normal"/>
    <w:qFormat/>
    <w:rsid w:val="009B52F3"/>
    <w:pPr>
      <w:suppressAutoHyphens w:val="0"/>
      <w:spacing w:before="0" w:after="120"/>
    </w:pPr>
    <w:rPr>
      <w:rFonts w:ascii="Calibri" w:hAnsi="Calibri"/>
      <w:color w:val="auto"/>
      <w:sz w:val="20"/>
      <w:szCs w:val="20"/>
    </w:rPr>
  </w:style>
  <w:style w:type="paragraph" w:customStyle="1" w:styleId="Tabletextbullets">
    <w:name w:val="Table text—bullets"/>
    <w:basedOn w:val="Listparagraphbullets"/>
    <w:qFormat/>
    <w:rsid w:val="009B52F3"/>
    <w:pPr>
      <w:spacing w:before="60" w:after="60"/>
      <w:ind w:left="284" w:hanging="284"/>
    </w:pPr>
    <w:rPr>
      <w:color w:val="000000" w:themeColor="text1"/>
      <w:sz w:val="20"/>
      <w:szCs w:val="20"/>
    </w:rPr>
  </w:style>
  <w:style w:type="paragraph" w:customStyle="1" w:styleId="AreaHeading">
    <w:name w:val="Area Heading"/>
    <w:basedOn w:val="Normal"/>
    <w:qFormat/>
    <w:rsid w:val="009B52F3"/>
    <w:pPr>
      <w:spacing w:before="0"/>
      <w:ind w:left="-1020" w:firstLine="1020"/>
    </w:pPr>
    <w:rPr>
      <w:rFonts w:cs="Times New Roman (Body CS)"/>
      <w:caps/>
      <w:color w:val="6D7989" w:themeColor="accent4" w:themeShade="BF"/>
      <w:kern w:val="12"/>
      <w:sz w:val="21"/>
      <w:szCs w:val="20"/>
    </w:rPr>
  </w:style>
  <w:style w:type="table" w:styleId="PlainTable1">
    <w:name w:val="Plain Table 1"/>
    <w:basedOn w:val="TableNormal"/>
    <w:uiPriority w:val="41"/>
    <w:rsid w:val="009B52F3"/>
    <w:pPr>
      <w:spacing w:before="0" w:after="0"/>
    </w:pPr>
    <w:rPr>
      <w:color w:val="auto"/>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
    <w:name w:val="Plain Table 11"/>
    <w:basedOn w:val="TableNormal"/>
    <w:uiPriority w:val="41"/>
    <w:rsid w:val="009B52F3"/>
    <w:pPr>
      <w:spacing w:before="0" w:after="0"/>
    </w:pPr>
    <w:rPr>
      <w:color w:val="auto"/>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1">
    <w:name w:val="Default Table 11"/>
    <w:basedOn w:val="TableNormal"/>
    <w:uiPriority w:val="99"/>
    <w:rsid w:val="009B52F3"/>
    <w:pPr>
      <w:spacing w:before="80"/>
    </w:pPr>
    <w:rPr>
      <w:color w:val="000000"/>
      <w:sz w:val="20"/>
      <w:szCs w:val="20"/>
    </w:rPr>
    <w:tblPr>
      <w:tblStyleRowBandSize w:val="1"/>
      <w:tblStyleColBandSize w:val="1"/>
      <w:tblInd w:w="0" w:type="nil"/>
      <w:tblBorders>
        <w:top w:val="single" w:sz="4" w:space="0" w:color="4BB3B5"/>
        <w:bottom w:val="single" w:sz="4" w:space="0" w:color="4BB3B5"/>
        <w:insideH w:val="single" w:sz="4" w:space="0" w:color="4BB3B5"/>
      </w:tblBorders>
    </w:tblPr>
    <w:tblStylePr w:type="firstRow">
      <w:rPr>
        <w:b/>
        <w:color w:val="FFFFFF"/>
      </w:rPr>
      <w:tbl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B52F3"/>
    <w:pPr>
      <w:spacing w:before="80"/>
    </w:pPr>
    <w:rPr>
      <w:color w:val="000000"/>
      <w:sz w:val="20"/>
      <w:szCs w:val="20"/>
    </w:rPr>
    <w:tblPr>
      <w:tblStyleRowBandSize w:val="1"/>
      <w:tblStyleColBandSize w:val="1"/>
      <w:tblInd w:w="0" w:type="nil"/>
      <w:tblBorders>
        <w:top w:val="single" w:sz="4" w:space="0" w:color="4BB3B5"/>
        <w:bottom w:val="single" w:sz="4" w:space="0" w:color="4BB3B5"/>
        <w:insideH w:val="single" w:sz="4" w:space="0" w:color="4BB3B5"/>
      </w:tblBorders>
    </w:tblPr>
    <w:tblStylePr w:type="firstRow">
      <w:rPr>
        <w:b/>
        <w:color w:val="FFFFFF"/>
      </w:rPr>
      <w:tbl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paragraph" w:customStyle="1" w:styleId="Listparagraphbulletssecondlevel">
    <w:name w:val="List paragraph—bullets—second level"/>
    <w:basedOn w:val="Listparagraphbullets"/>
    <w:autoRedefine/>
    <w:qFormat/>
    <w:rsid w:val="009B52F3"/>
    <w:pPr>
      <w:numPr>
        <w:numId w:val="33"/>
      </w:numPr>
      <w:spacing w:before="80"/>
      <w:ind w:left="1134" w:hanging="567"/>
    </w:pPr>
    <w:rPr>
      <w:szCs w:val="20"/>
    </w:rPr>
  </w:style>
  <w:style w:type="paragraph" w:styleId="BalloonText">
    <w:name w:val="Balloon Text"/>
    <w:basedOn w:val="Normal"/>
    <w:link w:val="BalloonTextChar"/>
    <w:uiPriority w:val="99"/>
    <w:semiHidden/>
    <w:unhideWhenUsed/>
    <w:rsid w:val="0013154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1542"/>
    <w:rPr>
      <w:rFonts w:ascii="Segoe UI" w:hAnsi="Segoe UI" w:cs="Segoe UI"/>
      <w:sz w:val="18"/>
      <w:szCs w:val="18"/>
    </w:rPr>
  </w:style>
  <w:style w:type="character" w:customStyle="1" w:styleId="Heading9Char">
    <w:name w:val="Heading 9 Char"/>
    <w:basedOn w:val="DefaultParagraphFont"/>
    <w:link w:val="Heading9"/>
    <w:uiPriority w:val="9"/>
    <w:semiHidden/>
    <w:rsid w:val="003D7EFD"/>
    <w:rPr>
      <w:rFonts w:eastAsiaTheme="majorEastAsia" w:cstheme="majorBidi"/>
      <w:color w:val="272727" w:themeColor="text1" w:themeTint="D8"/>
    </w:rPr>
  </w:style>
  <w:style w:type="character" w:customStyle="1" w:styleId="UnresolvedMention1">
    <w:name w:val="Unresolved Mention1"/>
    <w:basedOn w:val="DefaultParagraphFont"/>
    <w:uiPriority w:val="99"/>
    <w:semiHidden/>
    <w:unhideWhenUsed/>
    <w:rsid w:val="003D7EFD"/>
    <w:rPr>
      <w:color w:val="605E5C"/>
      <w:shd w:val="clear" w:color="auto" w:fill="E1DFDD"/>
    </w:rPr>
  </w:style>
  <w:style w:type="character" w:styleId="CommentReference">
    <w:name w:val="annotation reference"/>
    <w:basedOn w:val="DefaultParagraphFont"/>
    <w:uiPriority w:val="99"/>
    <w:semiHidden/>
    <w:unhideWhenUsed/>
    <w:rsid w:val="003D7EFD"/>
    <w:rPr>
      <w:sz w:val="16"/>
      <w:szCs w:val="16"/>
    </w:rPr>
  </w:style>
  <w:style w:type="paragraph" w:styleId="CommentText">
    <w:name w:val="annotation text"/>
    <w:basedOn w:val="Normal"/>
    <w:link w:val="CommentTextChar"/>
    <w:uiPriority w:val="99"/>
    <w:unhideWhenUsed/>
    <w:rsid w:val="003D7EFD"/>
    <w:rPr>
      <w:sz w:val="20"/>
      <w:szCs w:val="20"/>
    </w:rPr>
  </w:style>
  <w:style w:type="character" w:customStyle="1" w:styleId="CommentTextChar">
    <w:name w:val="Comment Text Char"/>
    <w:basedOn w:val="DefaultParagraphFont"/>
    <w:link w:val="CommentText"/>
    <w:uiPriority w:val="99"/>
    <w:rsid w:val="003D7EFD"/>
    <w:rPr>
      <w:sz w:val="20"/>
      <w:szCs w:val="20"/>
    </w:rPr>
  </w:style>
  <w:style w:type="paragraph" w:styleId="CommentSubject">
    <w:name w:val="annotation subject"/>
    <w:basedOn w:val="CommentText"/>
    <w:next w:val="CommentText"/>
    <w:link w:val="CommentSubjectChar"/>
    <w:uiPriority w:val="99"/>
    <w:semiHidden/>
    <w:unhideWhenUsed/>
    <w:rsid w:val="003D7EFD"/>
    <w:rPr>
      <w:b/>
      <w:bCs/>
    </w:rPr>
  </w:style>
  <w:style w:type="character" w:customStyle="1" w:styleId="CommentSubjectChar">
    <w:name w:val="Comment Subject Char"/>
    <w:basedOn w:val="CommentTextChar"/>
    <w:link w:val="CommentSubject"/>
    <w:uiPriority w:val="99"/>
    <w:semiHidden/>
    <w:rsid w:val="003D7EFD"/>
    <w:rPr>
      <w:b/>
      <w:bCs/>
      <w:sz w:val="20"/>
      <w:szCs w:val="20"/>
    </w:rPr>
  </w:style>
  <w:style w:type="paragraph" w:customStyle="1" w:styleId="DocHeading">
    <w:name w:val="DocHeading"/>
    <w:basedOn w:val="Heading1"/>
    <w:qFormat/>
    <w:rsid w:val="003D7EFD"/>
    <w:pPr>
      <w:spacing w:before="160" w:after="220"/>
    </w:pPr>
    <w:rPr>
      <w:rFonts w:asciiTheme="minorHAnsi" w:hAnsiTheme="minorHAnsi" w:cstheme="minorHAnsi"/>
      <w:b w:val="0"/>
      <w:sz w:val="32"/>
      <w:szCs w:val="32"/>
    </w:rPr>
  </w:style>
  <w:style w:type="character" w:customStyle="1" w:styleId="IntenseQuoteChar">
    <w:name w:val="Intense Quote Char"/>
    <w:basedOn w:val="DefaultParagraphFont"/>
    <w:link w:val="IntenseQuote"/>
    <w:uiPriority w:val="30"/>
    <w:rsid w:val="003D7EFD"/>
    <w:rPr>
      <w:i/>
      <w:iCs/>
      <w:color w:val="06162E" w:themeColor="accent1" w:themeShade="BF"/>
    </w:rPr>
  </w:style>
  <w:style w:type="character" w:styleId="IntenseEmphasis">
    <w:name w:val="Intense Emphasis"/>
    <w:basedOn w:val="DefaultParagraphFont"/>
    <w:uiPriority w:val="28"/>
    <w:rsid w:val="003D7EFD"/>
    <w:rPr>
      <w:i/>
      <w:iCs/>
      <w:color w:val="06162E" w:themeColor="accent1" w:themeShade="BF"/>
    </w:rPr>
  </w:style>
  <w:style w:type="paragraph" w:styleId="IntenseQuote">
    <w:name w:val="Intense Quote"/>
    <w:basedOn w:val="Normal"/>
    <w:next w:val="Normal"/>
    <w:link w:val="IntenseQuoteChar"/>
    <w:uiPriority w:val="30"/>
    <w:qFormat/>
    <w:rsid w:val="003D7EFD"/>
    <w:pPr>
      <w:pBdr>
        <w:top w:val="single" w:sz="4" w:space="10" w:color="06162E" w:themeColor="accent1" w:themeShade="BF"/>
        <w:bottom w:val="single" w:sz="4" w:space="10" w:color="06162E" w:themeColor="accent1" w:themeShade="BF"/>
      </w:pBdr>
      <w:spacing w:before="360" w:after="360"/>
      <w:ind w:left="864" w:right="864"/>
      <w:jc w:val="center"/>
    </w:pPr>
    <w:rPr>
      <w:i/>
      <w:iCs/>
      <w:color w:val="06162E" w:themeColor="accent1" w:themeShade="BF"/>
    </w:rPr>
  </w:style>
  <w:style w:type="character" w:customStyle="1" w:styleId="IntenseQuoteChar1">
    <w:name w:val="Intense Quote Char1"/>
    <w:basedOn w:val="DefaultParagraphFont"/>
    <w:uiPriority w:val="30"/>
    <w:semiHidden/>
    <w:rsid w:val="003D7EFD"/>
    <w:rPr>
      <w:i/>
      <w:iCs/>
      <w:color w:val="081E3E" w:themeColor="accent1"/>
    </w:rPr>
  </w:style>
  <w:style w:type="character" w:styleId="IntenseReference">
    <w:name w:val="Intense Reference"/>
    <w:basedOn w:val="DefaultParagraphFont"/>
    <w:uiPriority w:val="32"/>
    <w:qFormat/>
    <w:rsid w:val="003D7EFD"/>
    <w:rPr>
      <w:b/>
      <w:bCs/>
      <w:smallCaps/>
      <w:color w:val="06162E" w:themeColor="accent1" w:themeShade="BF"/>
      <w:spacing w:val="5"/>
    </w:rPr>
  </w:style>
  <w:style w:type="paragraph" w:customStyle="1" w:styleId="DocResources">
    <w:name w:val="DocResources"/>
    <w:basedOn w:val="Heading2"/>
    <w:qFormat/>
    <w:rsid w:val="003D7EFD"/>
    <w:pPr>
      <w:spacing w:before="200" w:after="40"/>
    </w:pPr>
    <w:rPr>
      <w:rFonts w:asciiTheme="minorHAnsi" w:hAnsiTheme="minorHAnsi" w:cstheme="minorHAnsi"/>
    </w:rPr>
  </w:style>
  <w:style w:type="paragraph" w:customStyle="1" w:styleId="flag">
    <w:name w:val="flag"/>
    <w:basedOn w:val="Normal"/>
    <w:qFormat/>
    <w:rsid w:val="003D7EFD"/>
    <w:pPr>
      <w:spacing w:before="120" w:after="120"/>
      <w:jc w:val="center"/>
    </w:pPr>
    <w:rPr>
      <w:noProof/>
    </w:rPr>
  </w:style>
  <w:style w:type="character" w:styleId="UnresolvedMention">
    <w:name w:val="Unresolved Mention"/>
    <w:basedOn w:val="DefaultParagraphFont"/>
    <w:uiPriority w:val="99"/>
    <w:semiHidden/>
    <w:unhideWhenUsed/>
    <w:rsid w:val="003D7EFD"/>
    <w:rPr>
      <w:color w:val="605E5C"/>
      <w:shd w:val="clear" w:color="auto" w:fill="E1DFDD"/>
    </w:rPr>
  </w:style>
  <w:style w:type="character" w:customStyle="1" w:styleId="bold">
    <w:name w:val="bold"/>
    <w:basedOn w:val="DefaultParagraphFont"/>
    <w:uiPriority w:val="1"/>
    <w:qFormat/>
    <w:rsid w:val="003D7EFD"/>
    <w:rPr>
      <w:b/>
    </w:rPr>
  </w:style>
  <w:style w:type="paragraph" w:styleId="NormalWeb">
    <w:name w:val="Normal (Web)"/>
    <w:basedOn w:val="Normal"/>
    <w:uiPriority w:val="99"/>
    <w:semiHidden/>
    <w:unhideWhenUsed/>
    <w:rsid w:val="003D7EFD"/>
    <w:pPr>
      <w:suppressAutoHyphens w:val="0"/>
      <w:spacing w:before="100" w:beforeAutospacing="1" w:after="100" w:afterAutospacing="1"/>
    </w:pPr>
    <w:rPr>
      <w:rFonts w:ascii="Times New Roman" w:eastAsia="Times New Roman" w:hAnsi="Times New Roman" w:cs="Times New Roman"/>
      <w:color w:val="auto"/>
      <w:sz w:val="24"/>
      <w:szCs w:val="24"/>
      <w:lang w:eastAsia="en-AU"/>
    </w:rPr>
  </w:style>
  <w:style w:type="paragraph" w:customStyle="1" w:styleId="F5C399179B804053A64F7C777AA10D7B">
    <w:name w:val="F5C399179B804053A64F7C777AA10D7B"/>
    <w:rsid w:val="003D7EFD"/>
    <w:pPr>
      <w:spacing w:before="0" w:after="160" w:line="259" w:lineRule="auto"/>
    </w:pPr>
    <w:rPr>
      <w:rFonts w:eastAsiaTheme="minorEastAsia"/>
      <w:color w:val="auto"/>
      <w:lang w:eastAsia="en-AU"/>
    </w:rPr>
  </w:style>
  <w:style w:type="paragraph" w:customStyle="1" w:styleId="CCpagebreak">
    <w:name w:val="CC page break"/>
    <w:basedOn w:val="Normal"/>
    <w:link w:val="CCpagebreakChar"/>
    <w:rsid w:val="003D7EFD"/>
    <w:pPr>
      <w:pageBreakBefore/>
      <w:spacing w:after="0"/>
    </w:pPr>
  </w:style>
  <w:style w:type="character" w:customStyle="1" w:styleId="CCpagebreakChar">
    <w:name w:val="CC page break Char"/>
    <w:basedOn w:val="DefaultParagraphFont"/>
    <w:link w:val="CCpagebreak"/>
    <w:rsid w:val="003D7EFD"/>
  </w:style>
  <w:style w:type="paragraph" w:customStyle="1" w:styleId="Whiteblockcoverpage">
    <w:name w:val="White block cover page"/>
    <w:basedOn w:val="Normal"/>
    <w:link w:val="WhiteblockcoverpageChar"/>
    <w:qFormat/>
    <w:rsid w:val="003D7EFD"/>
    <w:pPr>
      <w:framePr w:w="24381" w:h="817" w:hRule="exact" w:hSpace="181" w:wrap="around" w:vAnchor="page" w:hAnchor="page" w:xAlign="center" w:yAlign="bottom"/>
      <w:spacing w:before="0" w:after="0"/>
    </w:pPr>
    <w:rPr>
      <w:noProof/>
    </w:rPr>
  </w:style>
  <w:style w:type="character" w:customStyle="1" w:styleId="WhiteblockcoverpageChar">
    <w:name w:val="White block cover page Char"/>
    <w:basedOn w:val="DefaultParagraphFont"/>
    <w:link w:val="Whiteblockcoverpage"/>
    <w:rsid w:val="003D7EFD"/>
    <w:rPr>
      <w:noProof/>
    </w:rPr>
  </w:style>
  <w:style w:type="paragraph" w:styleId="Revision">
    <w:name w:val="Revision"/>
    <w:hidden/>
    <w:uiPriority w:val="99"/>
    <w:semiHidden/>
    <w:rsid w:val="003D7EFD"/>
    <w:pPr>
      <w:spacing w:before="0" w:after="0"/>
    </w:p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qFormat/>
    <w:locked/>
    <w:rsid w:val="003D7EFD"/>
    <w:rPr>
      <w:rFonts w:ascii="Calibri" w:hAnsi="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648">
      <w:bodyDiv w:val="1"/>
      <w:marLeft w:val="0"/>
      <w:marRight w:val="0"/>
      <w:marTop w:val="0"/>
      <w:marBottom w:val="0"/>
      <w:divBdr>
        <w:top w:val="none" w:sz="0" w:space="0" w:color="auto"/>
        <w:left w:val="none" w:sz="0" w:space="0" w:color="auto"/>
        <w:bottom w:val="none" w:sz="0" w:space="0" w:color="auto"/>
        <w:right w:val="none" w:sz="0" w:space="0" w:color="auto"/>
      </w:divBdr>
    </w:div>
    <w:div w:id="337847902">
      <w:bodyDiv w:val="1"/>
      <w:marLeft w:val="0"/>
      <w:marRight w:val="0"/>
      <w:marTop w:val="0"/>
      <w:marBottom w:val="0"/>
      <w:divBdr>
        <w:top w:val="none" w:sz="0" w:space="0" w:color="auto"/>
        <w:left w:val="none" w:sz="0" w:space="0" w:color="auto"/>
        <w:bottom w:val="none" w:sz="0" w:space="0" w:color="auto"/>
        <w:right w:val="none" w:sz="0" w:space="0" w:color="auto"/>
      </w:divBdr>
    </w:div>
    <w:div w:id="444691001">
      <w:bodyDiv w:val="1"/>
      <w:marLeft w:val="0"/>
      <w:marRight w:val="0"/>
      <w:marTop w:val="0"/>
      <w:marBottom w:val="0"/>
      <w:divBdr>
        <w:top w:val="none" w:sz="0" w:space="0" w:color="auto"/>
        <w:left w:val="none" w:sz="0" w:space="0" w:color="auto"/>
        <w:bottom w:val="none" w:sz="0" w:space="0" w:color="auto"/>
        <w:right w:val="none" w:sz="0" w:space="0" w:color="auto"/>
      </w:divBdr>
    </w:div>
    <w:div w:id="821703621">
      <w:bodyDiv w:val="1"/>
      <w:marLeft w:val="0"/>
      <w:marRight w:val="0"/>
      <w:marTop w:val="0"/>
      <w:marBottom w:val="0"/>
      <w:divBdr>
        <w:top w:val="none" w:sz="0" w:space="0" w:color="auto"/>
        <w:left w:val="none" w:sz="0" w:space="0" w:color="auto"/>
        <w:bottom w:val="none" w:sz="0" w:space="0" w:color="auto"/>
        <w:right w:val="none" w:sz="0" w:space="0" w:color="auto"/>
      </w:divBdr>
    </w:div>
    <w:div w:id="1614247356">
      <w:bodyDiv w:val="1"/>
      <w:marLeft w:val="0"/>
      <w:marRight w:val="0"/>
      <w:marTop w:val="0"/>
      <w:marBottom w:val="0"/>
      <w:divBdr>
        <w:top w:val="none" w:sz="0" w:space="0" w:color="auto"/>
        <w:left w:val="none" w:sz="0" w:space="0" w:color="auto"/>
        <w:bottom w:val="none" w:sz="0" w:space="0" w:color="auto"/>
        <w:right w:val="none" w:sz="0" w:space="0" w:color="auto"/>
      </w:divBdr>
    </w:div>
    <w:div w:id="177998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egislation.gov.au/F2026L01002/latest/text/explanatory-statement"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legislation.gov.au/F2026L01002/latest/tex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legislation.gov.au/F2026L01002/latest/text/supporting-materia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www.infrastructure.gov.au/transportstandard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epartment_Templates\Standard%20Templates\DITRDCA%20Report%20template%20landscape_2909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DF2B5F914A4456BA428C01F03056BB"/>
        <w:category>
          <w:name w:val="General"/>
          <w:gallery w:val="placeholder"/>
        </w:category>
        <w:types>
          <w:type w:val="bbPlcHdr"/>
        </w:types>
        <w:behaviors>
          <w:behavior w:val="content"/>
        </w:behaviors>
        <w:guid w:val="{2AEC5967-E400-4381-9E38-C7DD8891534B}"/>
      </w:docPartPr>
      <w:docPartBody>
        <w:p w:rsidR="00EB7190" w:rsidRDefault="00EB7190">
          <w:pPr>
            <w:pStyle w:val="BFDF2B5F914A4456BA428C01F03056BB"/>
          </w:pPr>
          <w:r w:rsidRPr="00A64A8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90"/>
    <w:rsid w:val="000632E9"/>
    <w:rsid w:val="000757B1"/>
    <w:rsid w:val="000B3526"/>
    <w:rsid w:val="002319B1"/>
    <w:rsid w:val="0028784E"/>
    <w:rsid w:val="00321DB1"/>
    <w:rsid w:val="00371283"/>
    <w:rsid w:val="008850CE"/>
    <w:rsid w:val="00A2693F"/>
    <w:rsid w:val="00A45842"/>
    <w:rsid w:val="00B41970"/>
    <w:rsid w:val="00B93FB5"/>
    <w:rsid w:val="00E23723"/>
    <w:rsid w:val="00E359F4"/>
    <w:rsid w:val="00EB719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32E9"/>
    <w:rPr>
      <w:color w:val="808080"/>
    </w:rPr>
  </w:style>
  <w:style w:type="paragraph" w:customStyle="1" w:styleId="BFDF2B5F914A4456BA428C01F03056BB">
    <w:name w:val="BFDF2B5F914A4456BA428C01F03056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DB4B8D-B8CE-46F5-BDFE-71D7E2917590}">
  <ds:schemaRefs>
    <ds:schemaRef ds:uri="http://schemas.openxmlformats.org/officeDocument/2006/bibliography"/>
  </ds:schemaRefs>
</ds:datastoreItem>
</file>

<file path=docMetadata/LabelInfo.xml><?xml version="1.0" encoding="utf-8"?>
<clbl:labelList xmlns:clbl="http://schemas.microsoft.com/office/2020/mipLabelMetadata">
  <clbl:label id="{1c16dea0-12b3-4fce-9519-7a6f6f5c8e10}"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DITRDCA Report template landscape_29092022.dotx</Template>
  <TotalTime>6</TotalTime>
  <Pages>22</Pages>
  <Words>5979</Words>
  <Characters>34082</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Summary of amendments to the Disability Standards for Accessible Public Transport 2002—October 2026</vt:lpstr>
    </vt:vector>
  </TitlesOfParts>
  <Company>Australian Government, Department of Infrastructure, Transport, Regional Development, Communications, Sport and the Arts</Company>
  <LinksUpToDate>false</LinksUpToDate>
  <CharactersWithSpaces>39982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amendments to the Disability Standards for Accessible Public Transport 2002—October 2026</dc:title>
  <dc:subject/>
  <dc:creator>Australian Government, Department of Infrastructure, Transport, Regional Development, Communications, Sport and the Arts</dc:creator>
  <cp:keywords/>
  <dc:description>14 May 2025</dc:description>
  <cp:lastModifiedBy>EGAN, Harry</cp:lastModifiedBy>
  <cp:revision>8</cp:revision>
  <cp:lastPrinted>2023-07-04T07:52:00Z</cp:lastPrinted>
  <dcterms:created xsi:type="dcterms:W3CDTF">2026-10-07T01:10:00Z</dcterms:created>
  <dcterms:modified xsi:type="dcterms:W3CDTF">2026-10-13T01:51:00Z</dcterms:modified>
  <cp:contentStatus>&lt;SELECT THE CLASSIFICATION MARKER ABOVE THAT APPLIES TO YOUR DOCUMENT, THEN DELETE THE OTHERS AND THIS TEXT&gt;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758b6c30,503a9577,482d2b5e,5139374d,76e98f44,1bc6b4eb,238a3006</vt:lpwstr>
  </property>
  <property fmtid="{D5CDD505-2E9C-101B-9397-08002B2CF9AE}" pid="3" name="ClassificationContentMarkingHeaderFontProps">
    <vt:lpwstr>#ff0000,14,Aptos</vt:lpwstr>
  </property>
  <property fmtid="{D5CDD505-2E9C-101B-9397-08002B2CF9AE}" pid="4" name="ClassificationContentMarkingHeaderText">
    <vt:lpwstr>UNOFFICIAL</vt:lpwstr>
  </property>
  <property fmtid="{D5CDD505-2E9C-101B-9397-08002B2CF9AE}" pid="5" name="ClassificationContentMarkingFooterShapeIds">
    <vt:lpwstr>6650d55f,6e6d9664,1bf7027b,3fcb9687,37b2b3db</vt:lpwstr>
  </property>
  <property fmtid="{D5CDD505-2E9C-101B-9397-08002B2CF9AE}" pid="6" name="ClassificationContentMarkingFooterFontProps">
    <vt:lpwstr>#ff0000,14,Aptos</vt:lpwstr>
  </property>
  <property fmtid="{D5CDD505-2E9C-101B-9397-08002B2CF9AE}" pid="7" name="ClassificationContentMarkingFooterText">
    <vt:lpwstr>UNOFFICIAL</vt:lpwstr>
  </property>
</Properties>
</file>