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EF" w:rsidRDefault="00A33EEF" w:rsidP="00A1627B">
      <w:bookmarkStart w:id="0" w:name="_GoBack"/>
      <w:bookmarkEnd w:id="0"/>
      <w:r>
        <w:t>To the Department of Communications and the Arts</w:t>
      </w:r>
      <w:r>
        <w:br/>
        <w:t>GPO Box 2154</w:t>
      </w:r>
      <w:r>
        <w:br/>
      </w:r>
      <w:proofErr w:type="gramStart"/>
      <w:r>
        <w:t>Canberra  ACT</w:t>
      </w:r>
      <w:proofErr w:type="gramEnd"/>
      <w:r>
        <w:t xml:space="preserve">  2601</w:t>
      </w:r>
    </w:p>
    <w:p w:rsidR="00876729" w:rsidRDefault="00A33EEF" w:rsidP="00DB240A">
      <w:pPr>
        <w:pStyle w:val="Heading1"/>
      </w:pPr>
      <w:r>
        <w:t>Submission</w:t>
      </w:r>
      <w:r w:rsidR="00AE3930">
        <w:t xml:space="preserve"> response</w:t>
      </w:r>
      <w:r w:rsidR="005B41AF">
        <w:t>—Possible amendments to telecommunications powers and immunities</w:t>
      </w:r>
    </w:p>
    <w:p w:rsidR="00FA3649" w:rsidRDefault="00FA3649" w:rsidP="00A85255">
      <w:pPr>
        <w:pStyle w:val="Heading2"/>
      </w:pPr>
      <w:r>
        <w:t>This submission can be published on the W</w:t>
      </w:r>
      <w:r w:rsidR="004E32B5">
        <w:t>orld Wide Web</w:t>
      </w:r>
    </w:p>
    <w:p w:rsidR="00FA3649" w:rsidRPr="00FA3649" w:rsidRDefault="00FA3649" w:rsidP="00FA3649">
      <w:r>
        <w:t>Yes / No.</w:t>
      </w:r>
    </w:p>
    <w:p w:rsidR="0087509A" w:rsidRDefault="0087509A" w:rsidP="0087509A">
      <w:pPr>
        <w:pStyle w:val="Heading2"/>
      </w:pPr>
      <w:r>
        <w:t>Date of submission</w:t>
      </w:r>
    </w:p>
    <w:p w:rsidR="0087509A" w:rsidRDefault="003E21C5" w:rsidP="0087509A">
      <w:r>
        <w:t>&lt;</w:t>
      </w:r>
      <w:proofErr w:type="gramStart"/>
      <w:r>
        <w:t>response</w:t>
      </w:r>
      <w:proofErr w:type="gramEnd"/>
      <w:r>
        <w:t>&gt;</w:t>
      </w:r>
    </w:p>
    <w:p w:rsidR="00A85255" w:rsidRDefault="00A85255" w:rsidP="00A85255">
      <w:pPr>
        <w:pStyle w:val="Heading2"/>
      </w:pPr>
      <w:r>
        <w:t>Logo of organisation—if an organisation making this submission</w:t>
      </w:r>
    </w:p>
    <w:p w:rsidR="00A85255" w:rsidRPr="00A85255" w:rsidRDefault="003E21C5" w:rsidP="00A85255">
      <w:r>
        <w:t>&lt;</w:t>
      </w:r>
      <w:proofErr w:type="gramStart"/>
      <w:r>
        <w:t>response</w:t>
      </w:r>
      <w:proofErr w:type="gramEnd"/>
      <w:r>
        <w:t>&gt;</w:t>
      </w:r>
    </w:p>
    <w:p w:rsidR="00DB240A" w:rsidRDefault="00DB240A" w:rsidP="00DB240A">
      <w:pPr>
        <w:pStyle w:val="Heading2"/>
      </w:pPr>
      <w:r>
        <w:t>Name and contact details of person/organisation making submission</w:t>
      </w:r>
    </w:p>
    <w:p w:rsidR="00A85255" w:rsidRDefault="003E21C5" w:rsidP="00A85255">
      <w:r>
        <w:t>&lt;</w:t>
      </w:r>
      <w:proofErr w:type="gramStart"/>
      <w:r>
        <w:t>response</w:t>
      </w:r>
      <w:proofErr w:type="gramEnd"/>
      <w:r>
        <w:t>&gt;</w:t>
      </w:r>
    </w:p>
    <w:p w:rsidR="00A85255" w:rsidRDefault="00A85255" w:rsidP="00A85255">
      <w:pPr>
        <w:pStyle w:val="Heading2"/>
      </w:pPr>
      <w:r>
        <w:t>General comments</w:t>
      </w:r>
    </w:p>
    <w:p w:rsidR="001F27BC" w:rsidRDefault="003E21C5" w:rsidP="001F27BC">
      <w:r>
        <w:t>&lt;</w:t>
      </w:r>
      <w:proofErr w:type="gramStart"/>
      <w:r>
        <w:t>response</w:t>
      </w:r>
      <w:proofErr w:type="gramEnd"/>
      <w:r>
        <w:t>&gt;</w:t>
      </w:r>
    </w:p>
    <w:p w:rsidR="001F27BC" w:rsidRDefault="001F27BC" w:rsidP="001F27BC">
      <w:pPr>
        <w:pStyle w:val="Heading2"/>
      </w:pPr>
      <w:r>
        <w:t>Responses</w:t>
      </w:r>
    </w:p>
    <w:p w:rsidR="00D0587C" w:rsidRDefault="001F27BC" w:rsidP="00D0587C">
      <w:r>
        <w:t xml:space="preserve">The </w:t>
      </w:r>
      <w:r w:rsidR="00A33EEF">
        <w:t xml:space="preserve">Australian </w:t>
      </w:r>
      <w:r>
        <w:t xml:space="preserve">Government seeks views on </w:t>
      </w:r>
      <w:r w:rsidR="00D0587C">
        <w:t>possible amendments to telecommunications carrier powers and immunities. In particular, the Government seeks views on:</w:t>
      </w:r>
    </w:p>
    <w:p w:rsidR="00D0587C" w:rsidRPr="004B2FB0" w:rsidRDefault="00D0587C" w:rsidP="004B2FB0">
      <w:pPr>
        <w:pStyle w:val="Heading3"/>
      </w:pPr>
      <w:r w:rsidRPr="004B2FB0">
        <w:t>Proposed amendments to the Telecommunications (Low-impact Facilities) Determination 1997</w:t>
      </w:r>
    </w:p>
    <w:p w:rsidR="001F27BC" w:rsidRPr="004B2FB0" w:rsidRDefault="005B41AF" w:rsidP="004B2FB0">
      <w:pPr>
        <w:pStyle w:val="Heading4"/>
      </w:pPr>
      <w:r w:rsidRPr="004B2FB0">
        <w:t>Definition of co-located facilities</w:t>
      </w:r>
    </w:p>
    <w:p w:rsidR="005B41AF" w:rsidRPr="005B41AF" w:rsidRDefault="005B41AF" w:rsidP="004B2FB0">
      <w:pPr>
        <w:pStyle w:val="Heading5"/>
      </w:pPr>
      <w:r w:rsidRPr="008C319E">
        <w:t>1.1</w:t>
      </w:r>
      <w:r w:rsidR="004B2FB0">
        <w:tab/>
      </w:r>
      <w:r w:rsidRPr="008C319E">
        <w:t>Are there any issues with this proposed clarification to the definition of co-location?</w:t>
      </w:r>
    </w:p>
    <w:p w:rsidR="001F27BC" w:rsidRDefault="00A33EEF" w:rsidP="001F27BC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4"/>
      </w:pPr>
      <w:r w:rsidRPr="00E21CA7">
        <w:t>Local government heritage overlays</w:t>
      </w:r>
    </w:p>
    <w:p w:rsidR="005B41AF" w:rsidRPr="004B2FB0" w:rsidRDefault="005B41AF" w:rsidP="004B2FB0">
      <w:pPr>
        <w:pStyle w:val="Heading5"/>
      </w:pPr>
      <w:r w:rsidRPr="004B2FB0">
        <w:t>2.1</w:t>
      </w:r>
      <w:r w:rsidR="004B2FB0" w:rsidRPr="004B2FB0">
        <w:tab/>
      </w:r>
      <w:r w:rsidRPr="004B2FB0">
        <w:t>Are there any issues with this clarification in relation to local government heritage overlays?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4"/>
      </w:pPr>
      <w:r w:rsidRPr="001E43CB">
        <w:lastRenderedPageBreak/>
        <w:t>Radio shrouds as an ancillary facility</w:t>
      </w:r>
    </w:p>
    <w:p w:rsidR="005B41AF" w:rsidRDefault="005B41AF" w:rsidP="004B2FB0">
      <w:pPr>
        <w:pStyle w:val="Heading5"/>
      </w:pPr>
      <w:r w:rsidRPr="00167E0C">
        <w:t>3.1</w:t>
      </w:r>
      <w:r w:rsidR="004B2FB0">
        <w:tab/>
      </w:r>
      <w:r w:rsidRPr="00167E0C">
        <w:t>Should radio shrouds be considered ancillary facilities to low-impact facilities, or should radio shrouds be listed as distinct facilities in the Schedule of the LIFD?</w:t>
      </w:r>
    </w:p>
    <w:p w:rsidR="005B41AF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5"/>
      </w:pPr>
      <w:r w:rsidRPr="00167E0C">
        <w:t>3.2</w:t>
      </w:r>
      <w:r w:rsidR="004B2FB0">
        <w:tab/>
      </w:r>
      <w:r w:rsidRPr="00167E0C">
        <w:t>If listed as distinct facilities in the Schedule of the LIFD, should there be any criteria for radio shrouds, for example in terms of size and dimensions?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4"/>
      </w:pPr>
      <w:r w:rsidRPr="00782DDE">
        <w:t>Size of radiocommunications and satellite dishes</w:t>
      </w:r>
    </w:p>
    <w:p w:rsidR="00D0587C" w:rsidRDefault="00D0587C" w:rsidP="004B2FB0">
      <w:pPr>
        <w:pStyle w:val="Heading5"/>
      </w:pPr>
      <w:r>
        <w:t>4.1</w:t>
      </w:r>
      <w:r w:rsidR="004B2FB0">
        <w:tab/>
      </w:r>
      <w:r>
        <w:t>Are there any issues with permitting 2.4 metre subscriber radiocommunications dishes (or terminal antennas) in rural and industrial areas (</w:t>
      </w:r>
      <w:r w:rsidRPr="002E72EA">
        <w:t>LIFD Schedule, Part 1, Item 1A</w:t>
      </w:r>
      <w:r>
        <w:t>)?</w:t>
      </w:r>
    </w:p>
    <w:p w:rsidR="00D0587C" w:rsidRPr="00782DDE" w:rsidRDefault="00D0587C" w:rsidP="00D0587C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D0587C" w:rsidRDefault="00D0587C" w:rsidP="004B2FB0">
      <w:pPr>
        <w:pStyle w:val="Heading5"/>
      </w:pPr>
      <w:r>
        <w:t>4.2</w:t>
      </w:r>
      <w:r w:rsidR="004B2FB0">
        <w:tab/>
      </w:r>
      <w:r>
        <w:t xml:space="preserve">Are there any issues with permitting other 2.4 metre radiocommunications dishes in rural and industrial areas, including those located on telecommunications structures (LIFD Schedule, Part 1, </w:t>
      </w:r>
      <w:proofErr w:type="gramStart"/>
      <w:r>
        <w:t>Item</w:t>
      </w:r>
      <w:proofErr w:type="gramEnd"/>
      <w:r w:rsidRPr="002E72EA">
        <w:t xml:space="preserve"> </w:t>
      </w:r>
      <w:r>
        <w:t>5</w:t>
      </w:r>
      <w:r w:rsidRPr="002E72EA">
        <w:t>A</w:t>
      </w:r>
      <w:r>
        <w:t>)?</w:t>
      </w:r>
    </w:p>
    <w:p w:rsidR="005B41AF" w:rsidRPr="00782DDE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4"/>
      </w:pPr>
      <w:r w:rsidRPr="00880DC7">
        <w:t>Maximum heights of antenna protrusions on buildings</w:t>
      </w:r>
    </w:p>
    <w:p w:rsidR="005B41AF" w:rsidRDefault="005B41AF" w:rsidP="004B2FB0">
      <w:pPr>
        <w:pStyle w:val="Heading5"/>
      </w:pPr>
      <w:r w:rsidRPr="00880DC7">
        <w:t>5.1</w:t>
      </w:r>
      <w:r w:rsidR="004B2FB0">
        <w:tab/>
      </w:r>
      <w:r w:rsidRPr="00880DC7">
        <w:t xml:space="preserve">Is </w:t>
      </w:r>
      <w:r w:rsidR="00D0587C">
        <w:t xml:space="preserve">a 5 metre </w:t>
      </w:r>
      <w:r w:rsidRPr="00880DC7">
        <w:t>protrusion height acceptable, or is there a more appropriate height?</w:t>
      </w:r>
    </w:p>
    <w:p w:rsidR="005B41AF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5"/>
      </w:pPr>
      <w:r w:rsidRPr="00880DC7">
        <w:t>5.2</w:t>
      </w:r>
      <w:r w:rsidR="004B2FB0">
        <w:tab/>
      </w:r>
      <w:r w:rsidRPr="00880DC7">
        <w:t>Are higher protrusions more acceptable in some areas than others? Could protrusions higher than 5 metres be allowed in industrial and rural areas?</w:t>
      </w:r>
    </w:p>
    <w:p w:rsidR="005B41AF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4"/>
      </w:pPr>
      <w:r w:rsidRPr="000B545F">
        <w:t>Use of omnidirectional antennas in residential and commercial areas</w:t>
      </w:r>
    </w:p>
    <w:p w:rsidR="005B41AF" w:rsidRDefault="005B41AF" w:rsidP="004B2FB0">
      <w:pPr>
        <w:pStyle w:val="Heading5"/>
      </w:pPr>
      <w:r w:rsidRPr="00784EE0">
        <w:t>6.1</w:t>
      </w:r>
      <w:r w:rsidR="004B2FB0">
        <w:tab/>
      </w:r>
      <w:r w:rsidRPr="00784EE0">
        <w:t>Are there any issues with permitting omnidirectional antennas in residential and commercial areas, in additio</w:t>
      </w:r>
      <w:r>
        <w:t>n to industrial and rural areas?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4"/>
      </w:pPr>
      <w:r>
        <w:t>Radiocommunications facilities</w:t>
      </w:r>
    </w:p>
    <w:p w:rsidR="005B41AF" w:rsidRDefault="005B41AF" w:rsidP="004B2FB0">
      <w:pPr>
        <w:pStyle w:val="Heading5"/>
      </w:pPr>
      <w:r w:rsidRPr="00066D3C">
        <w:t>7.1</w:t>
      </w:r>
      <w:r w:rsidR="004B2FB0">
        <w:tab/>
      </w:r>
      <w:r w:rsidRPr="00066D3C">
        <w:t>Does the proposed approach raise any issues</w:t>
      </w:r>
      <w:r>
        <w:t>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5"/>
      </w:pPr>
      <w:r>
        <w:t>7</w:t>
      </w:r>
      <w:r w:rsidRPr="00066D3C">
        <w:t>.2</w:t>
      </w:r>
      <w:r w:rsidR="004B2FB0">
        <w:tab/>
      </w:r>
      <w:r w:rsidRPr="00066D3C">
        <w:t>Are the proposed dimensions for these facilities appropriate?</w:t>
      </w:r>
    </w:p>
    <w:p w:rsidR="005B41AF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4"/>
      </w:pPr>
      <w:r w:rsidRPr="00474161">
        <w:t>Equipment installed inside a non-residential structure in residential areas</w:t>
      </w:r>
    </w:p>
    <w:p w:rsidR="005B41AF" w:rsidRDefault="005B41AF" w:rsidP="004B2FB0">
      <w:pPr>
        <w:pStyle w:val="Heading5"/>
      </w:pPr>
      <w:r w:rsidRPr="00962C04">
        <w:t>8.1</w:t>
      </w:r>
      <w:r w:rsidR="004B2FB0">
        <w:tab/>
      </w:r>
      <w:r w:rsidRPr="00962C04">
        <w:t>Should carriers be able to enter land (including buildings) to install facilities in existing structures not used for residential purposes in residential areas?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4"/>
      </w:pPr>
      <w:r w:rsidRPr="008C0345">
        <w:t>Tower extensions in commercial areas</w:t>
      </w:r>
    </w:p>
    <w:p w:rsidR="005B41AF" w:rsidRDefault="005B41AF" w:rsidP="004B2FB0">
      <w:pPr>
        <w:pStyle w:val="Heading5"/>
      </w:pPr>
      <w:r w:rsidRPr="008C0345">
        <w:t>9.1</w:t>
      </w:r>
      <w:r w:rsidR="004B2FB0">
        <w:tab/>
      </w:r>
      <w:r w:rsidRPr="008C0345">
        <w:t>Are there any issues permitting tower height extensions of up to five metres in commercial areas?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4"/>
      </w:pPr>
      <w:r w:rsidRPr="003612A5">
        <w:lastRenderedPageBreak/>
        <w:t>Radiocommunications lens antennas</w:t>
      </w:r>
    </w:p>
    <w:p w:rsidR="005B41AF" w:rsidRDefault="005B41AF" w:rsidP="004B2FB0">
      <w:pPr>
        <w:pStyle w:val="Heading5"/>
      </w:pPr>
      <w:r w:rsidRPr="003612A5">
        <w:t>10.1</w:t>
      </w:r>
      <w:r w:rsidR="004B2FB0">
        <w:tab/>
      </w:r>
      <w:r w:rsidRPr="003612A5">
        <w:t>Is lens antenna the best term to describe this type of antenna?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5"/>
      </w:pPr>
      <w:r w:rsidRPr="003612A5">
        <w:t>10.2</w:t>
      </w:r>
      <w:r w:rsidR="004B2FB0">
        <w:tab/>
      </w:r>
      <w:r w:rsidRPr="003612A5">
        <w:t xml:space="preserve">Are 4 cubic metres in volume and </w:t>
      </w:r>
      <w:r w:rsidR="00D0587C">
        <w:t>5</w:t>
      </w:r>
      <w:r w:rsidRPr="003612A5">
        <w:t xml:space="preserve"> metres of protrusion</w:t>
      </w:r>
      <w:r>
        <w:t xml:space="preserve"> from structures appropriate?</w:t>
      </w:r>
    </w:p>
    <w:p w:rsidR="005B41AF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5"/>
      </w:pPr>
      <w:r w:rsidRPr="001C589E">
        <w:t>10.3</w:t>
      </w:r>
      <w:r w:rsidR="004B2FB0">
        <w:tab/>
      </w:r>
      <w:r w:rsidRPr="001C589E">
        <w:t xml:space="preserve">Should this type of antenna be allowed in all areas, or restricted to </w:t>
      </w:r>
      <w:r>
        <w:t>only industrial and rural areas?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4"/>
      </w:pPr>
      <w:r w:rsidRPr="00FA117C">
        <w:t>Cabinets for tower equipment</w:t>
      </w:r>
    </w:p>
    <w:p w:rsidR="005B41AF" w:rsidRDefault="005B41AF" w:rsidP="004B2FB0">
      <w:pPr>
        <w:pStyle w:val="Heading5"/>
      </w:pPr>
      <w:r w:rsidRPr="00FA117C">
        <w:t>11.1</w:t>
      </w:r>
      <w:r w:rsidR="004B2FB0">
        <w:tab/>
      </w:r>
      <w:r w:rsidRPr="00FA117C">
        <w:t>Are there any issues wit</w:t>
      </w:r>
      <w:r>
        <w:t>h the proposed new cabinet type?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4"/>
      </w:pPr>
      <w:r w:rsidRPr="00183498">
        <w:t>Size of solar panels used to power telecommunications facilities</w:t>
      </w:r>
    </w:p>
    <w:p w:rsidR="005B41AF" w:rsidRDefault="005B41AF" w:rsidP="004B2FB0">
      <w:pPr>
        <w:pStyle w:val="Heading5"/>
      </w:pPr>
      <w:r w:rsidRPr="00183498">
        <w:t>12.1</w:t>
      </w:r>
      <w:r w:rsidR="004B2FB0">
        <w:tab/>
      </w:r>
      <w:r w:rsidRPr="00183498">
        <w:t>Are there any issues with permitting 12.5 square metre solar panels for telecommunica</w:t>
      </w:r>
      <w:r>
        <w:t>tions facilities in rural areas?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4"/>
      </w:pPr>
      <w:r w:rsidRPr="00894D04">
        <w:t>Amount of trench that can be open to install a conduit or cable</w:t>
      </w:r>
    </w:p>
    <w:p w:rsidR="005B41AF" w:rsidRDefault="005B41AF" w:rsidP="004B2FB0">
      <w:pPr>
        <w:pStyle w:val="Heading5"/>
      </w:pPr>
      <w:r w:rsidRPr="00894D04">
        <w:t>13.1</w:t>
      </w:r>
      <w:r w:rsidR="004B2FB0">
        <w:tab/>
      </w:r>
      <w:r w:rsidRPr="00894D04">
        <w:t xml:space="preserve">Are there reasons not to increase the length of trench that can be open at any time from 100m </w:t>
      </w:r>
      <w:r>
        <w:t>to 200m in residential areas?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5"/>
      </w:pPr>
      <w:r w:rsidRPr="004921CF">
        <w:t>13.2</w:t>
      </w:r>
      <w:r w:rsidR="004B2FB0">
        <w:tab/>
      </w:r>
      <w:r w:rsidRPr="004921CF">
        <w:t>Is 200m an appropriate length, or should the length be higher if more than 200m of conduit or cabling can be lai</w:t>
      </w:r>
      <w:r>
        <w:t>d per day and the trench closed?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4"/>
      </w:pPr>
      <w:r w:rsidRPr="008749D0">
        <w:t>Cable &amp; conduit installation on or under bridges</w:t>
      </w:r>
    </w:p>
    <w:p w:rsidR="005B41AF" w:rsidRDefault="005B41AF" w:rsidP="004B2FB0">
      <w:pPr>
        <w:pStyle w:val="Heading5"/>
      </w:pPr>
      <w:r>
        <w:t>1</w:t>
      </w:r>
      <w:r w:rsidRPr="008749D0">
        <w:t>4.1</w:t>
      </w:r>
      <w:r w:rsidR="004B2FB0">
        <w:tab/>
      </w:r>
      <w:r w:rsidRPr="008749D0">
        <w:t>Are there any issues with allowing cable and conduit on brid</w:t>
      </w:r>
      <w:r>
        <w:t>ges to be low-impact facilities?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4"/>
      </w:pPr>
      <w:r w:rsidRPr="00A26DF2">
        <w:t>Volume restrictions on co-located facilities</w:t>
      </w:r>
    </w:p>
    <w:p w:rsidR="005B41AF" w:rsidRDefault="005B41AF" w:rsidP="004B2FB0">
      <w:pPr>
        <w:pStyle w:val="Heading5"/>
      </w:pPr>
      <w:r w:rsidRPr="00A26DF2">
        <w:t>15.1</w:t>
      </w:r>
      <w:r w:rsidR="004B2FB0">
        <w:tab/>
      </w:r>
      <w:r w:rsidRPr="00A26DF2">
        <w:t>Are there any issues with removing volume limits for adding co-located facilities to existing facilities and public utility</w:t>
      </w:r>
      <w:r>
        <w:t xml:space="preserve"> structures in commercial areas?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5"/>
      </w:pPr>
      <w:r w:rsidRPr="00A26DF2">
        <w:t>15.2</w:t>
      </w:r>
      <w:r w:rsidR="004B2FB0">
        <w:tab/>
      </w:r>
      <w:r w:rsidRPr="00A26DF2">
        <w:t>Are there any issues with permitting new co-located facilities that are up to 50 per cent of the volume of the original facility or public utility</w:t>
      </w:r>
      <w:r>
        <w:t xml:space="preserve"> structure in residential areas?</w:t>
      </w:r>
    </w:p>
    <w:p w:rsidR="005B41AF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5"/>
      </w:pPr>
      <w:r w:rsidRPr="00A26DF2">
        <w:t>15.3</w:t>
      </w:r>
      <w:r w:rsidR="004B2FB0">
        <w:tab/>
      </w:r>
      <w:r w:rsidRPr="00A26DF2">
        <w:t>Is another volume limit more appropriate in commercial or residential areas?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5"/>
      </w:pPr>
      <w:r w:rsidRPr="00A26DF2">
        <w:t>15.4</w:t>
      </w:r>
      <w:r w:rsidR="004B2FB0">
        <w:tab/>
      </w:r>
      <w:r w:rsidRPr="00A26DF2">
        <w:t>Should alternative arrangements for co-located facilities be developed in the LIFD?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4"/>
      </w:pPr>
      <w:r w:rsidRPr="00E2319D">
        <w:lastRenderedPageBreak/>
        <w:t>Updates to environmental legislation references in the LIFD</w:t>
      </w:r>
    </w:p>
    <w:p w:rsidR="005B41AF" w:rsidRDefault="005B41AF" w:rsidP="004B2FB0">
      <w:pPr>
        <w:pStyle w:val="Heading5"/>
      </w:pPr>
      <w:r w:rsidRPr="00E2319D">
        <w:t>16.1</w:t>
      </w:r>
      <w:r w:rsidR="004B2FB0">
        <w:tab/>
      </w:r>
      <w:r w:rsidRPr="00E2319D">
        <w:t>Are there any i</w:t>
      </w:r>
      <w:r>
        <w:t>ssues with the proposed updates?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5"/>
      </w:pPr>
      <w:r w:rsidRPr="00E2319D">
        <w:t xml:space="preserve">16.2 </w:t>
      </w:r>
      <w:r w:rsidR="004B2FB0">
        <w:tab/>
      </w:r>
      <w:r w:rsidRPr="00E2319D">
        <w:t>Are there any further suggestions for updates to terms and references in the LIFD?</w:t>
      </w:r>
    </w:p>
    <w:p w:rsidR="005B41AF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Pr="00D0587C" w:rsidRDefault="005B41AF" w:rsidP="004B2FB0">
      <w:pPr>
        <w:pStyle w:val="Heading3"/>
      </w:pPr>
      <w:r w:rsidRPr="00D0587C">
        <w:t>Proposed amendments to the Telecommunications Code of Practice 1997</w:t>
      </w:r>
    </w:p>
    <w:p w:rsidR="005B41AF" w:rsidRDefault="005B41AF" w:rsidP="004B2FB0">
      <w:pPr>
        <w:pStyle w:val="Heading4"/>
      </w:pPr>
      <w:r w:rsidRPr="00522A5E">
        <w:t>Clarify requirements for joint venture arrangements</w:t>
      </w:r>
    </w:p>
    <w:p w:rsidR="005B41AF" w:rsidRDefault="005B41AF" w:rsidP="004B2FB0">
      <w:pPr>
        <w:pStyle w:val="Heading5"/>
      </w:pPr>
      <w:r w:rsidRPr="00522A5E">
        <w:t>17.1</w:t>
      </w:r>
      <w:r w:rsidR="004B2FB0">
        <w:tab/>
      </w:r>
      <w:r w:rsidRPr="00522A5E">
        <w:t>Are there any issues with making it clear in the Tel Code that only one carrier’s signature is required on documents for facilities being installed as part of a ca</w:t>
      </w:r>
      <w:r>
        <w:t>rrier joint venture arrangement?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4"/>
      </w:pPr>
      <w:r w:rsidRPr="0063615D">
        <w:t>LAAN objection periods</w:t>
      </w:r>
    </w:p>
    <w:p w:rsidR="005B41AF" w:rsidRDefault="005B41AF" w:rsidP="004B2FB0">
      <w:pPr>
        <w:pStyle w:val="Heading5"/>
      </w:pPr>
      <w:r w:rsidRPr="0063615D">
        <w:t>18.1</w:t>
      </w:r>
      <w:r w:rsidR="004B2FB0">
        <w:tab/>
      </w:r>
      <w:r w:rsidRPr="0063615D">
        <w:t>Is it reasonable to end the objection period for low-impact facility activities and maintenance work according to when the notice was issued, rather than the date work is expected to commence?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5"/>
      </w:pPr>
      <w:r w:rsidRPr="0063615D">
        <w:t>18.2</w:t>
      </w:r>
      <w:r w:rsidR="004B2FB0">
        <w:tab/>
      </w:r>
      <w:r w:rsidRPr="0063615D">
        <w:t xml:space="preserve">Is 5 business days from the receipt of a notice a sufficient time period for land owners and occupiers to object to carrier activities where carriers have given more than 10 days’ </w:t>
      </w:r>
      <w:r>
        <w:t>notice about planned activities?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4"/>
      </w:pPr>
      <w:r w:rsidRPr="00A818BB">
        <w:t>Allow carriers to refer land owner and occupier objections to the TIO</w:t>
      </w:r>
    </w:p>
    <w:p w:rsidR="005B41AF" w:rsidRDefault="005B41AF" w:rsidP="004B2FB0">
      <w:pPr>
        <w:pStyle w:val="Heading5"/>
      </w:pPr>
      <w:r w:rsidRPr="00A818BB">
        <w:t>19.1</w:t>
      </w:r>
      <w:r w:rsidR="004B2FB0">
        <w:tab/>
      </w:r>
      <w:r w:rsidRPr="00A818BB">
        <w:t>Are there any issues with allowing carriers to refer objections to the TIO before land owners and occupiers have requested them to?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4"/>
      </w:pPr>
      <w:r w:rsidRPr="00873A92">
        <w:t>Updates to references in the Tel Code</w:t>
      </w:r>
    </w:p>
    <w:p w:rsidR="005B41AF" w:rsidRDefault="005B41AF" w:rsidP="004B2FB0">
      <w:pPr>
        <w:pStyle w:val="Heading5"/>
      </w:pPr>
      <w:r w:rsidRPr="00873A92">
        <w:t>20.1</w:t>
      </w:r>
      <w:r w:rsidR="004B2FB0">
        <w:tab/>
      </w:r>
      <w:r w:rsidRPr="00873A92">
        <w:t>Are there any issues with the proposed changes?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5"/>
      </w:pPr>
      <w:r w:rsidRPr="00873A92">
        <w:t>20.2</w:t>
      </w:r>
      <w:r w:rsidR="004B2FB0">
        <w:tab/>
      </w:r>
      <w:r w:rsidRPr="00873A92">
        <w:t>Are there any further suggestions for updates t</w:t>
      </w:r>
      <w:r>
        <w:t>o the Tel Code?</w:t>
      </w:r>
    </w:p>
    <w:p w:rsidR="005B41AF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Pr="00D0587C" w:rsidRDefault="005B41AF" w:rsidP="004B2FB0">
      <w:pPr>
        <w:pStyle w:val="Heading3"/>
      </w:pPr>
      <w:r w:rsidRPr="00D0587C">
        <w:t xml:space="preserve">Possible amendments to the </w:t>
      </w:r>
      <w:r w:rsidRPr="00D0587C">
        <w:rPr>
          <w:i/>
        </w:rPr>
        <w:t>Telecommunications Act 1997</w:t>
      </w:r>
    </w:p>
    <w:p w:rsidR="005B41AF" w:rsidRDefault="005B41AF" w:rsidP="004B2FB0">
      <w:pPr>
        <w:pStyle w:val="Heading4"/>
      </w:pPr>
      <w:r w:rsidRPr="00F125C4">
        <w:t>Allowing some types of poles to be low-impact facilities</w:t>
      </w:r>
    </w:p>
    <w:p w:rsidR="005B41AF" w:rsidRDefault="005B41AF" w:rsidP="004B2FB0">
      <w:pPr>
        <w:pStyle w:val="Heading5"/>
      </w:pPr>
      <w:r w:rsidRPr="00F125C4">
        <w:t>21.1</w:t>
      </w:r>
      <w:r w:rsidR="004B2FB0">
        <w:tab/>
      </w:r>
      <w:r w:rsidRPr="00F125C4">
        <w:t>Is it reasonable for poles in rural areas for telecommunications and electricity cabling for telecommunications networks to be low-impact facilities?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5"/>
      </w:pPr>
      <w:r w:rsidRPr="00F125C4">
        <w:t>21.2</w:t>
      </w:r>
      <w:r w:rsidR="004B2FB0">
        <w:tab/>
      </w:r>
      <w:r w:rsidRPr="00F125C4">
        <w:t xml:space="preserve">Should low-impact facility poles be allowed in other areas, </w:t>
      </w:r>
      <w:r>
        <w:t>or be restricted to rural areas?</w:t>
      </w:r>
    </w:p>
    <w:p w:rsidR="005B41AF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5"/>
      </w:pPr>
      <w:r w:rsidRPr="00F125C4">
        <w:t>21.3</w:t>
      </w:r>
      <w:r w:rsidR="004B2FB0">
        <w:tab/>
      </w:r>
      <w:r w:rsidRPr="00F125C4">
        <w:t>Is the proposed size restriction of up to 12 metres high with a diameter of up to 500mm suitable?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5"/>
      </w:pPr>
      <w:r w:rsidRPr="00F125C4">
        <w:lastRenderedPageBreak/>
        <w:t>21.4</w:t>
      </w:r>
      <w:r w:rsidR="004B2FB0">
        <w:tab/>
      </w:r>
      <w:r w:rsidRPr="00F125C4">
        <w:t>Would the existing notification and objection processes for land owners and occupiers in the Tel Code be sufficient, or should there be addit</w:t>
      </w:r>
      <w:r>
        <w:t>ional consultation requirements?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4"/>
      </w:pPr>
      <w:r w:rsidRPr="00892329">
        <w:t>Portable temporary communications facilities</w:t>
      </w:r>
    </w:p>
    <w:p w:rsidR="005B41AF" w:rsidRDefault="005B41AF" w:rsidP="004B2FB0">
      <w:pPr>
        <w:pStyle w:val="Heading5"/>
      </w:pPr>
      <w:r w:rsidRPr="003F41E3">
        <w:t>22.1 - Are there any issues with making portable temporary communications equipment exempt from state and territory planning app</w:t>
      </w:r>
      <w:r>
        <w:t>rovals under certain conditions?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5"/>
      </w:pPr>
      <w:r w:rsidRPr="003F41E3">
        <w:t xml:space="preserve">22.2 - Are there any suggestions for appropriate conditions for the installation of COWs and </w:t>
      </w:r>
      <w:proofErr w:type="spellStart"/>
      <w:r w:rsidRPr="003F41E3">
        <w:t>SatCOWs</w:t>
      </w:r>
      <w:proofErr w:type="spellEnd"/>
      <w:r w:rsidRPr="003F41E3">
        <w:t>, such as circumstances in which they can be used a</w:t>
      </w:r>
      <w:r>
        <w:t>nd timeframes for their removal?</w:t>
      </w:r>
    </w:p>
    <w:p w:rsidR="005B41AF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5"/>
      </w:pPr>
      <w:r w:rsidRPr="003F41E3">
        <w:t>22.3 - Should the Act be amended to remove any doubt that MEOWs can be installed using the maintenance powers or another power under Schedule 3 of the Act?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5"/>
      </w:pPr>
      <w:r>
        <w:t>2</w:t>
      </w:r>
      <w:r w:rsidRPr="003F41E3">
        <w:t xml:space="preserve">2.4 - Are there any suggestions for appropriate conditions for the installation of MEOWs if the maintenance powers are </w:t>
      </w:r>
      <w:r>
        <w:t>amended?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4"/>
      </w:pPr>
      <w:r w:rsidRPr="00D055BB">
        <w:t>Replacement mobile towers</w:t>
      </w:r>
    </w:p>
    <w:p w:rsidR="005B41AF" w:rsidRDefault="005B41AF" w:rsidP="004B2FB0">
      <w:pPr>
        <w:pStyle w:val="Heading5"/>
      </w:pPr>
      <w:r w:rsidRPr="00655838">
        <w:t>23</w:t>
      </w:r>
      <w:r>
        <w:t>.1</w:t>
      </w:r>
      <w:r w:rsidR="004B2FB0">
        <w:tab/>
      </w:r>
      <w:r>
        <w:t>Is the proposal reasonable?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5"/>
      </w:pPr>
      <w:r w:rsidRPr="00655838">
        <w:t>23.2</w:t>
      </w:r>
      <w:r w:rsidR="004B2FB0">
        <w:tab/>
      </w:r>
      <w:r w:rsidRPr="00655838">
        <w:t>Is 20 metres a suitable distance res</w:t>
      </w:r>
      <w:r>
        <w:t>triction for replacement towers?</w:t>
      </w:r>
    </w:p>
    <w:p w:rsidR="005B41AF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5"/>
      </w:pPr>
      <w:r w:rsidRPr="00655838">
        <w:t>23.3</w:t>
      </w:r>
      <w:r w:rsidR="004B2FB0">
        <w:tab/>
      </w:r>
      <w:r w:rsidRPr="00655838">
        <w:t>Is 12 weeks a reasonable maximum time period for ins</w:t>
      </w:r>
      <w:r>
        <w:t>tallation of replacement towers?</w:t>
      </w:r>
    </w:p>
    <w:p w:rsidR="005B41AF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5B41AF" w:rsidRDefault="005B41AF" w:rsidP="004B2FB0">
      <w:pPr>
        <w:pStyle w:val="Heading4"/>
      </w:pPr>
      <w:r w:rsidRPr="0014345B">
        <w:t>Tower height extensions</w:t>
      </w:r>
    </w:p>
    <w:p w:rsidR="005B41AF" w:rsidRDefault="005B41AF" w:rsidP="004B2FB0">
      <w:pPr>
        <w:pStyle w:val="Heading5"/>
      </w:pPr>
      <w:r w:rsidRPr="0014345B">
        <w:t>24.1</w:t>
      </w:r>
      <w:r w:rsidR="004B2FB0">
        <w:tab/>
      </w:r>
      <w:r w:rsidRPr="0014345B">
        <w:t>Are one-off 10 metre tower height extensions suitable in commercial, industrial and rural areas, or only some of these areas? If they are only suitable in som</w:t>
      </w:r>
      <w:r>
        <w:t>e areas, which are they and why?</w:t>
      </w:r>
    </w:p>
    <w:p w:rsidR="00AE3930" w:rsidRPr="00DB240A" w:rsidRDefault="005B41AF" w:rsidP="005B41A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AE3930" w:rsidRDefault="00AE3930" w:rsidP="00AE3930"/>
    <w:sectPr w:rsidR="00AE3930" w:rsidSect="003E21C5">
      <w:footerReference w:type="default" r:id="rId8"/>
      <w:type w:val="continuous"/>
      <w:pgSz w:w="11906" w:h="16838"/>
      <w:pgMar w:top="1702" w:right="991" w:bottom="1276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1AF" w:rsidRDefault="005B41AF" w:rsidP="003F0A2D">
      <w:pPr>
        <w:spacing w:after="0"/>
      </w:pPr>
      <w:r>
        <w:separator/>
      </w:r>
    </w:p>
  </w:endnote>
  <w:endnote w:type="continuationSeparator" w:id="0">
    <w:p w:rsidR="005B41AF" w:rsidRDefault="005B41AF" w:rsidP="003F0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60" w:rsidRPr="00A33EEF" w:rsidRDefault="00F17D9A" w:rsidP="00AE3930">
    <w:pPr>
      <w:pStyle w:val="Footer"/>
      <w:tabs>
        <w:tab w:val="clear" w:pos="4513"/>
        <w:tab w:val="clear" w:pos="9026"/>
        <w:tab w:val="right" w:pos="9333"/>
      </w:tabs>
      <w:ind w:left="-567"/>
      <w:rPr>
        <w:sz w:val="18"/>
        <w:szCs w:val="18"/>
      </w:rPr>
    </w:pPr>
    <w:r w:rsidRPr="00A33EEF">
      <w:rPr>
        <w:sz w:val="18"/>
        <w:szCs w:val="18"/>
      </w:rPr>
      <w:t>Submission</w:t>
    </w:r>
    <w:r w:rsidR="00AE3930">
      <w:rPr>
        <w:sz w:val="18"/>
        <w:szCs w:val="18"/>
      </w:rPr>
      <w:t xml:space="preserve"> response</w:t>
    </w:r>
    <w:r w:rsidR="003E21C5">
      <w:rPr>
        <w:sz w:val="18"/>
        <w:szCs w:val="18"/>
      </w:rPr>
      <w:t>—</w:t>
    </w:r>
    <w:r w:rsidR="004B2FB0" w:rsidRPr="004B2FB0">
      <w:rPr>
        <w:sz w:val="18"/>
        <w:szCs w:val="18"/>
      </w:rPr>
      <w:t>Possible amendments to telecommunications powers and immunities</w:t>
    </w:r>
    <w:r w:rsidR="00A70B60" w:rsidRPr="00A33EEF">
      <w:rPr>
        <w:sz w:val="18"/>
        <w:szCs w:val="18"/>
      </w:rPr>
      <w:tab/>
    </w:r>
    <w:sdt>
      <w:sdtPr>
        <w:rPr>
          <w:sz w:val="18"/>
          <w:szCs w:val="18"/>
        </w:rPr>
        <w:id w:val="-2125760737"/>
        <w:docPartObj>
          <w:docPartGallery w:val="Page Numbers (Top of Page)"/>
          <w:docPartUnique/>
        </w:docPartObj>
      </w:sdtPr>
      <w:sdtEndPr/>
      <w:sdtContent>
        <w:r w:rsidR="00A70B60" w:rsidRPr="00A33EEF">
          <w:rPr>
            <w:sz w:val="18"/>
            <w:szCs w:val="18"/>
          </w:rPr>
          <w:t xml:space="preserve">Page </w:t>
        </w:r>
        <w:r w:rsidR="00A70B60" w:rsidRPr="00A33EEF">
          <w:rPr>
            <w:bCs/>
            <w:sz w:val="18"/>
            <w:szCs w:val="18"/>
          </w:rPr>
          <w:fldChar w:fldCharType="begin"/>
        </w:r>
        <w:r w:rsidR="00A70B60" w:rsidRPr="00A33EEF">
          <w:rPr>
            <w:bCs/>
            <w:sz w:val="18"/>
            <w:szCs w:val="18"/>
          </w:rPr>
          <w:instrText xml:space="preserve"> PAGE </w:instrText>
        </w:r>
        <w:r w:rsidR="00A70B60" w:rsidRPr="00A33EEF">
          <w:rPr>
            <w:bCs/>
            <w:sz w:val="18"/>
            <w:szCs w:val="18"/>
          </w:rPr>
          <w:fldChar w:fldCharType="separate"/>
        </w:r>
        <w:r w:rsidR="00D639E3">
          <w:rPr>
            <w:bCs/>
            <w:noProof/>
            <w:sz w:val="18"/>
            <w:szCs w:val="18"/>
          </w:rPr>
          <w:t>2</w:t>
        </w:r>
        <w:r w:rsidR="00A70B60" w:rsidRPr="00A33EEF">
          <w:rPr>
            <w:bCs/>
            <w:sz w:val="18"/>
            <w:szCs w:val="18"/>
          </w:rPr>
          <w:fldChar w:fldCharType="end"/>
        </w:r>
        <w:r w:rsidR="00A70B60" w:rsidRPr="00A33EEF">
          <w:rPr>
            <w:sz w:val="18"/>
            <w:szCs w:val="18"/>
          </w:rPr>
          <w:t xml:space="preserve"> of </w:t>
        </w:r>
        <w:r w:rsidR="00A70B60" w:rsidRPr="00A33EEF">
          <w:rPr>
            <w:bCs/>
            <w:sz w:val="18"/>
            <w:szCs w:val="18"/>
          </w:rPr>
          <w:fldChar w:fldCharType="begin"/>
        </w:r>
        <w:r w:rsidR="00A70B60" w:rsidRPr="00A33EEF">
          <w:rPr>
            <w:bCs/>
            <w:sz w:val="18"/>
            <w:szCs w:val="18"/>
          </w:rPr>
          <w:instrText xml:space="preserve"> NUMPAGES  </w:instrText>
        </w:r>
        <w:r w:rsidR="00A70B60" w:rsidRPr="00A33EEF">
          <w:rPr>
            <w:bCs/>
            <w:sz w:val="18"/>
            <w:szCs w:val="18"/>
          </w:rPr>
          <w:fldChar w:fldCharType="separate"/>
        </w:r>
        <w:r w:rsidR="00D639E3">
          <w:rPr>
            <w:bCs/>
            <w:noProof/>
            <w:sz w:val="18"/>
            <w:szCs w:val="18"/>
          </w:rPr>
          <w:t>5</w:t>
        </w:r>
        <w:r w:rsidR="00A70B60" w:rsidRPr="00A33EEF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1AF" w:rsidRDefault="005B41AF" w:rsidP="003F0A2D">
      <w:pPr>
        <w:spacing w:after="0"/>
      </w:pPr>
      <w:r>
        <w:separator/>
      </w:r>
    </w:p>
  </w:footnote>
  <w:footnote w:type="continuationSeparator" w:id="0">
    <w:p w:rsidR="005B41AF" w:rsidRDefault="005B41AF" w:rsidP="003F0A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9C6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E22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C0C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A2D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DA4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84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26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42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F25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88E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F7EA0"/>
    <w:multiLevelType w:val="hybridMultilevel"/>
    <w:tmpl w:val="9D58D8B4"/>
    <w:lvl w:ilvl="0" w:tplc="F74235C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D2B3E"/>
    <w:multiLevelType w:val="hybridMultilevel"/>
    <w:tmpl w:val="B4EA1850"/>
    <w:lvl w:ilvl="0" w:tplc="F65CC8CC">
      <w:start w:val="1"/>
      <w:numFmt w:val="decimal"/>
      <w:pStyle w:val="Heading4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22F2D20"/>
    <w:multiLevelType w:val="hybridMultilevel"/>
    <w:tmpl w:val="CA689DC2"/>
    <w:lvl w:ilvl="0" w:tplc="C286136A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5391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13D1C"/>
    <w:multiLevelType w:val="hybridMultilevel"/>
    <w:tmpl w:val="52283782"/>
    <w:lvl w:ilvl="0" w:tplc="DCBCB22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2429A"/>
    <w:multiLevelType w:val="hybridMultilevel"/>
    <w:tmpl w:val="62E09EA0"/>
    <w:lvl w:ilvl="0" w:tplc="49409D4C">
      <w:start w:val="1"/>
      <w:numFmt w:val="decimal"/>
      <w:lvlText w:val="%1."/>
      <w:lvlJc w:val="left"/>
      <w:pPr>
        <w:ind w:left="360" w:hanging="360"/>
      </w:pPr>
    </w:lvl>
    <w:lvl w:ilvl="1" w:tplc="176E2154">
      <w:start w:val="1"/>
      <w:numFmt w:val="lowerLetter"/>
      <w:lvlText w:val="%2."/>
      <w:lvlJc w:val="left"/>
      <w:pPr>
        <w:ind w:left="1080" w:hanging="360"/>
      </w:pPr>
    </w:lvl>
    <w:lvl w:ilvl="2" w:tplc="D608A1E0">
      <w:start w:val="1"/>
      <w:numFmt w:val="lowerRoman"/>
      <w:lvlText w:val="%3."/>
      <w:lvlJc w:val="right"/>
      <w:pPr>
        <w:ind w:left="1800" w:hanging="180"/>
      </w:pPr>
    </w:lvl>
    <w:lvl w:ilvl="3" w:tplc="AD5E60B8">
      <w:start w:val="1"/>
      <w:numFmt w:val="decimal"/>
      <w:lvlText w:val="%4."/>
      <w:lvlJc w:val="left"/>
      <w:pPr>
        <w:ind w:left="2520" w:hanging="360"/>
      </w:pPr>
    </w:lvl>
    <w:lvl w:ilvl="4" w:tplc="E73A36B4">
      <w:start w:val="1"/>
      <w:numFmt w:val="lowerLetter"/>
      <w:lvlText w:val="%5."/>
      <w:lvlJc w:val="left"/>
      <w:pPr>
        <w:ind w:left="3240" w:hanging="360"/>
      </w:pPr>
    </w:lvl>
    <w:lvl w:ilvl="5" w:tplc="DE1C6EB0">
      <w:start w:val="1"/>
      <w:numFmt w:val="lowerRoman"/>
      <w:lvlText w:val="%6."/>
      <w:lvlJc w:val="right"/>
      <w:pPr>
        <w:ind w:left="3960" w:hanging="180"/>
      </w:pPr>
    </w:lvl>
    <w:lvl w:ilvl="6" w:tplc="EC121D14">
      <w:start w:val="1"/>
      <w:numFmt w:val="decimal"/>
      <w:lvlText w:val="%7."/>
      <w:lvlJc w:val="left"/>
      <w:pPr>
        <w:ind w:left="4680" w:hanging="360"/>
      </w:pPr>
    </w:lvl>
    <w:lvl w:ilvl="7" w:tplc="E25A185E">
      <w:start w:val="1"/>
      <w:numFmt w:val="lowerLetter"/>
      <w:lvlText w:val="%8."/>
      <w:lvlJc w:val="left"/>
      <w:pPr>
        <w:ind w:left="5400" w:hanging="360"/>
      </w:pPr>
    </w:lvl>
    <w:lvl w:ilvl="8" w:tplc="4F4EE5F0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526CBD"/>
    <w:multiLevelType w:val="hybridMultilevel"/>
    <w:tmpl w:val="5F6875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A0A5B"/>
    <w:multiLevelType w:val="hybridMultilevel"/>
    <w:tmpl w:val="CD9EDD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1E3D"/>
    <w:multiLevelType w:val="hybridMultilevel"/>
    <w:tmpl w:val="E4960A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40E92"/>
    <w:multiLevelType w:val="hybridMultilevel"/>
    <w:tmpl w:val="6C28C302"/>
    <w:lvl w:ilvl="0" w:tplc="40960CAC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56A468F"/>
    <w:multiLevelType w:val="hybridMultilevel"/>
    <w:tmpl w:val="43B299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F4896"/>
    <w:multiLevelType w:val="hybridMultilevel"/>
    <w:tmpl w:val="DE446150"/>
    <w:lvl w:ilvl="0" w:tplc="FCEA5AF4">
      <w:start w:val="1"/>
      <w:numFmt w:val="bullet"/>
      <w:pStyle w:val="Tickedboxbulletpoint"/>
      <w:lvlText w:val="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054F7"/>
    <w:multiLevelType w:val="multilevel"/>
    <w:tmpl w:val="09F8E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5B504F0"/>
    <w:multiLevelType w:val="hybridMultilevel"/>
    <w:tmpl w:val="EFD0BD80"/>
    <w:lvl w:ilvl="0" w:tplc="9776F6D6">
      <w:start w:val="1"/>
      <w:numFmt w:val="bullet"/>
      <w:pStyle w:val="Checkboxemptybulletpoint"/>
      <w:lvlText w:val=""/>
      <w:lvlJc w:val="left"/>
      <w:pPr>
        <w:ind w:left="927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2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20"/>
  </w:num>
  <w:num w:numId="17">
    <w:abstractNumId w:val="2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3"/>
  </w:num>
  <w:num w:numId="21">
    <w:abstractNumId w:val="1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  <w:num w:numId="43">
    <w:abstractNumId w:val="18"/>
  </w:num>
  <w:num w:numId="44">
    <w:abstractNumId w:val="18"/>
  </w:num>
  <w:num w:numId="45">
    <w:abstractNumId w:val="18"/>
  </w:num>
  <w:num w:numId="46">
    <w:abstractNumId w:val="18"/>
  </w:num>
  <w:num w:numId="47">
    <w:abstractNumId w:val="18"/>
  </w:num>
  <w:num w:numId="48">
    <w:abstractNumId w:val="18"/>
  </w:num>
  <w:num w:numId="49">
    <w:abstractNumId w:val="1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AF"/>
    <w:rsid w:val="00010C8C"/>
    <w:rsid w:val="000249BC"/>
    <w:rsid w:val="000E1A93"/>
    <w:rsid w:val="0012570D"/>
    <w:rsid w:val="001F27BC"/>
    <w:rsid w:val="001F3924"/>
    <w:rsid w:val="002506AF"/>
    <w:rsid w:val="00285881"/>
    <w:rsid w:val="00297528"/>
    <w:rsid w:val="002B5C32"/>
    <w:rsid w:val="003509FE"/>
    <w:rsid w:val="003E21C5"/>
    <w:rsid w:val="003F0A2D"/>
    <w:rsid w:val="0040012A"/>
    <w:rsid w:val="004048E1"/>
    <w:rsid w:val="0040622C"/>
    <w:rsid w:val="0043221A"/>
    <w:rsid w:val="00442D65"/>
    <w:rsid w:val="0047530F"/>
    <w:rsid w:val="004B2FB0"/>
    <w:rsid w:val="004E32B5"/>
    <w:rsid w:val="00507E41"/>
    <w:rsid w:val="00535ADA"/>
    <w:rsid w:val="00567FAF"/>
    <w:rsid w:val="005B41AF"/>
    <w:rsid w:val="005F08D5"/>
    <w:rsid w:val="0064771D"/>
    <w:rsid w:val="00660BB9"/>
    <w:rsid w:val="006A19A2"/>
    <w:rsid w:val="006D014F"/>
    <w:rsid w:val="006F5CF8"/>
    <w:rsid w:val="00704775"/>
    <w:rsid w:val="00730AEA"/>
    <w:rsid w:val="007D02EC"/>
    <w:rsid w:val="00832492"/>
    <w:rsid w:val="0084603E"/>
    <w:rsid w:val="00852E5C"/>
    <w:rsid w:val="00853419"/>
    <w:rsid w:val="0087509A"/>
    <w:rsid w:val="00876729"/>
    <w:rsid w:val="008A312B"/>
    <w:rsid w:val="008C6C53"/>
    <w:rsid w:val="00933ABA"/>
    <w:rsid w:val="009A56D0"/>
    <w:rsid w:val="009D2111"/>
    <w:rsid w:val="00A1627B"/>
    <w:rsid w:val="00A33EEF"/>
    <w:rsid w:val="00A625B3"/>
    <w:rsid w:val="00A669A1"/>
    <w:rsid w:val="00A70B60"/>
    <w:rsid w:val="00A7176A"/>
    <w:rsid w:val="00A85255"/>
    <w:rsid w:val="00AD66A7"/>
    <w:rsid w:val="00AE3930"/>
    <w:rsid w:val="00AF277C"/>
    <w:rsid w:val="00B370BC"/>
    <w:rsid w:val="00B704AF"/>
    <w:rsid w:val="00B82933"/>
    <w:rsid w:val="00BA2E1F"/>
    <w:rsid w:val="00C61D2E"/>
    <w:rsid w:val="00D0587C"/>
    <w:rsid w:val="00D24D05"/>
    <w:rsid w:val="00D639E3"/>
    <w:rsid w:val="00DB095A"/>
    <w:rsid w:val="00DB240A"/>
    <w:rsid w:val="00DC39EA"/>
    <w:rsid w:val="00DD4718"/>
    <w:rsid w:val="00E240F8"/>
    <w:rsid w:val="00F17D9A"/>
    <w:rsid w:val="00F41896"/>
    <w:rsid w:val="00F977DF"/>
    <w:rsid w:val="00FA3649"/>
    <w:rsid w:val="00FA414F"/>
    <w:rsid w:val="00FB4064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7851DDD-9165-4DAA-A567-21FF0A20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D9A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21C5"/>
    <w:pPr>
      <w:keepNext/>
      <w:spacing w:after="360"/>
      <w:outlineLvl w:val="0"/>
    </w:pPr>
    <w:rPr>
      <w:rFonts w:asciiTheme="majorHAnsi" w:eastAsiaTheme="majorEastAsia" w:hAnsiTheme="majorHAnsi" w:cstheme="majorBidi"/>
      <w:b/>
      <w:color w:val="07478C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1C5"/>
    <w:pPr>
      <w:keepNext/>
      <w:spacing w:before="120"/>
      <w:outlineLvl w:val="1"/>
    </w:pPr>
    <w:rPr>
      <w:rFonts w:asciiTheme="majorHAnsi" w:eastAsiaTheme="majorEastAsia" w:hAnsiTheme="majorHAnsi" w:cstheme="majorBidi"/>
      <w:b/>
      <w:color w:val="07478C"/>
      <w:sz w:val="30"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4B2FB0"/>
    <w:pPr>
      <w:numPr>
        <w:numId w:val="0"/>
      </w:numPr>
      <w:spacing w:before="360" w:after="120"/>
      <w:outlineLvl w:val="2"/>
    </w:pPr>
    <w:rPr>
      <w:sz w:val="26"/>
      <w:szCs w:val="26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4B2FB0"/>
    <w:pPr>
      <w:numPr>
        <w:numId w:val="50"/>
      </w:numPr>
      <w:ind w:left="567" w:hanging="567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2FB0"/>
    <w:pPr>
      <w:keepNext/>
      <w:spacing w:after="60"/>
      <w:ind w:left="567" w:hanging="567"/>
      <w:outlineLvl w:val="4"/>
    </w:pPr>
    <w:rPr>
      <w:rFonts w:eastAsiaTheme="majorEastAsia" w:cstheme="majorBidi"/>
      <w:color w:val="07478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1C5"/>
    <w:rPr>
      <w:rFonts w:asciiTheme="majorHAnsi" w:eastAsiaTheme="majorEastAsia" w:hAnsiTheme="majorHAnsi" w:cstheme="majorBidi"/>
      <w:b/>
      <w:color w:val="07478C"/>
      <w:sz w:val="4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21C5"/>
    <w:rPr>
      <w:rFonts w:asciiTheme="majorHAnsi" w:eastAsiaTheme="majorEastAsia" w:hAnsiTheme="majorHAnsi" w:cstheme="majorBidi"/>
      <w:b/>
      <w:color w:val="07478C"/>
      <w:sz w:val="30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71D"/>
    <w:pPr>
      <w:numPr>
        <w:ilvl w:val="1"/>
      </w:numPr>
      <w:spacing w:before="240"/>
    </w:pPr>
    <w:rPr>
      <w:rFonts w:asciiTheme="majorHAnsi" w:eastAsiaTheme="minorEastAsia" w:hAnsiTheme="majorHAnsi"/>
      <w:b/>
      <w:color w:val="07478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4771D"/>
    <w:rPr>
      <w:rFonts w:asciiTheme="majorHAnsi" w:eastAsiaTheme="minorEastAsia" w:hAnsiTheme="majorHAnsi"/>
      <w:b/>
      <w:color w:val="07478C"/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64771D"/>
    <w:rPr>
      <w:color w:val="095EB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B2FB0"/>
    <w:rPr>
      <w:rFonts w:eastAsiaTheme="majorEastAsia" w:cstheme="majorBidi"/>
      <w:b/>
      <w:bCs/>
      <w:color w:val="07478C"/>
      <w:sz w:val="26"/>
      <w:szCs w:val="26"/>
    </w:rPr>
  </w:style>
  <w:style w:type="paragraph" w:customStyle="1" w:styleId="Bulletlevel1">
    <w:name w:val="Bullet level 1"/>
    <w:basedOn w:val="Normal"/>
    <w:qFormat/>
    <w:rsid w:val="003F0A2D"/>
    <w:pPr>
      <w:numPr>
        <w:numId w:val="1"/>
      </w:numPr>
      <w:ind w:left="567" w:hanging="56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0A2D"/>
  </w:style>
  <w:style w:type="paragraph" w:styleId="Footer">
    <w:name w:val="footer"/>
    <w:basedOn w:val="Normal"/>
    <w:link w:val="Foot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0A2D"/>
  </w:style>
  <w:style w:type="character" w:customStyle="1" w:styleId="Heading4Char">
    <w:name w:val="Heading 4 Char"/>
    <w:basedOn w:val="DefaultParagraphFont"/>
    <w:link w:val="Heading4"/>
    <w:uiPriority w:val="9"/>
    <w:rsid w:val="004B2FB0"/>
    <w:rPr>
      <w:rFonts w:eastAsiaTheme="majorEastAsia" w:cstheme="majorBidi"/>
      <w:b/>
      <w:bCs/>
      <w:color w:val="07478C"/>
      <w:sz w:val="24"/>
      <w:szCs w:val="24"/>
    </w:rPr>
  </w:style>
  <w:style w:type="table" w:styleId="TableGrid">
    <w:name w:val="Table Grid"/>
    <w:basedOn w:val="TableNormal"/>
    <w:uiPriority w:val="39"/>
    <w:rsid w:val="0002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9A56D0"/>
    <w:pPr>
      <w:spacing w:before="40" w:after="0"/>
    </w:pPr>
    <w:rPr>
      <w:rFonts w:asciiTheme="majorHAnsi" w:hAnsiTheme="majorHAnsi"/>
      <w:b/>
      <w:color w:val="07478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9B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9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9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64771D"/>
    <w:pPr>
      <w:ind w:left="1134" w:hanging="56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A414F"/>
    <w:pPr>
      <w:spacing w:before="120" w:after="0"/>
    </w:pPr>
    <w:rPr>
      <w:b/>
      <w:color w:val="07478C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A414F"/>
    <w:pPr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A414F"/>
    <w:pPr>
      <w:spacing w:after="0"/>
      <w:ind w:left="1134"/>
    </w:pPr>
  </w:style>
  <w:style w:type="paragraph" w:customStyle="1" w:styleId="Tableheading">
    <w:name w:val="Table heading"/>
    <w:basedOn w:val="Normal"/>
    <w:next w:val="Normal"/>
    <w:rsid w:val="00B370BC"/>
    <w:pPr>
      <w:spacing w:after="0"/>
    </w:pPr>
    <w:rPr>
      <w:rFonts w:eastAsia="Times New Roman" w:cs="Times New Roman"/>
      <w:b/>
      <w:bCs/>
      <w:szCs w:val="20"/>
    </w:rPr>
  </w:style>
  <w:style w:type="paragraph" w:customStyle="1" w:styleId="Tableheadingcentred">
    <w:name w:val="Table heading centred"/>
    <w:basedOn w:val="Normal"/>
    <w:next w:val="Normal"/>
    <w:rsid w:val="00B370BC"/>
    <w:pPr>
      <w:spacing w:after="0"/>
      <w:jc w:val="center"/>
    </w:pPr>
    <w:rPr>
      <w:rFonts w:eastAsia="Times New Roman" w:cs="Times New Roman"/>
      <w:b/>
      <w:bCs/>
      <w:szCs w:val="20"/>
    </w:rPr>
  </w:style>
  <w:style w:type="paragraph" w:customStyle="1" w:styleId="Tabletextcentred">
    <w:name w:val="Table text centred"/>
    <w:basedOn w:val="Normal"/>
    <w:next w:val="NoSpacing"/>
    <w:rsid w:val="00B370BC"/>
    <w:pPr>
      <w:spacing w:after="0"/>
      <w:jc w:val="center"/>
    </w:pPr>
    <w:rPr>
      <w:rFonts w:eastAsia="Times New Roman" w:cs="Times New Roman"/>
      <w:szCs w:val="20"/>
    </w:rPr>
  </w:style>
  <w:style w:type="paragraph" w:styleId="NoSpacing">
    <w:name w:val="No Spacing"/>
    <w:uiPriority w:val="1"/>
    <w:qFormat/>
    <w:rsid w:val="00B370B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4B2FB0"/>
    <w:rPr>
      <w:rFonts w:eastAsiaTheme="majorEastAsia" w:cstheme="majorBidi"/>
      <w:color w:val="07478C"/>
    </w:rPr>
  </w:style>
  <w:style w:type="character" w:styleId="IntenseEmphasis">
    <w:name w:val="Intense Emphasis"/>
    <w:basedOn w:val="DefaultParagraphFont"/>
    <w:uiPriority w:val="21"/>
    <w:qFormat/>
    <w:rsid w:val="0064771D"/>
    <w:rPr>
      <w:rFonts w:asciiTheme="minorHAnsi" w:hAnsiTheme="minorHAnsi"/>
      <w:i/>
      <w:iCs/>
      <w:color w:val="07478C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71D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</w:pPr>
    <w:rPr>
      <w:i/>
      <w:iCs/>
      <w:color w:val="0747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71D"/>
    <w:rPr>
      <w:i/>
      <w:iCs/>
      <w:color w:val="07478C"/>
    </w:rPr>
  </w:style>
  <w:style w:type="character" w:styleId="IntenseReference">
    <w:name w:val="Intense Reference"/>
    <w:basedOn w:val="DefaultParagraphFont"/>
    <w:uiPriority w:val="32"/>
    <w:qFormat/>
    <w:rsid w:val="0064771D"/>
    <w:rPr>
      <w:rFonts w:asciiTheme="minorHAnsi" w:hAnsiTheme="minorHAnsi"/>
      <w:b/>
      <w:bCs/>
      <w:smallCaps/>
      <w:color w:val="07478C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64771D"/>
    <w:rPr>
      <w:rFonts w:asciiTheme="minorHAnsi" w:hAnsiTheme="minorHAnsi"/>
      <w:b/>
      <w:bCs/>
      <w:i/>
      <w:iCs/>
      <w:spacing w:val="5"/>
      <w:sz w:val="22"/>
    </w:rPr>
  </w:style>
  <w:style w:type="character" w:styleId="SubtleReference">
    <w:name w:val="Subtle Reference"/>
    <w:basedOn w:val="DefaultParagraphFont"/>
    <w:uiPriority w:val="31"/>
    <w:qFormat/>
    <w:rsid w:val="0064771D"/>
    <w:rPr>
      <w:rFonts w:asciiTheme="minorHAnsi" w:hAnsiTheme="minorHAnsi"/>
      <w:smallCaps/>
      <w:color w:val="5A5A5A" w:themeColor="text1" w:themeTint="A5"/>
      <w:sz w:val="22"/>
    </w:rPr>
  </w:style>
  <w:style w:type="paragraph" w:customStyle="1" w:styleId="Heading2-notshowingincontentsindocument">
    <w:name w:val="Heading 2 - not showing in contents in document"/>
    <w:basedOn w:val="Normal"/>
    <w:next w:val="Normal"/>
    <w:rsid w:val="00A7176A"/>
    <w:pPr>
      <w:outlineLvl w:val="1"/>
    </w:pPr>
    <w:rPr>
      <w:rFonts w:asciiTheme="majorHAnsi" w:hAnsiTheme="majorHAnsi"/>
      <w:b/>
      <w:color w:val="07478C"/>
      <w:sz w:val="36"/>
      <w:szCs w:val="36"/>
    </w:rPr>
  </w:style>
  <w:style w:type="paragraph" w:customStyle="1" w:styleId="Normal-monthyearforcoverpage">
    <w:name w:val="Normal - month/year for cover page"/>
    <w:basedOn w:val="Normal"/>
    <w:next w:val="Normal"/>
    <w:rsid w:val="00A7176A"/>
    <w:rPr>
      <w:color w:val="07478C"/>
      <w:sz w:val="24"/>
      <w:szCs w:val="24"/>
    </w:rPr>
  </w:style>
  <w:style w:type="paragraph" w:customStyle="1" w:styleId="Heading3-notshowingincontentsindocument">
    <w:name w:val="Heading 3 - not showing in contents in document"/>
    <w:basedOn w:val="Normal"/>
    <w:next w:val="Normal"/>
    <w:rsid w:val="00A7176A"/>
    <w:pPr>
      <w:outlineLvl w:val="2"/>
    </w:pPr>
    <w:rPr>
      <w:color w:val="07478C"/>
      <w:sz w:val="26"/>
      <w:szCs w:val="26"/>
    </w:rPr>
  </w:style>
  <w:style w:type="paragraph" w:customStyle="1" w:styleId="subtitleofdocument">
    <w:name w:val="subtitle of document"/>
    <w:basedOn w:val="Normal"/>
    <w:next w:val="Normal"/>
    <w:rsid w:val="00A7176A"/>
    <w:pPr>
      <w:spacing w:before="1000" w:after="1000"/>
      <w:outlineLvl w:val="1"/>
    </w:pPr>
    <w:rPr>
      <w:rFonts w:asciiTheme="majorHAnsi" w:eastAsia="Times New Roman" w:hAnsiTheme="majorHAnsi" w:cs="Times New Roman"/>
      <w:b/>
      <w:bCs/>
      <w:color w:val="07478C"/>
      <w:sz w:val="36"/>
      <w:szCs w:val="20"/>
    </w:rPr>
  </w:style>
  <w:style w:type="paragraph" w:customStyle="1" w:styleId="Tickedboxbulletpoint">
    <w:name w:val="Ticked box bullet point"/>
    <w:basedOn w:val="Bulletlevel1"/>
    <w:qFormat/>
    <w:rsid w:val="0047530F"/>
    <w:pPr>
      <w:numPr>
        <w:numId w:val="16"/>
      </w:numPr>
      <w:spacing w:before="240" w:after="0"/>
      <w:ind w:left="567" w:hanging="567"/>
    </w:pPr>
  </w:style>
  <w:style w:type="paragraph" w:customStyle="1" w:styleId="Checkboxemptybulletpoint">
    <w:name w:val="Check box empty bullet point"/>
    <w:basedOn w:val="Bulletlevel1"/>
    <w:qFormat/>
    <w:rsid w:val="0047530F"/>
    <w:pPr>
      <w:numPr>
        <w:numId w:val="17"/>
      </w:numPr>
      <w:spacing w:after="0"/>
      <w:ind w:left="397" w:hanging="397"/>
    </w:pPr>
  </w:style>
  <w:style w:type="character" w:styleId="FollowedHyperlink">
    <w:name w:val="FollowedHyperlink"/>
    <w:basedOn w:val="DefaultParagraphFont"/>
    <w:uiPriority w:val="99"/>
    <w:semiHidden/>
    <w:unhideWhenUsed/>
    <w:rsid w:val="0087672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B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60"/>
    <w:rPr>
      <w:rFonts w:ascii="Segoe UI" w:hAnsi="Segoe UI" w:cs="Segoe UI"/>
      <w:sz w:val="18"/>
      <w:szCs w:val="18"/>
    </w:rPr>
  </w:style>
  <w:style w:type="paragraph" w:customStyle="1" w:styleId="normalindented">
    <w:name w:val="normal indented"/>
    <w:basedOn w:val="Normal"/>
    <w:qFormat/>
    <w:rsid w:val="00F17D9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EPT\Formal%20submission%20respon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DF28-70AF-49BF-951E-C35C9288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submission response template.dotx</Template>
  <TotalTime>4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response—Possible amendments to telecommunications powers and immunities</vt:lpstr>
    </vt:vector>
  </TitlesOfParts>
  <Company>Department of Communications</Company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response—Possible amendments to telecommunications powers and immunities</dc:title>
  <dc:subject/>
  <dc:creator>Good, Peter</dc:creator>
  <cp:keywords/>
  <dc:description/>
  <cp:lastModifiedBy>Department of Communications and the Arts</cp:lastModifiedBy>
  <cp:revision>3</cp:revision>
  <cp:lastPrinted>2017-06-08T07:46:00Z</cp:lastPrinted>
  <dcterms:created xsi:type="dcterms:W3CDTF">2017-06-08T07:44:00Z</dcterms:created>
  <dcterms:modified xsi:type="dcterms:W3CDTF">2017-06-08T07:48:00Z</dcterms:modified>
</cp:coreProperties>
</file>