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2620E" w14:textId="77777777" w:rsidR="00BA24FB" w:rsidRPr="00B54E13" w:rsidRDefault="00BA24FB" w:rsidP="00B54E13">
      <w:pPr>
        <w:spacing w:before="0" w:after="0"/>
        <w:rPr>
          <w:sz w:val="2"/>
          <w:szCs w:val="2"/>
        </w:rPr>
      </w:pPr>
    </w:p>
    <w:p w14:paraId="4D387B04" w14:textId="77777777" w:rsidR="00372AAC" w:rsidRDefault="00372AAC" w:rsidP="00DD0652">
      <w:pPr>
        <w:framePr w:w="6521" w:h="1134" w:hSpace="181" w:wrap="around" w:vAnchor="page" w:hAnchor="page" w:x="1022" w:y="852" w:anchorLock="1"/>
        <w:spacing w:after="0"/>
        <w:rPr>
          <w:noProof/>
        </w:rPr>
      </w:pPr>
      <w:bookmarkStart w:id="0" w:name="_Hlk198187206"/>
      <w:r>
        <w:rPr>
          <w:noProof/>
        </w:rPr>
        <w:drawing>
          <wp:inline distT="0" distB="0" distL="0" distR="0" wp14:anchorId="1A4713D4" wp14:editId="14B5BF9E">
            <wp:extent cx="4068000" cy="669600"/>
            <wp:effectExtent l="0" t="0" r="0" b="0"/>
            <wp:docPr id="4" name="Picture 4" descr="Australian Government&#10;Department of Infrastructure, Transport, Regional Development, Communications, Sport and the A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68000" cy="669600"/>
                    </a:xfrm>
                    <a:prstGeom prst="rect">
                      <a:avLst/>
                    </a:prstGeom>
                    <a:noFill/>
                    <a:ln>
                      <a:noFill/>
                    </a:ln>
                  </pic:spPr>
                </pic:pic>
              </a:graphicData>
            </a:graphic>
          </wp:inline>
        </w:drawing>
      </w:r>
    </w:p>
    <w:bookmarkEnd w:id="0"/>
    <w:p w14:paraId="0AD430AF" w14:textId="3E8F15C8" w:rsidR="008456D5" w:rsidRDefault="008456D5" w:rsidP="00B54E13">
      <w:pPr>
        <w:spacing w:before="360" w:after="1200"/>
        <w:ind w:left="-1247"/>
      </w:pPr>
    </w:p>
    <w:sdt>
      <w:sdtPr>
        <w:alias w:val="Title"/>
        <w:tag w:val=""/>
        <w:id w:val="975726233"/>
        <w:placeholder>
          <w:docPart w:val="9D9C7F040947463AB2963F806E3C75AC"/>
        </w:placeholder>
        <w:dataBinding w:prefixMappings="xmlns:ns0='http://purl.org/dc/elements/1.1/' xmlns:ns1='http://schemas.openxmlformats.org/package/2006/metadata/core-properties' " w:xpath="/ns1:coreProperties[1]/ns0:title[1]" w:storeItemID="{6C3C8BC8-F283-45AE-878A-BAB7291924A1}"/>
        <w:text/>
      </w:sdtPr>
      <w:sdtContent>
        <w:p w14:paraId="095C5017" w14:textId="77777777" w:rsidR="004317C8" w:rsidRDefault="00AE3BF1" w:rsidP="00B54E13">
          <w:pPr>
            <w:pStyle w:val="Title"/>
            <w:spacing w:before="600"/>
            <w:ind w:left="1276"/>
          </w:pPr>
          <w:r>
            <w:t>Stakeholder Engagement Paper - Cost Recovery Implementation Statement for Classification Services</w:t>
          </w:r>
        </w:p>
      </w:sdtContent>
    </w:sdt>
    <w:p w14:paraId="357943C5" w14:textId="3F1EFB5A" w:rsidR="00DE4FE2" w:rsidRDefault="00F03033" w:rsidP="00B54E13">
      <w:pPr>
        <w:pStyle w:val="Subtitle"/>
        <w:ind w:left="1276"/>
      </w:pPr>
      <w:r>
        <w:t>Stakeholder Engagement Paper</w:t>
      </w:r>
    </w:p>
    <w:sdt>
      <w:sdtPr>
        <w:alias w:val="Publish Date"/>
        <w:tag w:val=""/>
        <w:id w:val="452527336"/>
        <w:placeholder>
          <w:docPart w:val="37E99E3858DE49A68D1A0FA746E55369"/>
        </w:placeholder>
        <w:dataBinding w:prefixMappings="xmlns:ns0='http://schemas.microsoft.com/office/2006/coverPageProps' " w:xpath="/ns0:CoverPageProperties[1]/ns0:PublishDate[1]" w:storeItemID="{55AF091B-3C7A-41E3-B477-F2FDAA23CFDA}"/>
        <w:date w:fullDate="2025-06-10T00:00:00Z">
          <w:dateFormat w:val="MMMM yyyy"/>
          <w:lid w:val="en-AU"/>
          <w:storeMappedDataAs w:val="dateTime"/>
          <w:calendar w:val="gregorian"/>
        </w:date>
      </w:sdtPr>
      <w:sdtContent>
        <w:p w14:paraId="0829A600" w14:textId="77777777" w:rsidR="00DE4FE2" w:rsidRDefault="00F03033" w:rsidP="00B54E13">
          <w:pPr>
            <w:pStyle w:val="CoverDate"/>
            <w:ind w:left="1276"/>
          </w:pPr>
          <w:r>
            <w:t>June 2025</w:t>
          </w:r>
        </w:p>
      </w:sdtContent>
    </w:sdt>
    <w:p w14:paraId="40D201C7" w14:textId="77777777" w:rsidR="00B54E13" w:rsidRDefault="00992711" w:rsidP="00B54E13">
      <w:pPr>
        <w:framePr w:w="11907" w:h="5443" w:wrap="around" w:vAnchor="page" w:hAnchor="page" w:x="1" w:yAlign="bottom"/>
        <w:spacing w:before="0" w:after="0"/>
        <w:jc w:val="both"/>
      </w:pPr>
      <w:r>
        <w:rPr>
          <w:noProof/>
          <w:lang w:eastAsia="en-AU"/>
        </w:rPr>
        <w:drawing>
          <wp:inline distT="0" distB="0" distL="0" distR="0" wp14:anchorId="5B0EE067" wp14:editId="4866A5A6">
            <wp:extent cx="7553325" cy="3493135"/>
            <wp:effectExtent l="0" t="0" r="9525" b="0"/>
            <wp:docPr id="3" name="Picture 3" descr="Department connected web graphic">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3325" cy="3493135"/>
                    </a:xfrm>
                    <a:prstGeom prst="rect">
                      <a:avLst/>
                    </a:prstGeom>
                    <a:noFill/>
                  </pic:spPr>
                </pic:pic>
              </a:graphicData>
            </a:graphic>
          </wp:inline>
        </w:drawing>
      </w:r>
    </w:p>
    <w:p w14:paraId="539AF679" w14:textId="0C600FE8" w:rsidR="00992711" w:rsidRDefault="00992711" w:rsidP="00992711">
      <w:pPr>
        <w:pStyle w:val="CoverPhoto"/>
        <w:framePr w:h="6583" w:hRule="exact" w:hSpace="180" w:wrap="around" w:vAnchor="text" w:hAnchor="page" w:x="2275" w:y="1"/>
        <w:spacing w:before="1080" w:after="0"/>
        <w:jc w:val="right"/>
      </w:pPr>
    </w:p>
    <w:p w14:paraId="7AEE6F39" w14:textId="635CC8A9" w:rsidR="00B54E13" w:rsidRDefault="00F91F99">
      <w:pPr>
        <w:sectPr w:rsidR="00B54E13" w:rsidSect="00BA24FB">
          <w:headerReference w:type="default" r:id="rId14"/>
          <w:headerReference w:type="first" r:id="rId15"/>
          <w:footerReference w:type="first" r:id="rId16"/>
          <w:pgSz w:w="11906" w:h="16838" w:code="9"/>
          <w:pgMar w:top="1021" w:right="1021" w:bottom="1021" w:left="1021" w:header="340" w:footer="397" w:gutter="0"/>
          <w:cols w:space="708"/>
          <w:docGrid w:linePitch="360"/>
        </w:sectPr>
      </w:pPr>
      <w:r w:rsidRPr="00F91F99">
        <w:rPr>
          <w:noProof/>
        </w:rPr>
        <w:drawing>
          <wp:anchor distT="0" distB="0" distL="114300" distR="114300" simplePos="0" relativeHeight="251658243" behindDoc="0" locked="0" layoutInCell="1" allowOverlap="1" wp14:anchorId="4BA42C73" wp14:editId="5FD7893A">
            <wp:simplePos x="0" y="0"/>
            <wp:positionH relativeFrom="column">
              <wp:posOffset>4336415</wp:posOffset>
            </wp:positionH>
            <wp:positionV relativeFrom="paragraph">
              <wp:posOffset>1252855</wp:posOffset>
            </wp:positionV>
            <wp:extent cx="855345" cy="922655"/>
            <wp:effectExtent l="0" t="0" r="1905" b="0"/>
            <wp:wrapNone/>
            <wp:docPr id="5" name="Picture 5" descr="Restricted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Restricted (R)."/>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5345" cy="922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1F99">
        <w:rPr>
          <w:noProof/>
        </w:rPr>
        <w:drawing>
          <wp:anchor distT="0" distB="0" distL="114300" distR="114300" simplePos="0" relativeHeight="251658242" behindDoc="0" locked="0" layoutInCell="1" allowOverlap="1" wp14:anchorId="050F174C" wp14:editId="4F072306">
            <wp:simplePos x="0" y="0"/>
            <wp:positionH relativeFrom="column">
              <wp:posOffset>3488055</wp:posOffset>
            </wp:positionH>
            <wp:positionV relativeFrom="paragraph">
              <wp:posOffset>1245235</wp:posOffset>
            </wp:positionV>
            <wp:extent cx="855345" cy="922655"/>
            <wp:effectExtent l="0" t="0" r="1905" b="0"/>
            <wp:wrapNone/>
            <wp:docPr id="9" name="Picture 9" descr="Mature Aud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ture Audiences."/>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5345" cy="922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1F99">
        <w:rPr>
          <w:noProof/>
        </w:rPr>
        <w:drawing>
          <wp:anchor distT="0" distB="0" distL="114300" distR="114300" simplePos="0" relativeHeight="251658240" behindDoc="0" locked="0" layoutInCell="1" allowOverlap="1" wp14:anchorId="0D4B7291" wp14:editId="38AFE594">
            <wp:simplePos x="0" y="0"/>
            <wp:positionH relativeFrom="column">
              <wp:posOffset>1686560</wp:posOffset>
            </wp:positionH>
            <wp:positionV relativeFrom="paragraph">
              <wp:posOffset>1247775</wp:posOffset>
            </wp:positionV>
            <wp:extent cx="923290" cy="920115"/>
            <wp:effectExtent l="0" t="0" r="0" b="0"/>
            <wp:wrapNone/>
            <wp:docPr id="7" name="Picture 7" descr="Parental 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arental Guidance."/>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3290" cy="920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1F99">
        <w:rPr>
          <w:noProof/>
        </w:rPr>
        <w:drawing>
          <wp:anchor distT="0" distB="0" distL="114300" distR="114300" simplePos="0" relativeHeight="251658244" behindDoc="0" locked="0" layoutInCell="1" allowOverlap="1" wp14:anchorId="585C0E87" wp14:editId="1FF5EDC8">
            <wp:simplePos x="0" y="0"/>
            <wp:positionH relativeFrom="column">
              <wp:posOffset>2608580</wp:posOffset>
            </wp:positionH>
            <wp:positionV relativeFrom="paragraph">
              <wp:posOffset>1254125</wp:posOffset>
            </wp:positionV>
            <wp:extent cx="883285" cy="915035"/>
            <wp:effectExtent l="0" t="0" r="0" b="0"/>
            <wp:wrapNone/>
            <wp:docPr id="6" name="Picture 6" descr="M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ture."/>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3285" cy="915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1F99">
        <w:rPr>
          <w:noProof/>
        </w:rPr>
        <w:drawing>
          <wp:anchor distT="0" distB="0" distL="114300" distR="114300" simplePos="0" relativeHeight="251658241" behindDoc="0" locked="0" layoutInCell="1" allowOverlap="1" wp14:anchorId="44074513" wp14:editId="246FD136">
            <wp:simplePos x="0" y="0"/>
            <wp:positionH relativeFrom="column">
              <wp:posOffset>810260</wp:posOffset>
            </wp:positionH>
            <wp:positionV relativeFrom="paragraph">
              <wp:posOffset>1252855</wp:posOffset>
            </wp:positionV>
            <wp:extent cx="873760" cy="922655"/>
            <wp:effectExtent l="0" t="0" r="2540" b="0"/>
            <wp:wrapNone/>
            <wp:docPr id="2" name="Picture 2" descr="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neral."/>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3760" cy="922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2DD3CC" w14:textId="77777777" w:rsidR="00DE4FE2" w:rsidRDefault="00DE4FE2"/>
    <w:p w14:paraId="0122F6C8" w14:textId="77777777" w:rsidR="002D01AA" w:rsidRPr="000E5674" w:rsidRDefault="002D01AA" w:rsidP="002D01AA">
      <w:pPr>
        <w:pStyle w:val="NoSpacing"/>
        <w:spacing w:before="80"/>
      </w:pPr>
      <w:r w:rsidRPr="000E5674">
        <w:t>© Commonwealth of Australia 202</w:t>
      </w:r>
      <w:r w:rsidR="00F03033" w:rsidRPr="00F03033">
        <w:t>5</w:t>
      </w:r>
    </w:p>
    <w:p w14:paraId="3561F694" w14:textId="77777777" w:rsidR="002D01AA" w:rsidRPr="000E5674" w:rsidRDefault="002D01AA" w:rsidP="002D01AA">
      <w:pPr>
        <w:pStyle w:val="ImprintHeading"/>
        <w:spacing w:before="120" w:after="80"/>
      </w:pPr>
      <w:r w:rsidRPr="000E5674">
        <w:t>Ownership of intellectual property rights in this publication</w:t>
      </w:r>
    </w:p>
    <w:p w14:paraId="0A3D4DC8" w14:textId="77777777" w:rsidR="002D01AA" w:rsidRPr="000E5674" w:rsidRDefault="002D01AA" w:rsidP="002D01AA">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6CDDB1A5" w14:textId="77777777" w:rsidR="002D01AA" w:rsidRPr="000E5674" w:rsidRDefault="002D01AA" w:rsidP="002D01AA">
      <w:pPr>
        <w:pStyle w:val="ImprintHeading"/>
        <w:spacing w:before="120" w:after="80"/>
      </w:pPr>
      <w:r w:rsidRPr="000E5674">
        <w:t>Disclaimer</w:t>
      </w:r>
    </w:p>
    <w:p w14:paraId="0FF4E56E" w14:textId="77777777" w:rsidR="002D01AA" w:rsidRPr="000E5674" w:rsidRDefault="002D01AA" w:rsidP="002D01AA">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41126263" w14:textId="77777777" w:rsidR="002D01AA" w:rsidRDefault="002D01AA" w:rsidP="002D01AA">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795536FE" w14:textId="77777777" w:rsidR="002D01AA" w:rsidRDefault="002D01AA" w:rsidP="002D01AA">
      <w:pPr>
        <w:pStyle w:val="ImprintHeading"/>
        <w:spacing w:before="120" w:after="80"/>
        <w:rPr>
          <w:lang w:val="en-AU"/>
        </w:rPr>
      </w:pPr>
      <w:r>
        <w:rPr>
          <w:lang w:val="en-AU"/>
        </w:rPr>
        <w:t>Creative Commons licence</w:t>
      </w:r>
    </w:p>
    <w:p w14:paraId="552BB5F8" w14:textId="77777777" w:rsidR="002D01AA" w:rsidRDefault="002D01AA" w:rsidP="002D01AA">
      <w:pPr>
        <w:pStyle w:val="ImprintHeading"/>
        <w:spacing w:before="120" w:after="80"/>
        <w:rPr>
          <w:lang w:val="en-AU"/>
        </w:rPr>
      </w:pPr>
      <w:r>
        <w:rPr>
          <w:noProof/>
        </w:rPr>
        <w:drawing>
          <wp:inline distT="0" distB="0" distL="0" distR="0" wp14:anchorId="7A46C4DB" wp14:editId="5AB2B424">
            <wp:extent cx="1007927" cy="352649"/>
            <wp:effectExtent l="0" t="0" r="1905" b="9525"/>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9741" cy="360281"/>
                    </a:xfrm>
                    <a:prstGeom prst="rect">
                      <a:avLst/>
                    </a:prstGeom>
                    <a:noFill/>
                    <a:ln>
                      <a:noFill/>
                    </a:ln>
                  </pic:spPr>
                </pic:pic>
              </a:graphicData>
            </a:graphic>
          </wp:inline>
        </w:drawing>
      </w:r>
    </w:p>
    <w:p w14:paraId="08F0C323" w14:textId="77777777" w:rsidR="002D01AA" w:rsidRDefault="002D01AA" w:rsidP="002D01AA">
      <w:r w:rsidRPr="00650DDB">
        <w:t>With the exception of (a) the Coat of Arms; (b) the Department of Infrastructure, Transport, Regional Development, Communications</w:t>
      </w:r>
      <w:r w:rsidR="00CB0D5F">
        <w:t>, Sport</w:t>
      </w:r>
      <w:r w:rsidRPr="00650DDB">
        <w:t xml:space="preserve"> and the Arts photos and graphics; (c) content supplied by third parties; (d) content otherwise labelled; copyright in this publication is licensed under a Creative Commons BY Attribution 4.0 International Licence.</w:t>
      </w:r>
    </w:p>
    <w:p w14:paraId="177AD99A" w14:textId="77777777" w:rsidR="002D01AA" w:rsidRPr="000E5674" w:rsidRDefault="002D01AA" w:rsidP="002D01AA">
      <w:pPr>
        <w:pStyle w:val="ImprintHeading"/>
        <w:spacing w:before="120" w:after="80"/>
      </w:pPr>
      <w:r w:rsidRPr="000E5674">
        <w:t>Use of the Coat of Arms</w:t>
      </w:r>
    </w:p>
    <w:p w14:paraId="5EFAB226" w14:textId="150D851C" w:rsidR="00F90578" w:rsidRPr="000E5674" w:rsidRDefault="00F90578" w:rsidP="00F90578">
      <w:pPr>
        <w:spacing w:before="120"/>
        <w:rPr>
          <w:lang w:val="x-none"/>
        </w:rPr>
      </w:pPr>
      <w:r w:rsidRPr="000E5674">
        <w:rPr>
          <w:lang w:val="x-none"/>
        </w:rPr>
        <w:t xml:space="preserve">The Department of the Prime Minister and Cabinet </w:t>
      </w:r>
      <w:r>
        <w:t xml:space="preserve">(PM&amp;C) </w:t>
      </w:r>
      <w:r w:rsidRPr="000E5674">
        <w:rPr>
          <w:lang w:val="x-none"/>
        </w:rPr>
        <w:t>sets the terms under which the Coat of Arms is used. Please refer to</w:t>
      </w:r>
      <w:r>
        <w:rPr>
          <w:lang w:val="en-US"/>
        </w:rPr>
        <w:t xml:space="preserve"> </w:t>
      </w:r>
      <w:r w:rsidRPr="000E5674">
        <w:rPr>
          <w:lang w:val="x-none"/>
        </w:rPr>
        <w:t xml:space="preserve">the </w:t>
      </w:r>
      <w:hyperlink r:id="rId23" w:history="1">
        <w:r>
          <w:rPr>
            <w:rStyle w:val="Hyperlink"/>
          </w:rPr>
          <w:t>Commonwealth Coat of Arms Information and Guidelines | PM&amp;C</w:t>
        </w:r>
      </w:hyperlink>
      <w:r>
        <w:t>.</w:t>
      </w:r>
    </w:p>
    <w:p w14:paraId="52914767" w14:textId="77777777" w:rsidR="002D01AA" w:rsidRPr="000E5674" w:rsidRDefault="002D01AA" w:rsidP="002D01AA">
      <w:pPr>
        <w:pStyle w:val="ImprintHeading"/>
        <w:spacing w:before="120" w:after="80"/>
      </w:pPr>
      <w:r w:rsidRPr="000E5674">
        <w:t>Contact us</w:t>
      </w:r>
    </w:p>
    <w:p w14:paraId="2A6D0DF7" w14:textId="77777777" w:rsidR="002D01AA" w:rsidRPr="000E5674" w:rsidRDefault="002D01AA" w:rsidP="002D01AA">
      <w:pPr>
        <w:spacing w:before="120"/>
        <w:rPr>
          <w:lang w:val="x-none"/>
        </w:rPr>
      </w:pPr>
      <w:r w:rsidRPr="000E5674">
        <w:rPr>
          <w:lang w:val="x-none"/>
        </w:rPr>
        <w:t xml:space="preserve">This publication is available in </w:t>
      </w:r>
      <w:sdt>
        <w:sdtPr>
          <w:rPr>
            <w:lang w:val="x-none"/>
          </w:rPr>
          <w:tag w:val="[select format option]"/>
          <w:id w:val="1958295965"/>
          <w:placeholder>
            <w:docPart w:val="89824B0945EA4D39B12994237ADFE774"/>
          </w:placeholder>
          <w:dropDownList>
            <w:listItem w:value="Choose an item."/>
            <w:listItem w:displayText="hard copy" w:value="hard copy"/>
            <w:listItem w:displayText="PDF format" w:value="PDF format"/>
            <w:listItem w:displayText="Word format" w:value="Word format"/>
            <w:listItem w:displayText="other format" w:value="other format"/>
          </w:dropDownList>
        </w:sdtPr>
        <w:sdtContent>
          <w:r w:rsidR="00F03033" w:rsidRPr="00F03033">
            <w:rPr>
              <w:lang w:val="x-none"/>
            </w:rPr>
            <w:t>PDF format</w:t>
          </w:r>
        </w:sdtContent>
      </w:sdt>
      <w:r w:rsidRPr="00F03033">
        <w:rPr>
          <w:lang w:val="x-none"/>
        </w:rPr>
        <w:t>.</w:t>
      </w:r>
      <w:r w:rsidRPr="000E5674">
        <w:rPr>
          <w:lang w:val="x-none"/>
        </w:rPr>
        <w:t xml:space="preserve"> All other rights are reserved, including in relation to any</w:t>
      </w:r>
      <w:r>
        <w:rPr>
          <w:lang w:val="en-US"/>
        </w:rPr>
        <w:t xml:space="preserve"> departmental</w:t>
      </w:r>
      <w:r w:rsidRPr="000E5674">
        <w:rPr>
          <w:lang w:val="x-none"/>
        </w:rPr>
        <w:t xml:space="preserve"> logos or trademarks which may exist. For enquiries regarding the licence and any use of this publication,</w:t>
      </w:r>
      <w:r>
        <w:rPr>
          <w:lang w:val="en-US"/>
        </w:rPr>
        <w:t xml:space="preserve"> </w:t>
      </w:r>
      <w:r w:rsidRPr="000E5674">
        <w:rPr>
          <w:lang w:val="x-none"/>
        </w:rPr>
        <w:t>please contact:</w:t>
      </w:r>
    </w:p>
    <w:p w14:paraId="6C60B2ED" w14:textId="3C8AA93E" w:rsidR="003508EB" w:rsidRPr="003508EB" w:rsidRDefault="003508EB" w:rsidP="003508EB">
      <w:pPr>
        <w:spacing w:before="120"/>
        <w:rPr>
          <w:kern w:val="12"/>
        </w:rPr>
      </w:pPr>
      <w:r w:rsidRPr="003508EB">
        <w:rPr>
          <w:kern w:val="12"/>
        </w:rPr>
        <w:t>Director – Publishing and Communications</w:t>
      </w:r>
      <w:r>
        <w:rPr>
          <w:kern w:val="12"/>
        </w:rPr>
        <w:br/>
      </w:r>
      <w:r w:rsidRPr="003508EB">
        <w:rPr>
          <w:kern w:val="12"/>
        </w:rPr>
        <w:t>Communication Branch</w:t>
      </w:r>
      <w:r>
        <w:rPr>
          <w:kern w:val="12"/>
        </w:rPr>
        <w:br/>
      </w:r>
      <w:r w:rsidRPr="003508EB">
        <w:rPr>
          <w:kern w:val="12"/>
        </w:rPr>
        <w:t>Department of Infrastructure, Transport, Regional Development, Communications</w:t>
      </w:r>
      <w:r>
        <w:rPr>
          <w:kern w:val="12"/>
        </w:rPr>
        <w:t>, Sport</w:t>
      </w:r>
      <w:r w:rsidRPr="003508EB">
        <w:rPr>
          <w:kern w:val="12"/>
        </w:rPr>
        <w:t xml:space="preserve"> and the Arts</w:t>
      </w:r>
      <w:r>
        <w:rPr>
          <w:kern w:val="12"/>
        </w:rPr>
        <w:br/>
      </w:r>
      <w:r w:rsidRPr="003508EB">
        <w:rPr>
          <w:kern w:val="12"/>
        </w:rPr>
        <w:t>GPO Box 594</w:t>
      </w:r>
      <w:r>
        <w:rPr>
          <w:kern w:val="12"/>
        </w:rPr>
        <w:br/>
      </w:r>
      <w:r w:rsidRPr="003508EB">
        <w:rPr>
          <w:kern w:val="12"/>
        </w:rPr>
        <w:t>Canberra ACT 2601</w:t>
      </w:r>
      <w:r>
        <w:rPr>
          <w:kern w:val="12"/>
        </w:rPr>
        <w:br/>
      </w:r>
      <w:r w:rsidRPr="003508EB">
        <w:rPr>
          <w:kern w:val="12"/>
        </w:rPr>
        <w:t>Australia</w:t>
      </w:r>
    </w:p>
    <w:p w14:paraId="1CF45BD2" w14:textId="42B842C9" w:rsidR="003508EB" w:rsidRPr="003508EB" w:rsidRDefault="003508EB" w:rsidP="003508EB">
      <w:pPr>
        <w:spacing w:before="120"/>
        <w:rPr>
          <w:kern w:val="12"/>
        </w:rPr>
      </w:pPr>
      <w:r w:rsidRPr="003508EB">
        <w:rPr>
          <w:kern w:val="12"/>
        </w:rPr>
        <w:t xml:space="preserve">Email: </w:t>
      </w:r>
      <w:hyperlink r:id="rId24" w:history="1">
        <w:r w:rsidRPr="003508EB">
          <w:rPr>
            <w:rStyle w:val="Hyperlink"/>
            <w:kern w:val="12"/>
          </w:rPr>
          <w:t>publishing@communications.gov.au</w:t>
        </w:r>
      </w:hyperlink>
    </w:p>
    <w:p w14:paraId="177DDFDC" w14:textId="077D0D70" w:rsidR="002D01AA" w:rsidRDefault="002D01AA" w:rsidP="003508EB">
      <w:pPr>
        <w:spacing w:before="120"/>
        <w:rPr>
          <w:kern w:val="12"/>
          <w:highlight w:val="yellow"/>
        </w:rPr>
      </w:pPr>
      <w:r w:rsidRPr="000E5674">
        <w:rPr>
          <w:lang w:val="x-none"/>
        </w:rPr>
        <w:t>Website:</w:t>
      </w:r>
      <w:r>
        <w:rPr>
          <w:lang w:val="en-US"/>
        </w:rPr>
        <w:t xml:space="preserve"> </w:t>
      </w:r>
      <w:hyperlink r:id="rId25" w:history="1">
        <w:r w:rsidR="003508EB" w:rsidRPr="003508EB">
          <w:rPr>
            <w:rStyle w:val="Hyperlink"/>
            <w:lang w:val="en-US"/>
          </w:rPr>
          <w:t>infrastructure.gov.au</w:t>
        </w:r>
      </w:hyperlink>
      <w:r w:rsidR="003508EB">
        <w:rPr>
          <w:lang w:val="en-US"/>
        </w:rPr>
        <w:t xml:space="preserve">| </w:t>
      </w:r>
      <w:hyperlink r:id="rId26" w:history="1">
        <w:r w:rsidR="003508EB" w:rsidRPr="003508EB">
          <w:rPr>
            <w:rStyle w:val="Hyperlink"/>
            <w:lang w:val="en-US"/>
          </w:rPr>
          <w:t>arts.gov.au</w:t>
        </w:r>
      </w:hyperlink>
    </w:p>
    <w:p w14:paraId="5301BB96" w14:textId="77777777" w:rsidR="00546218" w:rsidRDefault="002D01AA" w:rsidP="002D01AA">
      <w:pPr>
        <w:suppressAutoHyphens w:val="0"/>
        <w:spacing w:before="120"/>
      </w:pPr>
      <w:r>
        <w:t xml:space="preserve"> </w:t>
      </w:r>
      <w:r w:rsidR="00546218">
        <w:br w:type="page"/>
      </w:r>
    </w:p>
    <w:p w14:paraId="048639F8" w14:textId="77777777" w:rsidR="00DE4FE2" w:rsidRDefault="002B7197" w:rsidP="00CF6CFD">
      <w:pPr>
        <w:pStyle w:val="TOCHeading"/>
      </w:pPr>
      <w:r>
        <w:lastRenderedPageBreak/>
        <w:t>Table of C</w:t>
      </w:r>
      <w:r w:rsidR="00DE4FE2">
        <w:t>ontents</w:t>
      </w:r>
    </w:p>
    <w:p w14:paraId="0C2080FD" w14:textId="0706E838" w:rsidR="00750195" w:rsidRDefault="00A95970">
      <w:pPr>
        <w:pStyle w:val="TOC1"/>
        <w:rPr>
          <w:rFonts w:eastAsiaTheme="minorEastAsia"/>
          <w:b w:val="0"/>
          <w:noProof/>
          <w:color w:val="auto"/>
          <w:sz w:val="22"/>
          <w:u w:val="none"/>
          <w:lang w:eastAsia="en-AU"/>
        </w:rPr>
      </w:pPr>
      <w:r>
        <w:fldChar w:fldCharType="begin"/>
      </w:r>
      <w:r>
        <w:instrText xml:space="preserve"> TOC \o "3-3" \h \z \t "Heading 1,1,Heading 2,2,Heading 1 Numbered,1,Heading 2 Numbered,2,Appendix Heading 1,1,Attachment Heading 1,1" </w:instrText>
      </w:r>
      <w:r>
        <w:fldChar w:fldCharType="separate"/>
      </w:r>
      <w:hyperlink w:anchor="_Toc201043438" w:history="1">
        <w:r w:rsidR="00750195" w:rsidRPr="003A3A5A">
          <w:rPr>
            <w:rStyle w:val="Hyperlink"/>
            <w:noProof/>
          </w:rPr>
          <w:t>Introduction</w:t>
        </w:r>
        <w:r w:rsidR="00750195">
          <w:rPr>
            <w:noProof/>
            <w:webHidden/>
          </w:rPr>
          <w:tab/>
        </w:r>
        <w:r w:rsidR="00750195">
          <w:rPr>
            <w:noProof/>
            <w:webHidden/>
          </w:rPr>
          <w:fldChar w:fldCharType="begin"/>
        </w:r>
        <w:r w:rsidR="00750195">
          <w:rPr>
            <w:noProof/>
            <w:webHidden/>
          </w:rPr>
          <w:instrText xml:space="preserve"> PAGEREF _Toc201043438 \h </w:instrText>
        </w:r>
        <w:r w:rsidR="00750195">
          <w:rPr>
            <w:noProof/>
            <w:webHidden/>
          </w:rPr>
        </w:r>
        <w:r w:rsidR="00750195">
          <w:rPr>
            <w:noProof/>
            <w:webHidden/>
          </w:rPr>
          <w:fldChar w:fldCharType="separate"/>
        </w:r>
        <w:r w:rsidR="00BE29DF">
          <w:rPr>
            <w:noProof/>
            <w:webHidden/>
          </w:rPr>
          <w:t>4</w:t>
        </w:r>
        <w:r w:rsidR="00750195">
          <w:rPr>
            <w:noProof/>
            <w:webHidden/>
          </w:rPr>
          <w:fldChar w:fldCharType="end"/>
        </w:r>
      </w:hyperlink>
    </w:p>
    <w:p w14:paraId="56010E40" w14:textId="47F1189A" w:rsidR="00750195" w:rsidRDefault="00CE3202">
      <w:pPr>
        <w:pStyle w:val="TOC1"/>
        <w:rPr>
          <w:rFonts w:eastAsiaTheme="minorEastAsia"/>
          <w:b w:val="0"/>
          <w:noProof/>
          <w:color w:val="auto"/>
          <w:sz w:val="22"/>
          <w:u w:val="none"/>
          <w:lang w:eastAsia="en-AU"/>
        </w:rPr>
      </w:pPr>
      <w:hyperlink w:anchor="_Toc201043439" w:history="1">
        <w:r w:rsidR="00750195" w:rsidRPr="003A3A5A">
          <w:rPr>
            <w:rStyle w:val="Hyperlink"/>
            <w:noProof/>
            <w:lang w:val="en-US"/>
          </w:rPr>
          <w:t>Background</w:t>
        </w:r>
        <w:r w:rsidR="00750195">
          <w:rPr>
            <w:noProof/>
            <w:webHidden/>
          </w:rPr>
          <w:tab/>
        </w:r>
        <w:r w:rsidR="00750195">
          <w:rPr>
            <w:noProof/>
            <w:webHidden/>
          </w:rPr>
          <w:fldChar w:fldCharType="begin"/>
        </w:r>
        <w:r w:rsidR="00750195">
          <w:rPr>
            <w:noProof/>
            <w:webHidden/>
          </w:rPr>
          <w:instrText xml:space="preserve"> PAGEREF _Toc201043439 \h </w:instrText>
        </w:r>
        <w:r w:rsidR="00750195">
          <w:rPr>
            <w:noProof/>
            <w:webHidden/>
          </w:rPr>
        </w:r>
        <w:r w:rsidR="00750195">
          <w:rPr>
            <w:noProof/>
            <w:webHidden/>
          </w:rPr>
          <w:fldChar w:fldCharType="separate"/>
        </w:r>
        <w:r w:rsidR="00BE29DF">
          <w:rPr>
            <w:noProof/>
            <w:webHidden/>
          </w:rPr>
          <w:t>4</w:t>
        </w:r>
        <w:r w:rsidR="00750195">
          <w:rPr>
            <w:noProof/>
            <w:webHidden/>
          </w:rPr>
          <w:fldChar w:fldCharType="end"/>
        </w:r>
      </w:hyperlink>
    </w:p>
    <w:p w14:paraId="018C8AC4" w14:textId="2D6FF874" w:rsidR="00750195" w:rsidRDefault="00CE3202">
      <w:pPr>
        <w:pStyle w:val="TOC2"/>
        <w:tabs>
          <w:tab w:val="right" w:pos="9854"/>
        </w:tabs>
        <w:rPr>
          <w:rFonts w:eastAsiaTheme="minorEastAsia"/>
          <w:noProof/>
          <w:color w:val="auto"/>
          <w:lang w:eastAsia="en-AU"/>
        </w:rPr>
      </w:pPr>
      <w:hyperlink w:anchor="_Toc201043440" w:history="1">
        <w:r w:rsidR="00750195" w:rsidRPr="003A3A5A">
          <w:rPr>
            <w:rStyle w:val="Hyperlink"/>
            <w:noProof/>
            <w:lang w:val="en-US"/>
          </w:rPr>
          <w:t>Cost recovery implementation statement</w:t>
        </w:r>
        <w:r w:rsidR="00750195">
          <w:rPr>
            <w:noProof/>
            <w:webHidden/>
          </w:rPr>
          <w:tab/>
        </w:r>
        <w:r w:rsidR="00750195">
          <w:rPr>
            <w:noProof/>
            <w:webHidden/>
          </w:rPr>
          <w:fldChar w:fldCharType="begin"/>
        </w:r>
        <w:r w:rsidR="00750195">
          <w:rPr>
            <w:noProof/>
            <w:webHidden/>
          </w:rPr>
          <w:instrText xml:space="preserve"> PAGEREF _Toc201043440 \h </w:instrText>
        </w:r>
        <w:r w:rsidR="00750195">
          <w:rPr>
            <w:noProof/>
            <w:webHidden/>
          </w:rPr>
        </w:r>
        <w:r w:rsidR="00750195">
          <w:rPr>
            <w:noProof/>
            <w:webHidden/>
          </w:rPr>
          <w:fldChar w:fldCharType="separate"/>
        </w:r>
        <w:r w:rsidR="00BE29DF">
          <w:rPr>
            <w:noProof/>
            <w:webHidden/>
          </w:rPr>
          <w:t>4</w:t>
        </w:r>
        <w:r w:rsidR="00750195">
          <w:rPr>
            <w:noProof/>
            <w:webHidden/>
          </w:rPr>
          <w:fldChar w:fldCharType="end"/>
        </w:r>
      </w:hyperlink>
    </w:p>
    <w:p w14:paraId="07B428B2" w14:textId="50565CD7" w:rsidR="00750195" w:rsidRDefault="00CE3202">
      <w:pPr>
        <w:pStyle w:val="TOC2"/>
        <w:tabs>
          <w:tab w:val="right" w:pos="9854"/>
        </w:tabs>
        <w:rPr>
          <w:rFonts w:eastAsiaTheme="minorEastAsia"/>
          <w:noProof/>
          <w:color w:val="auto"/>
          <w:lang w:eastAsia="en-AU"/>
        </w:rPr>
      </w:pPr>
      <w:hyperlink w:anchor="_Toc201043441" w:history="1">
        <w:r w:rsidR="00750195" w:rsidRPr="003A3A5A">
          <w:rPr>
            <w:rStyle w:val="Hyperlink"/>
            <w:noProof/>
            <w:lang w:val="en-US"/>
          </w:rPr>
          <w:t>National Classification Scheme</w:t>
        </w:r>
        <w:r w:rsidR="00750195">
          <w:rPr>
            <w:noProof/>
            <w:webHidden/>
          </w:rPr>
          <w:tab/>
        </w:r>
        <w:r w:rsidR="00750195">
          <w:rPr>
            <w:noProof/>
            <w:webHidden/>
          </w:rPr>
          <w:fldChar w:fldCharType="begin"/>
        </w:r>
        <w:r w:rsidR="00750195">
          <w:rPr>
            <w:noProof/>
            <w:webHidden/>
          </w:rPr>
          <w:instrText xml:space="preserve"> PAGEREF _Toc201043441 \h </w:instrText>
        </w:r>
        <w:r w:rsidR="00750195">
          <w:rPr>
            <w:noProof/>
            <w:webHidden/>
          </w:rPr>
        </w:r>
        <w:r w:rsidR="00750195">
          <w:rPr>
            <w:noProof/>
            <w:webHidden/>
          </w:rPr>
          <w:fldChar w:fldCharType="separate"/>
        </w:r>
        <w:r w:rsidR="00BE29DF">
          <w:rPr>
            <w:noProof/>
            <w:webHidden/>
          </w:rPr>
          <w:t>5</w:t>
        </w:r>
        <w:r w:rsidR="00750195">
          <w:rPr>
            <w:noProof/>
            <w:webHidden/>
          </w:rPr>
          <w:fldChar w:fldCharType="end"/>
        </w:r>
      </w:hyperlink>
    </w:p>
    <w:p w14:paraId="2589DD94" w14:textId="239A0C8E" w:rsidR="00750195" w:rsidRDefault="00CE3202">
      <w:pPr>
        <w:pStyle w:val="TOC2"/>
        <w:tabs>
          <w:tab w:val="right" w:pos="9854"/>
        </w:tabs>
        <w:rPr>
          <w:rFonts w:eastAsiaTheme="minorEastAsia"/>
          <w:noProof/>
          <w:color w:val="auto"/>
          <w:lang w:eastAsia="en-AU"/>
        </w:rPr>
      </w:pPr>
      <w:hyperlink w:anchor="_Toc201043442" w:history="1">
        <w:r w:rsidR="00750195" w:rsidRPr="003A3A5A">
          <w:rPr>
            <w:rStyle w:val="Hyperlink"/>
            <w:noProof/>
            <w:lang w:val="en-US"/>
          </w:rPr>
          <w:t>Classification reforms</w:t>
        </w:r>
        <w:r w:rsidR="00750195">
          <w:rPr>
            <w:noProof/>
            <w:webHidden/>
          </w:rPr>
          <w:tab/>
        </w:r>
        <w:r w:rsidR="00750195">
          <w:rPr>
            <w:noProof/>
            <w:webHidden/>
          </w:rPr>
          <w:fldChar w:fldCharType="begin"/>
        </w:r>
        <w:r w:rsidR="00750195">
          <w:rPr>
            <w:noProof/>
            <w:webHidden/>
          </w:rPr>
          <w:instrText xml:space="preserve"> PAGEREF _Toc201043442 \h </w:instrText>
        </w:r>
        <w:r w:rsidR="00750195">
          <w:rPr>
            <w:noProof/>
            <w:webHidden/>
          </w:rPr>
        </w:r>
        <w:r w:rsidR="00750195">
          <w:rPr>
            <w:noProof/>
            <w:webHidden/>
          </w:rPr>
          <w:fldChar w:fldCharType="separate"/>
        </w:r>
        <w:r w:rsidR="00BE29DF">
          <w:rPr>
            <w:noProof/>
            <w:webHidden/>
          </w:rPr>
          <w:t>5</w:t>
        </w:r>
        <w:r w:rsidR="00750195">
          <w:rPr>
            <w:noProof/>
            <w:webHidden/>
          </w:rPr>
          <w:fldChar w:fldCharType="end"/>
        </w:r>
      </w:hyperlink>
    </w:p>
    <w:p w14:paraId="35063C7D" w14:textId="27DCEB6E" w:rsidR="00750195" w:rsidRDefault="00CE3202">
      <w:pPr>
        <w:pStyle w:val="TOC1"/>
        <w:rPr>
          <w:rFonts w:eastAsiaTheme="minorEastAsia"/>
          <w:b w:val="0"/>
          <w:noProof/>
          <w:color w:val="auto"/>
          <w:sz w:val="22"/>
          <w:u w:val="none"/>
          <w:lang w:eastAsia="en-AU"/>
        </w:rPr>
      </w:pPr>
      <w:hyperlink w:anchor="_Toc201043443" w:history="1">
        <w:r w:rsidR="00750195" w:rsidRPr="003A3A5A">
          <w:rPr>
            <w:rStyle w:val="Hyperlink"/>
            <w:noProof/>
          </w:rPr>
          <w:t>Cost recovery model principles</w:t>
        </w:r>
        <w:r w:rsidR="00750195">
          <w:rPr>
            <w:noProof/>
            <w:webHidden/>
          </w:rPr>
          <w:tab/>
        </w:r>
        <w:r w:rsidR="00750195">
          <w:rPr>
            <w:noProof/>
            <w:webHidden/>
          </w:rPr>
          <w:fldChar w:fldCharType="begin"/>
        </w:r>
        <w:r w:rsidR="00750195">
          <w:rPr>
            <w:noProof/>
            <w:webHidden/>
          </w:rPr>
          <w:instrText xml:space="preserve"> PAGEREF _Toc201043443 \h </w:instrText>
        </w:r>
        <w:r w:rsidR="00750195">
          <w:rPr>
            <w:noProof/>
            <w:webHidden/>
          </w:rPr>
        </w:r>
        <w:r w:rsidR="00750195">
          <w:rPr>
            <w:noProof/>
            <w:webHidden/>
          </w:rPr>
          <w:fldChar w:fldCharType="separate"/>
        </w:r>
        <w:r w:rsidR="00BE29DF">
          <w:rPr>
            <w:noProof/>
            <w:webHidden/>
          </w:rPr>
          <w:t>6</w:t>
        </w:r>
        <w:r w:rsidR="00750195">
          <w:rPr>
            <w:noProof/>
            <w:webHidden/>
          </w:rPr>
          <w:fldChar w:fldCharType="end"/>
        </w:r>
      </w:hyperlink>
    </w:p>
    <w:p w14:paraId="4B4B4EB4" w14:textId="07CA0C27" w:rsidR="00750195" w:rsidRDefault="00CE3202">
      <w:pPr>
        <w:pStyle w:val="TOC1"/>
        <w:rPr>
          <w:rFonts w:eastAsiaTheme="minorEastAsia"/>
          <w:b w:val="0"/>
          <w:noProof/>
          <w:color w:val="auto"/>
          <w:sz w:val="22"/>
          <w:u w:val="none"/>
          <w:lang w:eastAsia="en-AU"/>
        </w:rPr>
      </w:pPr>
      <w:hyperlink w:anchor="_Toc201043444" w:history="1">
        <w:r w:rsidR="00750195" w:rsidRPr="003A3A5A">
          <w:rPr>
            <w:rStyle w:val="Hyperlink"/>
            <w:noProof/>
          </w:rPr>
          <w:t>Current cost recovery arrangements</w:t>
        </w:r>
        <w:r w:rsidR="00750195">
          <w:rPr>
            <w:noProof/>
            <w:webHidden/>
          </w:rPr>
          <w:tab/>
        </w:r>
        <w:r w:rsidR="00750195">
          <w:rPr>
            <w:noProof/>
            <w:webHidden/>
          </w:rPr>
          <w:fldChar w:fldCharType="begin"/>
        </w:r>
        <w:r w:rsidR="00750195">
          <w:rPr>
            <w:noProof/>
            <w:webHidden/>
          </w:rPr>
          <w:instrText xml:space="preserve"> PAGEREF _Toc201043444 \h </w:instrText>
        </w:r>
        <w:r w:rsidR="00750195">
          <w:rPr>
            <w:noProof/>
            <w:webHidden/>
          </w:rPr>
        </w:r>
        <w:r w:rsidR="00750195">
          <w:rPr>
            <w:noProof/>
            <w:webHidden/>
          </w:rPr>
          <w:fldChar w:fldCharType="separate"/>
        </w:r>
        <w:r w:rsidR="00BE29DF">
          <w:rPr>
            <w:noProof/>
            <w:webHidden/>
          </w:rPr>
          <w:t>7</w:t>
        </w:r>
        <w:r w:rsidR="00750195">
          <w:rPr>
            <w:noProof/>
            <w:webHidden/>
          </w:rPr>
          <w:fldChar w:fldCharType="end"/>
        </w:r>
      </w:hyperlink>
    </w:p>
    <w:p w14:paraId="231735EF" w14:textId="6D7F3C8F" w:rsidR="00750195" w:rsidRDefault="00CE3202">
      <w:pPr>
        <w:pStyle w:val="TOC2"/>
        <w:tabs>
          <w:tab w:val="right" w:pos="9854"/>
        </w:tabs>
        <w:rPr>
          <w:rFonts w:eastAsiaTheme="minorEastAsia"/>
          <w:noProof/>
          <w:color w:val="auto"/>
          <w:lang w:eastAsia="en-AU"/>
        </w:rPr>
      </w:pPr>
      <w:hyperlink w:anchor="_Toc201043445" w:history="1">
        <w:r w:rsidR="00750195" w:rsidRPr="003A3A5A">
          <w:rPr>
            <w:rStyle w:val="Hyperlink"/>
            <w:noProof/>
          </w:rPr>
          <w:t>Fee structure</w:t>
        </w:r>
        <w:r w:rsidR="00750195">
          <w:rPr>
            <w:noProof/>
            <w:webHidden/>
          </w:rPr>
          <w:tab/>
        </w:r>
        <w:r w:rsidR="00750195">
          <w:rPr>
            <w:noProof/>
            <w:webHidden/>
          </w:rPr>
          <w:fldChar w:fldCharType="begin"/>
        </w:r>
        <w:r w:rsidR="00750195">
          <w:rPr>
            <w:noProof/>
            <w:webHidden/>
          </w:rPr>
          <w:instrText xml:space="preserve"> PAGEREF _Toc201043445 \h </w:instrText>
        </w:r>
        <w:r w:rsidR="00750195">
          <w:rPr>
            <w:noProof/>
            <w:webHidden/>
          </w:rPr>
        </w:r>
        <w:r w:rsidR="00750195">
          <w:rPr>
            <w:noProof/>
            <w:webHidden/>
          </w:rPr>
          <w:fldChar w:fldCharType="separate"/>
        </w:r>
        <w:r w:rsidR="00BE29DF">
          <w:rPr>
            <w:noProof/>
            <w:webHidden/>
          </w:rPr>
          <w:t>7</w:t>
        </w:r>
        <w:r w:rsidR="00750195">
          <w:rPr>
            <w:noProof/>
            <w:webHidden/>
          </w:rPr>
          <w:fldChar w:fldCharType="end"/>
        </w:r>
      </w:hyperlink>
    </w:p>
    <w:p w14:paraId="4C7CC839" w14:textId="3EB34092" w:rsidR="00750195" w:rsidRDefault="00CE3202">
      <w:pPr>
        <w:pStyle w:val="TOC2"/>
        <w:tabs>
          <w:tab w:val="right" w:pos="9854"/>
        </w:tabs>
        <w:rPr>
          <w:rFonts w:eastAsiaTheme="minorEastAsia"/>
          <w:noProof/>
          <w:color w:val="auto"/>
          <w:lang w:eastAsia="en-AU"/>
        </w:rPr>
      </w:pPr>
      <w:hyperlink w:anchor="_Toc201043446" w:history="1">
        <w:r w:rsidR="00750195" w:rsidRPr="003A3A5A">
          <w:rPr>
            <w:rStyle w:val="Hyperlink"/>
            <w:noProof/>
          </w:rPr>
          <w:t>Non-cost recovered activities</w:t>
        </w:r>
        <w:r w:rsidR="00750195">
          <w:rPr>
            <w:noProof/>
            <w:webHidden/>
          </w:rPr>
          <w:tab/>
        </w:r>
        <w:r w:rsidR="00750195">
          <w:rPr>
            <w:noProof/>
            <w:webHidden/>
          </w:rPr>
          <w:fldChar w:fldCharType="begin"/>
        </w:r>
        <w:r w:rsidR="00750195">
          <w:rPr>
            <w:noProof/>
            <w:webHidden/>
          </w:rPr>
          <w:instrText xml:space="preserve"> PAGEREF _Toc201043446 \h </w:instrText>
        </w:r>
        <w:r w:rsidR="00750195">
          <w:rPr>
            <w:noProof/>
            <w:webHidden/>
          </w:rPr>
        </w:r>
        <w:r w:rsidR="00750195">
          <w:rPr>
            <w:noProof/>
            <w:webHidden/>
          </w:rPr>
          <w:fldChar w:fldCharType="separate"/>
        </w:r>
        <w:r w:rsidR="00BE29DF">
          <w:rPr>
            <w:noProof/>
            <w:webHidden/>
          </w:rPr>
          <w:t>8</w:t>
        </w:r>
        <w:r w:rsidR="00750195">
          <w:rPr>
            <w:noProof/>
            <w:webHidden/>
          </w:rPr>
          <w:fldChar w:fldCharType="end"/>
        </w:r>
      </w:hyperlink>
    </w:p>
    <w:p w14:paraId="6A1A0799" w14:textId="6F9BF8F3" w:rsidR="00750195" w:rsidRDefault="00CE3202">
      <w:pPr>
        <w:pStyle w:val="TOC1"/>
        <w:rPr>
          <w:rFonts w:eastAsiaTheme="minorEastAsia"/>
          <w:b w:val="0"/>
          <w:noProof/>
          <w:color w:val="auto"/>
          <w:sz w:val="22"/>
          <w:u w:val="none"/>
          <w:lang w:eastAsia="en-AU"/>
        </w:rPr>
      </w:pPr>
      <w:hyperlink w:anchor="_Toc201043447" w:history="1">
        <w:r w:rsidR="00750195" w:rsidRPr="003A3A5A">
          <w:rPr>
            <w:rStyle w:val="Hyperlink"/>
            <w:noProof/>
          </w:rPr>
          <w:t>Implications for cost recovery</w:t>
        </w:r>
        <w:r w:rsidR="00750195">
          <w:rPr>
            <w:noProof/>
            <w:webHidden/>
          </w:rPr>
          <w:tab/>
        </w:r>
        <w:r w:rsidR="00750195">
          <w:rPr>
            <w:noProof/>
            <w:webHidden/>
          </w:rPr>
          <w:fldChar w:fldCharType="begin"/>
        </w:r>
        <w:r w:rsidR="00750195">
          <w:rPr>
            <w:noProof/>
            <w:webHidden/>
          </w:rPr>
          <w:instrText xml:space="preserve"> PAGEREF _Toc201043447 \h </w:instrText>
        </w:r>
        <w:r w:rsidR="00750195">
          <w:rPr>
            <w:noProof/>
            <w:webHidden/>
          </w:rPr>
        </w:r>
        <w:r w:rsidR="00750195">
          <w:rPr>
            <w:noProof/>
            <w:webHidden/>
          </w:rPr>
          <w:fldChar w:fldCharType="separate"/>
        </w:r>
        <w:r w:rsidR="00BE29DF">
          <w:rPr>
            <w:noProof/>
            <w:webHidden/>
          </w:rPr>
          <w:t>8</w:t>
        </w:r>
        <w:r w:rsidR="00750195">
          <w:rPr>
            <w:noProof/>
            <w:webHidden/>
          </w:rPr>
          <w:fldChar w:fldCharType="end"/>
        </w:r>
      </w:hyperlink>
    </w:p>
    <w:p w14:paraId="03A27112" w14:textId="2111BDCC" w:rsidR="00750195" w:rsidRDefault="00CE3202">
      <w:pPr>
        <w:pStyle w:val="TOC2"/>
        <w:tabs>
          <w:tab w:val="right" w:pos="9854"/>
        </w:tabs>
        <w:rPr>
          <w:rFonts w:eastAsiaTheme="minorEastAsia"/>
          <w:noProof/>
          <w:color w:val="auto"/>
          <w:lang w:eastAsia="en-AU"/>
        </w:rPr>
      </w:pPr>
      <w:hyperlink w:anchor="_Toc201043448" w:history="1">
        <w:r w:rsidR="00750195" w:rsidRPr="003A3A5A">
          <w:rPr>
            <w:rStyle w:val="Hyperlink"/>
            <w:noProof/>
          </w:rPr>
          <w:t>Introduction of industry self-classification</w:t>
        </w:r>
        <w:r w:rsidR="00750195">
          <w:rPr>
            <w:noProof/>
            <w:webHidden/>
          </w:rPr>
          <w:tab/>
        </w:r>
        <w:r w:rsidR="00750195">
          <w:rPr>
            <w:noProof/>
            <w:webHidden/>
          </w:rPr>
          <w:fldChar w:fldCharType="begin"/>
        </w:r>
        <w:r w:rsidR="00750195">
          <w:rPr>
            <w:noProof/>
            <w:webHidden/>
          </w:rPr>
          <w:instrText xml:space="preserve"> PAGEREF _Toc201043448 \h </w:instrText>
        </w:r>
        <w:r w:rsidR="00750195">
          <w:rPr>
            <w:noProof/>
            <w:webHidden/>
          </w:rPr>
        </w:r>
        <w:r w:rsidR="00750195">
          <w:rPr>
            <w:noProof/>
            <w:webHidden/>
          </w:rPr>
          <w:fldChar w:fldCharType="separate"/>
        </w:r>
        <w:r w:rsidR="00BE29DF">
          <w:rPr>
            <w:noProof/>
            <w:webHidden/>
          </w:rPr>
          <w:t>8</w:t>
        </w:r>
        <w:r w:rsidR="00750195">
          <w:rPr>
            <w:noProof/>
            <w:webHidden/>
          </w:rPr>
          <w:fldChar w:fldCharType="end"/>
        </w:r>
      </w:hyperlink>
    </w:p>
    <w:p w14:paraId="09D87604" w14:textId="7859249E" w:rsidR="00750195" w:rsidRDefault="00CE3202">
      <w:pPr>
        <w:pStyle w:val="TOC2"/>
        <w:tabs>
          <w:tab w:val="right" w:pos="9854"/>
        </w:tabs>
        <w:rPr>
          <w:rFonts w:eastAsiaTheme="minorEastAsia"/>
          <w:noProof/>
          <w:color w:val="auto"/>
          <w:lang w:eastAsia="en-AU"/>
        </w:rPr>
      </w:pPr>
      <w:hyperlink w:anchor="_Toc201043449" w:history="1">
        <w:r w:rsidR="00750195" w:rsidRPr="003A3A5A">
          <w:rPr>
            <w:rStyle w:val="Hyperlink"/>
            <w:noProof/>
          </w:rPr>
          <w:t>Quality assurance of industry decisions</w:t>
        </w:r>
        <w:r w:rsidR="00750195">
          <w:rPr>
            <w:noProof/>
            <w:webHidden/>
          </w:rPr>
          <w:tab/>
        </w:r>
        <w:r w:rsidR="00750195">
          <w:rPr>
            <w:noProof/>
            <w:webHidden/>
          </w:rPr>
          <w:fldChar w:fldCharType="begin"/>
        </w:r>
        <w:r w:rsidR="00750195">
          <w:rPr>
            <w:noProof/>
            <w:webHidden/>
          </w:rPr>
          <w:instrText xml:space="preserve"> PAGEREF _Toc201043449 \h </w:instrText>
        </w:r>
        <w:r w:rsidR="00750195">
          <w:rPr>
            <w:noProof/>
            <w:webHidden/>
          </w:rPr>
        </w:r>
        <w:r w:rsidR="00750195">
          <w:rPr>
            <w:noProof/>
            <w:webHidden/>
          </w:rPr>
          <w:fldChar w:fldCharType="separate"/>
        </w:r>
        <w:r w:rsidR="00BE29DF">
          <w:rPr>
            <w:noProof/>
            <w:webHidden/>
          </w:rPr>
          <w:t>8</w:t>
        </w:r>
        <w:r w:rsidR="00750195">
          <w:rPr>
            <w:noProof/>
            <w:webHidden/>
          </w:rPr>
          <w:fldChar w:fldCharType="end"/>
        </w:r>
      </w:hyperlink>
    </w:p>
    <w:p w14:paraId="50342CF4" w14:textId="12E120D5" w:rsidR="00750195" w:rsidRDefault="00CE3202">
      <w:pPr>
        <w:pStyle w:val="TOC2"/>
        <w:tabs>
          <w:tab w:val="right" w:pos="9854"/>
        </w:tabs>
        <w:rPr>
          <w:rFonts w:eastAsiaTheme="minorEastAsia"/>
          <w:noProof/>
          <w:color w:val="auto"/>
          <w:lang w:eastAsia="en-AU"/>
        </w:rPr>
      </w:pPr>
      <w:hyperlink w:anchor="_Toc201043450" w:history="1">
        <w:r w:rsidR="00750195" w:rsidRPr="003A3A5A">
          <w:rPr>
            <w:rStyle w:val="Hyperlink"/>
            <w:noProof/>
          </w:rPr>
          <w:t>Industry support and advice</w:t>
        </w:r>
        <w:r w:rsidR="00750195">
          <w:rPr>
            <w:noProof/>
            <w:webHidden/>
          </w:rPr>
          <w:tab/>
        </w:r>
        <w:r w:rsidR="00750195">
          <w:rPr>
            <w:noProof/>
            <w:webHidden/>
          </w:rPr>
          <w:fldChar w:fldCharType="begin"/>
        </w:r>
        <w:r w:rsidR="00750195">
          <w:rPr>
            <w:noProof/>
            <w:webHidden/>
          </w:rPr>
          <w:instrText xml:space="preserve"> PAGEREF _Toc201043450 \h </w:instrText>
        </w:r>
        <w:r w:rsidR="00750195">
          <w:rPr>
            <w:noProof/>
            <w:webHidden/>
          </w:rPr>
        </w:r>
        <w:r w:rsidR="00750195">
          <w:rPr>
            <w:noProof/>
            <w:webHidden/>
          </w:rPr>
          <w:fldChar w:fldCharType="separate"/>
        </w:r>
        <w:r w:rsidR="00BE29DF">
          <w:rPr>
            <w:noProof/>
            <w:webHidden/>
          </w:rPr>
          <w:t>8</w:t>
        </w:r>
        <w:r w:rsidR="00750195">
          <w:rPr>
            <w:noProof/>
            <w:webHidden/>
          </w:rPr>
          <w:fldChar w:fldCharType="end"/>
        </w:r>
      </w:hyperlink>
    </w:p>
    <w:p w14:paraId="7CAD5AA3" w14:textId="7FBADA6D" w:rsidR="00750195" w:rsidRDefault="00CE3202">
      <w:pPr>
        <w:pStyle w:val="TOC2"/>
        <w:tabs>
          <w:tab w:val="right" w:pos="9854"/>
        </w:tabs>
        <w:rPr>
          <w:rFonts w:eastAsiaTheme="minorEastAsia"/>
          <w:noProof/>
          <w:color w:val="auto"/>
          <w:lang w:eastAsia="en-AU"/>
        </w:rPr>
      </w:pPr>
      <w:hyperlink w:anchor="_Toc201043451" w:history="1">
        <w:r w:rsidR="00750195" w:rsidRPr="003A3A5A">
          <w:rPr>
            <w:rStyle w:val="Hyperlink"/>
            <w:noProof/>
          </w:rPr>
          <w:t>Transition to digital services</w:t>
        </w:r>
        <w:r w:rsidR="00750195">
          <w:rPr>
            <w:noProof/>
            <w:webHidden/>
          </w:rPr>
          <w:tab/>
        </w:r>
        <w:r w:rsidR="00750195">
          <w:rPr>
            <w:noProof/>
            <w:webHidden/>
          </w:rPr>
          <w:fldChar w:fldCharType="begin"/>
        </w:r>
        <w:r w:rsidR="00750195">
          <w:rPr>
            <w:noProof/>
            <w:webHidden/>
          </w:rPr>
          <w:instrText xml:space="preserve"> PAGEREF _Toc201043451 \h </w:instrText>
        </w:r>
        <w:r w:rsidR="00750195">
          <w:rPr>
            <w:noProof/>
            <w:webHidden/>
          </w:rPr>
        </w:r>
        <w:r w:rsidR="00750195">
          <w:rPr>
            <w:noProof/>
            <w:webHidden/>
          </w:rPr>
          <w:fldChar w:fldCharType="separate"/>
        </w:r>
        <w:r w:rsidR="00BE29DF">
          <w:rPr>
            <w:noProof/>
            <w:webHidden/>
          </w:rPr>
          <w:t>9</w:t>
        </w:r>
        <w:r w:rsidR="00750195">
          <w:rPr>
            <w:noProof/>
            <w:webHidden/>
          </w:rPr>
          <w:fldChar w:fldCharType="end"/>
        </w:r>
      </w:hyperlink>
    </w:p>
    <w:p w14:paraId="217B22CB" w14:textId="33ADE2E9" w:rsidR="00750195" w:rsidRDefault="00CE3202">
      <w:pPr>
        <w:pStyle w:val="TOC1"/>
        <w:rPr>
          <w:rFonts w:eastAsiaTheme="minorEastAsia"/>
          <w:b w:val="0"/>
          <w:noProof/>
          <w:color w:val="auto"/>
          <w:sz w:val="22"/>
          <w:u w:val="none"/>
          <w:lang w:eastAsia="en-AU"/>
        </w:rPr>
      </w:pPr>
      <w:hyperlink w:anchor="_Toc201043452" w:history="1">
        <w:r w:rsidR="00750195" w:rsidRPr="003A3A5A">
          <w:rPr>
            <w:rStyle w:val="Hyperlink"/>
            <w:noProof/>
          </w:rPr>
          <w:t>Objectives for future cost recovery</w:t>
        </w:r>
        <w:r w:rsidR="00750195">
          <w:rPr>
            <w:noProof/>
            <w:webHidden/>
          </w:rPr>
          <w:tab/>
        </w:r>
        <w:r w:rsidR="00750195">
          <w:rPr>
            <w:noProof/>
            <w:webHidden/>
          </w:rPr>
          <w:fldChar w:fldCharType="begin"/>
        </w:r>
        <w:r w:rsidR="00750195">
          <w:rPr>
            <w:noProof/>
            <w:webHidden/>
          </w:rPr>
          <w:instrText xml:space="preserve"> PAGEREF _Toc201043452 \h </w:instrText>
        </w:r>
        <w:r w:rsidR="00750195">
          <w:rPr>
            <w:noProof/>
            <w:webHidden/>
          </w:rPr>
        </w:r>
        <w:r w:rsidR="00750195">
          <w:rPr>
            <w:noProof/>
            <w:webHidden/>
          </w:rPr>
          <w:fldChar w:fldCharType="separate"/>
        </w:r>
        <w:r w:rsidR="00BE29DF">
          <w:rPr>
            <w:noProof/>
            <w:webHidden/>
          </w:rPr>
          <w:t>9</w:t>
        </w:r>
        <w:r w:rsidR="00750195">
          <w:rPr>
            <w:noProof/>
            <w:webHidden/>
          </w:rPr>
          <w:fldChar w:fldCharType="end"/>
        </w:r>
      </w:hyperlink>
    </w:p>
    <w:p w14:paraId="0BF277BA" w14:textId="23093732" w:rsidR="00750195" w:rsidRDefault="00CE3202">
      <w:pPr>
        <w:pStyle w:val="TOC2"/>
        <w:tabs>
          <w:tab w:val="right" w:pos="9854"/>
        </w:tabs>
        <w:rPr>
          <w:rFonts w:eastAsiaTheme="minorEastAsia"/>
          <w:noProof/>
          <w:color w:val="auto"/>
          <w:lang w:eastAsia="en-AU"/>
        </w:rPr>
      </w:pPr>
      <w:hyperlink w:anchor="_Toc201043453" w:history="1">
        <w:r w:rsidR="00750195" w:rsidRPr="003A3A5A">
          <w:rPr>
            <w:rStyle w:val="Hyperlink"/>
            <w:noProof/>
          </w:rPr>
          <w:t>Reflect the true cost of service delivery</w:t>
        </w:r>
        <w:r w:rsidR="00750195">
          <w:rPr>
            <w:noProof/>
            <w:webHidden/>
          </w:rPr>
          <w:tab/>
        </w:r>
        <w:r w:rsidR="00750195">
          <w:rPr>
            <w:noProof/>
            <w:webHidden/>
          </w:rPr>
          <w:fldChar w:fldCharType="begin"/>
        </w:r>
        <w:r w:rsidR="00750195">
          <w:rPr>
            <w:noProof/>
            <w:webHidden/>
          </w:rPr>
          <w:instrText xml:space="preserve"> PAGEREF _Toc201043453 \h </w:instrText>
        </w:r>
        <w:r w:rsidR="00750195">
          <w:rPr>
            <w:noProof/>
            <w:webHidden/>
          </w:rPr>
        </w:r>
        <w:r w:rsidR="00750195">
          <w:rPr>
            <w:noProof/>
            <w:webHidden/>
          </w:rPr>
          <w:fldChar w:fldCharType="separate"/>
        </w:r>
        <w:r w:rsidR="00BE29DF">
          <w:rPr>
            <w:noProof/>
            <w:webHidden/>
          </w:rPr>
          <w:t>9</w:t>
        </w:r>
        <w:r w:rsidR="00750195">
          <w:rPr>
            <w:noProof/>
            <w:webHidden/>
          </w:rPr>
          <w:fldChar w:fldCharType="end"/>
        </w:r>
      </w:hyperlink>
    </w:p>
    <w:p w14:paraId="6FE7D3F6" w14:textId="4D8F1399" w:rsidR="00750195" w:rsidRDefault="00CE3202">
      <w:pPr>
        <w:pStyle w:val="TOC2"/>
        <w:tabs>
          <w:tab w:val="right" w:pos="9854"/>
        </w:tabs>
        <w:rPr>
          <w:rFonts w:eastAsiaTheme="minorEastAsia"/>
          <w:noProof/>
          <w:color w:val="auto"/>
          <w:lang w:eastAsia="en-AU"/>
        </w:rPr>
      </w:pPr>
      <w:hyperlink w:anchor="_Toc201043454" w:history="1">
        <w:r w:rsidR="00750195" w:rsidRPr="003A3A5A">
          <w:rPr>
            <w:rStyle w:val="Hyperlink"/>
            <w:noProof/>
          </w:rPr>
          <w:t>Promote equity and fairness</w:t>
        </w:r>
        <w:r w:rsidR="00750195">
          <w:rPr>
            <w:noProof/>
            <w:webHidden/>
          </w:rPr>
          <w:tab/>
        </w:r>
        <w:r w:rsidR="00750195">
          <w:rPr>
            <w:noProof/>
            <w:webHidden/>
          </w:rPr>
          <w:fldChar w:fldCharType="begin"/>
        </w:r>
        <w:r w:rsidR="00750195">
          <w:rPr>
            <w:noProof/>
            <w:webHidden/>
          </w:rPr>
          <w:instrText xml:space="preserve"> PAGEREF _Toc201043454 \h </w:instrText>
        </w:r>
        <w:r w:rsidR="00750195">
          <w:rPr>
            <w:noProof/>
            <w:webHidden/>
          </w:rPr>
        </w:r>
        <w:r w:rsidR="00750195">
          <w:rPr>
            <w:noProof/>
            <w:webHidden/>
          </w:rPr>
          <w:fldChar w:fldCharType="separate"/>
        </w:r>
        <w:r w:rsidR="00BE29DF">
          <w:rPr>
            <w:noProof/>
            <w:webHidden/>
          </w:rPr>
          <w:t>9</w:t>
        </w:r>
        <w:r w:rsidR="00750195">
          <w:rPr>
            <w:noProof/>
            <w:webHidden/>
          </w:rPr>
          <w:fldChar w:fldCharType="end"/>
        </w:r>
      </w:hyperlink>
    </w:p>
    <w:p w14:paraId="2BBB89D1" w14:textId="7A67D260" w:rsidR="00750195" w:rsidRDefault="00CE3202">
      <w:pPr>
        <w:pStyle w:val="TOC2"/>
        <w:tabs>
          <w:tab w:val="right" w:pos="9854"/>
        </w:tabs>
        <w:rPr>
          <w:rFonts w:eastAsiaTheme="minorEastAsia"/>
          <w:noProof/>
          <w:color w:val="auto"/>
          <w:lang w:eastAsia="en-AU"/>
        </w:rPr>
      </w:pPr>
      <w:hyperlink w:anchor="_Toc201043455" w:history="1">
        <w:r w:rsidR="00750195" w:rsidRPr="003A3A5A">
          <w:rPr>
            <w:rStyle w:val="Hyperlink"/>
            <w:noProof/>
          </w:rPr>
          <w:t>Support transparency and accountability</w:t>
        </w:r>
        <w:r w:rsidR="00750195">
          <w:rPr>
            <w:noProof/>
            <w:webHidden/>
          </w:rPr>
          <w:tab/>
        </w:r>
        <w:r w:rsidR="00750195">
          <w:rPr>
            <w:noProof/>
            <w:webHidden/>
          </w:rPr>
          <w:fldChar w:fldCharType="begin"/>
        </w:r>
        <w:r w:rsidR="00750195">
          <w:rPr>
            <w:noProof/>
            <w:webHidden/>
          </w:rPr>
          <w:instrText xml:space="preserve"> PAGEREF _Toc201043455 \h </w:instrText>
        </w:r>
        <w:r w:rsidR="00750195">
          <w:rPr>
            <w:noProof/>
            <w:webHidden/>
          </w:rPr>
        </w:r>
        <w:r w:rsidR="00750195">
          <w:rPr>
            <w:noProof/>
            <w:webHidden/>
          </w:rPr>
          <w:fldChar w:fldCharType="separate"/>
        </w:r>
        <w:r w:rsidR="00BE29DF">
          <w:rPr>
            <w:noProof/>
            <w:webHidden/>
          </w:rPr>
          <w:t>9</w:t>
        </w:r>
        <w:r w:rsidR="00750195">
          <w:rPr>
            <w:noProof/>
            <w:webHidden/>
          </w:rPr>
          <w:fldChar w:fldCharType="end"/>
        </w:r>
      </w:hyperlink>
    </w:p>
    <w:p w14:paraId="54A2DDBB" w14:textId="7592FACE" w:rsidR="00750195" w:rsidRDefault="00CE3202">
      <w:pPr>
        <w:pStyle w:val="TOC2"/>
        <w:tabs>
          <w:tab w:val="right" w:pos="9854"/>
        </w:tabs>
        <w:rPr>
          <w:rFonts w:eastAsiaTheme="minorEastAsia"/>
          <w:noProof/>
          <w:color w:val="auto"/>
          <w:lang w:eastAsia="en-AU"/>
        </w:rPr>
      </w:pPr>
      <w:hyperlink w:anchor="_Toc201043456" w:history="1">
        <w:r w:rsidR="00750195" w:rsidRPr="003A3A5A">
          <w:rPr>
            <w:rStyle w:val="Hyperlink"/>
            <w:noProof/>
          </w:rPr>
          <w:t>Support efficiency</w:t>
        </w:r>
        <w:r w:rsidR="00750195">
          <w:rPr>
            <w:noProof/>
            <w:webHidden/>
          </w:rPr>
          <w:tab/>
        </w:r>
        <w:r w:rsidR="00750195">
          <w:rPr>
            <w:noProof/>
            <w:webHidden/>
          </w:rPr>
          <w:fldChar w:fldCharType="begin"/>
        </w:r>
        <w:r w:rsidR="00750195">
          <w:rPr>
            <w:noProof/>
            <w:webHidden/>
          </w:rPr>
          <w:instrText xml:space="preserve"> PAGEREF _Toc201043456 \h </w:instrText>
        </w:r>
        <w:r w:rsidR="00750195">
          <w:rPr>
            <w:noProof/>
            <w:webHidden/>
          </w:rPr>
        </w:r>
        <w:r w:rsidR="00750195">
          <w:rPr>
            <w:noProof/>
            <w:webHidden/>
          </w:rPr>
          <w:fldChar w:fldCharType="separate"/>
        </w:r>
        <w:r w:rsidR="00BE29DF">
          <w:rPr>
            <w:noProof/>
            <w:webHidden/>
          </w:rPr>
          <w:t>10</w:t>
        </w:r>
        <w:r w:rsidR="00750195">
          <w:rPr>
            <w:noProof/>
            <w:webHidden/>
          </w:rPr>
          <w:fldChar w:fldCharType="end"/>
        </w:r>
      </w:hyperlink>
    </w:p>
    <w:p w14:paraId="072141BA" w14:textId="52BDC4A9" w:rsidR="00750195" w:rsidRDefault="00CE3202">
      <w:pPr>
        <w:pStyle w:val="TOC2"/>
        <w:tabs>
          <w:tab w:val="right" w:pos="9854"/>
        </w:tabs>
        <w:rPr>
          <w:rFonts w:eastAsiaTheme="minorEastAsia"/>
          <w:noProof/>
          <w:color w:val="auto"/>
          <w:lang w:eastAsia="en-AU"/>
        </w:rPr>
      </w:pPr>
      <w:hyperlink w:anchor="_Toc201043457" w:history="1">
        <w:r w:rsidR="00750195" w:rsidRPr="003A3A5A">
          <w:rPr>
            <w:rStyle w:val="Hyperlink"/>
            <w:noProof/>
          </w:rPr>
          <w:t>Align with government policy and reforms objectives</w:t>
        </w:r>
        <w:r w:rsidR="00750195">
          <w:rPr>
            <w:noProof/>
            <w:webHidden/>
          </w:rPr>
          <w:tab/>
        </w:r>
        <w:r w:rsidR="00750195">
          <w:rPr>
            <w:noProof/>
            <w:webHidden/>
          </w:rPr>
          <w:fldChar w:fldCharType="begin"/>
        </w:r>
        <w:r w:rsidR="00750195">
          <w:rPr>
            <w:noProof/>
            <w:webHidden/>
          </w:rPr>
          <w:instrText xml:space="preserve"> PAGEREF _Toc201043457 \h </w:instrText>
        </w:r>
        <w:r w:rsidR="00750195">
          <w:rPr>
            <w:noProof/>
            <w:webHidden/>
          </w:rPr>
        </w:r>
        <w:r w:rsidR="00750195">
          <w:rPr>
            <w:noProof/>
            <w:webHidden/>
          </w:rPr>
          <w:fldChar w:fldCharType="separate"/>
        </w:r>
        <w:r w:rsidR="00BE29DF">
          <w:rPr>
            <w:noProof/>
            <w:webHidden/>
          </w:rPr>
          <w:t>10</w:t>
        </w:r>
        <w:r w:rsidR="00750195">
          <w:rPr>
            <w:noProof/>
            <w:webHidden/>
          </w:rPr>
          <w:fldChar w:fldCharType="end"/>
        </w:r>
      </w:hyperlink>
    </w:p>
    <w:p w14:paraId="21E33A8A" w14:textId="6F242EAA" w:rsidR="00750195" w:rsidRDefault="00CE3202">
      <w:pPr>
        <w:pStyle w:val="TOC1"/>
        <w:rPr>
          <w:rFonts w:eastAsiaTheme="minorEastAsia"/>
          <w:b w:val="0"/>
          <w:noProof/>
          <w:color w:val="auto"/>
          <w:sz w:val="22"/>
          <w:u w:val="none"/>
          <w:lang w:eastAsia="en-AU"/>
        </w:rPr>
      </w:pPr>
      <w:hyperlink w:anchor="_Toc201043458" w:history="1">
        <w:r w:rsidR="00750195" w:rsidRPr="003A3A5A">
          <w:rPr>
            <w:rStyle w:val="Hyperlink"/>
            <w:noProof/>
          </w:rPr>
          <w:t>Cost recovery outlook</w:t>
        </w:r>
        <w:r w:rsidR="00750195">
          <w:rPr>
            <w:noProof/>
            <w:webHidden/>
          </w:rPr>
          <w:tab/>
        </w:r>
        <w:r w:rsidR="00750195">
          <w:rPr>
            <w:noProof/>
            <w:webHidden/>
          </w:rPr>
          <w:fldChar w:fldCharType="begin"/>
        </w:r>
        <w:r w:rsidR="00750195">
          <w:rPr>
            <w:noProof/>
            <w:webHidden/>
          </w:rPr>
          <w:instrText xml:space="preserve"> PAGEREF _Toc201043458 \h </w:instrText>
        </w:r>
        <w:r w:rsidR="00750195">
          <w:rPr>
            <w:noProof/>
            <w:webHidden/>
          </w:rPr>
        </w:r>
        <w:r w:rsidR="00750195">
          <w:rPr>
            <w:noProof/>
            <w:webHidden/>
          </w:rPr>
          <w:fldChar w:fldCharType="separate"/>
        </w:r>
        <w:r w:rsidR="00BE29DF">
          <w:rPr>
            <w:noProof/>
            <w:webHidden/>
          </w:rPr>
          <w:t>11</w:t>
        </w:r>
        <w:r w:rsidR="00750195">
          <w:rPr>
            <w:noProof/>
            <w:webHidden/>
          </w:rPr>
          <w:fldChar w:fldCharType="end"/>
        </w:r>
      </w:hyperlink>
    </w:p>
    <w:p w14:paraId="25497BED" w14:textId="786EAE52" w:rsidR="00750195" w:rsidRDefault="00CE3202">
      <w:pPr>
        <w:pStyle w:val="TOC2"/>
        <w:tabs>
          <w:tab w:val="right" w:pos="9854"/>
        </w:tabs>
        <w:rPr>
          <w:rFonts w:eastAsiaTheme="minorEastAsia"/>
          <w:noProof/>
          <w:color w:val="auto"/>
          <w:lang w:eastAsia="en-AU"/>
        </w:rPr>
      </w:pPr>
      <w:hyperlink w:anchor="_Toc201043459" w:history="1">
        <w:r w:rsidR="00750195" w:rsidRPr="003A3A5A">
          <w:rPr>
            <w:rStyle w:val="Hyperlink"/>
            <w:noProof/>
          </w:rPr>
          <w:t>PCR and activities subject to cost recovery</w:t>
        </w:r>
        <w:r w:rsidR="00750195">
          <w:rPr>
            <w:noProof/>
            <w:webHidden/>
          </w:rPr>
          <w:tab/>
        </w:r>
        <w:r w:rsidR="00750195">
          <w:rPr>
            <w:noProof/>
            <w:webHidden/>
          </w:rPr>
          <w:fldChar w:fldCharType="begin"/>
        </w:r>
        <w:r w:rsidR="00750195">
          <w:rPr>
            <w:noProof/>
            <w:webHidden/>
          </w:rPr>
          <w:instrText xml:space="preserve"> PAGEREF _Toc201043459 \h </w:instrText>
        </w:r>
        <w:r w:rsidR="00750195">
          <w:rPr>
            <w:noProof/>
            <w:webHidden/>
          </w:rPr>
        </w:r>
        <w:r w:rsidR="00750195">
          <w:rPr>
            <w:noProof/>
            <w:webHidden/>
          </w:rPr>
          <w:fldChar w:fldCharType="separate"/>
        </w:r>
        <w:r w:rsidR="00BE29DF">
          <w:rPr>
            <w:noProof/>
            <w:webHidden/>
          </w:rPr>
          <w:t>11</w:t>
        </w:r>
        <w:r w:rsidR="00750195">
          <w:rPr>
            <w:noProof/>
            <w:webHidden/>
          </w:rPr>
          <w:fldChar w:fldCharType="end"/>
        </w:r>
      </w:hyperlink>
    </w:p>
    <w:p w14:paraId="0F240AFE" w14:textId="4CB1984B" w:rsidR="00750195" w:rsidRDefault="00CE3202">
      <w:pPr>
        <w:pStyle w:val="TOC2"/>
        <w:tabs>
          <w:tab w:val="right" w:pos="9854"/>
        </w:tabs>
        <w:rPr>
          <w:rFonts w:eastAsiaTheme="minorEastAsia"/>
          <w:noProof/>
          <w:color w:val="auto"/>
          <w:lang w:eastAsia="en-AU"/>
        </w:rPr>
      </w:pPr>
      <w:hyperlink w:anchor="_Toc201043460" w:history="1">
        <w:r w:rsidR="00750195" w:rsidRPr="003A3A5A">
          <w:rPr>
            <w:rStyle w:val="Hyperlink"/>
            <w:noProof/>
          </w:rPr>
          <w:t>Future fees and revenue</w:t>
        </w:r>
        <w:r w:rsidR="00750195">
          <w:rPr>
            <w:noProof/>
            <w:webHidden/>
          </w:rPr>
          <w:tab/>
        </w:r>
        <w:r w:rsidR="00750195">
          <w:rPr>
            <w:noProof/>
            <w:webHidden/>
          </w:rPr>
          <w:fldChar w:fldCharType="begin"/>
        </w:r>
        <w:r w:rsidR="00750195">
          <w:rPr>
            <w:noProof/>
            <w:webHidden/>
          </w:rPr>
          <w:instrText xml:space="preserve"> PAGEREF _Toc201043460 \h </w:instrText>
        </w:r>
        <w:r w:rsidR="00750195">
          <w:rPr>
            <w:noProof/>
            <w:webHidden/>
          </w:rPr>
        </w:r>
        <w:r w:rsidR="00750195">
          <w:rPr>
            <w:noProof/>
            <w:webHidden/>
          </w:rPr>
          <w:fldChar w:fldCharType="separate"/>
        </w:r>
        <w:r w:rsidR="00BE29DF">
          <w:rPr>
            <w:noProof/>
            <w:webHidden/>
          </w:rPr>
          <w:t>12</w:t>
        </w:r>
        <w:r w:rsidR="00750195">
          <w:rPr>
            <w:noProof/>
            <w:webHidden/>
          </w:rPr>
          <w:fldChar w:fldCharType="end"/>
        </w:r>
      </w:hyperlink>
    </w:p>
    <w:p w14:paraId="74C66838" w14:textId="4142036B" w:rsidR="00750195" w:rsidRDefault="00CE3202">
      <w:pPr>
        <w:pStyle w:val="TOC1"/>
        <w:rPr>
          <w:rFonts w:eastAsiaTheme="minorEastAsia"/>
          <w:b w:val="0"/>
          <w:noProof/>
          <w:color w:val="auto"/>
          <w:sz w:val="22"/>
          <w:u w:val="none"/>
          <w:lang w:eastAsia="en-AU"/>
        </w:rPr>
      </w:pPr>
      <w:hyperlink w:anchor="_Toc201043461" w:history="1">
        <w:r w:rsidR="00750195" w:rsidRPr="003A3A5A">
          <w:rPr>
            <w:rStyle w:val="Hyperlink"/>
            <w:noProof/>
          </w:rPr>
          <w:t>Your feedback</w:t>
        </w:r>
        <w:r w:rsidR="00750195">
          <w:rPr>
            <w:noProof/>
            <w:webHidden/>
          </w:rPr>
          <w:tab/>
        </w:r>
        <w:r w:rsidR="00750195">
          <w:rPr>
            <w:noProof/>
            <w:webHidden/>
          </w:rPr>
          <w:fldChar w:fldCharType="begin"/>
        </w:r>
        <w:r w:rsidR="00750195">
          <w:rPr>
            <w:noProof/>
            <w:webHidden/>
          </w:rPr>
          <w:instrText xml:space="preserve"> PAGEREF _Toc201043461 \h </w:instrText>
        </w:r>
        <w:r w:rsidR="00750195">
          <w:rPr>
            <w:noProof/>
            <w:webHidden/>
          </w:rPr>
        </w:r>
        <w:r w:rsidR="00750195">
          <w:rPr>
            <w:noProof/>
            <w:webHidden/>
          </w:rPr>
          <w:fldChar w:fldCharType="separate"/>
        </w:r>
        <w:r w:rsidR="00BE29DF">
          <w:rPr>
            <w:noProof/>
            <w:webHidden/>
          </w:rPr>
          <w:t>12</w:t>
        </w:r>
        <w:r w:rsidR="00750195">
          <w:rPr>
            <w:noProof/>
            <w:webHidden/>
          </w:rPr>
          <w:fldChar w:fldCharType="end"/>
        </w:r>
      </w:hyperlink>
    </w:p>
    <w:p w14:paraId="7A992427" w14:textId="71BC89A0" w:rsidR="00750195" w:rsidRDefault="00CE3202">
      <w:pPr>
        <w:pStyle w:val="TOC2"/>
        <w:tabs>
          <w:tab w:val="right" w:pos="9854"/>
        </w:tabs>
        <w:rPr>
          <w:rFonts w:eastAsiaTheme="minorEastAsia"/>
          <w:noProof/>
          <w:color w:val="auto"/>
          <w:lang w:eastAsia="en-AU"/>
        </w:rPr>
      </w:pPr>
      <w:hyperlink w:anchor="_Toc201043462" w:history="1">
        <w:r w:rsidR="00750195" w:rsidRPr="003A3A5A">
          <w:rPr>
            <w:rStyle w:val="Hyperlink"/>
            <w:noProof/>
          </w:rPr>
          <w:t>Stakeholder engagement objectives</w:t>
        </w:r>
        <w:r w:rsidR="00750195">
          <w:rPr>
            <w:noProof/>
            <w:webHidden/>
          </w:rPr>
          <w:tab/>
        </w:r>
        <w:r w:rsidR="00750195">
          <w:rPr>
            <w:noProof/>
            <w:webHidden/>
          </w:rPr>
          <w:fldChar w:fldCharType="begin"/>
        </w:r>
        <w:r w:rsidR="00750195">
          <w:rPr>
            <w:noProof/>
            <w:webHidden/>
          </w:rPr>
          <w:instrText xml:space="preserve"> PAGEREF _Toc201043462 \h </w:instrText>
        </w:r>
        <w:r w:rsidR="00750195">
          <w:rPr>
            <w:noProof/>
            <w:webHidden/>
          </w:rPr>
        </w:r>
        <w:r w:rsidR="00750195">
          <w:rPr>
            <w:noProof/>
            <w:webHidden/>
          </w:rPr>
          <w:fldChar w:fldCharType="separate"/>
        </w:r>
        <w:r w:rsidR="00BE29DF">
          <w:rPr>
            <w:noProof/>
            <w:webHidden/>
          </w:rPr>
          <w:t>12</w:t>
        </w:r>
        <w:r w:rsidR="00750195">
          <w:rPr>
            <w:noProof/>
            <w:webHidden/>
          </w:rPr>
          <w:fldChar w:fldCharType="end"/>
        </w:r>
      </w:hyperlink>
    </w:p>
    <w:p w14:paraId="600CD717" w14:textId="297D6F17" w:rsidR="00750195" w:rsidRDefault="00CE3202">
      <w:pPr>
        <w:pStyle w:val="TOC2"/>
        <w:tabs>
          <w:tab w:val="right" w:pos="9854"/>
        </w:tabs>
        <w:rPr>
          <w:rFonts w:eastAsiaTheme="minorEastAsia"/>
          <w:noProof/>
          <w:color w:val="auto"/>
          <w:lang w:eastAsia="en-AU"/>
        </w:rPr>
      </w:pPr>
      <w:hyperlink w:anchor="_Toc201043463" w:history="1">
        <w:r w:rsidR="00750195" w:rsidRPr="003A3A5A">
          <w:rPr>
            <w:rStyle w:val="Hyperlink"/>
            <w:noProof/>
          </w:rPr>
          <w:t>Questions for stakeholder feedback</w:t>
        </w:r>
        <w:r w:rsidR="00750195">
          <w:rPr>
            <w:noProof/>
            <w:webHidden/>
          </w:rPr>
          <w:tab/>
        </w:r>
        <w:r w:rsidR="00750195">
          <w:rPr>
            <w:noProof/>
            <w:webHidden/>
          </w:rPr>
          <w:fldChar w:fldCharType="begin"/>
        </w:r>
        <w:r w:rsidR="00750195">
          <w:rPr>
            <w:noProof/>
            <w:webHidden/>
          </w:rPr>
          <w:instrText xml:space="preserve"> PAGEREF _Toc201043463 \h </w:instrText>
        </w:r>
        <w:r w:rsidR="00750195">
          <w:rPr>
            <w:noProof/>
            <w:webHidden/>
          </w:rPr>
        </w:r>
        <w:r w:rsidR="00750195">
          <w:rPr>
            <w:noProof/>
            <w:webHidden/>
          </w:rPr>
          <w:fldChar w:fldCharType="separate"/>
        </w:r>
        <w:r w:rsidR="00BE29DF">
          <w:rPr>
            <w:noProof/>
            <w:webHidden/>
          </w:rPr>
          <w:t>13</w:t>
        </w:r>
        <w:r w:rsidR="00750195">
          <w:rPr>
            <w:noProof/>
            <w:webHidden/>
          </w:rPr>
          <w:fldChar w:fldCharType="end"/>
        </w:r>
      </w:hyperlink>
    </w:p>
    <w:p w14:paraId="67A46EFC" w14:textId="57A65624" w:rsidR="00750195" w:rsidRDefault="00CE3202">
      <w:pPr>
        <w:pStyle w:val="TOC2"/>
        <w:tabs>
          <w:tab w:val="right" w:pos="9854"/>
        </w:tabs>
        <w:rPr>
          <w:rFonts w:eastAsiaTheme="minorEastAsia"/>
          <w:noProof/>
          <w:color w:val="auto"/>
          <w:lang w:eastAsia="en-AU"/>
        </w:rPr>
      </w:pPr>
      <w:hyperlink w:anchor="_Toc201043464" w:history="1">
        <w:r w:rsidR="00750195" w:rsidRPr="003A3A5A">
          <w:rPr>
            <w:rStyle w:val="Hyperlink"/>
            <w:noProof/>
          </w:rPr>
          <w:t>How to provide feedback</w:t>
        </w:r>
        <w:r w:rsidR="00750195">
          <w:rPr>
            <w:noProof/>
            <w:webHidden/>
          </w:rPr>
          <w:tab/>
        </w:r>
        <w:r w:rsidR="00750195">
          <w:rPr>
            <w:noProof/>
            <w:webHidden/>
          </w:rPr>
          <w:fldChar w:fldCharType="begin"/>
        </w:r>
        <w:r w:rsidR="00750195">
          <w:rPr>
            <w:noProof/>
            <w:webHidden/>
          </w:rPr>
          <w:instrText xml:space="preserve"> PAGEREF _Toc201043464 \h </w:instrText>
        </w:r>
        <w:r w:rsidR="00750195">
          <w:rPr>
            <w:noProof/>
            <w:webHidden/>
          </w:rPr>
        </w:r>
        <w:r w:rsidR="00750195">
          <w:rPr>
            <w:noProof/>
            <w:webHidden/>
          </w:rPr>
          <w:fldChar w:fldCharType="separate"/>
        </w:r>
        <w:r w:rsidR="00BE29DF">
          <w:rPr>
            <w:noProof/>
            <w:webHidden/>
          </w:rPr>
          <w:t>13</w:t>
        </w:r>
        <w:r w:rsidR="00750195">
          <w:rPr>
            <w:noProof/>
            <w:webHidden/>
          </w:rPr>
          <w:fldChar w:fldCharType="end"/>
        </w:r>
      </w:hyperlink>
    </w:p>
    <w:p w14:paraId="430421EF" w14:textId="4F626098" w:rsidR="00DE4FE2" w:rsidRDefault="00A95970">
      <w:r>
        <w:fldChar w:fldCharType="end"/>
      </w:r>
    </w:p>
    <w:p w14:paraId="7ECBEA40" w14:textId="77777777" w:rsidR="005912BE" w:rsidRPr="00C3007A" w:rsidRDefault="005912BE" w:rsidP="00C3007A">
      <w:pPr>
        <w:tabs>
          <w:tab w:val="center" w:pos="4932"/>
        </w:tabs>
        <w:sectPr w:rsidR="005912BE" w:rsidRPr="00C3007A" w:rsidSect="00BA24FB">
          <w:headerReference w:type="default" r:id="rId27"/>
          <w:footerReference w:type="default" r:id="rId28"/>
          <w:pgSz w:w="11906" w:h="16838" w:code="9"/>
          <w:pgMar w:top="1021" w:right="1021" w:bottom="1021" w:left="1021" w:header="340" w:footer="397" w:gutter="0"/>
          <w:cols w:space="708"/>
          <w:docGrid w:linePitch="360"/>
        </w:sectPr>
      </w:pPr>
    </w:p>
    <w:p w14:paraId="6FE69208" w14:textId="77777777" w:rsidR="004317C8" w:rsidRDefault="004317C8">
      <w:pPr>
        <w:suppressAutoHyphens w:val="0"/>
        <w:rPr>
          <w:rFonts w:asciiTheme="majorHAnsi" w:eastAsiaTheme="majorEastAsia" w:hAnsiTheme="majorHAnsi" w:cstheme="majorBidi"/>
          <w:color w:val="081E3E" w:themeColor="text2"/>
          <w:sz w:val="44"/>
          <w:szCs w:val="32"/>
        </w:rPr>
      </w:pPr>
      <w:r>
        <w:br w:type="page"/>
      </w:r>
    </w:p>
    <w:p w14:paraId="7B7D359D" w14:textId="1F47E6BB" w:rsidR="005F794B" w:rsidRPr="000B2CF8" w:rsidRDefault="00EA19AF" w:rsidP="00DE4362">
      <w:pPr>
        <w:pStyle w:val="Heading1"/>
        <w:spacing w:before="0"/>
        <w:rPr>
          <w:u w:val="single"/>
        </w:rPr>
      </w:pPr>
      <w:bookmarkStart w:id="1" w:name="_Toc201043438"/>
      <w:r>
        <w:rPr>
          <w:u w:val="single"/>
        </w:rPr>
        <w:lastRenderedPageBreak/>
        <w:t>Introduction</w:t>
      </w:r>
      <w:bookmarkEnd w:id="1"/>
    </w:p>
    <w:p w14:paraId="0D7EB9DB" w14:textId="2D208A1E" w:rsidR="005F794B" w:rsidRPr="00AE3BF1" w:rsidRDefault="00AE3BF1" w:rsidP="005F794B">
      <w:pPr>
        <w:pStyle w:val="Introduction"/>
        <w:rPr>
          <w:lang w:val="en-US"/>
        </w:rPr>
      </w:pPr>
      <w:r>
        <w:rPr>
          <w:lang w:val="en-US"/>
        </w:rPr>
        <w:t xml:space="preserve">The Department of Infrastructure, Transport, Regional Development, Communications, Sport and the Arts (the department) is seeking feedback from </w:t>
      </w:r>
      <w:r w:rsidR="0067071D">
        <w:rPr>
          <w:lang w:val="en-US"/>
        </w:rPr>
        <w:t>stakeholders</w:t>
      </w:r>
      <w:r>
        <w:rPr>
          <w:lang w:val="en-US"/>
        </w:rPr>
        <w:t xml:space="preserve"> on the 2025 cost recovery </w:t>
      </w:r>
      <w:r w:rsidR="0067071D">
        <w:rPr>
          <w:lang w:val="en-US"/>
        </w:rPr>
        <w:t xml:space="preserve">implementation </w:t>
      </w:r>
      <w:r>
        <w:rPr>
          <w:lang w:val="en-US"/>
        </w:rPr>
        <w:t>statement</w:t>
      </w:r>
      <w:r w:rsidR="008535E4">
        <w:rPr>
          <w:lang w:val="en-US"/>
        </w:rPr>
        <w:t xml:space="preserve"> (CRIS)</w:t>
      </w:r>
      <w:r>
        <w:rPr>
          <w:lang w:val="en-US"/>
        </w:rPr>
        <w:t xml:space="preserve"> for classification services provided </w:t>
      </w:r>
      <w:r w:rsidR="00B36989">
        <w:rPr>
          <w:lang w:val="en-US"/>
        </w:rPr>
        <w:t>under</w:t>
      </w:r>
      <w:r>
        <w:rPr>
          <w:lang w:val="en-US"/>
        </w:rPr>
        <w:t xml:space="preserve"> the National Classification Scheme (the Scheme). </w:t>
      </w:r>
    </w:p>
    <w:p w14:paraId="11A1822A" w14:textId="427DC01E" w:rsidR="00146FC7" w:rsidRDefault="0067071D" w:rsidP="0067071D">
      <w:pPr>
        <w:rPr>
          <w:lang w:val="en-US"/>
        </w:rPr>
      </w:pPr>
      <w:r w:rsidRPr="0067071D">
        <w:rPr>
          <w:lang w:val="en-US"/>
        </w:rPr>
        <w:t>The purpose of this engagement paper is to</w:t>
      </w:r>
      <w:r w:rsidR="002C5948">
        <w:rPr>
          <w:lang w:val="en-US"/>
        </w:rPr>
        <w:t xml:space="preserve"> </w:t>
      </w:r>
      <w:r w:rsidR="00EF6AB6">
        <w:rPr>
          <w:lang w:val="en-US"/>
        </w:rPr>
        <w:t>outline</w:t>
      </w:r>
      <w:r>
        <w:rPr>
          <w:lang w:val="en-US"/>
        </w:rPr>
        <w:t xml:space="preserve"> </w:t>
      </w:r>
      <w:r w:rsidR="00B36989">
        <w:rPr>
          <w:lang w:val="en-US"/>
        </w:rPr>
        <w:t xml:space="preserve">issues that </w:t>
      </w:r>
      <w:r w:rsidR="00146FC7">
        <w:rPr>
          <w:lang w:val="en-US"/>
        </w:rPr>
        <w:t>are relevant in relation to</w:t>
      </w:r>
      <w:r w:rsidR="00B36989">
        <w:rPr>
          <w:lang w:val="en-US"/>
        </w:rPr>
        <w:t xml:space="preserve"> </w:t>
      </w:r>
      <w:r w:rsidRPr="0067071D">
        <w:rPr>
          <w:lang w:val="en-US"/>
        </w:rPr>
        <w:t>cost recovery arrangement</w:t>
      </w:r>
      <w:r w:rsidR="00146FC7">
        <w:rPr>
          <w:lang w:val="en-US"/>
        </w:rPr>
        <w:t>s</w:t>
      </w:r>
      <w:r w:rsidRPr="0067071D">
        <w:rPr>
          <w:lang w:val="en-US"/>
        </w:rPr>
        <w:t xml:space="preserve"> for </w:t>
      </w:r>
      <w:r w:rsidR="00146FC7">
        <w:rPr>
          <w:lang w:val="en-US"/>
        </w:rPr>
        <w:t>classification services</w:t>
      </w:r>
      <w:r w:rsidR="00A64A0A">
        <w:rPr>
          <w:lang w:val="en-US"/>
        </w:rPr>
        <w:t xml:space="preserve"> and invite feedback on the future design of these arrangements</w:t>
      </w:r>
      <w:r>
        <w:rPr>
          <w:lang w:val="en-US"/>
        </w:rPr>
        <w:t>.</w:t>
      </w:r>
      <w:r w:rsidRPr="0067071D">
        <w:rPr>
          <w:lang w:val="en-US"/>
        </w:rPr>
        <w:t xml:space="preserve"> </w:t>
      </w:r>
    </w:p>
    <w:p w14:paraId="65994E12" w14:textId="20348078" w:rsidR="00B36989" w:rsidRDefault="004317C8" w:rsidP="0067071D">
      <w:pPr>
        <w:rPr>
          <w:lang w:val="en-US"/>
        </w:rPr>
      </w:pPr>
      <w:r>
        <w:rPr>
          <w:lang w:val="en-US"/>
        </w:rPr>
        <w:t xml:space="preserve">The current classification fees were </w:t>
      </w:r>
      <w:r w:rsidR="00E115A7">
        <w:rPr>
          <w:lang w:val="en-US"/>
        </w:rPr>
        <w:t>set</w:t>
      </w:r>
      <w:r>
        <w:rPr>
          <w:lang w:val="en-US"/>
        </w:rPr>
        <w:t xml:space="preserve"> in 201</w:t>
      </w:r>
      <w:r w:rsidR="00A64A0A">
        <w:rPr>
          <w:lang w:val="en-US"/>
        </w:rPr>
        <w:t>1</w:t>
      </w:r>
      <w:r w:rsidR="00B36989">
        <w:rPr>
          <w:lang w:val="en-US"/>
        </w:rPr>
        <w:t xml:space="preserve"> and the intervening years have seen</w:t>
      </w:r>
      <w:r w:rsidR="00006F02">
        <w:rPr>
          <w:lang w:val="en-US"/>
        </w:rPr>
        <w:t xml:space="preserve"> </w:t>
      </w:r>
      <w:r w:rsidR="00B36989">
        <w:rPr>
          <w:lang w:val="en-US"/>
        </w:rPr>
        <w:t xml:space="preserve">a </w:t>
      </w:r>
      <w:r w:rsidR="00C40034">
        <w:rPr>
          <w:lang w:val="en-US"/>
        </w:rPr>
        <w:t>rapid growth in digital and online content</w:t>
      </w:r>
      <w:r w:rsidR="00A64A0A">
        <w:rPr>
          <w:lang w:val="en-US"/>
        </w:rPr>
        <w:t xml:space="preserve"> and significant change in the way Australians access content</w:t>
      </w:r>
      <w:r w:rsidR="0064133B">
        <w:rPr>
          <w:lang w:val="en-US"/>
        </w:rPr>
        <w:t xml:space="preserve">. </w:t>
      </w:r>
      <w:r w:rsidR="002C5948">
        <w:rPr>
          <w:lang w:val="en-US"/>
        </w:rPr>
        <w:t>In response, t</w:t>
      </w:r>
      <w:r w:rsidR="0064133B">
        <w:rPr>
          <w:lang w:val="en-US"/>
        </w:rPr>
        <w:t xml:space="preserve">he </w:t>
      </w:r>
      <w:r w:rsidR="009D5EBC">
        <w:rPr>
          <w:lang w:val="en-US"/>
        </w:rPr>
        <w:t>g</w:t>
      </w:r>
      <w:r w:rsidR="0064133B">
        <w:rPr>
          <w:lang w:val="en-US"/>
        </w:rPr>
        <w:t xml:space="preserve">overnment has </w:t>
      </w:r>
      <w:proofErr w:type="spellStart"/>
      <w:r w:rsidR="0064133B">
        <w:rPr>
          <w:lang w:val="en-US"/>
        </w:rPr>
        <w:t>modernised</w:t>
      </w:r>
      <w:proofErr w:type="spellEnd"/>
      <w:r w:rsidR="0064133B">
        <w:rPr>
          <w:lang w:val="en-US"/>
        </w:rPr>
        <w:t xml:space="preserve"> the Scheme by introducing </w:t>
      </w:r>
      <w:r>
        <w:rPr>
          <w:lang w:val="en-US"/>
        </w:rPr>
        <w:t xml:space="preserve">industry self-classification </w:t>
      </w:r>
      <w:r w:rsidR="00146FC7">
        <w:rPr>
          <w:lang w:val="en-US"/>
        </w:rPr>
        <w:t>options</w:t>
      </w:r>
      <w:r w:rsidR="00A64A0A">
        <w:rPr>
          <w:lang w:val="en-US"/>
        </w:rPr>
        <w:t xml:space="preserve"> and t</w:t>
      </w:r>
      <w:r>
        <w:rPr>
          <w:lang w:val="en-US"/>
        </w:rPr>
        <w:t xml:space="preserve">hese reforms have </w:t>
      </w:r>
      <w:r w:rsidR="002C5948">
        <w:rPr>
          <w:lang w:val="en-US"/>
        </w:rPr>
        <w:t>impacted</w:t>
      </w:r>
      <w:r>
        <w:rPr>
          <w:lang w:val="en-US"/>
        </w:rPr>
        <w:t xml:space="preserve"> </w:t>
      </w:r>
      <w:r w:rsidR="002C5948">
        <w:rPr>
          <w:lang w:val="en-US"/>
        </w:rPr>
        <w:t>how classification services are regulated and delivered,</w:t>
      </w:r>
      <w:r>
        <w:rPr>
          <w:lang w:val="en-US"/>
        </w:rPr>
        <w:t xml:space="preserve"> </w:t>
      </w:r>
      <w:r w:rsidR="00146FC7">
        <w:rPr>
          <w:lang w:val="en-US"/>
        </w:rPr>
        <w:t>requiring</w:t>
      </w:r>
      <w:r>
        <w:rPr>
          <w:lang w:val="en-US"/>
        </w:rPr>
        <w:t xml:space="preserve"> the department to </w:t>
      </w:r>
      <w:r w:rsidR="00565EC8">
        <w:rPr>
          <w:lang w:val="en-US"/>
        </w:rPr>
        <w:t xml:space="preserve">consider </w:t>
      </w:r>
      <w:r w:rsidR="00B36989">
        <w:rPr>
          <w:lang w:val="en-US"/>
        </w:rPr>
        <w:t xml:space="preserve">the cost recovery </w:t>
      </w:r>
      <w:r w:rsidR="00565EC8">
        <w:rPr>
          <w:lang w:val="en-US"/>
        </w:rPr>
        <w:t xml:space="preserve">arrangements </w:t>
      </w:r>
      <w:r w:rsidR="00B36989">
        <w:rPr>
          <w:lang w:val="en-US"/>
        </w:rPr>
        <w:t xml:space="preserve">for </w:t>
      </w:r>
      <w:r w:rsidR="002C5948">
        <w:rPr>
          <w:lang w:val="en-US"/>
        </w:rPr>
        <w:t xml:space="preserve">these </w:t>
      </w:r>
      <w:r w:rsidR="00B36989">
        <w:rPr>
          <w:lang w:val="en-US"/>
        </w:rPr>
        <w:t>services</w:t>
      </w:r>
      <w:r>
        <w:rPr>
          <w:lang w:val="en-US"/>
        </w:rPr>
        <w:t xml:space="preserve">. </w:t>
      </w:r>
    </w:p>
    <w:p w14:paraId="44A1510B" w14:textId="2696E4FC" w:rsidR="002C5948" w:rsidRDefault="00A64A0A" w:rsidP="0067071D">
      <w:pPr>
        <w:rPr>
          <w:lang w:val="en-US"/>
        </w:rPr>
      </w:pPr>
      <w:r>
        <w:rPr>
          <w:lang w:val="en-US"/>
        </w:rPr>
        <w:t xml:space="preserve">Your feedback will shape </w:t>
      </w:r>
      <w:r w:rsidR="0001198E">
        <w:rPr>
          <w:lang w:val="en-US"/>
        </w:rPr>
        <w:t>the development of a</w:t>
      </w:r>
      <w:r>
        <w:rPr>
          <w:lang w:val="en-US"/>
        </w:rPr>
        <w:t xml:space="preserve"> CRIS that reflects the needs and expectations of both government and industry. </w:t>
      </w:r>
      <w:r w:rsidR="004317C8">
        <w:rPr>
          <w:lang w:val="en-US"/>
        </w:rPr>
        <w:t xml:space="preserve"> </w:t>
      </w:r>
    </w:p>
    <w:p w14:paraId="69EB42A1" w14:textId="29BC178E" w:rsidR="004317C8" w:rsidRDefault="002C5948" w:rsidP="0067071D">
      <w:pPr>
        <w:rPr>
          <w:lang w:val="en-US"/>
        </w:rPr>
      </w:pPr>
      <w:r>
        <w:rPr>
          <w:lang w:val="en-US"/>
        </w:rPr>
        <w:t>Information gathered during this process will inform f</w:t>
      </w:r>
      <w:r w:rsidR="0064133B">
        <w:rPr>
          <w:lang w:val="en-US"/>
        </w:rPr>
        <w:t xml:space="preserve">uture cost recovery arrangements </w:t>
      </w:r>
      <w:r>
        <w:rPr>
          <w:lang w:val="en-US"/>
        </w:rPr>
        <w:t xml:space="preserve">that </w:t>
      </w:r>
      <w:r w:rsidR="0064133B">
        <w:rPr>
          <w:lang w:val="en-US"/>
        </w:rPr>
        <w:t>will be considered as part of a Portfolio Charging Review</w:t>
      </w:r>
      <w:r w:rsidR="00E115A7">
        <w:rPr>
          <w:lang w:val="en-US"/>
        </w:rPr>
        <w:t xml:space="preserve"> (PCR)</w:t>
      </w:r>
      <w:r w:rsidR="00146FC7">
        <w:rPr>
          <w:lang w:val="en-US"/>
        </w:rPr>
        <w:t xml:space="preserve"> scheduled for 2026</w:t>
      </w:r>
      <w:r w:rsidR="00E14470">
        <w:rPr>
          <w:lang w:val="en-US"/>
        </w:rPr>
        <w:t xml:space="preserve"> </w:t>
      </w:r>
      <w:r w:rsidR="00E14470" w:rsidRPr="005A4B68">
        <w:rPr>
          <w:lang w:val="en-US"/>
        </w:rPr>
        <w:t>and</w:t>
      </w:r>
      <w:r w:rsidR="00E14470">
        <w:rPr>
          <w:lang w:val="en-US"/>
        </w:rPr>
        <w:t xml:space="preserve"> which aligns with the Australian Government Charging Framework</w:t>
      </w:r>
      <w:r w:rsidR="00B47BC5">
        <w:rPr>
          <w:lang w:val="en-US"/>
        </w:rPr>
        <w:t xml:space="preserve"> (AGCF)</w:t>
      </w:r>
      <w:r w:rsidR="004317C8">
        <w:rPr>
          <w:lang w:val="en-US"/>
        </w:rPr>
        <w:t>.</w:t>
      </w:r>
    </w:p>
    <w:p w14:paraId="52091F26" w14:textId="5D2BF53D" w:rsidR="00C40034" w:rsidRPr="000B2CF8" w:rsidRDefault="00C40034" w:rsidP="00E30321">
      <w:pPr>
        <w:pStyle w:val="Heading1"/>
        <w:rPr>
          <w:u w:val="single"/>
          <w:lang w:val="en-US"/>
        </w:rPr>
      </w:pPr>
      <w:bookmarkStart w:id="2" w:name="_Toc201043439"/>
      <w:r w:rsidRPr="000B2CF8">
        <w:rPr>
          <w:u w:val="single"/>
          <w:lang w:val="en-US"/>
        </w:rPr>
        <w:t>Background</w:t>
      </w:r>
      <w:bookmarkEnd w:id="2"/>
    </w:p>
    <w:p w14:paraId="53388898" w14:textId="00F6D581" w:rsidR="00F83E89" w:rsidRDefault="00F83E89" w:rsidP="0067071D">
      <w:pPr>
        <w:pStyle w:val="Heading2"/>
        <w:rPr>
          <w:lang w:val="en-US"/>
        </w:rPr>
      </w:pPr>
      <w:bookmarkStart w:id="3" w:name="_Toc201043440"/>
      <w:r>
        <w:rPr>
          <w:lang w:val="en-US"/>
        </w:rPr>
        <w:t>Cost recovery implementation statement</w:t>
      </w:r>
      <w:bookmarkEnd w:id="3"/>
    </w:p>
    <w:p w14:paraId="3581AF84" w14:textId="11D2F597" w:rsidR="00F83E89" w:rsidRDefault="00F83E89" w:rsidP="00F83E89">
      <w:pPr>
        <w:rPr>
          <w:lang w:val="en-US"/>
        </w:rPr>
      </w:pPr>
      <w:r>
        <w:rPr>
          <w:lang w:val="en-US"/>
        </w:rPr>
        <w:t xml:space="preserve">A CRIS is </w:t>
      </w:r>
      <w:r w:rsidRPr="00F83E89">
        <w:rPr>
          <w:lang w:val="en-US"/>
        </w:rPr>
        <w:t xml:space="preserve">a tool for documenting cost recovery design and operation and reporting on a cost recovered activity. A CRIS must be prepared for each cost recovered activity conducted by a government entity in line with the </w:t>
      </w:r>
      <w:r w:rsidR="004E296E">
        <w:rPr>
          <w:lang w:val="en-US"/>
        </w:rPr>
        <w:t xml:space="preserve">Australian Government </w:t>
      </w:r>
      <w:r w:rsidRPr="00F83E89">
        <w:rPr>
          <w:lang w:val="en-US"/>
        </w:rPr>
        <w:t xml:space="preserve">Cost Recovery Policy </w:t>
      </w:r>
      <w:r w:rsidR="004E296E">
        <w:rPr>
          <w:lang w:val="en-US"/>
        </w:rPr>
        <w:t xml:space="preserve">(AGCRP) </w:t>
      </w:r>
      <w:r w:rsidRPr="00F83E89">
        <w:rPr>
          <w:lang w:val="en-US"/>
        </w:rPr>
        <w:t>minimum requirements for CRIS</w:t>
      </w:r>
      <w:r>
        <w:rPr>
          <w:rStyle w:val="FootnoteReference"/>
          <w:lang w:val="en-US"/>
        </w:rPr>
        <w:footnoteReference w:id="2"/>
      </w:r>
      <w:r w:rsidRPr="00F83E89">
        <w:rPr>
          <w:lang w:val="en-US"/>
        </w:rPr>
        <w:t>.</w:t>
      </w:r>
    </w:p>
    <w:p w14:paraId="22E360DA" w14:textId="77777777" w:rsidR="004E1F8E" w:rsidRDefault="004E1F8E" w:rsidP="00F83E89">
      <w:pPr>
        <w:rPr>
          <w:lang w:val="en-US"/>
        </w:rPr>
      </w:pPr>
      <w:r>
        <w:rPr>
          <w:lang w:val="en-US"/>
        </w:rPr>
        <w:t xml:space="preserve">The current </w:t>
      </w:r>
      <w:r w:rsidRPr="0067071D">
        <w:rPr>
          <w:lang w:val="en-US"/>
        </w:rPr>
        <w:t>CRIS</w:t>
      </w:r>
      <w:r>
        <w:rPr>
          <w:lang w:val="en-US"/>
        </w:rPr>
        <w:t xml:space="preserve"> for classification services</w:t>
      </w:r>
      <w:r>
        <w:rPr>
          <w:rStyle w:val="FootnoteReference"/>
          <w:lang w:val="en-US"/>
        </w:rPr>
        <w:footnoteReference w:id="3"/>
      </w:r>
      <w:r>
        <w:rPr>
          <w:lang w:val="en-US"/>
        </w:rPr>
        <w:t xml:space="preserve">, dated March 2018, provides information about how the then Department of Communications and the Arts, recovered the costs of providing classification services.  </w:t>
      </w:r>
    </w:p>
    <w:p w14:paraId="6E7845FD" w14:textId="256222D2" w:rsidR="00F83E89" w:rsidRDefault="004E1F8E" w:rsidP="00F83E89">
      <w:pPr>
        <w:rPr>
          <w:lang w:val="en-US"/>
        </w:rPr>
      </w:pPr>
      <w:r>
        <w:rPr>
          <w:lang w:val="en-US"/>
        </w:rPr>
        <w:t>The 2018 CRIS:</w:t>
      </w:r>
    </w:p>
    <w:p w14:paraId="40DE9F17" w14:textId="5FEDE3AE" w:rsidR="004E1F8E" w:rsidRDefault="00C816A4" w:rsidP="004E1F8E">
      <w:pPr>
        <w:pStyle w:val="ListParagraph"/>
        <w:numPr>
          <w:ilvl w:val="0"/>
          <w:numId w:val="45"/>
        </w:numPr>
        <w:rPr>
          <w:lang w:val="en-US"/>
        </w:rPr>
      </w:pPr>
      <w:r>
        <w:rPr>
          <w:lang w:val="en-US"/>
        </w:rPr>
        <w:t>i</w:t>
      </w:r>
      <w:r w:rsidR="004E1F8E">
        <w:rPr>
          <w:lang w:val="en-US"/>
        </w:rPr>
        <w:t>dentified that the total annual cost in providing classification services was $5.400million and the annual cost recovery revenue was $4.103million</w:t>
      </w:r>
    </w:p>
    <w:p w14:paraId="7C907DA2" w14:textId="116138BD" w:rsidR="004E1F8E" w:rsidRDefault="00C816A4" w:rsidP="004E1F8E">
      <w:pPr>
        <w:pStyle w:val="ListParagraph"/>
        <w:numPr>
          <w:ilvl w:val="0"/>
          <w:numId w:val="45"/>
        </w:numPr>
        <w:rPr>
          <w:lang w:val="en-US"/>
        </w:rPr>
      </w:pPr>
      <w:r>
        <w:rPr>
          <w:lang w:val="en-US"/>
        </w:rPr>
        <w:t>f</w:t>
      </w:r>
      <w:r w:rsidR="004E1F8E">
        <w:rPr>
          <w:lang w:val="en-US"/>
        </w:rPr>
        <w:t xml:space="preserve">oreshadowed a comprehensive review of the classification function with a view to establishing </w:t>
      </w:r>
      <w:r>
        <w:rPr>
          <w:lang w:val="en-US"/>
        </w:rPr>
        <w:t>alternative</w:t>
      </w:r>
      <w:r w:rsidR="004E1F8E">
        <w:rPr>
          <w:lang w:val="en-US"/>
        </w:rPr>
        <w:t>, more cost</w:t>
      </w:r>
      <w:r w:rsidR="00A32FA3">
        <w:rPr>
          <w:lang w:val="en-US"/>
        </w:rPr>
        <w:t>-</w:t>
      </w:r>
      <w:r w:rsidR="004E1F8E">
        <w:rPr>
          <w:lang w:val="en-US"/>
        </w:rPr>
        <w:t>effective service delivery arrangement</w:t>
      </w:r>
      <w:r w:rsidR="00A32FA3">
        <w:rPr>
          <w:lang w:val="en-US"/>
        </w:rPr>
        <w:t>s</w:t>
      </w:r>
      <w:r w:rsidR="004E1F8E">
        <w:rPr>
          <w:lang w:val="en-US"/>
        </w:rPr>
        <w:t xml:space="preserve"> which will </w:t>
      </w:r>
      <w:proofErr w:type="spellStart"/>
      <w:r w:rsidR="004E1F8E">
        <w:rPr>
          <w:lang w:val="en-US"/>
        </w:rPr>
        <w:t>moderni</w:t>
      </w:r>
      <w:r>
        <w:rPr>
          <w:lang w:val="en-US"/>
        </w:rPr>
        <w:t>s</w:t>
      </w:r>
      <w:r w:rsidR="004E1F8E">
        <w:rPr>
          <w:lang w:val="en-US"/>
        </w:rPr>
        <w:t>e</w:t>
      </w:r>
      <w:proofErr w:type="spellEnd"/>
      <w:r w:rsidR="004E1F8E">
        <w:rPr>
          <w:lang w:val="en-US"/>
        </w:rPr>
        <w:t xml:space="preserve"> the Scheme</w:t>
      </w:r>
      <w:r>
        <w:rPr>
          <w:lang w:val="en-US"/>
        </w:rPr>
        <w:t xml:space="preserve"> and that an outcome of this review will be the development of an appropriate charging framework and a new CRIS.</w:t>
      </w:r>
    </w:p>
    <w:p w14:paraId="0C5EDA97" w14:textId="3D393355" w:rsidR="00C816A4" w:rsidRDefault="00C816A4" w:rsidP="00C816A4">
      <w:pPr>
        <w:pStyle w:val="ListParagraph"/>
        <w:rPr>
          <w:lang w:val="en-US"/>
        </w:rPr>
      </w:pPr>
    </w:p>
    <w:p w14:paraId="567315C6" w14:textId="41F0E386" w:rsidR="00C816A4" w:rsidRPr="00C816A4" w:rsidRDefault="00C816A4" w:rsidP="00C816A4">
      <w:pPr>
        <w:rPr>
          <w:lang w:val="en-US"/>
        </w:rPr>
      </w:pPr>
      <w:r>
        <w:rPr>
          <w:lang w:val="en-US"/>
        </w:rPr>
        <w:t xml:space="preserve">As part of a Machinery of Government change in </w:t>
      </w:r>
      <w:r w:rsidR="00B4020B">
        <w:rPr>
          <w:lang w:val="en-US"/>
        </w:rPr>
        <w:t>February 2020</w:t>
      </w:r>
      <w:r>
        <w:rPr>
          <w:lang w:val="en-US"/>
        </w:rPr>
        <w:t xml:space="preserve">, the classification function was moved into the then Department of Infrastructure, </w:t>
      </w:r>
      <w:r w:rsidR="00B4020B">
        <w:rPr>
          <w:lang w:val="en-US"/>
        </w:rPr>
        <w:t>Transport, Regional Development and Communications</w:t>
      </w:r>
      <w:r>
        <w:rPr>
          <w:lang w:val="en-US"/>
        </w:rPr>
        <w:t xml:space="preserve">. </w:t>
      </w:r>
    </w:p>
    <w:p w14:paraId="10311CDC" w14:textId="3B840820" w:rsidR="0067071D" w:rsidRDefault="0067071D" w:rsidP="0067071D">
      <w:pPr>
        <w:pStyle w:val="Heading2"/>
        <w:rPr>
          <w:lang w:val="en-US"/>
        </w:rPr>
      </w:pPr>
      <w:bookmarkStart w:id="4" w:name="_Toc201043441"/>
      <w:r>
        <w:rPr>
          <w:lang w:val="en-US"/>
        </w:rPr>
        <w:lastRenderedPageBreak/>
        <w:t>National Classification Scheme</w:t>
      </w:r>
      <w:bookmarkEnd w:id="4"/>
    </w:p>
    <w:p w14:paraId="29ADB871" w14:textId="531C6F71" w:rsidR="0064133B" w:rsidRDefault="0064133B" w:rsidP="008E3D8C">
      <w:r>
        <w:rPr>
          <w:lang w:val="en-US"/>
        </w:rPr>
        <w:t>Established in 1995, the</w:t>
      </w:r>
      <w:r w:rsidRPr="0064133B">
        <w:rPr>
          <w:lang w:val="en-US"/>
        </w:rPr>
        <w:t xml:space="preserve"> </w:t>
      </w:r>
      <w:r>
        <w:rPr>
          <w:lang w:val="en-US"/>
        </w:rPr>
        <w:t>Scheme</w:t>
      </w:r>
      <w:r w:rsidRPr="0064133B">
        <w:rPr>
          <w:lang w:val="en-US"/>
        </w:rPr>
        <w:t xml:space="preserve"> is an </w:t>
      </w:r>
      <w:r>
        <w:rPr>
          <w:lang w:val="en-US"/>
        </w:rPr>
        <w:t xml:space="preserve">intergovernmental </w:t>
      </w:r>
      <w:r w:rsidRPr="0064133B">
        <w:rPr>
          <w:lang w:val="en-US"/>
        </w:rPr>
        <w:t xml:space="preserve">agreement between the </w:t>
      </w:r>
      <w:r>
        <w:rPr>
          <w:lang w:val="en-US"/>
        </w:rPr>
        <w:t xml:space="preserve">Commonwealth, and </w:t>
      </w:r>
      <w:r w:rsidRPr="0064133B">
        <w:rPr>
          <w:lang w:val="en-US"/>
        </w:rPr>
        <w:t>state and territory governments</w:t>
      </w:r>
      <w:r>
        <w:rPr>
          <w:lang w:val="en-US"/>
        </w:rPr>
        <w:t xml:space="preserve"> to </w:t>
      </w:r>
      <w:r w:rsidR="00340AB8">
        <w:rPr>
          <w:lang w:val="en-US"/>
        </w:rPr>
        <w:t>regulate</w:t>
      </w:r>
      <w:r w:rsidR="00FB61DA">
        <w:rPr>
          <w:lang w:val="en-US"/>
        </w:rPr>
        <w:t xml:space="preserve"> the </w:t>
      </w:r>
      <w:r>
        <w:rPr>
          <w:lang w:val="en-US"/>
        </w:rPr>
        <w:t>classif</w:t>
      </w:r>
      <w:r w:rsidR="00FB61DA">
        <w:rPr>
          <w:lang w:val="en-US"/>
        </w:rPr>
        <w:t>ication of</w:t>
      </w:r>
      <w:r>
        <w:rPr>
          <w:lang w:val="en-US"/>
        </w:rPr>
        <w:t xml:space="preserve"> films, computer games and </w:t>
      </w:r>
      <w:r w:rsidR="008535E4">
        <w:rPr>
          <w:lang w:val="en-US"/>
        </w:rPr>
        <w:t xml:space="preserve">some </w:t>
      </w:r>
      <w:r>
        <w:rPr>
          <w:lang w:val="en-US"/>
        </w:rPr>
        <w:t>publications</w:t>
      </w:r>
      <w:r w:rsidRPr="0064133B">
        <w:rPr>
          <w:lang w:val="en-US"/>
        </w:rPr>
        <w:t>.</w:t>
      </w:r>
      <w:r w:rsidR="00DD6561">
        <w:rPr>
          <w:lang w:val="en-US"/>
        </w:rPr>
        <w:t xml:space="preserve"> With limited exceptions, films, computer games and </w:t>
      </w:r>
      <w:proofErr w:type="spellStart"/>
      <w:r w:rsidR="00DD6561">
        <w:rPr>
          <w:lang w:val="en-US"/>
        </w:rPr>
        <w:t>submittable</w:t>
      </w:r>
      <w:proofErr w:type="spellEnd"/>
      <w:r w:rsidR="00DD6561">
        <w:rPr>
          <w:lang w:val="en-US"/>
        </w:rPr>
        <w:t xml:space="preserve"> publications must be classified prior to being distributed in Australia. </w:t>
      </w:r>
      <w:r>
        <w:rPr>
          <w:lang w:val="en-US"/>
        </w:rPr>
        <w:t xml:space="preserve"> </w:t>
      </w:r>
    </w:p>
    <w:p w14:paraId="0336E30B" w14:textId="4D2089B9" w:rsidR="00266FF6" w:rsidRDefault="0064133B" w:rsidP="0064133B">
      <w:pPr>
        <w:rPr>
          <w:lang w:val="en-US"/>
        </w:rPr>
      </w:pPr>
      <w:r>
        <w:rPr>
          <w:lang w:val="en-US"/>
        </w:rPr>
        <w:t xml:space="preserve">As part of the Scheme, the </w:t>
      </w:r>
      <w:r w:rsidRPr="0064133B">
        <w:rPr>
          <w:i/>
          <w:lang w:val="en-US"/>
        </w:rPr>
        <w:t>Classification (Publications, Films and Computer Games) Act 1995</w:t>
      </w:r>
      <w:r w:rsidR="00565EC8">
        <w:rPr>
          <w:i/>
          <w:lang w:val="en-US"/>
        </w:rPr>
        <w:t xml:space="preserve"> (</w:t>
      </w:r>
      <w:proofErr w:type="spellStart"/>
      <w:r w:rsidR="00565EC8">
        <w:rPr>
          <w:i/>
          <w:lang w:val="en-US"/>
        </w:rPr>
        <w:t>Cth</w:t>
      </w:r>
      <w:proofErr w:type="spellEnd"/>
      <w:r w:rsidR="00565EC8">
        <w:rPr>
          <w:i/>
          <w:lang w:val="en-US"/>
        </w:rPr>
        <w:t>)</w:t>
      </w:r>
      <w:r>
        <w:rPr>
          <w:lang w:val="en-US"/>
        </w:rPr>
        <w:t xml:space="preserve"> (the Act), establishes the </w:t>
      </w:r>
      <w:r w:rsidR="00B60166">
        <w:rPr>
          <w:lang w:val="en-US"/>
        </w:rPr>
        <w:t xml:space="preserve">Classification </w:t>
      </w:r>
      <w:r>
        <w:rPr>
          <w:lang w:val="en-US"/>
        </w:rPr>
        <w:t>Board</w:t>
      </w:r>
      <w:r w:rsidR="004B425F">
        <w:rPr>
          <w:lang w:val="en-US"/>
        </w:rPr>
        <w:t xml:space="preserve"> </w:t>
      </w:r>
      <w:r w:rsidR="00B60166">
        <w:rPr>
          <w:lang w:val="en-US"/>
        </w:rPr>
        <w:t xml:space="preserve">(the Board) </w:t>
      </w:r>
      <w:r w:rsidR="004B425F">
        <w:rPr>
          <w:lang w:val="en-US"/>
        </w:rPr>
        <w:t>and</w:t>
      </w:r>
      <w:r>
        <w:rPr>
          <w:lang w:val="en-US"/>
        </w:rPr>
        <w:t xml:space="preserve"> </w:t>
      </w:r>
      <w:r w:rsidR="00B60166">
        <w:rPr>
          <w:lang w:val="en-US"/>
        </w:rPr>
        <w:t xml:space="preserve">Classification </w:t>
      </w:r>
      <w:r>
        <w:rPr>
          <w:lang w:val="en-US"/>
        </w:rPr>
        <w:t>Review Board</w:t>
      </w:r>
      <w:r w:rsidR="004B425F">
        <w:rPr>
          <w:lang w:val="en-US"/>
        </w:rPr>
        <w:t xml:space="preserve"> </w:t>
      </w:r>
      <w:r w:rsidR="00B60166">
        <w:rPr>
          <w:lang w:val="en-US"/>
        </w:rPr>
        <w:t xml:space="preserve">(Review Board) </w:t>
      </w:r>
      <w:r w:rsidR="004B425F">
        <w:rPr>
          <w:lang w:val="en-US"/>
        </w:rPr>
        <w:t xml:space="preserve">as independent statutory bodies. </w:t>
      </w:r>
      <w:r w:rsidR="00565EC8">
        <w:rPr>
          <w:lang w:val="en-US"/>
        </w:rPr>
        <w:t xml:space="preserve">The Board and Review Board are responsible for making classification decisions upon application. </w:t>
      </w:r>
    </w:p>
    <w:p w14:paraId="7D8B6B31" w14:textId="745069F3" w:rsidR="00FA1EFB" w:rsidRDefault="001242D8" w:rsidP="0064133B">
      <w:pPr>
        <w:rPr>
          <w:lang w:val="en-US"/>
        </w:rPr>
      </w:pPr>
      <w:r>
        <w:rPr>
          <w:lang w:val="en-US"/>
        </w:rPr>
        <w:t xml:space="preserve">The Classification Branch of the department provides </w:t>
      </w:r>
      <w:r w:rsidR="00DD6561">
        <w:rPr>
          <w:lang w:val="en-US"/>
        </w:rPr>
        <w:t xml:space="preserve">administrative </w:t>
      </w:r>
      <w:r>
        <w:rPr>
          <w:lang w:val="en-US"/>
        </w:rPr>
        <w:t xml:space="preserve">support to the two Boards. </w:t>
      </w:r>
      <w:r w:rsidR="00FA1EFB">
        <w:rPr>
          <w:lang w:val="en-US"/>
        </w:rPr>
        <w:t>While the Board general</w:t>
      </w:r>
      <w:r w:rsidR="00992889">
        <w:rPr>
          <w:lang w:val="en-US"/>
        </w:rPr>
        <w:t>ly</w:t>
      </w:r>
      <w:r w:rsidR="00FA1EFB">
        <w:rPr>
          <w:lang w:val="en-US"/>
        </w:rPr>
        <w:t xml:space="preserve"> receive</w:t>
      </w:r>
      <w:r w:rsidR="00992889">
        <w:rPr>
          <w:lang w:val="en-US"/>
        </w:rPr>
        <w:t>s</w:t>
      </w:r>
      <w:r w:rsidR="00FA1EFB">
        <w:rPr>
          <w:lang w:val="en-US"/>
        </w:rPr>
        <w:t xml:space="preserve"> applications for classification in relation to commercial </w:t>
      </w:r>
      <w:r w:rsidR="00EF6AB6">
        <w:rPr>
          <w:lang w:val="en-US"/>
        </w:rPr>
        <w:t>content</w:t>
      </w:r>
      <w:r w:rsidR="00FA1EFB">
        <w:rPr>
          <w:lang w:val="en-US"/>
        </w:rPr>
        <w:t xml:space="preserve">, the Board </w:t>
      </w:r>
      <w:r w:rsidR="00992889">
        <w:rPr>
          <w:lang w:val="en-US"/>
        </w:rPr>
        <w:t xml:space="preserve">also classifies </w:t>
      </w:r>
      <w:r w:rsidR="00EF6AB6">
        <w:rPr>
          <w:lang w:val="en-US"/>
        </w:rPr>
        <w:t>content</w:t>
      </w:r>
      <w:r w:rsidR="00992889">
        <w:rPr>
          <w:lang w:val="en-US"/>
        </w:rPr>
        <w:t xml:space="preserve"> submitted from </w:t>
      </w:r>
      <w:r w:rsidR="00F54FE6">
        <w:rPr>
          <w:lang w:val="en-US"/>
        </w:rPr>
        <w:t xml:space="preserve">law enforcement agencies, the Australian Border Force and the Office of the e-Safety Commissioner.   </w:t>
      </w:r>
    </w:p>
    <w:p w14:paraId="48F9762B" w14:textId="77777777" w:rsidR="00266FF6" w:rsidRDefault="00266FF6" w:rsidP="00266FF6">
      <w:pPr>
        <w:rPr>
          <w:lang w:val="en-US"/>
        </w:rPr>
      </w:pPr>
      <w:r>
        <w:rPr>
          <w:lang w:val="en-US"/>
        </w:rPr>
        <w:t>The Act also establishes industry self-classification methods.</w:t>
      </w:r>
      <w:bookmarkStart w:id="5" w:name="_GoBack"/>
      <w:bookmarkEnd w:id="5"/>
    </w:p>
    <w:p w14:paraId="1FEBBF29" w14:textId="77777777" w:rsidR="0064133B" w:rsidRDefault="0064133B" w:rsidP="0064133B">
      <w:pPr>
        <w:pStyle w:val="Heading2"/>
        <w:rPr>
          <w:lang w:val="en-US"/>
        </w:rPr>
      </w:pPr>
      <w:bookmarkStart w:id="6" w:name="_Toc201043442"/>
      <w:r>
        <w:rPr>
          <w:lang w:val="en-US"/>
        </w:rPr>
        <w:t>Classification reforms</w:t>
      </w:r>
      <w:bookmarkEnd w:id="6"/>
    </w:p>
    <w:p w14:paraId="32115931" w14:textId="077CBFAF" w:rsidR="0064133B" w:rsidRDefault="00E115A7" w:rsidP="00E115A7">
      <w:pPr>
        <w:rPr>
          <w:lang w:val="en-US"/>
        </w:rPr>
      </w:pPr>
      <w:r>
        <w:rPr>
          <w:lang w:val="en-US"/>
        </w:rPr>
        <w:t xml:space="preserve">Since the current fees were </w:t>
      </w:r>
      <w:r w:rsidR="007E7EF1">
        <w:rPr>
          <w:lang w:val="en-US"/>
        </w:rPr>
        <w:t xml:space="preserve">established </w:t>
      </w:r>
      <w:r>
        <w:rPr>
          <w:lang w:val="en-US"/>
        </w:rPr>
        <w:t>in 201</w:t>
      </w:r>
      <w:r w:rsidR="003656F5">
        <w:rPr>
          <w:lang w:val="en-US"/>
        </w:rPr>
        <w:t>1</w:t>
      </w:r>
      <w:r>
        <w:rPr>
          <w:lang w:val="en-US"/>
        </w:rPr>
        <w:t>, the way Australians</w:t>
      </w:r>
      <w:r>
        <w:t xml:space="preserve"> </w:t>
      </w:r>
      <w:r w:rsidRPr="00E115A7">
        <w:rPr>
          <w:lang w:val="en-US"/>
        </w:rPr>
        <w:t>access</w:t>
      </w:r>
      <w:r>
        <w:rPr>
          <w:lang w:val="en-US"/>
        </w:rPr>
        <w:t xml:space="preserve"> </w:t>
      </w:r>
      <w:r w:rsidRPr="00E115A7">
        <w:rPr>
          <w:lang w:val="en-US"/>
        </w:rPr>
        <w:t>media content</w:t>
      </w:r>
      <w:r>
        <w:rPr>
          <w:lang w:val="en-US"/>
        </w:rPr>
        <w:t xml:space="preserve"> has changed significantly</w:t>
      </w:r>
      <w:r w:rsidRPr="00E115A7">
        <w:rPr>
          <w:lang w:val="en-US"/>
        </w:rPr>
        <w:t xml:space="preserve">, </w:t>
      </w:r>
      <w:r w:rsidR="00B60166">
        <w:rPr>
          <w:lang w:val="en-US"/>
        </w:rPr>
        <w:t xml:space="preserve">with content </w:t>
      </w:r>
      <w:r w:rsidR="007E7EF1">
        <w:rPr>
          <w:lang w:val="en-US"/>
        </w:rPr>
        <w:t>predominantly</w:t>
      </w:r>
      <w:r w:rsidR="00322361">
        <w:rPr>
          <w:lang w:val="en-US"/>
        </w:rPr>
        <w:t xml:space="preserve"> moving</w:t>
      </w:r>
      <w:r w:rsidR="00B60166">
        <w:rPr>
          <w:lang w:val="en-US"/>
        </w:rPr>
        <w:t xml:space="preserve"> to</w:t>
      </w:r>
      <w:r w:rsidR="00B60166" w:rsidRPr="00E115A7">
        <w:rPr>
          <w:lang w:val="en-US"/>
        </w:rPr>
        <w:t xml:space="preserve"> </w:t>
      </w:r>
      <w:r w:rsidR="00B60166">
        <w:rPr>
          <w:lang w:val="en-US"/>
        </w:rPr>
        <w:t xml:space="preserve">online film and computer game </w:t>
      </w:r>
      <w:r w:rsidRPr="00E115A7">
        <w:rPr>
          <w:lang w:val="en-US"/>
        </w:rPr>
        <w:t xml:space="preserve">platforms and </w:t>
      </w:r>
      <w:r w:rsidR="00B60166">
        <w:rPr>
          <w:lang w:val="en-US"/>
        </w:rPr>
        <w:t xml:space="preserve">the </w:t>
      </w:r>
      <w:r>
        <w:rPr>
          <w:lang w:val="en-US"/>
        </w:rPr>
        <w:t xml:space="preserve">simultaneous releases of content globally. </w:t>
      </w:r>
      <w:r w:rsidR="00B36989">
        <w:rPr>
          <w:lang w:val="en-US"/>
        </w:rPr>
        <w:t>In response to this, t</w:t>
      </w:r>
      <w:r>
        <w:rPr>
          <w:lang w:val="en-US"/>
        </w:rPr>
        <w:t xml:space="preserve">he Scheme </w:t>
      </w:r>
      <w:r w:rsidR="00B36989">
        <w:rPr>
          <w:lang w:val="en-US"/>
        </w:rPr>
        <w:t>has been reformed</w:t>
      </w:r>
      <w:r w:rsidR="00006F02">
        <w:rPr>
          <w:lang w:val="en-US"/>
        </w:rPr>
        <w:t xml:space="preserve"> </w:t>
      </w:r>
      <w:r>
        <w:rPr>
          <w:lang w:val="en-US"/>
        </w:rPr>
        <w:t>to introduce industry self-classification methods:</w:t>
      </w:r>
    </w:p>
    <w:p w14:paraId="0FAFDB8F" w14:textId="77777777" w:rsidR="00086268" w:rsidRDefault="00086268" w:rsidP="00E115A7">
      <w:pPr>
        <w:rPr>
          <w:lang w:val="en-US"/>
        </w:rPr>
      </w:pPr>
    </w:p>
    <w:p w14:paraId="5E30A282" w14:textId="538275E3" w:rsidR="00E115A7" w:rsidRPr="004B425F" w:rsidRDefault="00E115A7" w:rsidP="00E115A7">
      <w:pPr>
        <w:pStyle w:val="ListLegal1"/>
        <w:rPr>
          <w:b/>
          <w:color w:val="008089" w:themeColor="accent2"/>
        </w:rPr>
      </w:pPr>
      <w:r w:rsidRPr="004B425F">
        <w:rPr>
          <w:b/>
          <w:color w:val="008089" w:themeColor="accent2"/>
          <w:lang w:val="en-US"/>
        </w:rPr>
        <w:t>Approved classification tools (classification tools)</w:t>
      </w:r>
      <w:r w:rsidR="004B425F" w:rsidRPr="004B425F">
        <w:rPr>
          <w:b/>
          <w:color w:val="008089" w:themeColor="accent2"/>
          <w:lang w:val="en-US"/>
        </w:rPr>
        <w:t xml:space="preserve"> </w:t>
      </w:r>
    </w:p>
    <w:p w14:paraId="3AD3D04E" w14:textId="7FB2746A" w:rsidR="004B425F" w:rsidRPr="008535E4" w:rsidRDefault="004B425F" w:rsidP="00A10CA5">
      <w:pPr>
        <w:pStyle w:val="ListLegal1"/>
        <w:numPr>
          <w:ilvl w:val="0"/>
          <w:numId w:val="0"/>
        </w:numPr>
        <w:ind w:left="284"/>
        <w:rPr>
          <w:lang w:val="en-AU"/>
        </w:rPr>
      </w:pPr>
      <w:r w:rsidRPr="004B425F">
        <w:rPr>
          <w:lang w:val="en-US"/>
        </w:rPr>
        <w:t xml:space="preserve">In 2014, </w:t>
      </w:r>
      <w:r>
        <w:rPr>
          <w:lang w:val="en-US"/>
        </w:rPr>
        <w:t>the</w:t>
      </w:r>
      <w:r w:rsidRPr="004B425F">
        <w:rPr>
          <w:lang w:val="en-US"/>
        </w:rPr>
        <w:t xml:space="preserve"> Act </w:t>
      </w:r>
      <w:r w:rsidR="00CE01AF">
        <w:rPr>
          <w:lang w:val="en-US"/>
        </w:rPr>
        <w:t xml:space="preserve">was </w:t>
      </w:r>
      <w:r w:rsidRPr="004B425F">
        <w:rPr>
          <w:lang w:val="en-US"/>
        </w:rPr>
        <w:t xml:space="preserve">amended to allow </w:t>
      </w:r>
      <w:r w:rsidR="00B36989">
        <w:rPr>
          <w:lang w:val="en-US"/>
        </w:rPr>
        <w:t xml:space="preserve">the </w:t>
      </w:r>
      <w:r w:rsidRPr="004B425F">
        <w:rPr>
          <w:lang w:val="en-US"/>
        </w:rPr>
        <w:t xml:space="preserve">Minister to approve a classification tool to be used to </w:t>
      </w:r>
      <w:r w:rsidR="007D23F3">
        <w:rPr>
          <w:lang w:val="en-US"/>
        </w:rPr>
        <w:t>make classification decision</w:t>
      </w:r>
      <w:r w:rsidR="00006F02">
        <w:rPr>
          <w:lang w:val="en-US"/>
        </w:rPr>
        <w:t>s</w:t>
      </w:r>
      <w:r w:rsidR="007D23F3">
        <w:rPr>
          <w:lang w:val="en-US"/>
        </w:rPr>
        <w:t xml:space="preserve"> for</w:t>
      </w:r>
      <w:r w:rsidRPr="004B425F">
        <w:rPr>
          <w:lang w:val="en-US"/>
        </w:rPr>
        <w:t xml:space="preserve"> films, computer games or publications. </w:t>
      </w:r>
      <w:r>
        <w:rPr>
          <w:lang w:val="en-US"/>
        </w:rPr>
        <w:t>A m</w:t>
      </w:r>
      <w:r w:rsidRPr="004B425F">
        <w:rPr>
          <w:lang w:val="en-US"/>
        </w:rPr>
        <w:t>inisterial approval instrument specifies conditions for use of</w:t>
      </w:r>
      <w:r w:rsidR="007D23F3">
        <w:rPr>
          <w:lang w:val="en-US"/>
        </w:rPr>
        <w:t xml:space="preserve"> a classification</w:t>
      </w:r>
      <w:r w:rsidRPr="004B425F">
        <w:rPr>
          <w:lang w:val="en-US"/>
        </w:rPr>
        <w:t xml:space="preserve"> tool</w:t>
      </w:r>
      <w:r>
        <w:rPr>
          <w:lang w:val="en-US"/>
        </w:rPr>
        <w:t>. There are currently four approved classification tools</w:t>
      </w:r>
      <w:r w:rsidR="008643D6">
        <w:rPr>
          <w:lang w:val="en-US"/>
        </w:rPr>
        <w:t>.</w:t>
      </w:r>
      <w:r w:rsidR="009E4B3F">
        <w:rPr>
          <w:lang w:val="en-US"/>
        </w:rPr>
        <w:t xml:space="preserve"> </w:t>
      </w:r>
      <w:r w:rsidR="008B7D40">
        <w:rPr>
          <w:lang w:val="en-US"/>
        </w:rPr>
        <w:t xml:space="preserve">Information about classification tools </w:t>
      </w:r>
      <w:r w:rsidR="00322361">
        <w:rPr>
          <w:lang w:val="en-US"/>
        </w:rPr>
        <w:t>can be found at</w:t>
      </w:r>
      <w:r w:rsidR="008B7D40">
        <w:rPr>
          <w:lang w:val="en-US"/>
        </w:rPr>
        <w:t xml:space="preserve"> </w:t>
      </w:r>
      <w:hyperlink r:id="rId29" w:history="1">
        <w:r w:rsidR="0008103B">
          <w:rPr>
            <w:rStyle w:val="Hyperlink"/>
          </w:rPr>
          <w:t>Classification tools</w:t>
        </w:r>
      </w:hyperlink>
      <w:r w:rsidR="008535E4">
        <w:rPr>
          <w:rStyle w:val="Hyperlink"/>
          <w:lang w:val="en-AU"/>
        </w:rPr>
        <w:t>.</w:t>
      </w:r>
    </w:p>
    <w:p w14:paraId="14004781" w14:textId="08789795" w:rsidR="004B425F" w:rsidRPr="004B425F" w:rsidRDefault="004B425F" w:rsidP="004B425F">
      <w:pPr>
        <w:pStyle w:val="ListLegal1"/>
        <w:numPr>
          <w:ilvl w:val="0"/>
          <w:numId w:val="0"/>
        </w:numPr>
        <w:ind w:left="284"/>
        <w:rPr>
          <w:b/>
          <w:color w:val="auto"/>
          <w:lang w:val="en-US"/>
        </w:rPr>
      </w:pPr>
      <w:r w:rsidRPr="004B425F">
        <w:rPr>
          <w:b/>
          <w:color w:val="auto"/>
          <w:lang w:val="en-US"/>
        </w:rPr>
        <w:t>Role of the Board</w:t>
      </w:r>
    </w:p>
    <w:p w14:paraId="155BE36F" w14:textId="477E8E23" w:rsidR="004B425F" w:rsidRPr="004B425F" w:rsidRDefault="00A10CA5" w:rsidP="004B425F">
      <w:pPr>
        <w:pStyle w:val="ListLegal1"/>
        <w:numPr>
          <w:ilvl w:val="0"/>
          <w:numId w:val="0"/>
        </w:numPr>
        <w:ind w:left="284"/>
        <w:rPr>
          <w:lang w:val="en-US"/>
        </w:rPr>
      </w:pPr>
      <w:r>
        <w:rPr>
          <w:lang w:val="en-US"/>
        </w:rPr>
        <w:t>The Board monitor</w:t>
      </w:r>
      <w:r w:rsidR="00006F02">
        <w:rPr>
          <w:lang w:val="en-US"/>
        </w:rPr>
        <w:t>s</w:t>
      </w:r>
      <w:r>
        <w:rPr>
          <w:lang w:val="en-US"/>
        </w:rPr>
        <w:t xml:space="preserve"> and ha</w:t>
      </w:r>
      <w:r w:rsidR="00006F02">
        <w:rPr>
          <w:lang w:val="en-US"/>
        </w:rPr>
        <w:t>s</w:t>
      </w:r>
      <w:r>
        <w:rPr>
          <w:lang w:val="en-US"/>
        </w:rPr>
        <w:t xml:space="preserve"> powers under the Act to revoke</w:t>
      </w:r>
      <w:r w:rsidR="009E4B3F">
        <w:rPr>
          <w:lang w:val="en-US"/>
        </w:rPr>
        <w:t xml:space="preserve"> decisions made by classification tool</w:t>
      </w:r>
      <w:r w:rsidR="008643D6">
        <w:rPr>
          <w:lang w:val="en-US"/>
        </w:rPr>
        <w:t>s</w:t>
      </w:r>
      <w:r>
        <w:rPr>
          <w:lang w:val="en-US"/>
        </w:rPr>
        <w:t xml:space="preserve"> and reclassify </w:t>
      </w:r>
      <w:r w:rsidR="008B7D40">
        <w:rPr>
          <w:lang w:val="en-US"/>
        </w:rPr>
        <w:t xml:space="preserve">the </w:t>
      </w:r>
      <w:r>
        <w:rPr>
          <w:lang w:val="en-US"/>
        </w:rPr>
        <w:t>content. The Board determine</w:t>
      </w:r>
      <w:r w:rsidR="009E4B3F">
        <w:rPr>
          <w:lang w:val="en-US"/>
        </w:rPr>
        <w:t>s</w:t>
      </w:r>
      <w:r>
        <w:rPr>
          <w:lang w:val="en-US"/>
        </w:rPr>
        <w:t xml:space="preserve"> the consumer advice </w:t>
      </w:r>
      <w:r w:rsidR="009E4B3F">
        <w:rPr>
          <w:lang w:val="en-US"/>
        </w:rPr>
        <w:t xml:space="preserve">terms </w:t>
      </w:r>
      <w:r>
        <w:rPr>
          <w:lang w:val="en-US"/>
        </w:rPr>
        <w:t>to be used by classification tools</w:t>
      </w:r>
      <w:r w:rsidR="00565EC8">
        <w:rPr>
          <w:lang w:val="en-US"/>
        </w:rPr>
        <w:t xml:space="preserve"> and may provide advice </w:t>
      </w:r>
      <w:r w:rsidR="009E4B3F">
        <w:rPr>
          <w:lang w:val="en-US"/>
        </w:rPr>
        <w:t xml:space="preserve">to tool owners </w:t>
      </w:r>
      <w:r w:rsidR="00565EC8">
        <w:rPr>
          <w:lang w:val="en-US"/>
        </w:rPr>
        <w:t>on classification standards</w:t>
      </w:r>
      <w:r>
        <w:rPr>
          <w:lang w:val="en-US"/>
        </w:rPr>
        <w:t>.</w:t>
      </w:r>
    </w:p>
    <w:p w14:paraId="111AADD7" w14:textId="2C92A113" w:rsidR="004B425F" w:rsidRPr="004B425F" w:rsidRDefault="004B425F" w:rsidP="004B425F">
      <w:pPr>
        <w:pStyle w:val="ListLegal1"/>
        <w:numPr>
          <w:ilvl w:val="0"/>
          <w:numId w:val="0"/>
        </w:numPr>
        <w:ind w:left="284"/>
        <w:rPr>
          <w:b/>
          <w:color w:val="auto"/>
          <w:lang w:val="en-US"/>
        </w:rPr>
      </w:pPr>
      <w:r w:rsidRPr="004B425F">
        <w:rPr>
          <w:b/>
          <w:color w:val="auto"/>
          <w:lang w:val="en-US"/>
        </w:rPr>
        <w:t>Role of the Commonwealth</w:t>
      </w:r>
    </w:p>
    <w:p w14:paraId="7504C7FD" w14:textId="2E3FC18A" w:rsidR="00870110" w:rsidRDefault="00A10CA5" w:rsidP="004B425F">
      <w:pPr>
        <w:pStyle w:val="ListLegal1"/>
        <w:numPr>
          <w:ilvl w:val="0"/>
          <w:numId w:val="0"/>
        </w:numPr>
        <w:ind w:left="284"/>
        <w:rPr>
          <w:lang w:val="en-US"/>
        </w:rPr>
      </w:pPr>
      <w:r>
        <w:rPr>
          <w:lang w:val="en-US"/>
        </w:rPr>
        <w:t xml:space="preserve">The </w:t>
      </w:r>
      <w:r w:rsidR="009E4B3F">
        <w:rPr>
          <w:lang w:val="en-US"/>
        </w:rPr>
        <w:t xml:space="preserve">Minister can </w:t>
      </w:r>
      <w:r>
        <w:rPr>
          <w:lang w:val="en-US"/>
        </w:rPr>
        <w:t>enter into an agreement with t</w:t>
      </w:r>
      <w:r w:rsidR="004B425F">
        <w:rPr>
          <w:lang w:val="en-US"/>
        </w:rPr>
        <w:t xml:space="preserve">ool owners in relation to </w:t>
      </w:r>
      <w:r w:rsidR="009E4B3F">
        <w:rPr>
          <w:lang w:val="en-US"/>
        </w:rPr>
        <w:t xml:space="preserve">the development, and operation of the tool. </w:t>
      </w:r>
      <w:r>
        <w:rPr>
          <w:lang w:val="en-US"/>
        </w:rPr>
        <w:t xml:space="preserve">The </w:t>
      </w:r>
      <w:r w:rsidR="00CE01AF">
        <w:rPr>
          <w:lang w:val="en-US"/>
        </w:rPr>
        <w:t>department</w:t>
      </w:r>
      <w:r>
        <w:rPr>
          <w:lang w:val="en-US"/>
        </w:rPr>
        <w:t xml:space="preserve"> work</w:t>
      </w:r>
      <w:r w:rsidR="00CE01AF">
        <w:rPr>
          <w:lang w:val="en-US"/>
        </w:rPr>
        <w:t>s</w:t>
      </w:r>
      <w:r>
        <w:rPr>
          <w:lang w:val="en-US"/>
        </w:rPr>
        <w:t xml:space="preserve"> with tool owners </w:t>
      </w:r>
      <w:r w:rsidR="00CE01AF">
        <w:rPr>
          <w:lang w:val="en-US"/>
        </w:rPr>
        <w:t>on operational matters</w:t>
      </w:r>
      <w:r w:rsidR="005566D0">
        <w:rPr>
          <w:lang w:val="en-US"/>
        </w:rPr>
        <w:t xml:space="preserve"> including maintenance of </w:t>
      </w:r>
      <w:r w:rsidR="00C411DA">
        <w:rPr>
          <w:lang w:val="en-US"/>
        </w:rPr>
        <w:t xml:space="preserve">departmental </w:t>
      </w:r>
      <w:r w:rsidR="005566D0">
        <w:rPr>
          <w:lang w:val="en-US"/>
        </w:rPr>
        <w:t>IT systems</w:t>
      </w:r>
      <w:r w:rsidR="00C411DA">
        <w:rPr>
          <w:lang w:val="en-US"/>
        </w:rPr>
        <w:t xml:space="preserve"> that support the operation of tools</w:t>
      </w:r>
      <w:r w:rsidR="005566D0">
        <w:rPr>
          <w:lang w:val="en-US"/>
        </w:rPr>
        <w:t xml:space="preserve"> and keeping tool owners updated on classification standards set by the Board via tool logic rules.</w:t>
      </w:r>
      <w:r w:rsidR="00B9600C">
        <w:rPr>
          <w:lang w:val="en-US"/>
        </w:rPr>
        <w:t xml:space="preserve"> The department also provides support to the Board in its quality assurance function</w:t>
      </w:r>
      <w:r w:rsidR="008643D6">
        <w:rPr>
          <w:lang w:val="en-US"/>
        </w:rPr>
        <w:t xml:space="preserve"> and </w:t>
      </w:r>
      <w:r w:rsidR="008B7D40">
        <w:rPr>
          <w:lang w:val="en-US"/>
        </w:rPr>
        <w:t xml:space="preserve">handles enquiries from </w:t>
      </w:r>
      <w:r w:rsidR="00870110">
        <w:rPr>
          <w:lang w:val="en-US"/>
        </w:rPr>
        <w:t>parties interested in developing a classification tool.</w:t>
      </w:r>
    </w:p>
    <w:p w14:paraId="30C3D1FB" w14:textId="77777777" w:rsidR="00086268" w:rsidRDefault="00086268" w:rsidP="004B425F">
      <w:pPr>
        <w:pStyle w:val="ListLegal1"/>
        <w:numPr>
          <w:ilvl w:val="0"/>
          <w:numId w:val="0"/>
        </w:numPr>
        <w:ind w:left="284"/>
        <w:rPr>
          <w:lang w:val="en-US"/>
        </w:rPr>
      </w:pPr>
    </w:p>
    <w:p w14:paraId="5B720D4E" w14:textId="01794991" w:rsidR="00E115A7" w:rsidRPr="004B425F" w:rsidRDefault="00E115A7" w:rsidP="00E115A7">
      <w:pPr>
        <w:pStyle w:val="ListLegal1"/>
        <w:rPr>
          <w:b/>
          <w:color w:val="008089" w:themeColor="accent2"/>
        </w:rPr>
      </w:pPr>
      <w:r w:rsidRPr="004B425F">
        <w:rPr>
          <w:b/>
          <w:color w:val="008089" w:themeColor="accent2"/>
          <w:lang w:val="en-US"/>
        </w:rPr>
        <w:t xml:space="preserve">Accredited </w:t>
      </w:r>
      <w:r w:rsidR="004B425F" w:rsidRPr="004B425F">
        <w:rPr>
          <w:b/>
          <w:color w:val="008089" w:themeColor="accent2"/>
          <w:lang w:val="en-US"/>
        </w:rPr>
        <w:t xml:space="preserve">classifiers  </w:t>
      </w:r>
    </w:p>
    <w:p w14:paraId="5ED01290" w14:textId="7C28FA1E" w:rsidR="004B425F" w:rsidRPr="00CE01AF" w:rsidRDefault="00CE01AF" w:rsidP="00CE01AF">
      <w:pPr>
        <w:ind w:left="284"/>
      </w:pPr>
      <w:r w:rsidRPr="00CE01AF">
        <w:t>In 2024</w:t>
      </w:r>
      <w:r>
        <w:t>,</w:t>
      </w:r>
      <w:r w:rsidRPr="00CE01AF">
        <w:t xml:space="preserve"> the Act </w:t>
      </w:r>
      <w:r>
        <w:t xml:space="preserve">was </w:t>
      </w:r>
      <w:r w:rsidRPr="00CE01AF">
        <w:t xml:space="preserve">amended to allow </w:t>
      </w:r>
      <w:r w:rsidR="00006F02">
        <w:t xml:space="preserve">the </w:t>
      </w:r>
      <w:r w:rsidR="009E4B3F">
        <w:t>Secretary</w:t>
      </w:r>
      <w:r w:rsidR="009E4B3F" w:rsidRPr="00CE01AF">
        <w:t xml:space="preserve"> </w:t>
      </w:r>
      <w:r w:rsidR="008535E4">
        <w:t xml:space="preserve">of the department </w:t>
      </w:r>
      <w:r w:rsidR="00006F02">
        <w:t xml:space="preserve">to accredit </w:t>
      </w:r>
      <w:r w:rsidRPr="00CE01AF">
        <w:t>t</w:t>
      </w:r>
      <w:r>
        <w:t>rained persons</w:t>
      </w:r>
      <w:r w:rsidRPr="00CE01AF">
        <w:t xml:space="preserve"> </w:t>
      </w:r>
      <w:r w:rsidR="009E4B3F">
        <w:t xml:space="preserve">(known as accredited classifiers) </w:t>
      </w:r>
      <w:r w:rsidRPr="00CE01AF">
        <w:t xml:space="preserve">to </w:t>
      </w:r>
      <w:r w:rsidR="007D23F3">
        <w:t>make classification decision</w:t>
      </w:r>
      <w:r w:rsidR="00B33335">
        <w:t>s</w:t>
      </w:r>
      <w:r w:rsidR="007D23F3">
        <w:t xml:space="preserve"> for</w:t>
      </w:r>
      <w:r w:rsidRPr="00CE01AF">
        <w:t xml:space="preserve"> films</w:t>
      </w:r>
      <w:r>
        <w:t xml:space="preserve"> and/or </w:t>
      </w:r>
      <w:r w:rsidRPr="00CE01AF">
        <w:t>computer game</w:t>
      </w:r>
      <w:r>
        <w:t>s</w:t>
      </w:r>
      <w:r w:rsidR="007D23F3">
        <w:t xml:space="preserve"> that are rated G to R 18+</w:t>
      </w:r>
      <w:r>
        <w:t>.</w:t>
      </w:r>
      <w:r w:rsidR="008B7D40">
        <w:t xml:space="preserve"> Information about accredited classifiers </w:t>
      </w:r>
      <w:r w:rsidR="00307CC3">
        <w:t>can be found at</w:t>
      </w:r>
      <w:r w:rsidR="008B7D40">
        <w:t xml:space="preserve">: </w:t>
      </w:r>
      <w:hyperlink r:id="rId30" w:tooltip="Link to accredited classifier information on classification website" w:history="1">
        <w:r w:rsidR="00086268">
          <w:rPr>
            <w:rStyle w:val="Hyperlink"/>
          </w:rPr>
          <w:t>Accredited classifiers</w:t>
        </w:r>
      </w:hyperlink>
      <w:r w:rsidR="008B7D40">
        <w:t>.</w:t>
      </w:r>
    </w:p>
    <w:p w14:paraId="0B5834EB" w14:textId="77777777" w:rsidR="001C0FAD" w:rsidRDefault="001C0FAD">
      <w:pPr>
        <w:suppressAutoHyphens w:val="0"/>
        <w:rPr>
          <w:b/>
          <w:color w:val="auto"/>
          <w:lang w:val="en-US"/>
        </w:rPr>
      </w:pPr>
      <w:r>
        <w:rPr>
          <w:b/>
          <w:color w:val="auto"/>
          <w:lang w:val="en-US"/>
        </w:rPr>
        <w:br w:type="page"/>
      </w:r>
    </w:p>
    <w:p w14:paraId="27FE8349" w14:textId="3A593522" w:rsidR="00CE01AF" w:rsidRPr="004B425F" w:rsidRDefault="00CE01AF" w:rsidP="00CE01AF">
      <w:pPr>
        <w:pStyle w:val="ListLegal1"/>
        <w:numPr>
          <w:ilvl w:val="0"/>
          <w:numId w:val="0"/>
        </w:numPr>
        <w:ind w:left="284"/>
        <w:rPr>
          <w:b/>
          <w:color w:val="auto"/>
          <w:lang w:val="en-US"/>
        </w:rPr>
      </w:pPr>
      <w:r w:rsidRPr="004B425F">
        <w:rPr>
          <w:b/>
          <w:color w:val="auto"/>
          <w:lang w:val="en-US"/>
        </w:rPr>
        <w:lastRenderedPageBreak/>
        <w:t>Role of the Board</w:t>
      </w:r>
    </w:p>
    <w:p w14:paraId="69FF4688" w14:textId="1216A5E6" w:rsidR="00CE01AF" w:rsidRPr="004B425F" w:rsidRDefault="00CE01AF" w:rsidP="00CE01AF">
      <w:pPr>
        <w:pStyle w:val="ListLegal1"/>
        <w:numPr>
          <w:ilvl w:val="0"/>
          <w:numId w:val="0"/>
        </w:numPr>
        <w:ind w:left="284"/>
        <w:rPr>
          <w:lang w:val="en-US"/>
        </w:rPr>
      </w:pPr>
      <w:r>
        <w:rPr>
          <w:lang w:val="en-US"/>
        </w:rPr>
        <w:t>The Board monitor</w:t>
      </w:r>
      <w:r w:rsidR="00006F02">
        <w:rPr>
          <w:lang w:val="en-US"/>
        </w:rPr>
        <w:t>s</w:t>
      </w:r>
      <w:r>
        <w:rPr>
          <w:lang w:val="en-US"/>
        </w:rPr>
        <w:t xml:space="preserve"> and ha</w:t>
      </w:r>
      <w:r w:rsidR="00006F02">
        <w:rPr>
          <w:lang w:val="en-US"/>
        </w:rPr>
        <w:t>s</w:t>
      </w:r>
      <w:r>
        <w:rPr>
          <w:lang w:val="en-US"/>
        </w:rPr>
        <w:t xml:space="preserve"> powers under the Act to revoke </w:t>
      </w:r>
      <w:r w:rsidR="009E4B3F">
        <w:rPr>
          <w:lang w:val="en-US"/>
        </w:rPr>
        <w:t xml:space="preserve">decisions made by accredited classifiers </w:t>
      </w:r>
      <w:r>
        <w:rPr>
          <w:lang w:val="en-US"/>
        </w:rPr>
        <w:t xml:space="preserve">and reclassify </w:t>
      </w:r>
      <w:r w:rsidR="008B7D40">
        <w:rPr>
          <w:lang w:val="en-US"/>
        </w:rPr>
        <w:t xml:space="preserve">the </w:t>
      </w:r>
      <w:r>
        <w:rPr>
          <w:lang w:val="en-US"/>
        </w:rPr>
        <w:t>content. The Board determine</w:t>
      </w:r>
      <w:r w:rsidR="008B7D40">
        <w:rPr>
          <w:lang w:val="en-US"/>
        </w:rPr>
        <w:t>s</w:t>
      </w:r>
      <w:r>
        <w:rPr>
          <w:lang w:val="en-US"/>
        </w:rPr>
        <w:t xml:space="preserve"> the consumer advice </w:t>
      </w:r>
      <w:r w:rsidR="008B7D40">
        <w:rPr>
          <w:lang w:val="en-US"/>
        </w:rPr>
        <w:t xml:space="preserve">terms </w:t>
      </w:r>
      <w:r>
        <w:rPr>
          <w:lang w:val="en-US"/>
        </w:rPr>
        <w:t xml:space="preserve">to be used by </w:t>
      </w:r>
      <w:r w:rsidR="008B7D40">
        <w:rPr>
          <w:lang w:val="en-US"/>
        </w:rPr>
        <w:t>accredited classifiers and may provide advice on classification standards and training</w:t>
      </w:r>
      <w:r>
        <w:rPr>
          <w:lang w:val="en-US"/>
        </w:rPr>
        <w:t>.</w:t>
      </w:r>
    </w:p>
    <w:p w14:paraId="0141C666" w14:textId="7A0EA6E1" w:rsidR="00CE01AF" w:rsidRPr="004B425F" w:rsidRDefault="00CE01AF" w:rsidP="00CE01AF">
      <w:pPr>
        <w:pStyle w:val="ListLegal1"/>
        <w:numPr>
          <w:ilvl w:val="0"/>
          <w:numId w:val="0"/>
        </w:numPr>
        <w:ind w:left="284"/>
        <w:rPr>
          <w:b/>
          <w:color w:val="auto"/>
          <w:lang w:val="en-US"/>
        </w:rPr>
      </w:pPr>
      <w:r w:rsidRPr="004B425F">
        <w:rPr>
          <w:b/>
          <w:color w:val="auto"/>
          <w:lang w:val="en-US"/>
        </w:rPr>
        <w:t xml:space="preserve">Role of the Commonwealth </w:t>
      </w:r>
    </w:p>
    <w:p w14:paraId="30DFCED9" w14:textId="4B5BE5FB" w:rsidR="003A41A6" w:rsidRDefault="008B7D40" w:rsidP="00006F02">
      <w:pPr>
        <w:pStyle w:val="ListLegal1"/>
        <w:numPr>
          <w:ilvl w:val="0"/>
          <w:numId w:val="0"/>
        </w:numPr>
        <w:ind w:left="284"/>
        <w:rPr>
          <w:lang w:val="en-US"/>
        </w:rPr>
      </w:pPr>
      <w:r>
        <w:t xml:space="preserve">The Secretary approves training that a person must undertake to </w:t>
      </w:r>
      <w:r w:rsidR="00041882">
        <w:rPr>
          <w:lang w:val="en-AU"/>
        </w:rPr>
        <w:t>become an accredited classifier</w:t>
      </w:r>
      <w:r>
        <w:t xml:space="preserve">. </w:t>
      </w:r>
      <w:r w:rsidR="00CE01AF">
        <w:rPr>
          <w:lang w:val="en-US"/>
        </w:rPr>
        <w:t xml:space="preserve">The </w:t>
      </w:r>
      <w:r w:rsidR="005566D0">
        <w:rPr>
          <w:lang w:val="en-US"/>
        </w:rPr>
        <w:t>department is responsible for</w:t>
      </w:r>
      <w:r w:rsidR="00006F02">
        <w:rPr>
          <w:lang w:val="en-US"/>
        </w:rPr>
        <w:t xml:space="preserve"> </w:t>
      </w:r>
      <w:r w:rsidR="005566D0">
        <w:rPr>
          <w:lang w:val="en-US"/>
        </w:rPr>
        <w:t xml:space="preserve">updating the approved training to align with classification standards set by the Board, assessing applications for accreditation, and assessing if </w:t>
      </w:r>
      <w:r>
        <w:rPr>
          <w:lang w:val="en-US"/>
        </w:rPr>
        <w:t xml:space="preserve">an accredited classifier </w:t>
      </w:r>
      <w:r w:rsidR="005566D0">
        <w:rPr>
          <w:lang w:val="en-US"/>
        </w:rPr>
        <w:t>require</w:t>
      </w:r>
      <w:r>
        <w:rPr>
          <w:lang w:val="en-US"/>
        </w:rPr>
        <w:t>s</w:t>
      </w:r>
      <w:r w:rsidR="005566D0">
        <w:rPr>
          <w:lang w:val="en-US"/>
        </w:rPr>
        <w:t xml:space="preserve"> further training</w:t>
      </w:r>
      <w:r>
        <w:rPr>
          <w:lang w:val="en-US"/>
        </w:rPr>
        <w:t>, should have their accreditation revoked, or be barred from seeking</w:t>
      </w:r>
      <w:r w:rsidR="005566D0">
        <w:rPr>
          <w:lang w:val="en-US"/>
        </w:rPr>
        <w:t xml:space="preserve"> accreditation. </w:t>
      </w:r>
    </w:p>
    <w:p w14:paraId="4FC91578" w14:textId="062A3FA5" w:rsidR="009E4B3F" w:rsidRDefault="005566D0" w:rsidP="00006F02">
      <w:pPr>
        <w:pStyle w:val="ListLegal1"/>
        <w:numPr>
          <w:ilvl w:val="0"/>
          <w:numId w:val="0"/>
        </w:numPr>
        <w:ind w:left="284"/>
        <w:rPr>
          <w:lang w:val="en-US"/>
        </w:rPr>
      </w:pPr>
      <w:r>
        <w:rPr>
          <w:lang w:val="en-US"/>
        </w:rPr>
        <w:t xml:space="preserve">The department also </w:t>
      </w:r>
      <w:r w:rsidR="007D23F3">
        <w:rPr>
          <w:lang w:val="en-US"/>
        </w:rPr>
        <w:t>manages enquiries from</w:t>
      </w:r>
      <w:r>
        <w:rPr>
          <w:lang w:val="en-US"/>
        </w:rPr>
        <w:t xml:space="preserve"> industry, as well as maintain</w:t>
      </w:r>
      <w:r w:rsidR="00006F02">
        <w:rPr>
          <w:lang w:val="en-US"/>
        </w:rPr>
        <w:t>ing</w:t>
      </w:r>
      <w:r w:rsidR="00C411DA">
        <w:rPr>
          <w:lang w:val="en-US"/>
        </w:rPr>
        <w:t xml:space="preserve"> departmental</w:t>
      </w:r>
      <w:r>
        <w:rPr>
          <w:lang w:val="en-US"/>
        </w:rPr>
        <w:t xml:space="preserve"> IT systems required for the approved training, the submission of applications for accreditation and</w:t>
      </w:r>
      <w:r w:rsidR="003A41A6">
        <w:rPr>
          <w:lang w:val="en-US"/>
        </w:rPr>
        <w:t xml:space="preserve"> the</w:t>
      </w:r>
      <w:r>
        <w:rPr>
          <w:lang w:val="en-US"/>
        </w:rPr>
        <w:t xml:space="preserve"> submission of </w:t>
      </w:r>
      <w:r w:rsidR="008B7D40">
        <w:rPr>
          <w:lang w:val="en-US"/>
        </w:rPr>
        <w:t xml:space="preserve">accredited classifier </w:t>
      </w:r>
      <w:r>
        <w:rPr>
          <w:lang w:val="en-US"/>
        </w:rPr>
        <w:t>decisions.</w:t>
      </w:r>
      <w:r w:rsidR="00B9600C" w:rsidRPr="00B9600C">
        <w:rPr>
          <w:lang w:val="en-US"/>
        </w:rPr>
        <w:t xml:space="preserve"> </w:t>
      </w:r>
      <w:r w:rsidR="00B9600C">
        <w:rPr>
          <w:lang w:val="en-US"/>
        </w:rPr>
        <w:t>The department provides support to the Board in its quality assurance function.</w:t>
      </w:r>
    </w:p>
    <w:p w14:paraId="506639EB" w14:textId="77777777" w:rsidR="009E4B3F" w:rsidRDefault="009E4B3F" w:rsidP="00006F02">
      <w:pPr>
        <w:pStyle w:val="ListLegal1"/>
        <w:numPr>
          <w:ilvl w:val="0"/>
          <w:numId w:val="0"/>
        </w:numPr>
        <w:ind w:left="284"/>
      </w:pPr>
    </w:p>
    <w:p w14:paraId="1B67DC24" w14:textId="3C8268CD" w:rsidR="009E4B3F" w:rsidRPr="009E4B3F" w:rsidRDefault="009E4B3F" w:rsidP="009E4B3F">
      <w:pPr>
        <w:pStyle w:val="ListLegal1"/>
        <w:rPr>
          <w:b/>
          <w:color w:val="008089" w:themeColor="accent2"/>
          <w:lang w:val="en-US"/>
        </w:rPr>
      </w:pPr>
      <w:r w:rsidRPr="009E4B3F">
        <w:rPr>
          <w:b/>
          <w:color w:val="008089" w:themeColor="accent2"/>
          <w:lang w:val="en-US"/>
        </w:rPr>
        <w:t xml:space="preserve">Use of broadcaster </w:t>
      </w:r>
      <w:r>
        <w:rPr>
          <w:b/>
          <w:color w:val="008089" w:themeColor="accent2"/>
          <w:lang w:val="en-US"/>
        </w:rPr>
        <w:t xml:space="preserve">classification </w:t>
      </w:r>
      <w:r w:rsidRPr="009E4B3F">
        <w:rPr>
          <w:b/>
          <w:color w:val="008089" w:themeColor="accent2"/>
          <w:lang w:val="en-US"/>
        </w:rPr>
        <w:t>decisions</w:t>
      </w:r>
      <w:r w:rsidR="00FB61DA">
        <w:rPr>
          <w:b/>
          <w:color w:val="008089" w:themeColor="accent2"/>
          <w:lang w:val="en-US"/>
        </w:rPr>
        <w:t xml:space="preserve"> (deemed decisions)</w:t>
      </w:r>
    </w:p>
    <w:p w14:paraId="5A8DBB27" w14:textId="4B105B97" w:rsidR="00FB61DA" w:rsidRDefault="00FB61DA" w:rsidP="00FB61DA">
      <w:pPr>
        <w:pStyle w:val="ListLegal1"/>
        <w:numPr>
          <w:ilvl w:val="0"/>
          <w:numId w:val="0"/>
        </w:numPr>
        <w:ind w:left="284"/>
        <w:rPr>
          <w:lang w:val="en-US"/>
        </w:rPr>
      </w:pPr>
      <w:r w:rsidRPr="00FB61DA">
        <w:rPr>
          <w:lang w:val="en-US"/>
        </w:rPr>
        <w:t xml:space="preserve">In March 2024, </w:t>
      </w:r>
      <w:r>
        <w:rPr>
          <w:lang w:val="en-US"/>
        </w:rPr>
        <w:t>the</w:t>
      </w:r>
      <w:r w:rsidRPr="00FB61DA">
        <w:rPr>
          <w:lang w:val="en-US"/>
        </w:rPr>
        <w:t xml:space="preserve"> Act </w:t>
      </w:r>
      <w:r>
        <w:rPr>
          <w:lang w:val="en-US"/>
        </w:rPr>
        <w:t xml:space="preserve">was </w:t>
      </w:r>
      <w:r w:rsidRPr="00FB61DA">
        <w:rPr>
          <w:lang w:val="en-US"/>
        </w:rPr>
        <w:t xml:space="preserve">amended to allow publishers to use an Australian broadcaster’s classification for identical content released in a format captured by classification legislation. </w:t>
      </w:r>
      <w:r>
        <w:rPr>
          <w:lang w:val="en-US"/>
        </w:rPr>
        <w:t xml:space="preserve">Further information </w:t>
      </w:r>
      <w:r w:rsidR="00F2524F">
        <w:rPr>
          <w:lang w:val="en-US"/>
        </w:rPr>
        <w:t>can be found at</w:t>
      </w:r>
      <w:r>
        <w:rPr>
          <w:lang w:val="en-US"/>
        </w:rPr>
        <w:t xml:space="preserve">: </w:t>
      </w:r>
      <w:hyperlink r:id="rId31" w:tooltip="Link to using broadcaster classification decisions information on classification website" w:history="1">
        <w:r w:rsidR="00192534">
          <w:rPr>
            <w:rStyle w:val="Hyperlink"/>
          </w:rPr>
          <w:t>Using broadcaster classification decisions</w:t>
        </w:r>
      </w:hyperlink>
      <w:r w:rsidR="00821DE6">
        <w:rPr>
          <w:lang w:val="en-US"/>
        </w:rPr>
        <w:t xml:space="preserve">. </w:t>
      </w:r>
    </w:p>
    <w:p w14:paraId="026F802D" w14:textId="027CEBE1" w:rsidR="003162C6" w:rsidRDefault="00FB61DA" w:rsidP="00E20EE3">
      <w:pPr>
        <w:pStyle w:val="ListLegal1"/>
        <w:numPr>
          <w:ilvl w:val="0"/>
          <w:numId w:val="0"/>
        </w:numPr>
        <w:ind w:left="284"/>
        <w:rPr>
          <w:lang w:val="en-US"/>
        </w:rPr>
      </w:pPr>
      <w:r>
        <w:rPr>
          <w:lang w:val="en-US"/>
        </w:rPr>
        <w:t xml:space="preserve">This reform removed the need for films and television series </w:t>
      </w:r>
      <w:r w:rsidR="007D460D">
        <w:rPr>
          <w:lang w:val="en-US"/>
        </w:rPr>
        <w:t xml:space="preserve">which have already been classified under the </w:t>
      </w:r>
      <w:r w:rsidR="007D460D" w:rsidRPr="007D460D">
        <w:rPr>
          <w:i/>
          <w:lang w:val="en-US"/>
        </w:rPr>
        <w:t>Broadcasting Services Act</w:t>
      </w:r>
      <w:r w:rsidR="007D460D">
        <w:rPr>
          <w:lang w:val="en-US"/>
        </w:rPr>
        <w:t xml:space="preserve"> </w:t>
      </w:r>
      <w:r w:rsidR="007D460D" w:rsidRPr="007D460D">
        <w:rPr>
          <w:i/>
          <w:lang w:val="en-US"/>
        </w:rPr>
        <w:t>1992</w:t>
      </w:r>
      <w:r w:rsidR="007D460D">
        <w:rPr>
          <w:lang w:val="en-US"/>
        </w:rPr>
        <w:t xml:space="preserve"> (</w:t>
      </w:r>
      <w:proofErr w:type="spellStart"/>
      <w:r w:rsidR="007D460D">
        <w:rPr>
          <w:lang w:val="en-US"/>
        </w:rPr>
        <w:t>Cth</w:t>
      </w:r>
      <w:proofErr w:type="spellEnd"/>
      <w:r w:rsidR="007D460D">
        <w:rPr>
          <w:lang w:val="en-US"/>
        </w:rPr>
        <w:t xml:space="preserve">) </w:t>
      </w:r>
      <w:r>
        <w:rPr>
          <w:lang w:val="en-US"/>
        </w:rPr>
        <w:t xml:space="preserve">to be classified again under the Act. </w:t>
      </w:r>
    </w:p>
    <w:p w14:paraId="06E91E66" w14:textId="524C6197" w:rsidR="00554FF9" w:rsidRPr="000B2CF8" w:rsidRDefault="00554FF9" w:rsidP="00DB7B1A">
      <w:pPr>
        <w:pStyle w:val="Heading1"/>
        <w:rPr>
          <w:u w:val="single"/>
        </w:rPr>
      </w:pPr>
      <w:bookmarkStart w:id="7" w:name="_Toc200122169"/>
      <w:bookmarkStart w:id="8" w:name="_Toc201043443"/>
      <w:bookmarkStart w:id="9" w:name="_Toc200122166"/>
      <w:r w:rsidRPr="000B2CF8">
        <w:rPr>
          <w:u w:val="single"/>
        </w:rPr>
        <w:t xml:space="preserve">Cost </w:t>
      </w:r>
      <w:r w:rsidR="00EB0454">
        <w:rPr>
          <w:u w:val="single"/>
        </w:rPr>
        <w:t>r</w:t>
      </w:r>
      <w:r w:rsidRPr="000B2CF8">
        <w:rPr>
          <w:u w:val="single"/>
        </w:rPr>
        <w:t xml:space="preserve">ecovery </w:t>
      </w:r>
      <w:r w:rsidR="00EB0454">
        <w:rPr>
          <w:u w:val="single"/>
        </w:rPr>
        <w:t>m</w:t>
      </w:r>
      <w:r w:rsidRPr="000B2CF8">
        <w:rPr>
          <w:u w:val="single"/>
        </w:rPr>
        <w:t xml:space="preserve">odel </w:t>
      </w:r>
      <w:r w:rsidR="00EB0454">
        <w:rPr>
          <w:u w:val="single"/>
        </w:rPr>
        <w:t>p</w:t>
      </w:r>
      <w:r w:rsidRPr="000B2CF8">
        <w:rPr>
          <w:u w:val="single"/>
        </w:rPr>
        <w:t>rinciples</w:t>
      </w:r>
      <w:bookmarkEnd w:id="7"/>
      <w:bookmarkEnd w:id="8"/>
    </w:p>
    <w:p w14:paraId="383FD199" w14:textId="494F3683" w:rsidR="00554FF9" w:rsidRDefault="00554FF9" w:rsidP="00554FF9">
      <w:pPr>
        <w:rPr>
          <w:rFonts w:ascii="Calibri" w:hAnsi="Calibri" w:cs="Calibri"/>
        </w:rPr>
      </w:pPr>
      <w:r>
        <w:rPr>
          <w:rFonts w:ascii="Calibri" w:hAnsi="Calibri" w:cs="Calibri"/>
        </w:rPr>
        <w:t xml:space="preserve">The Australian Government has developed a set of cost recovery principles that produce robust cost recovery models. </w:t>
      </w:r>
    </w:p>
    <w:p w14:paraId="0358AA4F" w14:textId="6CEEA504" w:rsidR="00554FF9" w:rsidRDefault="00554FF9" w:rsidP="00554FF9">
      <w:pPr>
        <w:rPr>
          <w:rFonts w:ascii="Calibri" w:hAnsi="Calibri" w:cs="Calibri"/>
        </w:rPr>
      </w:pPr>
      <w:r>
        <w:rPr>
          <w:rFonts w:ascii="Calibri" w:hAnsi="Calibri" w:cs="Calibri"/>
        </w:rPr>
        <w:t>These principles ensure that government entities recover the costs of their services in a way that is fair, transparent, and aligned with government policy. The cost recovery model must be consistent with the high-level design approved by the Australian Government</w:t>
      </w:r>
      <w:r>
        <w:rPr>
          <w:rStyle w:val="FootnoteReference"/>
          <w:rFonts w:ascii="Calibri" w:hAnsi="Calibri" w:cs="Calibri"/>
        </w:rPr>
        <w:footnoteReference w:id="4"/>
      </w:r>
      <w:r>
        <w:rPr>
          <w:rFonts w:ascii="Calibri" w:hAnsi="Calibri" w:cs="Calibri"/>
        </w:rPr>
        <w:t xml:space="preserve"> and proportionate to the materiality, complexity, and sensitivity of the cost recovery activity, including: </w:t>
      </w:r>
    </w:p>
    <w:p w14:paraId="7B8A565D" w14:textId="660FF967" w:rsidR="00554FF9" w:rsidRDefault="00B33335" w:rsidP="00372E10">
      <w:pPr>
        <w:pStyle w:val="Bullet1"/>
      </w:pPr>
      <w:r>
        <w:t>c</w:t>
      </w:r>
      <w:r w:rsidR="00554FF9">
        <w:t>lear identification of the outputs and business processes involved in the delivery of regulatory activities</w:t>
      </w:r>
    </w:p>
    <w:p w14:paraId="05201A6F" w14:textId="0DDFC5C1" w:rsidR="00554FF9" w:rsidRDefault="00554FF9" w:rsidP="00372E10">
      <w:pPr>
        <w:pStyle w:val="Bullet1"/>
      </w:pPr>
      <w:r>
        <w:t>accurately assigning both direct and indirect costs, and reflecting those costs into defensible charges whether they be fee-for</w:t>
      </w:r>
      <w:r w:rsidR="00B33335">
        <w:t>-</w:t>
      </w:r>
      <w:r>
        <w:t xml:space="preserve">service or cost recovery levies based on the use of appropriate proxies </w:t>
      </w:r>
    </w:p>
    <w:p w14:paraId="3BA2D67D" w14:textId="77777777" w:rsidR="00554FF9" w:rsidRDefault="00554FF9" w:rsidP="00372E10">
      <w:pPr>
        <w:pStyle w:val="Bullet1"/>
      </w:pPr>
      <w:r>
        <w:t>tracking the alignment between expenses and revenue and generating timely performance reports to support decision-making and accountability.</w:t>
      </w:r>
    </w:p>
    <w:p w14:paraId="710B3BCB" w14:textId="77777777" w:rsidR="00554FF9" w:rsidRDefault="00554FF9" w:rsidP="00554FF9">
      <w:pPr>
        <w:rPr>
          <w:rFonts w:ascii="Calibri" w:hAnsi="Calibri" w:cs="Calibri"/>
        </w:rPr>
      </w:pPr>
      <w:r>
        <w:rPr>
          <w:rFonts w:ascii="Calibri" w:hAnsi="Calibri" w:cs="Calibri"/>
        </w:rPr>
        <w:t xml:space="preserve">Beyond financial accuracy, a robust cost recovery model enables agencies to improve operational efficiency, manage costs effectively, and demonstrate value for money to stakeholders. </w:t>
      </w:r>
    </w:p>
    <w:p w14:paraId="5701D866" w14:textId="77777777" w:rsidR="00554FF9" w:rsidRDefault="00554FF9" w:rsidP="00554FF9">
      <w:pPr>
        <w:rPr>
          <w:rFonts w:ascii="Calibri" w:hAnsi="Calibri" w:cs="Calibri"/>
        </w:rPr>
      </w:pPr>
      <w:r>
        <w:rPr>
          <w:rFonts w:ascii="Calibri" w:hAnsi="Calibri" w:cs="Calibri"/>
        </w:rPr>
        <w:t xml:space="preserve">It supports transparency by clearly showing how charges are calculated and ensures that cost recovery arrangements are legally defensible. </w:t>
      </w:r>
    </w:p>
    <w:p w14:paraId="7CD7B26B" w14:textId="7CB66234" w:rsidR="00554FF9" w:rsidRDefault="00554FF9" w:rsidP="00554FF9">
      <w:pPr>
        <w:rPr>
          <w:rFonts w:ascii="Calibri" w:hAnsi="Calibri" w:cs="Calibri"/>
        </w:rPr>
      </w:pPr>
      <w:r>
        <w:rPr>
          <w:rFonts w:ascii="Calibri" w:hAnsi="Calibri" w:cs="Calibri"/>
        </w:rPr>
        <w:t xml:space="preserve">Importantly, it fosters cost consciousness within </w:t>
      </w:r>
      <w:r w:rsidR="00B33335">
        <w:rPr>
          <w:rFonts w:ascii="Calibri" w:hAnsi="Calibri" w:cs="Calibri"/>
        </w:rPr>
        <w:t>government entities</w:t>
      </w:r>
      <w:r>
        <w:rPr>
          <w:rFonts w:ascii="Calibri" w:hAnsi="Calibri" w:cs="Calibri"/>
        </w:rPr>
        <w:t xml:space="preserve">, encouraging benchmarking against similar services in Australia and internationally. This not only promotes productivity but also strengthens </w:t>
      </w:r>
      <w:r w:rsidR="00B33335">
        <w:rPr>
          <w:rFonts w:ascii="Calibri" w:hAnsi="Calibri" w:cs="Calibri"/>
        </w:rPr>
        <w:t>an</w:t>
      </w:r>
      <w:r>
        <w:rPr>
          <w:rFonts w:ascii="Calibri" w:hAnsi="Calibri" w:cs="Calibri"/>
        </w:rPr>
        <w:t xml:space="preserve"> </w:t>
      </w:r>
      <w:r w:rsidR="00B33335">
        <w:rPr>
          <w:rFonts w:ascii="Calibri" w:hAnsi="Calibri" w:cs="Calibri"/>
        </w:rPr>
        <w:t>entity</w:t>
      </w:r>
      <w:r>
        <w:rPr>
          <w:rFonts w:ascii="Calibri" w:hAnsi="Calibri" w:cs="Calibri"/>
        </w:rPr>
        <w:t>’s ability to adapt and respond to future changes in demand, policy, or service delivery.</w:t>
      </w:r>
    </w:p>
    <w:p w14:paraId="79E4AC40" w14:textId="322E07CE" w:rsidR="00554FF9" w:rsidRPr="000B2CF8" w:rsidRDefault="00554FF9" w:rsidP="00B5108D">
      <w:pPr>
        <w:pStyle w:val="Heading1"/>
        <w:rPr>
          <w:u w:val="single"/>
        </w:rPr>
      </w:pPr>
      <w:bookmarkStart w:id="10" w:name="_Toc201043444"/>
      <w:r w:rsidRPr="000B2CF8">
        <w:rPr>
          <w:u w:val="single"/>
        </w:rPr>
        <w:lastRenderedPageBreak/>
        <w:t xml:space="preserve">Current </w:t>
      </w:r>
      <w:r w:rsidR="00EB0454">
        <w:rPr>
          <w:u w:val="single"/>
        </w:rPr>
        <w:t>c</w:t>
      </w:r>
      <w:r w:rsidRPr="000B2CF8">
        <w:rPr>
          <w:u w:val="single"/>
        </w:rPr>
        <w:t xml:space="preserve">ost </w:t>
      </w:r>
      <w:r w:rsidR="00EB0454">
        <w:rPr>
          <w:u w:val="single"/>
        </w:rPr>
        <w:t>r</w:t>
      </w:r>
      <w:r w:rsidRPr="000B2CF8">
        <w:rPr>
          <w:u w:val="single"/>
        </w:rPr>
        <w:t xml:space="preserve">ecovery </w:t>
      </w:r>
      <w:r w:rsidR="00EB0454">
        <w:rPr>
          <w:u w:val="single"/>
        </w:rPr>
        <w:t>a</w:t>
      </w:r>
      <w:r w:rsidRPr="000B2CF8">
        <w:rPr>
          <w:u w:val="single"/>
        </w:rPr>
        <w:t>rrangements</w:t>
      </w:r>
      <w:bookmarkEnd w:id="9"/>
      <w:bookmarkEnd w:id="10"/>
    </w:p>
    <w:p w14:paraId="54B11D58" w14:textId="170F5F44" w:rsidR="00554FF9" w:rsidRDefault="00554FF9" w:rsidP="00554FF9">
      <w:pPr>
        <w:rPr>
          <w:rFonts w:ascii="Calibri" w:hAnsi="Calibri" w:cs="Calibri"/>
        </w:rPr>
      </w:pPr>
      <w:r>
        <w:rPr>
          <w:rFonts w:ascii="Calibri" w:hAnsi="Calibri" w:cs="Calibri"/>
        </w:rPr>
        <w:t xml:space="preserve">The current cost recovery model for classification services is based on a fee-for-service structure, as outlined in the department’s 2018 CRIS. This model was developed in accordance with the AGCF and the AGCRP issued by the Department of Finance. </w:t>
      </w:r>
    </w:p>
    <w:p w14:paraId="6132654F" w14:textId="3FD30FC7" w:rsidR="007D460D" w:rsidRDefault="007D460D" w:rsidP="00554FF9">
      <w:pPr>
        <w:rPr>
          <w:rFonts w:ascii="Calibri" w:hAnsi="Calibri" w:cs="Calibri"/>
        </w:rPr>
      </w:pPr>
      <w:r>
        <w:rPr>
          <w:rFonts w:ascii="Calibri" w:hAnsi="Calibri" w:cs="Calibri"/>
        </w:rPr>
        <w:t>The AGCF provides that where an individual or organisation creates a demand for a government activity, the recipients of those activities should be charged some or all of the costs of those activities, according to Australian Government policy decisions. This approach helps maintain financial sustainability of regulatory and non-regulatory services and ensures that the costs are fairly distributed among those who create the demand for a specific regulatory service.</w:t>
      </w:r>
    </w:p>
    <w:p w14:paraId="6F110185" w14:textId="6ED9EC9C" w:rsidR="00554FF9" w:rsidRDefault="00554FF9" w:rsidP="00006F02">
      <w:pPr>
        <w:pStyle w:val="Heading2"/>
        <w:rPr>
          <w:rFonts w:eastAsiaTheme="minorHAnsi"/>
        </w:rPr>
      </w:pPr>
      <w:bookmarkStart w:id="11" w:name="_Toc201043445"/>
      <w:r>
        <w:rPr>
          <w:rFonts w:eastAsiaTheme="minorHAnsi"/>
        </w:rPr>
        <w:t xml:space="preserve">Fee </w:t>
      </w:r>
      <w:r w:rsidR="00EB0454">
        <w:rPr>
          <w:rFonts w:eastAsiaTheme="minorHAnsi"/>
        </w:rPr>
        <w:t>s</w:t>
      </w:r>
      <w:r>
        <w:rPr>
          <w:rFonts w:eastAsiaTheme="minorHAnsi"/>
        </w:rPr>
        <w:t>tructure</w:t>
      </w:r>
      <w:bookmarkEnd w:id="11"/>
    </w:p>
    <w:p w14:paraId="30251A8C" w14:textId="2316D278" w:rsidR="00300E3F" w:rsidRDefault="00300E3F" w:rsidP="00300E3F">
      <w:pPr>
        <w:rPr>
          <w:rFonts w:ascii="Calibri" w:hAnsi="Calibri" w:cs="Calibri"/>
        </w:rPr>
      </w:pPr>
      <w:r>
        <w:rPr>
          <w:rFonts w:ascii="Calibri" w:hAnsi="Calibri" w:cs="Calibri"/>
        </w:rPr>
        <w:t>As stated in the 2018 CRIS, the cost</w:t>
      </w:r>
      <w:r w:rsidR="001C60BC">
        <w:rPr>
          <w:rFonts w:ascii="Calibri" w:hAnsi="Calibri" w:cs="Calibri"/>
        </w:rPr>
        <w:t>s</w:t>
      </w:r>
      <w:r>
        <w:rPr>
          <w:rFonts w:ascii="Calibri" w:hAnsi="Calibri" w:cs="Calibri"/>
        </w:rPr>
        <w:t xml:space="preserve"> of supporting the Boards are partly recovered through classification fees. </w:t>
      </w:r>
    </w:p>
    <w:p w14:paraId="7A74394F" w14:textId="2ED9DE22" w:rsidR="00554FF9" w:rsidRDefault="00554FF9" w:rsidP="00554FF9">
      <w:pPr>
        <w:rPr>
          <w:rFonts w:ascii="Calibri" w:hAnsi="Calibri" w:cs="Calibri"/>
        </w:rPr>
      </w:pPr>
      <w:r>
        <w:rPr>
          <w:rFonts w:ascii="Calibri" w:hAnsi="Calibri" w:cs="Calibri"/>
        </w:rPr>
        <w:t xml:space="preserve">The Act provides that fees may be </w:t>
      </w:r>
      <w:r w:rsidR="00E64D15">
        <w:rPr>
          <w:rFonts w:ascii="Calibri" w:hAnsi="Calibri" w:cs="Calibri"/>
        </w:rPr>
        <w:t xml:space="preserve">prescribed </w:t>
      </w:r>
      <w:r>
        <w:rPr>
          <w:rFonts w:ascii="Calibri" w:hAnsi="Calibri" w:cs="Calibri"/>
        </w:rPr>
        <w:t>for a range of classification</w:t>
      </w:r>
      <w:r w:rsidR="00E64D15">
        <w:rPr>
          <w:rFonts w:ascii="Calibri" w:hAnsi="Calibri" w:cs="Calibri"/>
        </w:rPr>
        <w:t xml:space="preserve"> services</w:t>
      </w:r>
      <w:r>
        <w:rPr>
          <w:rFonts w:ascii="Calibri" w:hAnsi="Calibri" w:cs="Calibri"/>
        </w:rPr>
        <w:t>, including:</w:t>
      </w:r>
    </w:p>
    <w:p w14:paraId="57C77E6A" w14:textId="52143060" w:rsidR="00554FF9" w:rsidRDefault="0082419F" w:rsidP="00372E10">
      <w:pPr>
        <w:pStyle w:val="Bullet1"/>
      </w:pPr>
      <w:r>
        <w:t>applying to classify a</w:t>
      </w:r>
      <w:r w:rsidR="00554FF9">
        <w:t xml:space="preserve"> film, computer game, </w:t>
      </w:r>
      <w:r>
        <w:t xml:space="preserve">or </w:t>
      </w:r>
      <w:r w:rsidR="00554FF9">
        <w:t>publication</w:t>
      </w:r>
    </w:p>
    <w:p w14:paraId="1B4985F2" w14:textId="6BA92F30" w:rsidR="00554FF9" w:rsidRDefault="00BB7677" w:rsidP="00372E10">
      <w:pPr>
        <w:pStyle w:val="Bullet1"/>
      </w:pPr>
      <w:r>
        <w:t>t</w:t>
      </w:r>
      <w:r w:rsidR="00554FF9">
        <w:t xml:space="preserve">raining </w:t>
      </w:r>
      <w:r w:rsidR="0082419F">
        <w:t xml:space="preserve">to become an </w:t>
      </w:r>
      <w:r w:rsidR="00736876">
        <w:t>a</w:t>
      </w:r>
      <w:r w:rsidR="00554FF9">
        <w:t xml:space="preserve">uthorised </w:t>
      </w:r>
      <w:r w:rsidR="0082419F">
        <w:t>a</w:t>
      </w:r>
      <w:r w:rsidR="00554FF9">
        <w:t>ssessor</w:t>
      </w:r>
      <w:r w:rsidR="0082419F">
        <w:t xml:space="preserve"> or accredited classifier</w:t>
      </w:r>
    </w:p>
    <w:p w14:paraId="608898D8" w14:textId="48AF5A95" w:rsidR="0082419F" w:rsidRDefault="0082419F" w:rsidP="00372E10">
      <w:pPr>
        <w:pStyle w:val="Bullet1"/>
      </w:pPr>
      <w:r>
        <w:t>applying to be accredited to classify films and/or computer games</w:t>
      </w:r>
    </w:p>
    <w:p w14:paraId="0A32F301" w14:textId="78917DD4" w:rsidR="0082419F" w:rsidRDefault="0082419F" w:rsidP="00372E10">
      <w:pPr>
        <w:pStyle w:val="Bullet1"/>
      </w:pPr>
      <w:r>
        <w:t>making a classification tool decision</w:t>
      </w:r>
    </w:p>
    <w:p w14:paraId="6EA45BCB" w14:textId="17B25563" w:rsidR="00554FF9" w:rsidRDefault="0082419F" w:rsidP="00372E10">
      <w:pPr>
        <w:pStyle w:val="Bullet1"/>
      </w:pPr>
      <w:r>
        <w:t>applying for</w:t>
      </w:r>
      <w:r w:rsidR="00554FF9">
        <w:t xml:space="preserve"> </w:t>
      </w:r>
      <w:r w:rsidR="00F73F31">
        <w:t>a</w:t>
      </w:r>
      <w:r w:rsidR="00554FF9">
        <w:t xml:space="preserve">pproval of </w:t>
      </w:r>
      <w:r w:rsidR="00F73F31">
        <w:t>a</w:t>
      </w:r>
      <w:r w:rsidR="00554FF9">
        <w:t xml:space="preserve">dvertisements </w:t>
      </w:r>
      <w:r w:rsidR="007A4754">
        <w:rPr>
          <w:lang w:val="en-AU"/>
        </w:rPr>
        <w:t xml:space="preserve">for </w:t>
      </w:r>
      <w:r w:rsidR="00554FF9">
        <w:t>unclassified films and unclassified computer games</w:t>
      </w:r>
    </w:p>
    <w:p w14:paraId="32627481" w14:textId="146B5DC9" w:rsidR="00554FF9" w:rsidRDefault="00086268" w:rsidP="00372E10">
      <w:pPr>
        <w:pStyle w:val="Bullet1"/>
      </w:pPr>
      <w:r>
        <w:t>applying to revoke a tool or accredited classifier decision</w:t>
      </w:r>
      <w:r w:rsidR="0082419F">
        <w:t xml:space="preserve"> </w:t>
      </w:r>
    </w:p>
    <w:p w14:paraId="061C5926" w14:textId="193ACCBF" w:rsidR="00554FF9" w:rsidRDefault="0082419F" w:rsidP="00372E10">
      <w:pPr>
        <w:pStyle w:val="Bullet1"/>
      </w:pPr>
      <w:r>
        <w:t xml:space="preserve">applying </w:t>
      </w:r>
      <w:r w:rsidR="000B20C0">
        <w:t xml:space="preserve">to the Review Board </w:t>
      </w:r>
      <w:r>
        <w:t xml:space="preserve">for a </w:t>
      </w:r>
      <w:r w:rsidR="00BB7677">
        <w:t>r</w:t>
      </w:r>
      <w:r w:rsidR="00554FF9">
        <w:t xml:space="preserve">eview of </w:t>
      </w:r>
      <w:r>
        <w:t xml:space="preserve">a </w:t>
      </w:r>
      <w:r w:rsidR="00B02CF2">
        <w:t>c</w:t>
      </w:r>
      <w:r w:rsidR="00554FF9">
        <w:t>lassification</w:t>
      </w:r>
      <w:r w:rsidR="00F73F31">
        <w:t xml:space="preserve"> decision</w:t>
      </w:r>
    </w:p>
    <w:p w14:paraId="0894C9F2" w14:textId="2CC991E7" w:rsidR="00554FF9" w:rsidRDefault="0082419F" w:rsidP="00372E10">
      <w:pPr>
        <w:pStyle w:val="Bullet1"/>
      </w:pPr>
      <w:r>
        <w:t xml:space="preserve">applying for a </w:t>
      </w:r>
      <w:r w:rsidR="00BB7677">
        <w:t>s</w:t>
      </w:r>
      <w:r w:rsidR="00554FF9">
        <w:t>ection 87 (</w:t>
      </w:r>
      <w:r>
        <w:t>e</w:t>
      </w:r>
      <w:r w:rsidR="00554FF9">
        <w:t xml:space="preserve">videntiary) </w:t>
      </w:r>
      <w:r w:rsidR="00B02CF2">
        <w:t>c</w:t>
      </w:r>
      <w:r w:rsidR="00554FF9">
        <w:t>ertificate</w:t>
      </w:r>
    </w:p>
    <w:p w14:paraId="4F13F2CC" w14:textId="196FD375" w:rsidR="00554FF9" w:rsidRDefault="0082419F" w:rsidP="00372E10">
      <w:pPr>
        <w:pStyle w:val="Bullet1"/>
      </w:pPr>
      <w:r>
        <w:t xml:space="preserve">applying for </w:t>
      </w:r>
      <w:r w:rsidR="00D6338A">
        <w:t>a</w:t>
      </w:r>
      <w:r>
        <w:t xml:space="preserve"> </w:t>
      </w:r>
      <w:r w:rsidR="00C16291">
        <w:t xml:space="preserve">classification </w:t>
      </w:r>
      <w:r w:rsidR="00F73F31">
        <w:t>c</w:t>
      </w:r>
      <w:r w:rsidR="00554FF9">
        <w:t>ertificate</w:t>
      </w:r>
      <w:r w:rsidR="00A91758">
        <w:t xml:space="preserve"> or a notice</w:t>
      </w:r>
    </w:p>
    <w:p w14:paraId="4B566A8E" w14:textId="2E299959" w:rsidR="00554FF9" w:rsidRDefault="0082419F" w:rsidP="00372E10">
      <w:pPr>
        <w:pStyle w:val="Bullet1"/>
      </w:pPr>
      <w:r>
        <w:t xml:space="preserve">applying for a </w:t>
      </w:r>
      <w:r w:rsidR="00BB7677">
        <w:t>t</w:t>
      </w:r>
      <w:r w:rsidR="00554FF9">
        <w:t xml:space="preserve">itle </w:t>
      </w:r>
      <w:r w:rsidR="00BB7677">
        <w:t>c</w:t>
      </w:r>
      <w:r w:rsidR="00554FF9">
        <w:t xml:space="preserve">hange for </w:t>
      </w:r>
      <w:r>
        <w:t xml:space="preserve">a </w:t>
      </w:r>
      <w:r w:rsidR="00F73F31">
        <w:t>f</w:t>
      </w:r>
      <w:r w:rsidR="00554FF9">
        <w:t xml:space="preserve">ilm, </w:t>
      </w:r>
      <w:r w:rsidR="00F73F31">
        <w:t xml:space="preserve">computer game </w:t>
      </w:r>
      <w:r>
        <w:t xml:space="preserve">or </w:t>
      </w:r>
      <w:r w:rsidR="00F73F31">
        <w:t>publication</w:t>
      </w:r>
    </w:p>
    <w:p w14:paraId="4D429962" w14:textId="1DD84A47" w:rsidR="00554FF9" w:rsidRDefault="0082419F" w:rsidP="00372E10">
      <w:pPr>
        <w:pStyle w:val="Bullet1"/>
      </w:pPr>
      <w:r>
        <w:t xml:space="preserve">applying for </w:t>
      </w:r>
      <w:r w:rsidR="00BB7677">
        <w:t>p</w:t>
      </w:r>
      <w:r w:rsidR="00554FF9">
        <w:t xml:space="preserve">riority </w:t>
      </w:r>
      <w:r w:rsidR="00BB7677">
        <w:t>p</w:t>
      </w:r>
      <w:r w:rsidR="00554FF9">
        <w:t>rocessing</w:t>
      </w:r>
      <w:r w:rsidR="00F73F31">
        <w:t xml:space="preserve"> of </w:t>
      </w:r>
      <w:r>
        <w:t xml:space="preserve">an </w:t>
      </w:r>
      <w:r w:rsidR="00F73F31">
        <w:t>application</w:t>
      </w:r>
      <w:r>
        <w:t xml:space="preserve"> to classify a </w:t>
      </w:r>
      <w:r w:rsidR="00F73F31">
        <w:t>film</w:t>
      </w:r>
      <w:r w:rsidR="00C16291">
        <w:t xml:space="preserve"> or</w:t>
      </w:r>
      <w:r w:rsidR="00F73F31">
        <w:t xml:space="preserve"> computer game</w:t>
      </w:r>
      <w:r w:rsidR="000B20C0">
        <w:t>; and</w:t>
      </w:r>
      <w:r w:rsidR="008535E4">
        <w:rPr>
          <w:lang w:val="en-AU"/>
        </w:rPr>
        <w:t>,</w:t>
      </w:r>
    </w:p>
    <w:p w14:paraId="0158D972" w14:textId="447912A7" w:rsidR="000B20C0" w:rsidRDefault="000B20C0" w:rsidP="00372E10">
      <w:pPr>
        <w:pStyle w:val="Bullet1"/>
      </w:pPr>
      <w:r>
        <w:t>applying to be a registered event or approved cultural institution that may display classified material, and such organisations applying for a conditional cultural exemption from certain classification requirements</w:t>
      </w:r>
      <w:r w:rsidR="000F3C32">
        <w:t>.</w:t>
      </w:r>
    </w:p>
    <w:p w14:paraId="0845E91C" w14:textId="3D85B9AB" w:rsidR="00554FF9" w:rsidRDefault="00554FF9" w:rsidP="00554FF9">
      <w:pPr>
        <w:rPr>
          <w:rFonts w:ascii="Calibri" w:hAnsi="Calibri" w:cs="Calibri"/>
        </w:rPr>
      </w:pPr>
      <w:r>
        <w:rPr>
          <w:rFonts w:ascii="Calibri" w:hAnsi="Calibri" w:cs="Calibri"/>
        </w:rPr>
        <w:t xml:space="preserve">The fees are prescribed </w:t>
      </w:r>
      <w:r w:rsidR="00E64D15">
        <w:rPr>
          <w:rFonts w:ascii="Calibri" w:hAnsi="Calibri" w:cs="Calibri"/>
        </w:rPr>
        <w:t xml:space="preserve">in </w:t>
      </w:r>
      <w:r>
        <w:rPr>
          <w:rFonts w:ascii="Calibri" w:hAnsi="Calibri" w:cs="Calibri"/>
        </w:rPr>
        <w:t>the</w:t>
      </w:r>
      <w:r w:rsidR="00F73F31">
        <w:rPr>
          <w:rFonts w:ascii="Calibri" w:hAnsi="Calibri" w:cs="Calibri"/>
        </w:rPr>
        <w:t xml:space="preserve"> </w:t>
      </w:r>
      <w:r w:rsidR="00F73F31" w:rsidRPr="00006F02">
        <w:rPr>
          <w:rFonts w:ascii="Calibri" w:hAnsi="Calibri" w:cs="Calibri"/>
          <w:i/>
        </w:rPr>
        <w:t>Classification (Publications, Films and Computer Games) Regulations 2005</w:t>
      </w:r>
      <w:r>
        <w:rPr>
          <w:rFonts w:ascii="Calibri" w:hAnsi="Calibri" w:cs="Calibri"/>
        </w:rPr>
        <w:t xml:space="preserve"> </w:t>
      </w:r>
      <w:r w:rsidR="00F73F31">
        <w:rPr>
          <w:rFonts w:ascii="Calibri" w:hAnsi="Calibri" w:cs="Calibri"/>
        </w:rPr>
        <w:t>(</w:t>
      </w:r>
      <w:r>
        <w:rPr>
          <w:rFonts w:ascii="Calibri" w:hAnsi="Calibri" w:cs="Calibri"/>
        </w:rPr>
        <w:t xml:space="preserve">Classification </w:t>
      </w:r>
      <w:r w:rsidR="00F73F31">
        <w:rPr>
          <w:rFonts w:ascii="Calibri" w:hAnsi="Calibri" w:cs="Calibri"/>
        </w:rPr>
        <w:t>R</w:t>
      </w:r>
      <w:r>
        <w:rPr>
          <w:rFonts w:ascii="Calibri" w:hAnsi="Calibri" w:cs="Calibri"/>
        </w:rPr>
        <w:t>egulations</w:t>
      </w:r>
      <w:r w:rsidR="00F73F31">
        <w:rPr>
          <w:rFonts w:ascii="Calibri" w:hAnsi="Calibri" w:cs="Calibri"/>
        </w:rPr>
        <w:t>)</w:t>
      </w:r>
      <w:r>
        <w:rPr>
          <w:rFonts w:ascii="Calibri" w:hAnsi="Calibri" w:cs="Calibri"/>
        </w:rPr>
        <w:t xml:space="preserve">. </w:t>
      </w:r>
    </w:p>
    <w:p w14:paraId="7D0C998E" w14:textId="39C74B2D" w:rsidR="00554FF9" w:rsidRDefault="00554FF9" w:rsidP="00554FF9">
      <w:pPr>
        <w:rPr>
          <w:rFonts w:ascii="Calibri" w:hAnsi="Calibri" w:cs="Calibri"/>
        </w:rPr>
      </w:pPr>
      <w:r>
        <w:rPr>
          <w:rFonts w:ascii="Calibri" w:hAnsi="Calibri" w:cs="Calibri"/>
        </w:rPr>
        <w:t xml:space="preserve">The fee schedule </w:t>
      </w:r>
      <w:r w:rsidR="00E64D15">
        <w:rPr>
          <w:rFonts w:ascii="Calibri" w:hAnsi="Calibri" w:cs="Calibri"/>
        </w:rPr>
        <w:t xml:space="preserve">was </w:t>
      </w:r>
      <w:r w:rsidR="00EF6AB6">
        <w:rPr>
          <w:rFonts w:ascii="Calibri" w:hAnsi="Calibri" w:cs="Calibri"/>
        </w:rPr>
        <w:t xml:space="preserve">established </w:t>
      </w:r>
      <w:r w:rsidR="00E64D15">
        <w:rPr>
          <w:rFonts w:ascii="Calibri" w:hAnsi="Calibri" w:cs="Calibri"/>
        </w:rPr>
        <w:t>in 201</w:t>
      </w:r>
      <w:r w:rsidR="00EF6AB6">
        <w:rPr>
          <w:rFonts w:ascii="Calibri" w:hAnsi="Calibri" w:cs="Calibri"/>
        </w:rPr>
        <w:t>1</w:t>
      </w:r>
      <w:r w:rsidR="00E64D15">
        <w:rPr>
          <w:rFonts w:ascii="Calibri" w:hAnsi="Calibri" w:cs="Calibri"/>
        </w:rPr>
        <w:t xml:space="preserve"> and </w:t>
      </w:r>
      <w:r>
        <w:rPr>
          <w:rFonts w:ascii="Calibri" w:hAnsi="Calibri" w:cs="Calibri"/>
        </w:rPr>
        <w:t>is published in the 2018 CRIS and can be accessed on the Australian Classification website</w:t>
      </w:r>
      <w:r>
        <w:rPr>
          <w:rStyle w:val="FootnoteReference"/>
          <w:rFonts w:ascii="Calibri" w:hAnsi="Calibri" w:cs="Calibri"/>
        </w:rPr>
        <w:footnoteReference w:id="5"/>
      </w:r>
      <w:r>
        <w:rPr>
          <w:rFonts w:ascii="Calibri" w:hAnsi="Calibri" w:cs="Calibri"/>
        </w:rPr>
        <w:t>.</w:t>
      </w:r>
      <w:r w:rsidR="00DD6561">
        <w:rPr>
          <w:rFonts w:ascii="Calibri" w:hAnsi="Calibri" w:cs="Calibri"/>
        </w:rPr>
        <w:t xml:space="preserve"> The fee structure for applying for classification is based primarily on the format </w:t>
      </w:r>
      <w:r w:rsidR="002639BF">
        <w:rPr>
          <w:rFonts w:ascii="Calibri" w:hAnsi="Calibri" w:cs="Calibri"/>
        </w:rPr>
        <w:t xml:space="preserve">in </w:t>
      </w:r>
      <w:r w:rsidR="00DD6561">
        <w:rPr>
          <w:rFonts w:ascii="Calibri" w:hAnsi="Calibri" w:cs="Calibri"/>
        </w:rPr>
        <w:t xml:space="preserve">which the content to be classified will be distributed. The </w:t>
      </w:r>
      <w:r w:rsidR="00BC3AA3">
        <w:rPr>
          <w:rFonts w:ascii="Calibri" w:hAnsi="Calibri" w:cs="Calibri"/>
        </w:rPr>
        <w:t xml:space="preserve">fee </w:t>
      </w:r>
      <w:r w:rsidR="00DD6561">
        <w:rPr>
          <w:rFonts w:ascii="Calibri" w:hAnsi="Calibri" w:cs="Calibri"/>
        </w:rPr>
        <w:t xml:space="preserve">structure includes further differentiation based on the </w:t>
      </w:r>
      <w:r w:rsidR="00BC3AA3">
        <w:rPr>
          <w:rFonts w:ascii="Calibri" w:hAnsi="Calibri" w:cs="Calibri"/>
        </w:rPr>
        <w:t>duration</w:t>
      </w:r>
      <w:r w:rsidR="00DD6561">
        <w:rPr>
          <w:rFonts w:ascii="Calibri" w:hAnsi="Calibri" w:cs="Calibri"/>
        </w:rPr>
        <w:t xml:space="preserve"> for films and the number of pages for publications. The fee structure for applying to classify a computer game is </w:t>
      </w:r>
      <w:r w:rsidR="002639BF">
        <w:rPr>
          <w:rFonts w:ascii="Calibri" w:hAnsi="Calibri" w:cs="Calibri"/>
        </w:rPr>
        <w:t>dependent</w:t>
      </w:r>
      <w:r w:rsidR="00DD6561">
        <w:rPr>
          <w:rFonts w:ascii="Calibri" w:hAnsi="Calibri" w:cs="Calibri"/>
        </w:rPr>
        <w:t xml:space="preserve"> on </w:t>
      </w:r>
      <w:r w:rsidR="002639BF">
        <w:rPr>
          <w:rFonts w:ascii="Calibri" w:hAnsi="Calibri" w:cs="Calibri"/>
        </w:rPr>
        <w:t>whether gameplay footage is supplied with the application.</w:t>
      </w:r>
      <w:r w:rsidR="00DD6561">
        <w:rPr>
          <w:rFonts w:ascii="Calibri" w:hAnsi="Calibri" w:cs="Calibri"/>
        </w:rPr>
        <w:t xml:space="preserve"> </w:t>
      </w:r>
    </w:p>
    <w:p w14:paraId="65780443" w14:textId="39EBDADE" w:rsidR="00E64D15" w:rsidRDefault="00E64D15" w:rsidP="00554FF9">
      <w:pPr>
        <w:rPr>
          <w:rFonts w:ascii="Calibri" w:hAnsi="Calibri" w:cs="Calibri"/>
        </w:rPr>
      </w:pPr>
      <w:r>
        <w:rPr>
          <w:rFonts w:ascii="Calibri" w:hAnsi="Calibri" w:cs="Calibri"/>
        </w:rPr>
        <w:t xml:space="preserve">The Classification Regulations </w:t>
      </w:r>
      <w:r w:rsidR="00300E3F">
        <w:rPr>
          <w:rFonts w:ascii="Calibri" w:hAnsi="Calibri" w:cs="Calibri"/>
        </w:rPr>
        <w:t xml:space="preserve">currently </w:t>
      </w:r>
      <w:r>
        <w:rPr>
          <w:rFonts w:ascii="Calibri" w:hAnsi="Calibri" w:cs="Calibri"/>
        </w:rPr>
        <w:t>do no</w:t>
      </w:r>
      <w:r w:rsidR="00CD0FC9">
        <w:rPr>
          <w:rFonts w:ascii="Calibri" w:hAnsi="Calibri" w:cs="Calibri"/>
        </w:rPr>
        <w:t>t</w:t>
      </w:r>
      <w:r>
        <w:rPr>
          <w:rFonts w:ascii="Calibri" w:hAnsi="Calibri" w:cs="Calibri"/>
        </w:rPr>
        <w:t xml:space="preserve"> prescribe fees for </w:t>
      </w:r>
      <w:r w:rsidR="004C1816">
        <w:rPr>
          <w:rFonts w:ascii="Calibri" w:hAnsi="Calibri" w:cs="Calibri"/>
        </w:rPr>
        <w:t>some</w:t>
      </w:r>
      <w:r>
        <w:rPr>
          <w:rFonts w:ascii="Calibri" w:hAnsi="Calibri" w:cs="Calibri"/>
        </w:rPr>
        <w:t xml:space="preserve"> classification</w:t>
      </w:r>
      <w:r w:rsidR="004C1816">
        <w:rPr>
          <w:rFonts w:ascii="Calibri" w:hAnsi="Calibri" w:cs="Calibri"/>
        </w:rPr>
        <w:t>-related</w:t>
      </w:r>
      <w:r>
        <w:rPr>
          <w:rFonts w:ascii="Calibri" w:hAnsi="Calibri" w:cs="Calibri"/>
        </w:rPr>
        <w:t xml:space="preserve"> services, </w:t>
      </w:r>
      <w:r w:rsidR="004C1816">
        <w:rPr>
          <w:rFonts w:ascii="Calibri" w:hAnsi="Calibri" w:cs="Calibri"/>
        </w:rPr>
        <w:t xml:space="preserve">including </w:t>
      </w:r>
      <w:r>
        <w:rPr>
          <w:rFonts w:ascii="Calibri" w:hAnsi="Calibri" w:cs="Calibri"/>
        </w:rPr>
        <w:t>those related to reforms introduc</w:t>
      </w:r>
      <w:r w:rsidR="00C711F2">
        <w:rPr>
          <w:rFonts w:ascii="Calibri" w:hAnsi="Calibri" w:cs="Calibri"/>
        </w:rPr>
        <w:t>ing</w:t>
      </w:r>
      <w:r>
        <w:rPr>
          <w:rFonts w:ascii="Calibri" w:hAnsi="Calibri" w:cs="Calibri"/>
        </w:rPr>
        <w:t xml:space="preserve"> industry self-classification</w:t>
      </w:r>
      <w:r w:rsidR="00A24A78">
        <w:rPr>
          <w:rFonts w:ascii="Calibri" w:hAnsi="Calibri" w:cs="Calibri"/>
        </w:rPr>
        <w:t xml:space="preserve"> </w:t>
      </w:r>
      <w:r w:rsidR="00A24A78" w:rsidRPr="008A7753">
        <w:rPr>
          <w:rFonts w:ascii="Calibri" w:hAnsi="Calibri" w:cs="Calibri"/>
        </w:rPr>
        <w:t>such as training and accreditation</w:t>
      </w:r>
      <w:r w:rsidRPr="008A7753">
        <w:rPr>
          <w:rFonts w:ascii="Calibri" w:hAnsi="Calibri" w:cs="Calibri"/>
        </w:rPr>
        <w:t>.</w:t>
      </w:r>
      <w:r>
        <w:rPr>
          <w:rFonts w:ascii="Calibri" w:hAnsi="Calibri" w:cs="Calibri"/>
        </w:rPr>
        <w:t xml:space="preserve"> </w:t>
      </w:r>
      <w:r w:rsidR="000B20C0">
        <w:rPr>
          <w:rFonts w:ascii="Calibri" w:hAnsi="Calibri" w:cs="Calibri"/>
        </w:rPr>
        <w:t xml:space="preserve">Similarly, no fees relating to conditional cultural exemptions have been prescribed under </w:t>
      </w:r>
      <w:r w:rsidR="004C1816">
        <w:rPr>
          <w:rFonts w:ascii="Calibri" w:hAnsi="Calibri" w:cs="Calibri"/>
        </w:rPr>
        <w:t xml:space="preserve">the </w:t>
      </w:r>
      <w:r w:rsidR="004C1816" w:rsidRPr="004C1816">
        <w:rPr>
          <w:rFonts w:ascii="Calibri" w:hAnsi="Calibri" w:cs="Calibri"/>
          <w:i/>
        </w:rPr>
        <w:t>Classification (Publications, Films and Computer Games) (Conditional Cultural Exemption Rules) Instrument 2015</w:t>
      </w:r>
      <w:r w:rsidR="004C1816" w:rsidRPr="004C1816">
        <w:rPr>
          <w:rFonts w:ascii="Calibri" w:hAnsi="Calibri" w:cs="Calibri"/>
        </w:rPr>
        <w:t>.</w:t>
      </w:r>
    </w:p>
    <w:p w14:paraId="676BDA3D" w14:textId="25EC3236" w:rsidR="00554FF9" w:rsidRDefault="00EB0454" w:rsidP="00006F02">
      <w:pPr>
        <w:pStyle w:val="Heading2"/>
      </w:pPr>
      <w:bookmarkStart w:id="12" w:name="_Toc201043446"/>
      <w:r>
        <w:lastRenderedPageBreak/>
        <w:t>Non</w:t>
      </w:r>
      <w:r w:rsidR="003963F6">
        <w:t>-</w:t>
      </w:r>
      <w:r>
        <w:t>cost recovered</w:t>
      </w:r>
      <w:r w:rsidR="00554FF9">
        <w:t xml:space="preserve"> </w:t>
      </w:r>
      <w:r>
        <w:t>a</w:t>
      </w:r>
      <w:r w:rsidR="00554FF9">
        <w:t>ctivities</w:t>
      </w:r>
      <w:bookmarkEnd w:id="12"/>
    </w:p>
    <w:p w14:paraId="14D955E4" w14:textId="3620E2DB" w:rsidR="00FA5137" w:rsidRDefault="00FA5137" w:rsidP="00554FF9">
      <w:pPr>
        <w:rPr>
          <w:rFonts w:ascii="Calibri" w:hAnsi="Calibri" w:cs="Calibri"/>
        </w:rPr>
      </w:pPr>
      <w:r>
        <w:rPr>
          <w:rFonts w:ascii="Calibri" w:hAnsi="Calibri" w:cs="Calibri"/>
        </w:rPr>
        <w:t>Certain activities undertaken by the Branch and the Boards are business enabling activities and are not recoverable</w:t>
      </w:r>
      <w:r w:rsidR="00694BFA">
        <w:rPr>
          <w:rFonts w:ascii="Calibri" w:hAnsi="Calibri" w:cs="Calibri"/>
        </w:rPr>
        <w:t xml:space="preserve"> under the ACGF</w:t>
      </w:r>
      <w:r>
        <w:rPr>
          <w:rFonts w:ascii="Calibri" w:hAnsi="Calibri" w:cs="Calibri"/>
        </w:rPr>
        <w:t xml:space="preserve">, for example policy development and ministerial support, and are budget funded. </w:t>
      </w:r>
    </w:p>
    <w:p w14:paraId="2FA04787" w14:textId="0DA63527" w:rsidR="00554FF9" w:rsidRDefault="00FA5137" w:rsidP="00554FF9">
      <w:pPr>
        <w:rPr>
          <w:rFonts w:ascii="Calibri" w:hAnsi="Calibri" w:cs="Calibri"/>
        </w:rPr>
      </w:pPr>
      <w:r>
        <w:rPr>
          <w:rFonts w:ascii="Calibri" w:hAnsi="Calibri" w:cs="Calibri"/>
        </w:rPr>
        <w:t xml:space="preserve">In addition, certain regulatory activities </w:t>
      </w:r>
      <w:r w:rsidR="00554FF9">
        <w:rPr>
          <w:rFonts w:ascii="Calibri" w:hAnsi="Calibri" w:cs="Calibri"/>
        </w:rPr>
        <w:t xml:space="preserve">undertaken by the </w:t>
      </w:r>
      <w:r>
        <w:rPr>
          <w:rFonts w:ascii="Calibri" w:hAnsi="Calibri" w:cs="Calibri"/>
        </w:rPr>
        <w:t>Branch</w:t>
      </w:r>
      <w:r w:rsidR="00554FF9">
        <w:rPr>
          <w:rFonts w:ascii="Calibri" w:hAnsi="Calibri" w:cs="Calibri"/>
        </w:rPr>
        <w:t xml:space="preserve"> or the Board</w:t>
      </w:r>
      <w:r>
        <w:rPr>
          <w:rFonts w:ascii="Calibri" w:hAnsi="Calibri" w:cs="Calibri"/>
        </w:rPr>
        <w:t>s</w:t>
      </w:r>
      <w:r w:rsidR="00554FF9">
        <w:rPr>
          <w:rFonts w:ascii="Calibri" w:hAnsi="Calibri" w:cs="Calibri"/>
        </w:rPr>
        <w:t xml:space="preserve"> </w:t>
      </w:r>
      <w:r>
        <w:rPr>
          <w:rFonts w:ascii="Calibri" w:hAnsi="Calibri" w:cs="Calibri"/>
        </w:rPr>
        <w:t xml:space="preserve">are not recovered or partially recovered </w:t>
      </w:r>
      <w:r w:rsidR="00554FF9">
        <w:rPr>
          <w:rFonts w:ascii="Calibri" w:hAnsi="Calibri" w:cs="Calibri"/>
        </w:rPr>
        <w:t>through fees</w:t>
      </w:r>
      <w:r w:rsidR="00694BFA">
        <w:rPr>
          <w:rFonts w:ascii="Calibri" w:hAnsi="Calibri" w:cs="Calibri"/>
        </w:rPr>
        <w:t xml:space="preserve">, as services provided for </w:t>
      </w:r>
      <w:r w:rsidR="008535E4">
        <w:rPr>
          <w:rFonts w:ascii="Calibri" w:hAnsi="Calibri" w:cs="Calibri"/>
        </w:rPr>
        <w:t>g</w:t>
      </w:r>
      <w:r w:rsidR="00694BFA">
        <w:rPr>
          <w:rFonts w:ascii="Calibri" w:hAnsi="Calibri" w:cs="Calibri"/>
        </w:rPr>
        <w:t xml:space="preserve">overnment, community and industry, such as: </w:t>
      </w:r>
    </w:p>
    <w:p w14:paraId="5330D3F5" w14:textId="2266FBD1" w:rsidR="009B6114" w:rsidRDefault="009B6114" w:rsidP="009B6114">
      <w:pPr>
        <w:pStyle w:val="Bullet1"/>
      </w:pPr>
      <w:r>
        <w:t>classification of publications, films and computer games for enforcement purposes</w:t>
      </w:r>
    </w:p>
    <w:p w14:paraId="13402CFB" w14:textId="77777777" w:rsidR="009B6114" w:rsidRPr="00272EEF" w:rsidRDefault="009B6114" w:rsidP="009B6114">
      <w:pPr>
        <w:pStyle w:val="Bullet1"/>
      </w:pPr>
      <w:r w:rsidRPr="00272EEF">
        <w:t>exemptions for unclassified films for cultural events</w:t>
      </w:r>
    </w:p>
    <w:p w14:paraId="200A5DE5" w14:textId="77777777" w:rsidR="009B6114" w:rsidRDefault="009B6114" w:rsidP="009B6114">
      <w:pPr>
        <w:pStyle w:val="Bullet1"/>
      </w:pPr>
      <w:r>
        <w:t>classification services for which payment of all or part of the fees is waived such as public interest cases, and</w:t>
      </w:r>
    </w:p>
    <w:p w14:paraId="1C3AD0F2" w14:textId="0C8B52A2" w:rsidR="00554FF9" w:rsidRDefault="009B6114" w:rsidP="009B6114">
      <w:pPr>
        <w:pStyle w:val="Bullet1"/>
      </w:pPr>
      <w:r>
        <w:t>processing of permission to import/export applications.</w:t>
      </w:r>
    </w:p>
    <w:p w14:paraId="176E91F5" w14:textId="51632905" w:rsidR="00554FF9" w:rsidRPr="000B2CF8" w:rsidRDefault="00117F87" w:rsidP="00006F02">
      <w:pPr>
        <w:pStyle w:val="Heading1"/>
        <w:rPr>
          <w:u w:val="single"/>
        </w:rPr>
      </w:pPr>
      <w:bookmarkStart w:id="13" w:name="_Toc200122167"/>
      <w:bookmarkStart w:id="14" w:name="_Toc201043447"/>
      <w:r>
        <w:rPr>
          <w:u w:val="single"/>
        </w:rPr>
        <w:t xml:space="preserve">Implications for </w:t>
      </w:r>
      <w:r w:rsidR="00EB0454">
        <w:rPr>
          <w:u w:val="single"/>
        </w:rPr>
        <w:t>c</w:t>
      </w:r>
      <w:r>
        <w:rPr>
          <w:u w:val="single"/>
        </w:rPr>
        <w:t>ost</w:t>
      </w:r>
      <w:bookmarkEnd w:id="13"/>
      <w:r>
        <w:rPr>
          <w:u w:val="single"/>
        </w:rPr>
        <w:t xml:space="preserve"> </w:t>
      </w:r>
      <w:r w:rsidR="00EB0454">
        <w:rPr>
          <w:u w:val="single"/>
        </w:rPr>
        <w:t>r</w:t>
      </w:r>
      <w:r>
        <w:rPr>
          <w:u w:val="single"/>
        </w:rPr>
        <w:t>ecovery</w:t>
      </w:r>
      <w:bookmarkEnd w:id="14"/>
    </w:p>
    <w:p w14:paraId="0A4868B2" w14:textId="5A3D4C12" w:rsidR="00117F87" w:rsidRDefault="00554FF9" w:rsidP="00554FF9">
      <w:pPr>
        <w:rPr>
          <w:rFonts w:ascii="Calibri" w:hAnsi="Calibri" w:cs="Calibri"/>
        </w:rPr>
      </w:pPr>
      <w:r>
        <w:rPr>
          <w:rFonts w:ascii="Calibri" w:hAnsi="Calibri" w:cs="Calibri"/>
        </w:rPr>
        <w:t>As the Scheme has been modernised, several operational and financial impacts have emerged.</w:t>
      </w:r>
      <w:r w:rsidR="00117F87">
        <w:rPr>
          <w:rFonts w:ascii="Calibri" w:hAnsi="Calibri" w:cs="Calibri"/>
        </w:rPr>
        <w:t xml:space="preserve"> These changes have significantly altered the cost structure of </w:t>
      </w:r>
      <w:r w:rsidR="0093791C">
        <w:rPr>
          <w:rFonts w:ascii="Calibri" w:hAnsi="Calibri" w:cs="Calibri"/>
        </w:rPr>
        <w:t>modern</w:t>
      </w:r>
      <w:r w:rsidR="00117F87">
        <w:rPr>
          <w:rFonts w:ascii="Calibri" w:hAnsi="Calibri" w:cs="Calibri"/>
        </w:rPr>
        <w:t xml:space="preserve"> service delivery. </w:t>
      </w:r>
    </w:p>
    <w:p w14:paraId="4A0EB127" w14:textId="1FCACB08" w:rsidR="00FF44FA" w:rsidRPr="00335AFB" w:rsidRDefault="00554FF9" w:rsidP="00554FF9">
      <w:pPr>
        <w:rPr>
          <w:rFonts w:ascii="Calibri" w:hAnsi="Calibri" w:cs="Calibri"/>
        </w:rPr>
      </w:pPr>
      <w:r>
        <w:rPr>
          <w:rFonts w:ascii="Calibri" w:hAnsi="Calibri" w:cs="Calibri"/>
        </w:rPr>
        <w:t xml:space="preserve">While efficiencies have been gained through automation and digitalisation, </w:t>
      </w:r>
      <w:r w:rsidR="00117F87">
        <w:rPr>
          <w:rFonts w:ascii="Calibri" w:hAnsi="Calibri" w:cs="Calibri"/>
        </w:rPr>
        <w:t xml:space="preserve">other areas have seen increased </w:t>
      </w:r>
      <w:r w:rsidR="00117F87" w:rsidRPr="00335AFB">
        <w:rPr>
          <w:rFonts w:ascii="Calibri" w:hAnsi="Calibri" w:cs="Calibri"/>
        </w:rPr>
        <w:t>resource demands as a result of reforms</w:t>
      </w:r>
      <w:r w:rsidR="003E29CC" w:rsidRPr="00335AFB">
        <w:rPr>
          <w:rFonts w:ascii="Calibri" w:hAnsi="Calibri" w:cs="Calibri"/>
        </w:rPr>
        <w:t>.</w:t>
      </w:r>
      <w:r w:rsidRPr="00335AFB">
        <w:rPr>
          <w:rFonts w:ascii="Calibri" w:hAnsi="Calibri" w:cs="Calibri"/>
        </w:rPr>
        <w:t xml:space="preserve"> </w:t>
      </w:r>
    </w:p>
    <w:p w14:paraId="0134D856" w14:textId="03F45700" w:rsidR="00FF44FA" w:rsidRDefault="00FF44FA" w:rsidP="00554FF9">
      <w:pPr>
        <w:rPr>
          <w:rFonts w:ascii="Calibri" w:hAnsi="Calibri" w:cs="Calibri"/>
        </w:rPr>
      </w:pPr>
      <w:r w:rsidRPr="00335AFB">
        <w:rPr>
          <w:rFonts w:ascii="Calibri" w:hAnsi="Calibri" w:cs="Calibri"/>
        </w:rPr>
        <w:t xml:space="preserve">The current cost recovery arrangements, developed prior to the recent reforms, did not fully anticipate the new and ongoing costs associated with modern service delivery. As a result, they no longer accurately reflect the actual cost of providing services or the equitable distribution of those costs across different user groups. A comprehensive review and redesign of the model </w:t>
      </w:r>
      <w:r w:rsidR="0093791C" w:rsidRPr="00335AFB">
        <w:rPr>
          <w:rFonts w:ascii="Calibri" w:hAnsi="Calibri" w:cs="Calibri"/>
        </w:rPr>
        <w:t>needs to be considered</w:t>
      </w:r>
      <w:r w:rsidRPr="00335AFB">
        <w:rPr>
          <w:rFonts w:ascii="Calibri" w:hAnsi="Calibri" w:cs="Calibri"/>
        </w:rPr>
        <w:t xml:space="preserve"> to ensure it remains fair, transparent, and financially sustainable.</w:t>
      </w:r>
      <w:r w:rsidRPr="00CF6B2D">
        <w:rPr>
          <w:rFonts w:ascii="Calibri" w:hAnsi="Calibri" w:cs="Calibri"/>
        </w:rPr>
        <w:t xml:space="preserve"> </w:t>
      </w:r>
    </w:p>
    <w:p w14:paraId="3D902D25" w14:textId="7348C404" w:rsidR="00554FF9" w:rsidRDefault="00554FF9" w:rsidP="00006F02">
      <w:pPr>
        <w:pStyle w:val="Heading2"/>
      </w:pPr>
      <w:bookmarkStart w:id="15" w:name="_Toc201043448"/>
      <w:r>
        <w:t xml:space="preserve">Introduction of </w:t>
      </w:r>
      <w:r w:rsidR="00AD14B5">
        <w:t>industry self-classification</w:t>
      </w:r>
      <w:bookmarkEnd w:id="15"/>
    </w:p>
    <w:p w14:paraId="2B2C54B7" w14:textId="3ECC29C3" w:rsidR="00594259" w:rsidRDefault="00CD0FC9" w:rsidP="00594259">
      <w:pPr>
        <w:rPr>
          <w:rFonts w:ascii="Calibri" w:hAnsi="Calibri" w:cs="Calibri"/>
        </w:rPr>
      </w:pPr>
      <w:r>
        <w:rPr>
          <w:rFonts w:ascii="Calibri" w:hAnsi="Calibri" w:cs="Calibri"/>
        </w:rPr>
        <w:t>Legislative reforms in 2014 to allow classification tools, and subsequent approval of four tools, has</w:t>
      </w:r>
      <w:r w:rsidR="00594259">
        <w:rPr>
          <w:rFonts w:ascii="Calibri" w:hAnsi="Calibri" w:cs="Calibri"/>
        </w:rPr>
        <w:t xml:space="preserve"> enabled industry </w:t>
      </w:r>
      <w:r>
        <w:rPr>
          <w:rFonts w:ascii="Calibri" w:hAnsi="Calibri" w:cs="Calibri"/>
        </w:rPr>
        <w:t>to classify films and computer games</w:t>
      </w:r>
      <w:r w:rsidR="00664C71">
        <w:rPr>
          <w:rFonts w:ascii="Calibri" w:hAnsi="Calibri" w:cs="Calibri"/>
        </w:rPr>
        <w:t xml:space="preserve"> without applying to the Board</w:t>
      </w:r>
      <w:r>
        <w:rPr>
          <w:rFonts w:ascii="Calibri" w:hAnsi="Calibri" w:cs="Calibri"/>
        </w:rPr>
        <w:t xml:space="preserve">. </w:t>
      </w:r>
    </w:p>
    <w:p w14:paraId="079DE7CD" w14:textId="7D256FCC" w:rsidR="004C72CC" w:rsidRPr="00594259" w:rsidRDefault="00554FF9" w:rsidP="00594259">
      <w:pPr>
        <w:rPr>
          <w:rFonts w:ascii="Calibri" w:hAnsi="Calibri" w:cs="Calibri"/>
        </w:rPr>
      </w:pPr>
      <w:r>
        <w:rPr>
          <w:rFonts w:ascii="Calibri" w:hAnsi="Calibri" w:cs="Calibri"/>
        </w:rPr>
        <w:t xml:space="preserve">Since the introduction of </w:t>
      </w:r>
      <w:r w:rsidR="004C72CC">
        <w:rPr>
          <w:rFonts w:ascii="Calibri" w:hAnsi="Calibri" w:cs="Calibri"/>
        </w:rPr>
        <w:t xml:space="preserve">accredited classifiers and the ability to use broadcaster classification decisions </w:t>
      </w:r>
      <w:r>
        <w:rPr>
          <w:rFonts w:ascii="Calibri" w:hAnsi="Calibri" w:cs="Calibri"/>
        </w:rPr>
        <w:t xml:space="preserve">in March 2024, the volume of applications </w:t>
      </w:r>
      <w:r w:rsidR="004C72CC">
        <w:rPr>
          <w:rFonts w:ascii="Calibri" w:hAnsi="Calibri" w:cs="Calibri"/>
        </w:rPr>
        <w:t xml:space="preserve">for the classification of films and computer games </w:t>
      </w:r>
      <w:r>
        <w:rPr>
          <w:rFonts w:ascii="Calibri" w:hAnsi="Calibri" w:cs="Calibri"/>
        </w:rPr>
        <w:t xml:space="preserve">submitted to the </w:t>
      </w:r>
      <w:r w:rsidRPr="00594259">
        <w:rPr>
          <w:rFonts w:ascii="Calibri" w:hAnsi="Calibri" w:cs="Calibri"/>
        </w:rPr>
        <w:t xml:space="preserve">Board has </w:t>
      </w:r>
      <w:r w:rsidR="004C72CC" w:rsidRPr="00594259">
        <w:rPr>
          <w:rFonts w:ascii="Calibri" w:hAnsi="Calibri" w:cs="Calibri"/>
        </w:rPr>
        <w:t xml:space="preserve">significantly </w:t>
      </w:r>
      <w:r w:rsidRPr="00594259">
        <w:rPr>
          <w:rFonts w:ascii="Calibri" w:hAnsi="Calibri" w:cs="Calibri"/>
        </w:rPr>
        <w:t>decreased</w:t>
      </w:r>
      <w:r w:rsidR="004C72CC" w:rsidRPr="00594259">
        <w:rPr>
          <w:rFonts w:ascii="Calibri" w:hAnsi="Calibri" w:cs="Calibri"/>
        </w:rPr>
        <w:t xml:space="preserve"> </w:t>
      </w:r>
      <w:r w:rsidR="00FC599F">
        <w:rPr>
          <w:rFonts w:ascii="Calibri" w:hAnsi="Calibri" w:cs="Calibri"/>
        </w:rPr>
        <w:t xml:space="preserve">due to strong </w:t>
      </w:r>
      <w:r w:rsidR="004C72CC" w:rsidRPr="00594259">
        <w:rPr>
          <w:rFonts w:ascii="Calibri" w:hAnsi="Calibri" w:cs="Calibri"/>
        </w:rPr>
        <w:t>industry up</w:t>
      </w:r>
      <w:r w:rsidR="00FC599F">
        <w:rPr>
          <w:rFonts w:ascii="Calibri" w:hAnsi="Calibri" w:cs="Calibri"/>
        </w:rPr>
        <w:t>take of</w:t>
      </w:r>
      <w:r w:rsidR="004C72CC" w:rsidRPr="00594259">
        <w:rPr>
          <w:rFonts w:ascii="Calibri" w:hAnsi="Calibri" w:cs="Calibri"/>
        </w:rPr>
        <w:t xml:space="preserve"> these classification options</w:t>
      </w:r>
      <w:r w:rsidRPr="00594259">
        <w:rPr>
          <w:rFonts w:ascii="Calibri" w:hAnsi="Calibri" w:cs="Calibri"/>
        </w:rPr>
        <w:t xml:space="preserve">. </w:t>
      </w:r>
      <w:r w:rsidR="00FC599F">
        <w:rPr>
          <w:rFonts w:ascii="Calibri" w:hAnsi="Calibri" w:cs="Calibri"/>
        </w:rPr>
        <w:t>This has led to an accelerated change, in a relatively short period of time, in the proportion of classification decisions made by industry.</w:t>
      </w:r>
    </w:p>
    <w:p w14:paraId="04679665" w14:textId="6F0B9062" w:rsidR="00554FF9" w:rsidRDefault="00554FF9" w:rsidP="00006F02">
      <w:pPr>
        <w:pStyle w:val="Heading2"/>
      </w:pPr>
      <w:bookmarkStart w:id="16" w:name="_Toc201043449"/>
      <w:r>
        <w:t xml:space="preserve">Quality </w:t>
      </w:r>
      <w:r w:rsidR="00C70ABB">
        <w:t>a</w:t>
      </w:r>
      <w:r>
        <w:t>ssurance</w:t>
      </w:r>
      <w:r w:rsidR="00C70ABB">
        <w:t xml:space="preserve"> of industry decisions</w:t>
      </w:r>
      <w:bookmarkEnd w:id="16"/>
      <w:r>
        <w:t xml:space="preserve"> </w:t>
      </w:r>
    </w:p>
    <w:p w14:paraId="150156CB" w14:textId="65A850BE" w:rsidR="00554FF9" w:rsidRDefault="004C15AE" w:rsidP="00554FF9">
      <w:pPr>
        <w:rPr>
          <w:rFonts w:ascii="Calibri" w:hAnsi="Calibri" w:cs="Calibri"/>
        </w:rPr>
      </w:pPr>
      <w:r>
        <w:rPr>
          <w:rFonts w:ascii="Calibri" w:hAnsi="Calibri" w:cs="Calibri"/>
        </w:rPr>
        <w:t>In parallel with</w:t>
      </w:r>
      <w:r w:rsidR="00554FF9">
        <w:rPr>
          <w:rFonts w:ascii="Calibri" w:hAnsi="Calibri" w:cs="Calibri"/>
        </w:rPr>
        <w:t xml:space="preserve"> industry self-classification</w:t>
      </w:r>
      <w:r w:rsidR="00260E17">
        <w:rPr>
          <w:rFonts w:ascii="Calibri" w:hAnsi="Calibri" w:cs="Calibri"/>
        </w:rPr>
        <w:t xml:space="preserve"> decisions</w:t>
      </w:r>
      <w:r w:rsidR="00554FF9">
        <w:rPr>
          <w:rFonts w:ascii="Calibri" w:hAnsi="Calibri" w:cs="Calibri"/>
        </w:rPr>
        <w:t xml:space="preserve">, </w:t>
      </w:r>
      <w:r>
        <w:rPr>
          <w:rFonts w:ascii="Calibri" w:hAnsi="Calibri" w:cs="Calibri"/>
        </w:rPr>
        <w:t>the</w:t>
      </w:r>
      <w:r w:rsidRPr="00594259">
        <w:rPr>
          <w:rFonts w:ascii="Calibri" w:hAnsi="Calibri" w:cs="Calibri"/>
        </w:rPr>
        <w:t xml:space="preserve"> role of the Board has evolved from being the primary decision-maker for classifying content, to setting the standards for classification that are reflected in training and tool logic rules, as well as </w:t>
      </w:r>
      <w:r>
        <w:rPr>
          <w:rFonts w:ascii="Calibri" w:hAnsi="Calibri" w:cs="Calibri"/>
        </w:rPr>
        <w:t xml:space="preserve">significant </w:t>
      </w:r>
      <w:r w:rsidRPr="00594259">
        <w:rPr>
          <w:rFonts w:ascii="Calibri" w:hAnsi="Calibri" w:cs="Calibri"/>
        </w:rPr>
        <w:t>monitoring and quality assurance</w:t>
      </w:r>
      <w:r>
        <w:rPr>
          <w:rFonts w:ascii="Calibri" w:hAnsi="Calibri" w:cs="Calibri"/>
        </w:rPr>
        <w:t xml:space="preserve"> activity</w:t>
      </w:r>
      <w:r w:rsidRPr="00594259">
        <w:rPr>
          <w:rFonts w:ascii="Calibri" w:hAnsi="Calibri" w:cs="Calibri"/>
        </w:rPr>
        <w:t xml:space="preserve"> of industry decisions</w:t>
      </w:r>
      <w:r w:rsidR="00554FF9">
        <w:rPr>
          <w:rFonts w:ascii="Calibri" w:hAnsi="Calibri" w:cs="Calibri"/>
        </w:rPr>
        <w:t>.</w:t>
      </w:r>
    </w:p>
    <w:p w14:paraId="6F6B62C4" w14:textId="67D22AED" w:rsidR="00554FF9" w:rsidRDefault="00554FF9" w:rsidP="00006F02">
      <w:pPr>
        <w:pStyle w:val="Heading2"/>
      </w:pPr>
      <w:bookmarkStart w:id="17" w:name="_Toc201043450"/>
      <w:r>
        <w:t>Industry support and advice</w:t>
      </w:r>
      <w:bookmarkEnd w:id="17"/>
    </w:p>
    <w:p w14:paraId="05B8DBD0" w14:textId="1CCE6C45" w:rsidR="00554FF9" w:rsidRPr="008E3D8C" w:rsidRDefault="00554FF9" w:rsidP="00AB6294">
      <w:pPr>
        <w:tabs>
          <w:tab w:val="left" w:pos="426"/>
        </w:tabs>
        <w:spacing w:after="120"/>
        <w:rPr>
          <w:rFonts w:ascii="Calibri" w:hAnsi="Calibri" w:cs="Calibri"/>
        </w:rPr>
      </w:pPr>
      <w:r>
        <w:rPr>
          <w:rFonts w:ascii="Calibri" w:hAnsi="Calibri" w:cs="Calibri"/>
        </w:rPr>
        <w:t>The increase in industry self-classification</w:t>
      </w:r>
      <w:r w:rsidR="00260E17">
        <w:rPr>
          <w:rFonts w:ascii="Calibri" w:hAnsi="Calibri" w:cs="Calibri"/>
        </w:rPr>
        <w:t xml:space="preserve"> decisions</w:t>
      </w:r>
      <w:r>
        <w:rPr>
          <w:rFonts w:ascii="Calibri" w:hAnsi="Calibri" w:cs="Calibri"/>
        </w:rPr>
        <w:t xml:space="preserve"> has also placed a </w:t>
      </w:r>
      <w:r w:rsidR="001865A8">
        <w:rPr>
          <w:rFonts w:ascii="Calibri" w:hAnsi="Calibri" w:cs="Calibri"/>
        </w:rPr>
        <w:t>stronger</w:t>
      </w:r>
      <w:r>
        <w:rPr>
          <w:rFonts w:ascii="Calibri" w:hAnsi="Calibri" w:cs="Calibri"/>
        </w:rPr>
        <w:t xml:space="preserve"> emphasis on stakeholder engagement</w:t>
      </w:r>
      <w:r w:rsidR="00335AFB">
        <w:rPr>
          <w:rFonts w:ascii="Calibri" w:hAnsi="Calibri" w:cs="Calibri"/>
        </w:rPr>
        <w:t xml:space="preserve"> and</w:t>
      </w:r>
      <w:r>
        <w:rPr>
          <w:rFonts w:ascii="Calibri" w:hAnsi="Calibri" w:cs="Calibri"/>
        </w:rPr>
        <w:t xml:space="preserve"> training, with the </w:t>
      </w:r>
      <w:r w:rsidR="00006F02">
        <w:rPr>
          <w:rFonts w:ascii="Calibri" w:hAnsi="Calibri" w:cs="Calibri"/>
        </w:rPr>
        <w:t>department</w:t>
      </w:r>
      <w:r>
        <w:rPr>
          <w:rFonts w:ascii="Calibri" w:hAnsi="Calibri" w:cs="Calibri"/>
        </w:rPr>
        <w:t xml:space="preserve"> </w:t>
      </w:r>
      <w:r w:rsidR="0054273F">
        <w:rPr>
          <w:rFonts w:ascii="Calibri" w:hAnsi="Calibri" w:cs="Calibri"/>
        </w:rPr>
        <w:t xml:space="preserve">and Board </w:t>
      </w:r>
      <w:r>
        <w:rPr>
          <w:rFonts w:ascii="Calibri" w:hAnsi="Calibri" w:cs="Calibri"/>
        </w:rPr>
        <w:t>providing increased levels of support</w:t>
      </w:r>
      <w:r w:rsidR="001865A8">
        <w:rPr>
          <w:rFonts w:ascii="Calibri" w:hAnsi="Calibri" w:cs="Calibri"/>
        </w:rPr>
        <w:t xml:space="preserve"> and advice</w:t>
      </w:r>
      <w:r>
        <w:rPr>
          <w:rFonts w:ascii="Calibri" w:hAnsi="Calibri" w:cs="Calibri"/>
        </w:rPr>
        <w:t xml:space="preserve"> to industry participants. </w:t>
      </w:r>
    </w:p>
    <w:p w14:paraId="1FD56F8A" w14:textId="4677FC24" w:rsidR="00554FF9" w:rsidRDefault="00C70ABB" w:rsidP="00006F02">
      <w:pPr>
        <w:pStyle w:val="Heading2"/>
      </w:pPr>
      <w:bookmarkStart w:id="18" w:name="_Toc201043451"/>
      <w:r>
        <w:lastRenderedPageBreak/>
        <w:t>Transition to digital services</w:t>
      </w:r>
      <w:bookmarkEnd w:id="18"/>
    </w:p>
    <w:p w14:paraId="57092AF7" w14:textId="703B8D86" w:rsidR="00FF44FA" w:rsidRDefault="0054273F" w:rsidP="00554FF9">
      <w:pPr>
        <w:pStyle w:val="ListParagraph"/>
        <w:ind w:left="0"/>
      </w:pPr>
      <w:r>
        <w:t xml:space="preserve">When the current fees were </w:t>
      </w:r>
      <w:r w:rsidR="00664C71">
        <w:t>established</w:t>
      </w:r>
      <w:r>
        <w:t xml:space="preserve"> in 201</w:t>
      </w:r>
      <w:r w:rsidR="00FF44FA">
        <w:t>1</w:t>
      </w:r>
      <w:r w:rsidR="00554FF9">
        <w:t xml:space="preserve">, the majority of media was supplied in physical format and classification applications were processed </w:t>
      </w:r>
      <w:r w:rsidR="00FF44FA">
        <w:t>via physical paper-based files</w:t>
      </w:r>
      <w:r w:rsidR="00554FF9">
        <w:t xml:space="preserve">. </w:t>
      </w:r>
    </w:p>
    <w:p w14:paraId="378D9DE8" w14:textId="77777777" w:rsidR="00FF44FA" w:rsidRDefault="00FF44FA" w:rsidP="00554FF9">
      <w:pPr>
        <w:pStyle w:val="ListParagraph"/>
        <w:ind w:left="0"/>
      </w:pPr>
    </w:p>
    <w:p w14:paraId="29B4B066" w14:textId="20780612" w:rsidR="0054273F" w:rsidRDefault="00554FF9" w:rsidP="00554FF9">
      <w:pPr>
        <w:pStyle w:val="ListParagraph"/>
        <w:ind w:left="0"/>
      </w:pPr>
      <w:r>
        <w:t>The shift to digital service delivery has seen a move away from manual handling of media and applications, with</w:t>
      </w:r>
      <w:r w:rsidR="0054273F">
        <w:t>:</w:t>
      </w:r>
    </w:p>
    <w:p w14:paraId="183F2376" w14:textId="54DC0117" w:rsidR="0054273F" w:rsidRDefault="0054273F" w:rsidP="00A65433">
      <w:pPr>
        <w:pStyle w:val="Bullet1"/>
      </w:pPr>
      <w:r>
        <w:t>persons applying to the Board and Review Board</w:t>
      </w:r>
      <w:r w:rsidR="00C70ABB">
        <w:t xml:space="preserve"> </w:t>
      </w:r>
      <w:r w:rsidR="00554FF9">
        <w:t>via the Classification Portal</w:t>
      </w:r>
    </w:p>
    <w:p w14:paraId="1722C18D" w14:textId="203EE29E" w:rsidR="00BA6015" w:rsidRDefault="00BA6015" w:rsidP="00A65433">
      <w:pPr>
        <w:pStyle w:val="Bullet1"/>
      </w:pPr>
      <w:r>
        <w:rPr>
          <w:lang w:val="en-AU"/>
        </w:rPr>
        <w:t>persons providing content for classification in digital formats</w:t>
      </w:r>
    </w:p>
    <w:p w14:paraId="7774634F" w14:textId="3C51C4DA" w:rsidR="0054273F" w:rsidRDefault="0054273F" w:rsidP="00A65433">
      <w:pPr>
        <w:pStyle w:val="Bullet1"/>
      </w:pPr>
      <w:r>
        <w:t xml:space="preserve">persons applying to </w:t>
      </w:r>
      <w:r w:rsidR="00C70ABB">
        <w:t xml:space="preserve">the department </w:t>
      </w:r>
      <w:r w:rsidR="00FF44FA">
        <w:t xml:space="preserve">to </w:t>
      </w:r>
      <w:r>
        <w:t>be accredited and submitting decisions via the Classification Portal</w:t>
      </w:r>
      <w:r w:rsidR="00312978">
        <w:rPr>
          <w:lang w:val="en-US"/>
        </w:rPr>
        <w:t xml:space="preserve"> </w:t>
      </w:r>
    </w:p>
    <w:p w14:paraId="4F9B9A8A" w14:textId="71D19B06" w:rsidR="00554FF9" w:rsidRDefault="0054273F" w:rsidP="00A65433">
      <w:pPr>
        <w:pStyle w:val="Bullet1"/>
      </w:pPr>
      <w:r>
        <w:t>tool owners submitting decision</w:t>
      </w:r>
      <w:r w:rsidR="00E20EE3">
        <w:rPr>
          <w:lang w:val="en-AU"/>
        </w:rPr>
        <w:t>s</w:t>
      </w:r>
      <w:r>
        <w:t xml:space="preserve"> via an Application Programming Interface to be published on the National Classification </w:t>
      </w:r>
      <w:r w:rsidR="00C70ABB">
        <w:t>Database.</w:t>
      </w:r>
      <w:r w:rsidR="00554FF9">
        <w:t xml:space="preserve"> </w:t>
      </w:r>
    </w:p>
    <w:p w14:paraId="0FA56859" w14:textId="2679551C" w:rsidR="000B2CF8" w:rsidRPr="00A65433" w:rsidRDefault="00554FF9" w:rsidP="00A65433">
      <w:pPr>
        <w:pStyle w:val="ListParagraph"/>
        <w:ind w:left="0"/>
      </w:pPr>
      <w:r>
        <w:t>This has required substantial investment in IT systems, cybersecurity, and user interface design</w:t>
      </w:r>
      <w:r w:rsidR="00FF44FA">
        <w:t>.</w:t>
      </w:r>
      <w:r>
        <w:t xml:space="preserve"> </w:t>
      </w:r>
      <w:r w:rsidR="00FF44FA">
        <w:t>T</w:t>
      </w:r>
      <w:r>
        <w:t>hese systems require ongoing maintenance, updates, and technical support to remain secure, accessible, and responsive to user needs.</w:t>
      </w:r>
      <w:r w:rsidR="00FF44FA">
        <w:t xml:space="preserve"> </w:t>
      </w:r>
      <w:r>
        <w:t xml:space="preserve">These activities are resource intensive and </w:t>
      </w:r>
      <w:r w:rsidR="00FF44FA">
        <w:t xml:space="preserve">have </w:t>
      </w:r>
      <w:r>
        <w:t xml:space="preserve">not </w:t>
      </w:r>
      <w:r w:rsidR="00FF44FA">
        <w:t>been</w:t>
      </w:r>
      <w:r>
        <w:t xml:space="preserve"> </w:t>
      </w:r>
      <w:r w:rsidR="00FF44FA">
        <w:t xml:space="preserve">always been </w:t>
      </w:r>
      <w:r>
        <w:t>directly linked to fee paying services</w:t>
      </w:r>
      <w:bookmarkStart w:id="19" w:name="_Toc200122168"/>
      <w:r w:rsidR="00FF44FA">
        <w:t>.</w:t>
      </w:r>
    </w:p>
    <w:p w14:paraId="0F8B6665" w14:textId="6DD45DE5" w:rsidR="00554FF9" w:rsidRPr="000B2CF8" w:rsidRDefault="00554FF9" w:rsidP="00006F02">
      <w:pPr>
        <w:pStyle w:val="Heading1"/>
        <w:rPr>
          <w:u w:val="single"/>
        </w:rPr>
      </w:pPr>
      <w:bookmarkStart w:id="20" w:name="_Toc201043452"/>
      <w:r w:rsidRPr="000B2CF8">
        <w:rPr>
          <w:u w:val="single"/>
        </w:rPr>
        <w:t xml:space="preserve">Objectives for </w:t>
      </w:r>
      <w:r w:rsidR="00EB0454">
        <w:rPr>
          <w:u w:val="single"/>
        </w:rPr>
        <w:t>f</w:t>
      </w:r>
      <w:r w:rsidRPr="000B2CF8">
        <w:rPr>
          <w:u w:val="single"/>
        </w:rPr>
        <w:t xml:space="preserve">uture </w:t>
      </w:r>
      <w:r w:rsidR="00EB0454">
        <w:rPr>
          <w:u w:val="single"/>
        </w:rPr>
        <w:t>c</w:t>
      </w:r>
      <w:r w:rsidRPr="000B2CF8">
        <w:rPr>
          <w:u w:val="single"/>
        </w:rPr>
        <w:t xml:space="preserve">ost </w:t>
      </w:r>
      <w:r w:rsidR="00EB0454">
        <w:rPr>
          <w:u w:val="single"/>
        </w:rPr>
        <w:t>r</w:t>
      </w:r>
      <w:r w:rsidRPr="000B2CF8">
        <w:rPr>
          <w:u w:val="single"/>
        </w:rPr>
        <w:t>ecovery</w:t>
      </w:r>
      <w:bookmarkEnd w:id="19"/>
      <w:bookmarkEnd w:id="20"/>
    </w:p>
    <w:p w14:paraId="71E3EA4F" w14:textId="5E71A3A6" w:rsidR="00554FF9" w:rsidRDefault="004A6D76" w:rsidP="00554FF9">
      <w:pPr>
        <w:rPr>
          <w:rFonts w:ascii="Calibri" w:hAnsi="Calibri" w:cs="Calibri"/>
        </w:rPr>
      </w:pPr>
      <w:r>
        <w:rPr>
          <w:rFonts w:ascii="Calibri" w:hAnsi="Calibri" w:cs="Calibri"/>
        </w:rPr>
        <w:t>A future</w:t>
      </w:r>
      <w:r w:rsidR="00554FF9">
        <w:rPr>
          <w:rFonts w:ascii="Calibri" w:hAnsi="Calibri" w:cs="Calibri"/>
        </w:rPr>
        <w:t xml:space="preserve"> cost recovery approach </w:t>
      </w:r>
      <w:r>
        <w:rPr>
          <w:rFonts w:ascii="Calibri" w:hAnsi="Calibri" w:cs="Calibri"/>
        </w:rPr>
        <w:t>needs to be</w:t>
      </w:r>
      <w:r w:rsidR="00554FF9">
        <w:rPr>
          <w:rFonts w:ascii="Calibri" w:hAnsi="Calibri" w:cs="Calibri"/>
        </w:rPr>
        <w:t xml:space="preserve"> compliant with the AGCF and the</w:t>
      </w:r>
      <w:r w:rsidRPr="004A6D76">
        <w:rPr>
          <w:rFonts w:ascii="Calibri" w:hAnsi="Calibri" w:cs="Calibri"/>
        </w:rPr>
        <w:t xml:space="preserve"> </w:t>
      </w:r>
      <w:r>
        <w:rPr>
          <w:rFonts w:ascii="Calibri" w:hAnsi="Calibri" w:cs="Calibri"/>
        </w:rPr>
        <w:t xml:space="preserve">AGCRP </w:t>
      </w:r>
      <w:r w:rsidR="00554FF9">
        <w:rPr>
          <w:rFonts w:ascii="Calibri" w:hAnsi="Calibri" w:cs="Calibri"/>
        </w:rPr>
        <w:t>issued by the Department of Finance.</w:t>
      </w:r>
    </w:p>
    <w:p w14:paraId="4FA0CCB0" w14:textId="5D430417" w:rsidR="00554FF9" w:rsidRDefault="00554FF9" w:rsidP="00554FF9">
      <w:pPr>
        <w:rPr>
          <w:rFonts w:ascii="Calibri" w:hAnsi="Calibri" w:cs="Calibri"/>
        </w:rPr>
      </w:pPr>
      <w:r>
        <w:rPr>
          <w:rFonts w:ascii="Calibri" w:hAnsi="Calibri" w:cs="Calibri"/>
        </w:rPr>
        <w:t>The Australian Government requires that any regulatory cost recovery model be adaptable to reflect actual service delivery costs and to equitably allocate those costs among diverse user groups. Given the evolving nature and expanded scope of classification services, the following objectives will guide the development of future cost recovery arrangements:</w:t>
      </w:r>
    </w:p>
    <w:p w14:paraId="66D95CAB" w14:textId="2A423398" w:rsidR="00554FF9" w:rsidRDefault="00554FF9" w:rsidP="00006F02">
      <w:pPr>
        <w:pStyle w:val="Heading2"/>
      </w:pPr>
      <w:bookmarkStart w:id="21" w:name="_Toc201043453"/>
      <w:r>
        <w:t xml:space="preserve">Reflect the </w:t>
      </w:r>
      <w:r w:rsidR="00EB0454">
        <w:t>t</w:t>
      </w:r>
      <w:r>
        <w:t xml:space="preserve">rue </w:t>
      </w:r>
      <w:r w:rsidR="00EB0454">
        <w:t>c</w:t>
      </w:r>
      <w:r>
        <w:t xml:space="preserve">ost of </w:t>
      </w:r>
      <w:r w:rsidR="00EB0454">
        <w:t>s</w:t>
      </w:r>
      <w:r>
        <w:t xml:space="preserve">ervice </w:t>
      </w:r>
      <w:r w:rsidR="00EB0454">
        <w:t>d</w:t>
      </w:r>
      <w:r>
        <w:t>elivery</w:t>
      </w:r>
      <w:bookmarkEnd w:id="21"/>
    </w:p>
    <w:p w14:paraId="3BC4F911" w14:textId="77777777" w:rsidR="00554FF9" w:rsidRDefault="00554FF9" w:rsidP="00554FF9">
      <w:pPr>
        <w:rPr>
          <w:rFonts w:ascii="Calibri" w:hAnsi="Calibri" w:cs="Calibri"/>
        </w:rPr>
      </w:pPr>
      <w:r>
        <w:rPr>
          <w:rFonts w:ascii="Calibri" w:hAnsi="Calibri" w:cs="Calibri"/>
        </w:rPr>
        <w:t>The proposed cost recovery arrangements will be based on a clear understanding of the actual costs (both direct and indirect) incurred in delivering classification and regulatory services. These include:</w:t>
      </w:r>
    </w:p>
    <w:p w14:paraId="0E93DF10" w14:textId="77777777" w:rsidR="00554FF9" w:rsidRDefault="00554FF9" w:rsidP="00006F02">
      <w:pPr>
        <w:pStyle w:val="Bullet1"/>
      </w:pPr>
      <w:r>
        <w:t>staff time and expertise</w:t>
      </w:r>
    </w:p>
    <w:p w14:paraId="59E13324" w14:textId="77777777" w:rsidR="00554FF9" w:rsidRDefault="00554FF9" w:rsidP="00006F02">
      <w:pPr>
        <w:pStyle w:val="Bullet1"/>
      </w:pPr>
      <w:r>
        <w:t>IT systems and digital infrastructure</w:t>
      </w:r>
    </w:p>
    <w:p w14:paraId="2F73CD1D" w14:textId="6061FEB8" w:rsidR="00554FF9" w:rsidRDefault="004A6D76" w:rsidP="00006F02">
      <w:pPr>
        <w:pStyle w:val="Bullet1"/>
      </w:pPr>
      <w:r>
        <w:rPr>
          <w:lang w:val="en-AU"/>
        </w:rPr>
        <w:t xml:space="preserve">monitoring and </w:t>
      </w:r>
      <w:r w:rsidR="004B344C">
        <w:rPr>
          <w:lang w:val="en-AU"/>
        </w:rPr>
        <w:t>q</w:t>
      </w:r>
      <w:proofErr w:type="spellStart"/>
      <w:r w:rsidR="002B3AD4">
        <w:t>uality</w:t>
      </w:r>
      <w:proofErr w:type="spellEnd"/>
      <w:r w:rsidR="00554FF9">
        <w:t xml:space="preserve"> assurance activities</w:t>
      </w:r>
    </w:p>
    <w:p w14:paraId="08908DA2" w14:textId="1ECA766A" w:rsidR="00554FF9" w:rsidRDefault="004B344C" w:rsidP="00006F02">
      <w:pPr>
        <w:pStyle w:val="Bullet1"/>
      </w:pPr>
      <w:proofErr w:type="spellStart"/>
      <w:r>
        <w:rPr>
          <w:lang w:val="en-AU"/>
        </w:rPr>
        <w:t>i</w:t>
      </w:r>
      <w:r w:rsidR="002B3AD4">
        <w:t>ndustry</w:t>
      </w:r>
      <w:proofErr w:type="spellEnd"/>
      <w:r w:rsidR="00554FF9">
        <w:t xml:space="preserve"> support, training and advice</w:t>
      </w:r>
      <w:r w:rsidR="002D3673">
        <w:rPr>
          <w:lang w:val="en-US"/>
        </w:rPr>
        <w:t>.</w:t>
      </w:r>
    </w:p>
    <w:p w14:paraId="2C9626E4" w14:textId="60F66FF5" w:rsidR="00554FF9" w:rsidRPr="000B2CF8" w:rsidRDefault="00554FF9" w:rsidP="000B2CF8">
      <w:pPr>
        <w:pStyle w:val="Heading2"/>
      </w:pPr>
      <w:bookmarkStart w:id="22" w:name="_Toc201043454"/>
      <w:r>
        <w:t xml:space="preserve">Promote </w:t>
      </w:r>
      <w:r w:rsidR="00EB0454">
        <w:t>e</w:t>
      </w:r>
      <w:r>
        <w:t xml:space="preserve">quity and </w:t>
      </w:r>
      <w:r w:rsidR="00EB0454">
        <w:t>f</w:t>
      </w:r>
      <w:r>
        <w:t>airness</w:t>
      </w:r>
      <w:bookmarkEnd w:id="22"/>
    </w:p>
    <w:p w14:paraId="175EC4A9" w14:textId="0ADF0368" w:rsidR="00554FF9" w:rsidRDefault="00554FF9" w:rsidP="00554FF9">
      <w:pPr>
        <w:rPr>
          <w:rFonts w:ascii="Calibri" w:hAnsi="Calibri" w:cs="Calibri"/>
        </w:rPr>
      </w:pPr>
      <w:r>
        <w:rPr>
          <w:rFonts w:ascii="Calibri" w:hAnsi="Calibri" w:cs="Calibri"/>
        </w:rPr>
        <w:t xml:space="preserve">The cost recovery model will ensure that costs are </w:t>
      </w:r>
      <w:r w:rsidR="004A6D76">
        <w:rPr>
          <w:rFonts w:ascii="Calibri" w:hAnsi="Calibri" w:cs="Calibri"/>
        </w:rPr>
        <w:t>distributed fairly across industry participants</w:t>
      </w:r>
      <w:r>
        <w:rPr>
          <w:rFonts w:ascii="Calibri" w:hAnsi="Calibri" w:cs="Calibri"/>
        </w:rPr>
        <w:t xml:space="preserve">. </w:t>
      </w:r>
    </w:p>
    <w:p w14:paraId="29AB33FB" w14:textId="463F88F1" w:rsidR="00554FF9" w:rsidRDefault="00554FF9" w:rsidP="00554FF9">
      <w:pPr>
        <w:rPr>
          <w:rFonts w:ascii="Calibri" w:hAnsi="Calibri" w:cs="Calibri"/>
        </w:rPr>
      </w:pPr>
      <w:r>
        <w:rPr>
          <w:rFonts w:ascii="Calibri" w:hAnsi="Calibri" w:cs="Calibri"/>
        </w:rPr>
        <w:t xml:space="preserve">This </w:t>
      </w:r>
      <w:r w:rsidR="004A6D76">
        <w:rPr>
          <w:rFonts w:ascii="Calibri" w:hAnsi="Calibri" w:cs="Calibri"/>
        </w:rPr>
        <w:t>may</w:t>
      </w:r>
      <w:r>
        <w:rPr>
          <w:rFonts w:ascii="Calibri" w:hAnsi="Calibri" w:cs="Calibri"/>
        </w:rPr>
        <w:t xml:space="preserve"> involve:</w:t>
      </w:r>
    </w:p>
    <w:p w14:paraId="6467CF00" w14:textId="650E3C5E" w:rsidR="004A6D76" w:rsidRDefault="004A6D76" w:rsidP="00006F02">
      <w:pPr>
        <w:pStyle w:val="Bullet1"/>
      </w:pPr>
      <w:r>
        <w:rPr>
          <w:lang w:val="en-AU"/>
        </w:rPr>
        <w:t>considering the frequency or volume of service use</w:t>
      </w:r>
    </w:p>
    <w:p w14:paraId="1DCF5B06" w14:textId="77777777" w:rsidR="00554FF9" w:rsidRDefault="00554FF9" w:rsidP="00006F02">
      <w:pPr>
        <w:pStyle w:val="Bullet1"/>
      </w:pPr>
      <w:r>
        <w:t>avoiding cross-subsidisation between fees for different services</w:t>
      </w:r>
    </w:p>
    <w:p w14:paraId="36E3C74D" w14:textId="77777777" w:rsidR="00554FF9" w:rsidRDefault="00554FF9" w:rsidP="00006F02">
      <w:pPr>
        <w:pStyle w:val="Bullet1"/>
        <w:rPr>
          <w:rStyle w:val="Heading3Char"/>
          <w:rFonts w:ascii="Calibri" w:hAnsi="Calibri" w:cs="Calibri"/>
          <w:color w:val="auto"/>
          <w:sz w:val="24"/>
        </w:rPr>
      </w:pPr>
      <w:r>
        <w:t>ensuring that smaller or emerging businesses are not disproportionately burdened by cost recovery arrangements.</w:t>
      </w:r>
    </w:p>
    <w:p w14:paraId="5B61B1CF" w14:textId="1C71596C" w:rsidR="00554FF9" w:rsidRDefault="00554FF9" w:rsidP="00006F02">
      <w:pPr>
        <w:pStyle w:val="Heading2"/>
      </w:pPr>
      <w:bookmarkStart w:id="23" w:name="_Toc201043455"/>
      <w:r>
        <w:t xml:space="preserve">Support </w:t>
      </w:r>
      <w:r w:rsidR="00EB0454">
        <w:t>t</w:t>
      </w:r>
      <w:r>
        <w:t xml:space="preserve">ransparency and </w:t>
      </w:r>
      <w:r w:rsidR="00EB0454">
        <w:t>a</w:t>
      </w:r>
      <w:r>
        <w:t>ccountability</w:t>
      </w:r>
      <w:bookmarkEnd w:id="23"/>
    </w:p>
    <w:p w14:paraId="4DEF2E10" w14:textId="77777777" w:rsidR="00554FF9" w:rsidRDefault="00554FF9" w:rsidP="00554FF9">
      <w:pPr>
        <w:rPr>
          <w:rFonts w:ascii="Calibri" w:hAnsi="Calibri" w:cs="Calibri"/>
        </w:rPr>
      </w:pPr>
      <w:r>
        <w:rPr>
          <w:rFonts w:ascii="Calibri" w:hAnsi="Calibri" w:cs="Calibri"/>
        </w:rPr>
        <w:t>Stakeholders will have a clear understanding of:</w:t>
      </w:r>
    </w:p>
    <w:p w14:paraId="6BC6E9CF" w14:textId="77777777" w:rsidR="00554FF9" w:rsidRDefault="00554FF9" w:rsidP="00006F02">
      <w:pPr>
        <w:pStyle w:val="Bullet1"/>
      </w:pPr>
      <w:r>
        <w:lastRenderedPageBreak/>
        <w:t>how fees are calculated</w:t>
      </w:r>
    </w:p>
    <w:p w14:paraId="4904ADC6" w14:textId="59922B25" w:rsidR="00554FF9" w:rsidRDefault="00554FF9" w:rsidP="00006F02">
      <w:pPr>
        <w:pStyle w:val="Bullet1"/>
      </w:pPr>
      <w:r>
        <w:t xml:space="preserve">what services are being </w:t>
      </w:r>
      <w:r w:rsidR="004A6D76">
        <w:rPr>
          <w:lang w:val="en-AU"/>
        </w:rPr>
        <w:t xml:space="preserve">budget </w:t>
      </w:r>
      <w:r>
        <w:t>funded</w:t>
      </w:r>
    </w:p>
    <w:p w14:paraId="538B5D45" w14:textId="0CDEBD08" w:rsidR="00554FF9" w:rsidRDefault="00554FF9" w:rsidP="00006F02">
      <w:pPr>
        <w:pStyle w:val="Bullet1"/>
      </w:pPr>
      <w:r>
        <w:t>how revenue is used to support regulatory functions</w:t>
      </w:r>
      <w:r w:rsidR="002D3673">
        <w:rPr>
          <w:lang w:val="en-US"/>
        </w:rPr>
        <w:t>.</w:t>
      </w:r>
    </w:p>
    <w:p w14:paraId="2485FFD4" w14:textId="13E11AE5" w:rsidR="00554FF9" w:rsidRDefault="00554FF9" w:rsidP="00554FF9">
      <w:pPr>
        <w:rPr>
          <w:rFonts w:ascii="Calibri" w:hAnsi="Calibri" w:cs="Calibri"/>
        </w:rPr>
      </w:pPr>
      <w:r>
        <w:rPr>
          <w:rFonts w:ascii="Calibri" w:hAnsi="Calibri" w:cs="Calibri"/>
        </w:rPr>
        <w:t>The cost recovery model will be supported by reporting, stakeholder communication, and opportunities for feedback.</w:t>
      </w:r>
    </w:p>
    <w:p w14:paraId="43B420BD" w14:textId="0D34BA3C" w:rsidR="00554FF9" w:rsidRDefault="00554FF9" w:rsidP="00006F02">
      <w:pPr>
        <w:pStyle w:val="Heading2"/>
        <w:rPr>
          <w:rFonts w:ascii="Arial" w:hAnsi="Arial" w:cs="Arial"/>
        </w:rPr>
      </w:pPr>
      <w:bookmarkStart w:id="24" w:name="_Toc201043456"/>
      <w:r>
        <w:t xml:space="preserve">Support </w:t>
      </w:r>
      <w:r w:rsidR="00EB0454">
        <w:t>e</w:t>
      </w:r>
      <w:r>
        <w:t>fficiency</w:t>
      </w:r>
      <w:bookmarkEnd w:id="24"/>
    </w:p>
    <w:p w14:paraId="7058B964" w14:textId="77777777" w:rsidR="00554FF9" w:rsidRDefault="00554FF9" w:rsidP="00554FF9">
      <w:pPr>
        <w:rPr>
          <w:rFonts w:ascii="Calibri" w:hAnsi="Calibri" w:cs="Calibri"/>
        </w:rPr>
      </w:pPr>
      <w:r>
        <w:rPr>
          <w:rFonts w:ascii="Calibri" w:hAnsi="Calibri" w:cs="Calibri"/>
        </w:rPr>
        <w:t>Cost recovery should incentivise efficient service delivery and encourage innovation. This includes:</w:t>
      </w:r>
    </w:p>
    <w:p w14:paraId="16CD1D27" w14:textId="77777777" w:rsidR="00554FF9" w:rsidRDefault="00554FF9" w:rsidP="00006F02">
      <w:pPr>
        <w:pStyle w:val="Bullet1"/>
      </w:pPr>
      <w:r>
        <w:t>streamlining processes to reduce administrative burden</w:t>
      </w:r>
    </w:p>
    <w:p w14:paraId="68AC4222" w14:textId="77777777" w:rsidR="00A657CE" w:rsidRDefault="00554FF9" w:rsidP="00006F02">
      <w:pPr>
        <w:pStyle w:val="Bullet1"/>
      </w:pPr>
      <w:r>
        <w:t>encouraging digital service uptake</w:t>
      </w:r>
    </w:p>
    <w:p w14:paraId="55E42354" w14:textId="2E67938B" w:rsidR="00554FF9" w:rsidRDefault="00A657CE" w:rsidP="00006F02">
      <w:pPr>
        <w:pStyle w:val="Bullet1"/>
      </w:pPr>
      <w:r>
        <w:rPr>
          <w:lang w:val="en-US"/>
        </w:rPr>
        <w:t>aligning fees with service performance standards</w:t>
      </w:r>
      <w:r w:rsidR="00BA03AA">
        <w:rPr>
          <w:lang w:val="en-US"/>
        </w:rPr>
        <w:t>.</w:t>
      </w:r>
    </w:p>
    <w:p w14:paraId="2C2C3644" w14:textId="07ACB2F7" w:rsidR="00554FF9" w:rsidRDefault="00554FF9" w:rsidP="00006F02">
      <w:pPr>
        <w:pStyle w:val="Heading2"/>
      </w:pPr>
      <w:bookmarkStart w:id="25" w:name="_Toc201043457"/>
      <w:r>
        <w:t xml:space="preserve">Align with </w:t>
      </w:r>
      <w:r w:rsidR="00EB0454">
        <w:t>g</w:t>
      </w:r>
      <w:r>
        <w:t xml:space="preserve">overnment </w:t>
      </w:r>
      <w:r w:rsidR="00EB0454">
        <w:t>p</w:t>
      </w:r>
      <w:r>
        <w:t xml:space="preserve">olicy and </w:t>
      </w:r>
      <w:r w:rsidR="00EB0454">
        <w:t>r</w:t>
      </w:r>
      <w:r>
        <w:t xml:space="preserve">eforms </w:t>
      </w:r>
      <w:r w:rsidR="00EB0454">
        <w:t>o</w:t>
      </w:r>
      <w:r>
        <w:t>bjectives</w:t>
      </w:r>
      <w:bookmarkEnd w:id="25"/>
    </w:p>
    <w:p w14:paraId="372AA5FF" w14:textId="77777777" w:rsidR="00554FF9" w:rsidRDefault="00554FF9" w:rsidP="00554FF9">
      <w:pPr>
        <w:rPr>
          <w:rFonts w:ascii="Calibri" w:hAnsi="Calibri" w:cs="Calibri"/>
        </w:rPr>
      </w:pPr>
      <w:r>
        <w:rPr>
          <w:rFonts w:ascii="Calibri" w:hAnsi="Calibri" w:cs="Calibri"/>
        </w:rPr>
        <w:t>The cost recovery model will support the broader objectives of the reforms, including:</w:t>
      </w:r>
    </w:p>
    <w:p w14:paraId="7A2EF290" w14:textId="77777777" w:rsidR="00554FF9" w:rsidRDefault="00554FF9" w:rsidP="00006F02">
      <w:pPr>
        <w:pStyle w:val="Bullet1"/>
      </w:pPr>
      <w:r>
        <w:t>modernising regulatory frameworks</w:t>
      </w:r>
    </w:p>
    <w:p w14:paraId="761C70BA" w14:textId="77777777" w:rsidR="00554FF9" w:rsidRDefault="00554FF9" w:rsidP="00006F02">
      <w:pPr>
        <w:pStyle w:val="Bullet1"/>
      </w:pPr>
      <w:r>
        <w:t>enhancing public trust and safety</w:t>
      </w:r>
    </w:p>
    <w:p w14:paraId="3C1D777F" w14:textId="5D533BEF" w:rsidR="00554FF9" w:rsidRPr="005F7075" w:rsidRDefault="00554FF9" w:rsidP="00006F02">
      <w:pPr>
        <w:pStyle w:val="Bullet1"/>
      </w:pPr>
      <w:r>
        <w:t>supporting a responsive and future-ready classification system</w:t>
      </w:r>
      <w:r w:rsidR="00BA03AA">
        <w:rPr>
          <w:lang w:val="en-US"/>
        </w:rPr>
        <w:t>.</w:t>
      </w:r>
    </w:p>
    <w:p w14:paraId="5D2F1CF5" w14:textId="7AD498A9" w:rsidR="005F7075" w:rsidRDefault="005F7075" w:rsidP="005F7075">
      <w:pPr>
        <w:pStyle w:val="Bullet1"/>
        <w:numPr>
          <w:ilvl w:val="0"/>
          <w:numId w:val="0"/>
        </w:numPr>
        <w:ind w:left="284" w:hanging="284"/>
      </w:pPr>
    </w:p>
    <w:p w14:paraId="48F18C6C" w14:textId="041A63FF" w:rsidR="005F7075" w:rsidRDefault="005F7075">
      <w:pPr>
        <w:suppressAutoHyphens w:val="0"/>
        <w:rPr>
          <w:lang w:val="x-none"/>
        </w:rPr>
      </w:pPr>
      <w:r>
        <w:br w:type="page"/>
      </w:r>
    </w:p>
    <w:p w14:paraId="73A49C0F" w14:textId="59628A29" w:rsidR="00554FF9" w:rsidRPr="000B2CF8" w:rsidRDefault="00554FF9" w:rsidP="00006F02">
      <w:pPr>
        <w:pStyle w:val="Heading1"/>
        <w:rPr>
          <w:u w:val="single"/>
        </w:rPr>
      </w:pPr>
      <w:bookmarkStart w:id="26" w:name="_Toc200122171"/>
      <w:bookmarkStart w:id="27" w:name="_Toc201043458"/>
      <w:r w:rsidRPr="000B2CF8">
        <w:rPr>
          <w:u w:val="single"/>
        </w:rPr>
        <w:lastRenderedPageBreak/>
        <w:t xml:space="preserve">Cost </w:t>
      </w:r>
      <w:r w:rsidR="00EB0454">
        <w:rPr>
          <w:u w:val="single"/>
        </w:rPr>
        <w:t>r</w:t>
      </w:r>
      <w:r w:rsidRPr="000B2CF8">
        <w:rPr>
          <w:u w:val="single"/>
        </w:rPr>
        <w:t xml:space="preserve">ecovery </w:t>
      </w:r>
      <w:bookmarkEnd w:id="26"/>
      <w:r w:rsidR="00EB0454">
        <w:rPr>
          <w:u w:val="single"/>
        </w:rPr>
        <w:t>o</w:t>
      </w:r>
      <w:r w:rsidR="000B2CF8">
        <w:rPr>
          <w:u w:val="single"/>
        </w:rPr>
        <w:t>utlook</w:t>
      </w:r>
      <w:bookmarkEnd w:id="27"/>
    </w:p>
    <w:p w14:paraId="145C829D" w14:textId="01C9DD64" w:rsidR="005C0ACB" w:rsidRDefault="005C0ACB" w:rsidP="00554FF9">
      <w:pPr>
        <w:rPr>
          <w:rFonts w:ascii="Calibri" w:hAnsi="Calibri" w:cs="Calibri"/>
        </w:rPr>
      </w:pPr>
      <w:bookmarkStart w:id="28" w:name="_Hlk200528448"/>
      <w:r>
        <w:rPr>
          <w:rFonts w:ascii="Calibri" w:hAnsi="Calibri" w:cs="Calibri"/>
        </w:rPr>
        <w:t>The estimated costs and revenue associated with the delivery of classification services have been examined over the forward estimates period</w:t>
      </w:r>
      <w:bookmarkEnd w:id="28"/>
      <w:r>
        <w:rPr>
          <w:rFonts w:ascii="Calibri" w:hAnsi="Calibri" w:cs="Calibri"/>
        </w:rPr>
        <w:t>. These estimates are based on projected activity volumes, staffing requirements, and operational needs as they are currently understood, taking into account the impact of recent reforms on business activities.</w:t>
      </w:r>
    </w:p>
    <w:p w14:paraId="6677C540" w14:textId="57F22063" w:rsidR="00554FF9" w:rsidRDefault="00554FF9" w:rsidP="00554FF9">
      <w:pPr>
        <w:rPr>
          <w:rFonts w:ascii="Calibri" w:hAnsi="Calibri" w:cs="Calibri"/>
        </w:rPr>
      </w:pPr>
      <w:r w:rsidRPr="00006F02">
        <w:rPr>
          <w:rFonts w:ascii="Calibri" w:hAnsi="Calibri" w:cs="Calibri"/>
          <w:b/>
        </w:rPr>
        <w:t>Table 1</w:t>
      </w:r>
      <w:r>
        <w:rPr>
          <w:rFonts w:ascii="Calibri" w:hAnsi="Calibri" w:cs="Calibri"/>
        </w:rPr>
        <w:t xml:space="preserve"> summarises estimated costs and revenue under the current cost recovery arrangement over the next five years. </w:t>
      </w:r>
    </w:p>
    <w:p w14:paraId="19BA600F" w14:textId="3DCFF9DF" w:rsidR="003C59A7" w:rsidRDefault="00554FF9" w:rsidP="00554FF9">
      <w:pPr>
        <w:rPr>
          <w:rFonts w:ascii="Calibri" w:hAnsi="Calibri" w:cs="Calibri"/>
        </w:rPr>
      </w:pPr>
      <w:r>
        <w:rPr>
          <w:rFonts w:ascii="Calibri" w:hAnsi="Calibri" w:cs="Calibri"/>
        </w:rPr>
        <w:t>The table also includes the actual historical (2022-23 and 202</w:t>
      </w:r>
      <w:r w:rsidR="00126169">
        <w:rPr>
          <w:rFonts w:ascii="Calibri" w:hAnsi="Calibri" w:cs="Calibri"/>
        </w:rPr>
        <w:t>3</w:t>
      </w:r>
      <w:r>
        <w:rPr>
          <w:rFonts w:ascii="Calibri" w:hAnsi="Calibri" w:cs="Calibri"/>
        </w:rPr>
        <w:t>-2</w:t>
      </w:r>
      <w:r w:rsidR="00126169">
        <w:rPr>
          <w:rFonts w:ascii="Calibri" w:hAnsi="Calibri" w:cs="Calibri"/>
        </w:rPr>
        <w:t>4</w:t>
      </w:r>
      <w:r>
        <w:rPr>
          <w:rFonts w:ascii="Calibri" w:hAnsi="Calibri" w:cs="Calibri"/>
        </w:rPr>
        <w:t xml:space="preserve">) costs and revenue of delivering </w:t>
      </w:r>
      <w:r w:rsidR="00932D5F">
        <w:rPr>
          <w:rFonts w:ascii="Calibri" w:hAnsi="Calibri" w:cs="Calibri"/>
        </w:rPr>
        <w:t>c</w:t>
      </w:r>
      <w:r>
        <w:rPr>
          <w:rFonts w:ascii="Calibri" w:hAnsi="Calibri" w:cs="Calibri"/>
        </w:rPr>
        <w:t xml:space="preserve">lassification </w:t>
      </w:r>
      <w:r w:rsidR="00932D5F">
        <w:rPr>
          <w:rFonts w:ascii="Calibri" w:hAnsi="Calibri" w:cs="Calibri"/>
        </w:rPr>
        <w:t>s</w:t>
      </w:r>
      <w:r>
        <w:rPr>
          <w:rFonts w:ascii="Calibri" w:hAnsi="Calibri" w:cs="Calibri"/>
        </w:rPr>
        <w:t xml:space="preserve">ervices. This table does not reflect any new fees or charges for services. </w:t>
      </w:r>
    </w:p>
    <w:p w14:paraId="0F2F66D1" w14:textId="1C7A30E1" w:rsidR="002A2966" w:rsidRDefault="002A2966" w:rsidP="00554FF9">
      <w:pPr>
        <w:rPr>
          <w:rFonts w:ascii="Calibri" w:hAnsi="Calibri" w:cs="Calibri"/>
        </w:rPr>
      </w:pPr>
      <w:r>
        <w:rPr>
          <w:rFonts w:ascii="Calibri" w:hAnsi="Calibri" w:cs="Calibri"/>
        </w:rPr>
        <w:t xml:space="preserve">The forward estimates </w:t>
      </w:r>
      <w:r w:rsidR="001E637B">
        <w:rPr>
          <w:rFonts w:ascii="Calibri" w:hAnsi="Calibri" w:cs="Calibri"/>
        </w:rPr>
        <w:t xml:space="preserve">reflect that the departments recovery rate </w:t>
      </w:r>
      <w:r w:rsidR="00036317">
        <w:rPr>
          <w:rFonts w:ascii="Calibri" w:hAnsi="Calibri" w:cs="Calibri"/>
        </w:rPr>
        <w:t xml:space="preserve">has reduced from </w:t>
      </w:r>
      <w:r>
        <w:rPr>
          <w:rFonts w:ascii="Calibri" w:hAnsi="Calibri" w:cs="Calibri"/>
        </w:rPr>
        <w:t>5</w:t>
      </w:r>
      <w:r w:rsidR="00B57D8C">
        <w:rPr>
          <w:rFonts w:ascii="Calibri" w:hAnsi="Calibri" w:cs="Calibri"/>
        </w:rPr>
        <w:t>3</w:t>
      </w:r>
      <w:r>
        <w:rPr>
          <w:rFonts w:ascii="Calibri" w:hAnsi="Calibri" w:cs="Calibri"/>
        </w:rPr>
        <w:t xml:space="preserve">% </w:t>
      </w:r>
      <w:r w:rsidR="00036317">
        <w:rPr>
          <w:rFonts w:ascii="Calibri" w:hAnsi="Calibri" w:cs="Calibri"/>
        </w:rPr>
        <w:t>in 2022</w:t>
      </w:r>
      <w:r w:rsidR="00FD22B9">
        <w:rPr>
          <w:rFonts w:ascii="Calibri" w:hAnsi="Calibri" w:cs="Calibri"/>
        </w:rPr>
        <w:t xml:space="preserve">-23 to </w:t>
      </w:r>
      <w:r w:rsidR="00336679">
        <w:rPr>
          <w:rFonts w:ascii="Calibri" w:hAnsi="Calibri" w:cs="Calibri"/>
        </w:rPr>
        <w:t xml:space="preserve">approximately </w:t>
      </w:r>
      <w:r>
        <w:rPr>
          <w:rFonts w:ascii="Calibri" w:hAnsi="Calibri" w:cs="Calibri"/>
        </w:rPr>
        <w:t>2</w:t>
      </w:r>
      <w:r w:rsidR="00B57D8C">
        <w:rPr>
          <w:rFonts w:ascii="Calibri" w:hAnsi="Calibri" w:cs="Calibri"/>
        </w:rPr>
        <w:t>8</w:t>
      </w:r>
      <w:r>
        <w:rPr>
          <w:rFonts w:ascii="Calibri" w:hAnsi="Calibri" w:cs="Calibri"/>
        </w:rPr>
        <w:t xml:space="preserve">% based on the current fee structure. </w:t>
      </w:r>
    </w:p>
    <w:p w14:paraId="4A586635" w14:textId="640729FE" w:rsidR="008739CF" w:rsidRDefault="00554FF9" w:rsidP="008739CF">
      <w:pPr>
        <w:pStyle w:val="Caption"/>
      </w:pPr>
      <w:r>
        <w:t>Table 1: Cost Recovery Profile from 2022-23 to 2029-30</w:t>
      </w:r>
    </w:p>
    <w:tbl>
      <w:tblPr>
        <w:tblW w:w="9993" w:type="dxa"/>
        <w:tblInd w:w="-10" w:type="dxa"/>
        <w:tblLayout w:type="fixed"/>
        <w:tblLook w:val="04A0" w:firstRow="1" w:lastRow="0" w:firstColumn="1" w:lastColumn="0" w:noHBand="0" w:noVBand="1"/>
      </w:tblPr>
      <w:tblGrid>
        <w:gridCol w:w="1843"/>
        <w:gridCol w:w="1018"/>
        <w:gridCol w:w="1019"/>
        <w:gridCol w:w="1019"/>
        <w:gridCol w:w="1019"/>
        <w:gridCol w:w="1018"/>
        <w:gridCol w:w="1019"/>
        <w:gridCol w:w="1019"/>
        <w:gridCol w:w="1019"/>
      </w:tblGrid>
      <w:tr w:rsidR="002167FF" w:rsidRPr="002167FF" w14:paraId="45F6FA31" w14:textId="77777777" w:rsidTr="00945940">
        <w:trPr>
          <w:trHeight w:val="289"/>
        </w:trPr>
        <w:tc>
          <w:tcPr>
            <w:tcW w:w="9993" w:type="dxa"/>
            <w:gridSpan w:val="9"/>
            <w:tcBorders>
              <w:top w:val="single" w:sz="4" w:space="0" w:color="auto"/>
              <w:left w:val="single" w:sz="8" w:space="0" w:color="auto"/>
              <w:bottom w:val="single" w:sz="4" w:space="0" w:color="auto"/>
              <w:right w:val="single" w:sz="4" w:space="0" w:color="auto"/>
            </w:tcBorders>
            <w:shd w:val="clear" w:color="000000" w:fill="D9E1F2"/>
            <w:noWrap/>
            <w:vAlign w:val="center"/>
            <w:hideMark/>
          </w:tcPr>
          <w:p w14:paraId="435599B8" w14:textId="52E22BA1" w:rsidR="002167FF" w:rsidRPr="002167FF" w:rsidRDefault="002167FF" w:rsidP="00945940">
            <w:pPr>
              <w:suppressAutoHyphens w:val="0"/>
              <w:spacing w:before="0" w:after="0"/>
              <w:rPr>
                <w:rFonts w:ascii="Calibri" w:eastAsia="Times New Roman" w:hAnsi="Calibri" w:cs="Calibri"/>
                <w:b/>
                <w:bCs/>
                <w:color w:val="000000"/>
                <w:sz w:val="16"/>
                <w:szCs w:val="16"/>
                <w:lang w:val="en-US"/>
              </w:rPr>
            </w:pPr>
            <w:r w:rsidRPr="002167FF">
              <w:rPr>
                <w:rFonts w:ascii="Calibri" w:eastAsia="Times New Roman" w:hAnsi="Calibri" w:cs="Calibri"/>
                <w:b/>
                <w:bCs/>
                <w:color w:val="000000"/>
                <w:sz w:val="16"/>
                <w:szCs w:val="16"/>
                <w:lang w:val="en-US"/>
              </w:rPr>
              <w:t>Activity All Cost &amp; Revenue Summary</w:t>
            </w:r>
          </w:p>
        </w:tc>
      </w:tr>
      <w:tr w:rsidR="00B57D8C" w:rsidRPr="002167FF" w14:paraId="79F9420E" w14:textId="77777777" w:rsidTr="00945940">
        <w:trPr>
          <w:trHeight w:val="289"/>
        </w:trPr>
        <w:tc>
          <w:tcPr>
            <w:tcW w:w="1843" w:type="dxa"/>
            <w:tcBorders>
              <w:top w:val="nil"/>
              <w:left w:val="single" w:sz="8" w:space="0" w:color="auto"/>
              <w:bottom w:val="nil"/>
              <w:right w:val="nil"/>
            </w:tcBorders>
            <w:shd w:val="clear" w:color="000000" w:fill="808080"/>
            <w:noWrap/>
            <w:vAlign w:val="center"/>
            <w:hideMark/>
          </w:tcPr>
          <w:p w14:paraId="2EE8F52E" w14:textId="5DB4DEB2" w:rsidR="002167FF" w:rsidRPr="002167FF" w:rsidRDefault="002167FF" w:rsidP="00864C86">
            <w:pPr>
              <w:suppressAutoHyphens w:val="0"/>
              <w:spacing w:before="0" w:after="0"/>
              <w:jc w:val="center"/>
              <w:rPr>
                <w:rFonts w:ascii="Calibri" w:eastAsia="Times New Roman" w:hAnsi="Calibri" w:cs="Calibri"/>
                <w:b/>
                <w:bCs/>
                <w:color w:val="FFFFFF"/>
                <w:sz w:val="16"/>
                <w:szCs w:val="16"/>
                <w:lang w:val="en-US"/>
              </w:rPr>
            </w:pPr>
          </w:p>
        </w:tc>
        <w:tc>
          <w:tcPr>
            <w:tcW w:w="1018" w:type="dxa"/>
            <w:tcBorders>
              <w:top w:val="nil"/>
              <w:left w:val="nil"/>
              <w:bottom w:val="nil"/>
              <w:right w:val="single" w:sz="4" w:space="0" w:color="auto"/>
            </w:tcBorders>
            <w:shd w:val="clear" w:color="000000" w:fill="D0CECE"/>
            <w:vAlign w:val="center"/>
            <w:hideMark/>
          </w:tcPr>
          <w:p w14:paraId="3A12B536" w14:textId="77777777" w:rsidR="002167FF" w:rsidRPr="002167FF" w:rsidRDefault="002167FF" w:rsidP="00864C86">
            <w:pPr>
              <w:suppressAutoHyphens w:val="0"/>
              <w:spacing w:before="0" w:after="0"/>
              <w:jc w:val="center"/>
              <w:rPr>
                <w:rFonts w:ascii="Calibri" w:eastAsia="Times New Roman" w:hAnsi="Calibri" w:cs="Calibri"/>
                <w:b/>
                <w:bCs/>
                <w:color w:val="000000"/>
                <w:sz w:val="16"/>
                <w:szCs w:val="16"/>
                <w:lang w:val="en-US"/>
              </w:rPr>
            </w:pPr>
            <w:r w:rsidRPr="002167FF">
              <w:rPr>
                <w:rFonts w:ascii="Calibri" w:eastAsia="Times New Roman" w:hAnsi="Calibri" w:cs="Calibri"/>
                <w:b/>
                <w:bCs/>
                <w:color w:val="000000"/>
                <w:sz w:val="16"/>
                <w:szCs w:val="16"/>
                <w:lang w:val="en-US"/>
              </w:rPr>
              <w:t>2022-23</w:t>
            </w:r>
          </w:p>
        </w:tc>
        <w:tc>
          <w:tcPr>
            <w:tcW w:w="1019" w:type="dxa"/>
            <w:tcBorders>
              <w:top w:val="nil"/>
              <w:left w:val="nil"/>
              <w:bottom w:val="nil"/>
              <w:right w:val="single" w:sz="4" w:space="0" w:color="auto"/>
            </w:tcBorders>
            <w:shd w:val="clear" w:color="000000" w:fill="D0CECE"/>
            <w:vAlign w:val="center"/>
            <w:hideMark/>
          </w:tcPr>
          <w:p w14:paraId="7ABEA7BD" w14:textId="77777777" w:rsidR="002167FF" w:rsidRPr="002167FF" w:rsidRDefault="002167FF" w:rsidP="00864C86">
            <w:pPr>
              <w:suppressAutoHyphens w:val="0"/>
              <w:spacing w:before="0" w:after="0"/>
              <w:jc w:val="center"/>
              <w:rPr>
                <w:rFonts w:ascii="Calibri" w:eastAsia="Times New Roman" w:hAnsi="Calibri" w:cs="Calibri"/>
                <w:b/>
                <w:bCs/>
                <w:color w:val="000000"/>
                <w:sz w:val="16"/>
                <w:szCs w:val="16"/>
                <w:lang w:val="en-US"/>
              </w:rPr>
            </w:pPr>
            <w:r w:rsidRPr="002167FF">
              <w:rPr>
                <w:rFonts w:ascii="Calibri" w:eastAsia="Times New Roman" w:hAnsi="Calibri" w:cs="Calibri"/>
                <w:b/>
                <w:bCs/>
                <w:color w:val="000000"/>
                <w:sz w:val="16"/>
                <w:szCs w:val="16"/>
                <w:lang w:val="en-US"/>
              </w:rPr>
              <w:t>2023-24</w:t>
            </w:r>
          </w:p>
        </w:tc>
        <w:tc>
          <w:tcPr>
            <w:tcW w:w="1019" w:type="dxa"/>
            <w:tcBorders>
              <w:top w:val="nil"/>
              <w:left w:val="nil"/>
              <w:bottom w:val="single" w:sz="4" w:space="0" w:color="auto"/>
              <w:right w:val="single" w:sz="4" w:space="0" w:color="auto"/>
            </w:tcBorders>
            <w:shd w:val="clear" w:color="000000" w:fill="D9E1F2"/>
            <w:vAlign w:val="center"/>
            <w:hideMark/>
          </w:tcPr>
          <w:p w14:paraId="7F35F6AA" w14:textId="77777777" w:rsidR="002167FF" w:rsidRPr="002167FF" w:rsidRDefault="002167FF" w:rsidP="00864C86">
            <w:pPr>
              <w:suppressAutoHyphens w:val="0"/>
              <w:spacing w:before="0" w:after="0"/>
              <w:jc w:val="center"/>
              <w:rPr>
                <w:rFonts w:ascii="Calibri" w:eastAsia="Times New Roman" w:hAnsi="Calibri" w:cs="Calibri"/>
                <w:b/>
                <w:bCs/>
                <w:color w:val="000000"/>
                <w:sz w:val="16"/>
                <w:szCs w:val="16"/>
                <w:lang w:val="en-US"/>
              </w:rPr>
            </w:pPr>
            <w:r w:rsidRPr="002167FF">
              <w:rPr>
                <w:rFonts w:ascii="Calibri" w:eastAsia="Times New Roman" w:hAnsi="Calibri" w:cs="Calibri"/>
                <w:b/>
                <w:bCs/>
                <w:color w:val="000000"/>
                <w:sz w:val="16"/>
                <w:szCs w:val="16"/>
                <w:lang w:val="en-US"/>
              </w:rPr>
              <w:t>2024-25</w:t>
            </w:r>
          </w:p>
        </w:tc>
        <w:tc>
          <w:tcPr>
            <w:tcW w:w="1019" w:type="dxa"/>
            <w:tcBorders>
              <w:top w:val="nil"/>
              <w:left w:val="nil"/>
              <w:bottom w:val="nil"/>
              <w:right w:val="single" w:sz="4" w:space="0" w:color="auto"/>
            </w:tcBorders>
            <w:shd w:val="clear" w:color="000000" w:fill="D9E1F2"/>
            <w:vAlign w:val="center"/>
            <w:hideMark/>
          </w:tcPr>
          <w:p w14:paraId="5444E572" w14:textId="77777777" w:rsidR="002167FF" w:rsidRPr="002167FF" w:rsidRDefault="002167FF" w:rsidP="00864C86">
            <w:pPr>
              <w:suppressAutoHyphens w:val="0"/>
              <w:spacing w:before="0" w:after="0"/>
              <w:jc w:val="center"/>
              <w:rPr>
                <w:rFonts w:ascii="Calibri" w:eastAsia="Times New Roman" w:hAnsi="Calibri" w:cs="Calibri"/>
                <w:b/>
                <w:bCs/>
                <w:color w:val="000000"/>
                <w:sz w:val="16"/>
                <w:szCs w:val="16"/>
                <w:lang w:val="en-US"/>
              </w:rPr>
            </w:pPr>
            <w:r w:rsidRPr="002167FF">
              <w:rPr>
                <w:rFonts w:ascii="Calibri" w:eastAsia="Times New Roman" w:hAnsi="Calibri" w:cs="Calibri"/>
                <w:b/>
                <w:bCs/>
                <w:color w:val="000000"/>
                <w:sz w:val="16"/>
                <w:szCs w:val="16"/>
                <w:lang w:val="en-US"/>
              </w:rPr>
              <w:t>2025-26</w:t>
            </w:r>
          </w:p>
        </w:tc>
        <w:tc>
          <w:tcPr>
            <w:tcW w:w="1018" w:type="dxa"/>
            <w:tcBorders>
              <w:top w:val="nil"/>
              <w:left w:val="nil"/>
              <w:bottom w:val="nil"/>
              <w:right w:val="single" w:sz="4" w:space="0" w:color="auto"/>
            </w:tcBorders>
            <w:shd w:val="clear" w:color="000000" w:fill="D9E1F2"/>
            <w:vAlign w:val="center"/>
            <w:hideMark/>
          </w:tcPr>
          <w:p w14:paraId="722332D5" w14:textId="77777777" w:rsidR="002167FF" w:rsidRPr="002167FF" w:rsidRDefault="002167FF" w:rsidP="00864C86">
            <w:pPr>
              <w:suppressAutoHyphens w:val="0"/>
              <w:spacing w:before="0" w:after="0"/>
              <w:jc w:val="center"/>
              <w:rPr>
                <w:rFonts w:ascii="Calibri" w:eastAsia="Times New Roman" w:hAnsi="Calibri" w:cs="Calibri"/>
                <w:b/>
                <w:bCs/>
                <w:color w:val="000000"/>
                <w:sz w:val="16"/>
                <w:szCs w:val="16"/>
                <w:lang w:val="en-US"/>
              </w:rPr>
            </w:pPr>
            <w:r w:rsidRPr="002167FF">
              <w:rPr>
                <w:rFonts w:ascii="Calibri" w:eastAsia="Times New Roman" w:hAnsi="Calibri" w:cs="Calibri"/>
                <w:b/>
                <w:bCs/>
                <w:color w:val="000000"/>
                <w:sz w:val="16"/>
                <w:szCs w:val="16"/>
                <w:lang w:val="en-US"/>
              </w:rPr>
              <w:t>2026-27</w:t>
            </w:r>
          </w:p>
        </w:tc>
        <w:tc>
          <w:tcPr>
            <w:tcW w:w="1019" w:type="dxa"/>
            <w:tcBorders>
              <w:top w:val="nil"/>
              <w:left w:val="nil"/>
              <w:bottom w:val="nil"/>
              <w:right w:val="single" w:sz="4" w:space="0" w:color="auto"/>
            </w:tcBorders>
            <w:shd w:val="clear" w:color="000000" w:fill="D9E1F2"/>
            <w:vAlign w:val="center"/>
            <w:hideMark/>
          </w:tcPr>
          <w:p w14:paraId="4B620F36" w14:textId="77777777" w:rsidR="002167FF" w:rsidRPr="002167FF" w:rsidRDefault="002167FF" w:rsidP="00864C86">
            <w:pPr>
              <w:suppressAutoHyphens w:val="0"/>
              <w:spacing w:before="0" w:after="0"/>
              <w:jc w:val="center"/>
              <w:rPr>
                <w:rFonts w:ascii="Calibri" w:eastAsia="Times New Roman" w:hAnsi="Calibri" w:cs="Calibri"/>
                <w:b/>
                <w:bCs/>
                <w:color w:val="000000"/>
                <w:sz w:val="16"/>
                <w:szCs w:val="16"/>
                <w:lang w:val="en-US"/>
              </w:rPr>
            </w:pPr>
            <w:r w:rsidRPr="002167FF">
              <w:rPr>
                <w:rFonts w:ascii="Calibri" w:eastAsia="Times New Roman" w:hAnsi="Calibri" w:cs="Calibri"/>
                <w:b/>
                <w:bCs/>
                <w:color w:val="000000"/>
                <w:sz w:val="16"/>
                <w:szCs w:val="16"/>
                <w:lang w:val="en-US"/>
              </w:rPr>
              <w:t>2027-28</w:t>
            </w:r>
          </w:p>
        </w:tc>
        <w:tc>
          <w:tcPr>
            <w:tcW w:w="1019" w:type="dxa"/>
            <w:tcBorders>
              <w:top w:val="nil"/>
              <w:left w:val="nil"/>
              <w:bottom w:val="nil"/>
              <w:right w:val="single" w:sz="4" w:space="0" w:color="auto"/>
            </w:tcBorders>
            <w:shd w:val="clear" w:color="000000" w:fill="D9E1F2"/>
            <w:vAlign w:val="center"/>
            <w:hideMark/>
          </w:tcPr>
          <w:p w14:paraId="0BEE71F2" w14:textId="77777777" w:rsidR="002167FF" w:rsidRPr="002167FF" w:rsidRDefault="002167FF" w:rsidP="00864C86">
            <w:pPr>
              <w:suppressAutoHyphens w:val="0"/>
              <w:spacing w:before="0" w:after="0"/>
              <w:jc w:val="center"/>
              <w:rPr>
                <w:rFonts w:ascii="Calibri" w:eastAsia="Times New Roman" w:hAnsi="Calibri" w:cs="Calibri"/>
                <w:b/>
                <w:bCs/>
                <w:color w:val="000000"/>
                <w:sz w:val="16"/>
                <w:szCs w:val="16"/>
                <w:lang w:val="en-US"/>
              </w:rPr>
            </w:pPr>
            <w:r w:rsidRPr="002167FF">
              <w:rPr>
                <w:rFonts w:ascii="Calibri" w:eastAsia="Times New Roman" w:hAnsi="Calibri" w:cs="Calibri"/>
                <w:b/>
                <w:bCs/>
                <w:color w:val="000000"/>
                <w:sz w:val="16"/>
                <w:szCs w:val="16"/>
                <w:lang w:val="en-US"/>
              </w:rPr>
              <w:t>2028-29</w:t>
            </w:r>
          </w:p>
        </w:tc>
        <w:tc>
          <w:tcPr>
            <w:tcW w:w="1019" w:type="dxa"/>
            <w:tcBorders>
              <w:top w:val="nil"/>
              <w:left w:val="nil"/>
              <w:bottom w:val="nil"/>
              <w:right w:val="single" w:sz="8" w:space="0" w:color="auto"/>
            </w:tcBorders>
            <w:shd w:val="clear" w:color="000000" w:fill="D9E1F2"/>
            <w:vAlign w:val="center"/>
            <w:hideMark/>
          </w:tcPr>
          <w:p w14:paraId="559616E5" w14:textId="77777777" w:rsidR="002167FF" w:rsidRPr="002167FF" w:rsidRDefault="002167FF" w:rsidP="00864C86">
            <w:pPr>
              <w:suppressAutoHyphens w:val="0"/>
              <w:spacing w:before="0" w:after="0"/>
              <w:jc w:val="center"/>
              <w:rPr>
                <w:rFonts w:ascii="Calibri" w:eastAsia="Times New Roman" w:hAnsi="Calibri" w:cs="Calibri"/>
                <w:b/>
                <w:bCs/>
                <w:color w:val="000000"/>
                <w:sz w:val="16"/>
                <w:szCs w:val="16"/>
                <w:lang w:val="en-US"/>
              </w:rPr>
            </w:pPr>
            <w:r w:rsidRPr="002167FF">
              <w:rPr>
                <w:rFonts w:ascii="Calibri" w:eastAsia="Times New Roman" w:hAnsi="Calibri" w:cs="Calibri"/>
                <w:b/>
                <w:bCs/>
                <w:color w:val="000000"/>
                <w:sz w:val="16"/>
                <w:szCs w:val="16"/>
                <w:lang w:val="en-US"/>
              </w:rPr>
              <w:t>2029-30</w:t>
            </w:r>
          </w:p>
        </w:tc>
      </w:tr>
      <w:tr w:rsidR="00B57D8C" w:rsidRPr="002167FF" w14:paraId="1F88B70B" w14:textId="77777777" w:rsidTr="00945940">
        <w:trPr>
          <w:trHeight w:val="289"/>
        </w:trPr>
        <w:tc>
          <w:tcPr>
            <w:tcW w:w="1843" w:type="dxa"/>
            <w:tcBorders>
              <w:top w:val="nil"/>
              <w:left w:val="single" w:sz="8" w:space="0" w:color="auto"/>
              <w:bottom w:val="single" w:sz="4" w:space="0" w:color="auto"/>
              <w:right w:val="single" w:sz="4" w:space="0" w:color="auto"/>
            </w:tcBorders>
            <w:vAlign w:val="center"/>
            <w:hideMark/>
          </w:tcPr>
          <w:p w14:paraId="6A67FE62" w14:textId="77777777" w:rsidR="00F42D3B" w:rsidRPr="002167FF" w:rsidRDefault="00F42D3B" w:rsidP="00945940">
            <w:pPr>
              <w:suppressAutoHyphens w:val="0"/>
              <w:spacing w:before="0" w:after="0"/>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Direct Costs</w:t>
            </w:r>
          </w:p>
        </w:tc>
        <w:tc>
          <w:tcPr>
            <w:tcW w:w="10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96D3A3" w14:textId="6CFD0D93" w:rsidR="00F42D3B" w:rsidRPr="002167FF" w:rsidRDefault="00F42D3B" w:rsidP="00864C86">
            <w:pPr>
              <w:suppressAutoHyphens w:val="0"/>
              <w:spacing w:before="0" w:after="0"/>
              <w:jc w:val="center"/>
              <w:rPr>
                <w:rFonts w:ascii="Calibri" w:eastAsia="Times New Roman" w:hAnsi="Calibri" w:cs="Calibri"/>
                <w:color w:val="000000"/>
                <w:sz w:val="16"/>
                <w:szCs w:val="16"/>
                <w:lang w:val="en-US"/>
              </w:rPr>
            </w:pPr>
            <w:r w:rsidRPr="00F42D3B">
              <w:rPr>
                <w:rFonts w:ascii="Calibri" w:hAnsi="Calibri" w:cs="Calibri"/>
                <w:color w:val="000000"/>
                <w:sz w:val="16"/>
                <w:szCs w:val="16"/>
              </w:rPr>
              <w:t>$5,191,000</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14:paraId="5F41EC7B" w14:textId="428BC7EB" w:rsidR="00F42D3B" w:rsidRPr="002167FF" w:rsidRDefault="00F42D3B" w:rsidP="00864C86">
            <w:pPr>
              <w:suppressAutoHyphens w:val="0"/>
              <w:spacing w:before="0" w:after="0"/>
              <w:jc w:val="center"/>
              <w:rPr>
                <w:rFonts w:ascii="Calibri" w:eastAsia="Times New Roman" w:hAnsi="Calibri" w:cs="Calibri"/>
                <w:color w:val="000000"/>
                <w:sz w:val="16"/>
                <w:szCs w:val="16"/>
                <w:lang w:val="en-US"/>
              </w:rPr>
            </w:pPr>
            <w:r w:rsidRPr="00F42D3B">
              <w:rPr>
                <w:rFonts w:ascii="Calibri" w:hAnsi="Calibri" w:cs="Calibri"/>
                <w:color w:val="000000"/>
                <w:sz w:val="16"/>
                <w:szCs w:val="16"/>
              </w:rPr>
              <w:t>$5,956,000</w:t>
            </w:r>
          </w:p>
        </w:tc>
        <w:tc>
          <w:tcPr>
            <w:tcW w:w="1019" w:type="dxa"/>
            <w:tcBorders>
              <w:top w:val="nil"/>
              <w:left w:val="nil"/>
              <w:bottom w:val="single" w:sz="4" w:space="0" w:color="auto"/>
              <w:right w:val="single" w:sz="4" w:space="0" w:color="auto"/>
            </w:tcBorders>
            <w:shd w:val="clear" w:color="000000" w:fill="FFFFFF"/>
            <w:noWrap/>
            <w:vAlign w:val="center"/>
            <w:hideMark/>
          </w:tcPr>
          <w:p w14:paraId="7F1A0378" w14:textId="07318703" w:rsidR="00F42D3B" w:rsidRPr="002167FF" w:rsidRDefault="00F42D3B" w:rsidP="00864C86">
            <w:pPr>
              <w:suppressAutoHyphens w:val="0"/>
              <w:spacing w:before="0" w:after="0"/>
              <w:jc w:val="center"/>
              <w:rPr>
                <w:rFonts w:ascii="Calibri" w:eastAsia="Times New Roman" w:hAnsi="Calibri" w:cs="Calibri"/>
                <w:color w:val="000000"/>
                <w:sz w:val="16"/>
                <w:szCs w:val="16"/>
                <w:lang w:val="en-US"/>
              </w:rPr>
            </w:pPr>
            <w:r w:rsidRPr="00F42D3B">
              <w:rPr>
                <w:rFonts w:ascii="Calibri" w:hAnsi="Calibri" w:cs="Calibri"/>
                <w:color w:val="000000"/>
                <w:sz w:val="16"/>
                <w:szCs w:val="16"/>
              </w:rPr>
              <w:t>$5,926,000</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14:paraId="24041C2A" w14:textId="50694CE0" w:rsidR="00F42D3B" w:rsidRPr="002167FF" w:rsidRDefault="00F42D3B" w:rsidP="00864C86">
            <w:pPr>
              <w:suppressAutoHyphens w:val="0"/>
              <w:spacing w:before="0" w:after="0"/>
              <w:jc w:val="center"/>
              <w:rPr>
                <w:rFonts w:ascii="Calibri" w:eastAsia="Times New Roman" w:hAnsi="Calibri" w:cs="Calibri"/>
                <w:color w:val="000000"/>
                <w:sz w:val="16"/>
                <w:szCs w:val="16"/>
                <w:lang w:val="en-US"/>
              </w:rPr>
            </w:pPr>
            <w:r w:rsidRPr="00F42D3B">
              <w:rPr>
                <w:rFonts w:ascii="Calibri" w:hAnsi="Calibri" w:cs="Calibri"/>
                <w:color w:val="000000"/>
                <w:sz w:val="16"/>
                <w:szCs w:val="16"/>
              </w:rPr>
              <w:t>$5,009,593</w:t>
            </w:r>
          </w:p>
        </w:tc>
        <w:tc>
          <w:tcPr>
            <w:tcW w:w="1018" w:type="dxa"/>
            <w:tcBorders>
              <w:top w:val="single" w:sz="4" w:space="0" w:color="auto"/>
              <w:left w:val="nil"/>
              <w:bottom w:val="single" w:sz="4" w:space="0" w:color="auto"/>
              <w:right w:val="single" w:sz="4" w:space="0" w:color="auto"/>
            </w:tcBorders>
            <w:shd w:val="clear" w:color="000000" w:fill="FFFFFF"/>
            <w:noWrap/>
            <w:vAlign w:val="center"/>
            <w:hideMark/>
          </w:tcPr>
          <w:p w14:paraId="4CB93D9D" w14:textId="73D02CD0" w:rsidR="00F42D3B" w:rsidRPr="002167FF" w:rsidRDefault="00F42D3B" w:rsidP="00864C86">
            <w:pPr>
              <w:suppressAutoHyphens w:val="0"/>
              <w:spacing w:before="0" w:after="0"/>
              <w:jc w:val="center"/>
              <w:rPr>
                <w:rFonts w:ascii="Calibri" w:eastAsia="Times New Roman" w:hAnsi="Calibri" w:cs="Calibri"/>
                <w:color w:val="000000"/>
                <w:sz w:val="16"/>
                <w:szCs w:val="16"/>
                <w:lang w:val="en-US"/>
              </w:rPr>
            </w:pPr>
            <w:r w:rsidRPr="00F42D3B">
              <w:rPr>
                <w:rFonts w:ascii="Calibri" w:hAnsi="Calibri" w:cs="Calibri"/>
                <w:color w:val="000000"/>
                <w:sz w:val="16"/>
                <w:szCs w:val="16"/>
              </w:rPr>
              <w:t>$4,651,658</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14:paraId="797D9F60" w14:textId="78A0BD50" w:rsidR="00F42D3B" w:rsidRPr="002167FF" w:rsidRDefault="00F42D3B" w:rsidP="00864C86">
            <w:pPr>
              <w:suppressAutoHyphens w:val="0"/>
              <w:spacing w:before="0" w:after="0"/>
              <w:jc w:val="center"/>
              <w:rPr>
                <w:rFonts w:ascii="Calibri" w:eastAsia="Times New Roman" w:hAnsi="Calibri" w:cs="Calibri"/>
                <w:color w:val="000000"/>
                <w:sz w:val="16"/>
                <w:szCs w:val="16"/>
                <w:lang w:val="en-US"/>
              </w:rPr>
            </w:pPr>
            <w:r w:rsidRPr="00F42D3B">
              <w:rPr>
                <w:rFonts w:ascii="Calibri" w:hAnsi="Calibri" w:cs="Calibri"/>
                <w:color w:val="000000"/>
                <w:sz w:val="16"/>
                <w:szCs w:val="16"/>
              </w:rPr>
              <w:t>$4,803,761</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14:paraId="635822EE" w14:textId="0CCCB802" w:rsidR="00F42D3B" w:rsidRPr="002167FF" w:rsidRDefault="00F42D3B" w:rsidP="00864C86">
            <w:pPr>
              <w:suppressAutoHyphens w:val="0"/>
              <w:spacing w:before="0" w:after="0"/>
              <w:jc w:val="center"/>
              <w:rPr>
                <w:rFonts w:ascii="Calibri" w:eastAsia="Times New Roman" w:hAnsi="Calibri" w:cs="Calibri"/>
                <w:color w:val="000000"/>
                <w:sz w:val="16"/>
                <w:szCs w:val="16"/>
                <w:lang w:val="en-US"/>
              </w:rPr>
            </w:pPr>
            <w:r w:rsidRPr="00F42D3B">
              <w:rPr>
                <w:rFonts w:ascii="Calibri" w:hAnsi="Calibri" w:cs="Calibri"/>
                <w:color w:val="000000"/>
                <w:sz w:val="16"/>
                <w:szCs w:val="16"/>
              </w:rPr>
              <w:t>$4,960,884</w:t>
            </w:r>
          </w:p>
        </w:tc>
        <w:tc>
          <w:tcPr>
            <w:tcW w:w="1019" w:type="dxa"/>
            <w:tcBorders>
              <w:top w:val="single" w:sz="4" w:space="0" w:color="auto"/>
              <w:left w:val="nil"/>
              <w:bottom w:val="single" w:sz="4" w:space="0" w:color="auto"/>
              <w:right w:val="single" w:sz="8" w:space="0" w:color="auto"/>
            </w:tcBorders>
            <w:shd w:val="clear" w:color="000000" w:fill="FFFFFF"/>
            <w:noWrap/>
            <w:vAlign w:val="center"/>
            <w:hideMark/>
          </w:tcPr>
          <w:p w14:paraId="4740E472" w14:textId="57421EF7" w:rsidR="00F42D3B" w:rsidRPr="002167FF" w:rsidRDefault="00F42D3B" w:rsidP="00864C86">
            <w:pPr>
              <w:suppressAutoHyphens w:val="0"/>
              <w:spacing w:before="0" w:after="0"/>
              <w:jc w:val="center"/>
              <w:rPr>
                <w:rFonts w:ascii="Calibri" w:eastAsia="Times New Roman" w:hAnsi="Calibri" w:cs="Calibri"/>
                <w:color w:val="000000"/>
                <w:sz w:val="16"/>
                <w:szCs w:val="16"/>
                <w:lang w:val="en-US"/>
              </w:rPr>
            </w:pPr>
            <w:r w:rsidRPr="00F42D3B">
              <w:rPr>
                <w:rFonts w:ascii="Calibri" w:hAnsi="Calibri" w:cs="Calibri"/>
                <w:color w:val="000000"/>
                <w:sz w:val="16"/>
                <w:szCs w:val="16"/>
              </w:rPr>
              <w:t>$5,123,195</w:t>
            </w:r>
          </w:p>
        </w:tc>
      </w:tr>
      <w:tr w:rsidR="00B57D8C" w:rsidRPr="002167FF" w14:paraId="0CF86780" w14:textId="77777777" w:rsidTr="00945940">
        <w:trPr>
          <w:trHeight w:val="289"/>
        </w:trPr>
        <w:tc>
          <w:tcPr>
            <w:tcW w:w="1843" w:type="dxa"/>
            <w:tcBorders>
              <w:top w:val="nil"/>
              <w:left w:val="single" w:sz="8" w:space="0" w:color="auto"/>
              <w:bottom w:val="single" w:sz="4" w:space="0" w:color="auto"/>
              <w:right w:val="single" w:sz="4" w:space="0" w:color="auto"/>
            </w:tcBorders>
            <w:vAlign w:val="center"/>
            <w:hideMark/>
          </w:tcPr>
          <w:p w14:paraId="5AE2DB5D" w14:textId="77777777" w:rsidR="00F42D3B" w:rsidRPr="002167FF" w:rsidRDefault="00F42D3B" w:rsidP="00945940">
            <w:pPr>
              <w:suppressAutoHyphens w:val="0"/>
              <w:spacing w:before="0" w:after="0"/>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Indirect Costs</w:t>
            </w:r>
          </w:p>
        </w:tc>
        <w:tc>
          <w:tcPr>
            <w:tcW w:w="1018" w:type="dxa"/>
            <w:tcBorders>
              <w:top w:val="nil"/>
              <w:left w:val="single" w:sz="4" w:space="0" w:color="auto"/>
              <w:bottom w:val="single" w:sz="4" w:space="0" w:color="auto"/>
              <w:right w:val="single" w:sz="4" w:space="0" w:color="auto"/>
            </w:tcBorders>
            <w:shd w:val="clear" w:color="000000" w:fill="FFFFFF"/>
            <w:noWrap/>
            <w:vAlign w:val="center"/>
            <w:hideMark/>
          </w:tcPr>
          <w:p w14:paraId="4C066BBB" w14:textId="1865667B" w:rsidR="00F42D3B" w:rsidRPr="002167FF" w:rsidRDefault="00F42D3B" w:rsidP="00864C86">
            <w:pPr>
              <w:suppressAutoHyphens w:val="0"/>
              <w:spacing w:before="0" w:after="0"/>
              <w:jc w:val="center"/>
              <w:rPr>
                <w:rFonts w:ascii="Calibri" w:eastAsia="Times New Roman" w:hAnsi="Calibri" w:cs="Calibri"/>
                <w:color w:val="000000"/>
                <w:sz w:val="16"/>
                <w:szCs w:val="16"/>
                <w:lang w:val="en-US"/>
              </w:rPr>
            </w:pPr>
            <w:r w:rsidRPr="00F42D3B">
              <w:rPr>
                <w:rFonts w:ascii="Calibri" w:hAnsi="Calibri" w:cs="Calibri"/>
                <w:color w:val="000000"/>
                <w:sz w:val="16"/>
                <w:szCs w:val="16"/>
              </w:rPr>
              <w:t>$880,834</w:t>
            </w:r>
          </w:p>
        </w:tc>
        <w:tc>
          <w:tcPr>
            <w:tcW w:w="1019" w:type="dxa"/>
            <w:tcBorders>
              <w:top w:val="nil"/>
              <w:left w:val="nil"/>
              <w:bottom w:val="single" w:sz="4" w:space="0" w:color="auto"/>
              <w:right w:val="single" w:sz="4" w:space="0" w:color="auto"/>
            </w:tcBorders>
            <w:shd w:val="clear" w:color="000000" w:fill="FFFFFF"/>
            <w:noWrap/>
            <w:vAlign w:val="center"/>
            <w:hideMark/>
          </w:tcPr>
          <w:p w14:paraId="2D5FC2D2" w14:textId="3416F286" w:rsidR="00F42D3B" w:rsidRPr="002167FF" w:rsidRDefault="00F42D3B" w:rsidP="00864C86">
            <w:pPr>
              <w:suppressAutoHyphens w:val="0"/>
              <w:spacing w:before="0" w:after="0"/>
              <w:jc w:val="center"/>
              <w:rPr>
                <w:rFonts w:ascii="Calibri" w:eastAsia="Times New Roman" w:hAnsi="Calibri" w:cs="Calibri"/>
                <w:color w:val="000000"/>
                <w:sz w:val="16"/>
                <w:szCs w:val="16"/>
                <w:lang w:val="en-US"/>
              </w:rPr>
            </w:pPr>
            <w:r w:rsidRPr="00F42D3B">
              <w:rPr>
                <w:rFonts w:ascii="Calibri" w:hAnsi="Calibri" w:cs="Calibri"/>
                <w:color w:val="000000"/>
                <w:sz w:val="16"/>
                <w:szCs w:val="16"/>
              </w:rPr>
              <w:t>$991,246</w:t>
            </w:r>
          </w:p>
        </w:tc>
        <w:tc>
          <w:tcPr>
            <w:tcW w:w="1019" w:type="dxa"/>
            <w:tcBorders>
              <w:top w:val="nil"/>
              <w:left w:val="nil"/>
              <w:bottom w:val="single" w:sz="4" w:space="0" w:color="auto"/>
              <w:right w:val="single" w:sz="4" w:space="0" w:color="auto"/>
            </w:tcBorders>
            <w:shd w:val="clear" w:color="000000" w:fill="FFFFFF"/>
            <w:noWrap/>
            <w:vAlign w:val="center"/>
            <w:hideMark/>
          </w:tcPr>
          <w:p w14:paraId="4DC1BC9E" w14:textId="3A4AC3D5" w:rsidR="00F42D3B" w:rsidRPr="002167FF" w:rsidRDefault="00F42D3B" w:rsidP="00864C86">
            <w:pPr>
              <w:suppressAutoHyphens w:val="0"/>
              <w:spacing w:before="0" w:after="0"/>
              <w:jc w:val="center"/>
              <w:rPr>
                <w:rFonts w:ascii="Calibri" w:eastAsia="Times New Roman" w:hAnsi="Calibri" w:cs="Calibri"/>
                <w:color w:val="000000"/>
                <w:sz w:val="16"/>
                <w:szCs w:val="16"/>
                <w:lang w:val="en-US"/>
              </w:rPr>
            </w:pPr>
            <w:r w:rsidRPr="00F42D3B">
              <w:rPr>
                <w:rFonts w:ascii="Calibri" w:hAnsi="Calibri" w:cs="Calibri"/>
                <w:color w:val="000000"/>
                <w:sz w:val="16"/>
                <w:szCs w:val="16"/>
              </w:rPr>
              <w:t>$927,623</w:t>
            </w:r>
          </w:p>
        </w:tc>
        <w:tc>
          <w:tcPr>
            <w:tcW w:w="1019" w:type="dxa"/>
            <w:tcBorders>
              <w:top w:val="nil"/>
              <w:left w:val="nil"/>
              <w:bottom w:val="single" w:sz="4" w:space="0" w:color="auto"/>
              <w:right w:val="single" w:sz="4" w:space="0" w:color="auto"/>
            </w:tcBorders>
            <w:shd w:val="clear" w:color="000000" w:fill="FFFFFF"/>
            <w:noWrap/>
            <w:vAlign w:val="center"/>
            <w:hideMark/>
          </w:tcPr>
          <w:p w14:paraId="1C6DDA6F" w14:textId="0FD70955" w:rsidR="00F42D3B" w:rsidRPr="002167FF" w:rsidRDefault="00F42D3B" w:rsidP="00864C86">
            <w:pPr>
              <w:suppressAutoHyphens w:val="0"/>
              <w:spacing w:before="0" w:after="0"/>
              <w:jc w:val="center"/>
              <w:rPr>
                <w:rFonts w:ascii="Calibri" w:eastAsia="Times New Roman" w:hAnsi="Calibri" w:cs="Calibri"/>
                <w:color w:val="000000"/>
                <w:sz w:val="16"/>
                <w:szCs w:val="16"/>
                <w:lang w:val="en-US"/>
              </w:rPr>
            </w:pPr>
            <w:r w:rsidRPr="00F42D3B">
              <w:rPr>
                <w:rFonts w:ascii="Calibri" w:hAnsi="Calibri" w:cs="Calibri"/>
                <w:color w:val="000000"/>
                <w:sz w:val="16"/>
                <w:szCs w:val="16"/>
              </w:rPr>
              <w:t>$863,911</w:t>
            </w:r>
          </w:p>
        </w:tc>
        <w:tc>
          <w:tcPr>
            <w:tcW w:w="1018" w:type="dxa"/>
            <w:tcBorders>
              <w:top w:val="nil"/>
              <w:left w:val="nil"/>
              <w:bottom w:val="single" w:sz="4" w:space="0" w:color="auto"/>
              <w:right w:val="single" w:sz="4" w:space="0" w:color="auto"/>
            </w:tcBorders>
            <w:shd w:val="clear" w:color="000000" w:fill="FFFFFF"/>
            <w:noWrap/>
            <w:vAlign w:val="center"/>
            <w:hideMark/>
          </w:tcPr>
          <w:p w14:paraId="3D61906B" w14:textId="2627CB0E" w:rsidR="00F42D3B" w:rsidRPr="002167FF" w:rsidRDefault="00F42D3B" w:rsidP="00864C86">
            <w:pPr>
              <w:suppressAutoHyphens w:val="0"/>
              <w:spacing w:before="0" w:after="0"/>
              <w:jc w:val="center"/>
              <w:rPr>
                <w:rFonts w:ascii="Calibri" w:eastAsia="Times New Roman" w:hAnsi="Calibri" w:cs="Calibri"/>
                <w:color w:val="000000"/>
                <w:sz w:val="16"/>
                <w:szCs w:val="16"/>
                <w:lang w:val="en-US"/>
              </w:rPr>
            </w:pPr>
            <w:r w:rsidRPr="00F42D3B">
              <w:rPr>
                <w:rFonts w:ascii="Calibri" w:hAnsi="Calibri" w:cs="Calibri"/>
                <w:color w:val="000000"/>
                <w:sz w:val="16"/>
                <w:szCs w:val="16"/>
              </w:rPr>
              <w:t>$886,400</w:t>
            </w:r>
          </w:p>
        </w:tc>
        <w:tc>
          <w:tcPr>
            <w:tcW w:w="1019" w:type="dxa"/>
            <w:tcBorders>
              <w:top w:val="nil"/>
              <w:left w:val="nil"/>
              <w:bottom w:val="single" w:sz="4" w:space="0" w:color="auto"/>
              <w:right w:val="single" w:sz="4" w:space="0" w:color="auto"/>
            </w:tcBorders>
            <w:shd w:val="clear" w:color="000000" w:fill="FFFFFF"/>
            <w:noWrap/>
            <w:vAlign w:val="center"/>
            <w:hideMark/>
          </w:tcPr>
          <w:p w14:paraId="62EE2645" w14:textId="7001414A" w:rsidR="00F42D3B" w:rsidRPr="002167FF" w:rsidRDefault="00F42D3B" w:rsidP="00864C86">
            <w:pPr>
              <w:suppressAutoHyphens w:val="0"/>
              <w:spacing w:before="0" w:after="0"/>
              <w:jc w:val="center"/>
              <w:rPr>
                <w:rFonts w:ascii="Calibri" w:eastAsia="Times New Roman" w:hAnsi="Calibri" w:cs="Calibri"/>
                <w:color w:val="000000"/>
                <w:sz w:val="16"/>
                <w:szCs w:val="16"/>
                <w:lang w:val="en-US"/>
              </w:rPr>
            </w:pPr>
            <w:r w:rsidRPr="00F42D3B">
              <w:rPr>
                <w:rFonts w:ascii="Calibri" w:hAnsi="Calibri" w:cs="Calibri"/>
                <w:color w:val="000000"/>
                <w:sz w:val="16"/>
                <w:szCs w:val="16"/>
              </w:rPr>
              <w:t>$909,482</w:t>
            </w:r>
          </w:p>
        </w:tc>
        <w:tc>
          <w:tcPr>
            <w:tcW w:w="1019" w:type="dxa"/>
            <w:tcBorders>
              <w:top w:val="nil"/>
              <w:left w:val="nil"/>
              <w:bottom w:val="single" w:sz="4" w:space="0" w:color="auto"/>
              <w:right w:val="single" w:sz="4" w:space="0" w:color="auto"/>
            </w:tcBorders>
            <w:shd w:val="clear" w:color="000000" w:fill="FFFFFF"/>
            <w:noWrap/>
            <w:vAlign w:val="center"/>
            <w:hideMark/>
          </w:tcPr>
          <w:p w14:paraId="653F1741" w14:textId="5F67ED73" w:rsidR="00F42D3B" w:rsidRPr="002167FF" w:rsidRDefault="00F42D3B" w:rsidP="00864C86">
            <w:pPr>
              <w:suppressAutoHyphens w:val="0"/>
              <w:spacing w:before="0" w:after="0"/>
              <w:jc w:val="center"/>
              <w:rPr>
                <w:rFonts w:ascii="Calibri" w:eastAsia="Times New Roman" w:hAnsi="Calibri" w:cs="Calibri"/>
                <w:color w:val="000000"/>
                <w:sz w:val="16"/>
                <w:szCs w:val="16"/>
                <w:lang w:val="en-US"/>
              </w:rPr>
            </w:pPr>
            <w:r w:rsidRPr="00F42D3B">
              <w:rPr>
                <w:rFonts w:ascii="Calibri" w:hAnsi="Calibri" w:cs="Calibri"/>
                <w:color w:val="000000"/>
                <w:sz w:val="16"/>
                <w:szCs w:val="16"/>
              </w:rPr>
              <w:t>$933,172</w:t>
            </w:r>
          </w:p>
        </w:tc>
        <w:tc>
          <w:tcPr>
            <w:tcW w:w="1019" w:type="dxa"/>
            <w:tcBorders>
              <w:top w:val="nil"/>
              <w:left w:val="nil"/>
              <w:bottom w:val="single" w:sz="4" w:space="0" w:color="auto"/>
              <w:right w:val="single" w:sz="8" w:space="0" w:color="auto"/>
            </w:tcBorders>
            <w:shd w:val="clear" w:color="000000" w:fill="FFFFFF"/>
            <w:noWrap/>
            <w:vAlign w:val="center"/>
            <w:hideMark/>
          </w:tcPr>
          <w:p w14:paraId="406C11EC" w14:textId="64855541" w:rsidR="00F42D3B" w:rsidRPr="002167FF" w:rsidRDefault="00F42D3B" w:rsidP="00864C86">
            <w:pPr>
              <w:suppressAutoHyphens w:val="0"/>
              <w:spacing w:before="0" w:after="0"/>
              <w:jc w:val="center"/>
              <w:rPr>
                <w:rFonts w:ascii="Calibri" w:eastAsia="Times New Roman" w:hAnsi="Calibri" w:cs="Calibri"/>
                <w:color w:val="000000"/>
                <w:sz w:val="16"/>
                <w:szCs w:val="16"/>
                <w:lang w:val="en-US"/>
              </w:rPr>
            </w:pPr>
            <w:r w:rsidRPr="00F42D3B">
              <w:rPr>
                <w:rFonts w:ascii="Calibri" w:hAnsi="Calibri" w:cs="Calibri"/>
                <w:color w:val="000000"/>
                <w:sz w:val="16"/>
                <w:szCs w:val="16"/>
              </w:rPr>
              <w:t>$957,486</w:t>
            </w:r>
          </w:p>
        </w:tc>
      </w:tr>
      <w:tr w:rsidR="00B57D8C" w:rsidRPr="002167FF" w14:paraId="527BC996" w14:textId="77777777" w:rsidTr="00945940">
        <w:trPr>
          <w:trHeight w:val="289"/>
        </w:trPr>
        <w:tc>
          <w:tcPr>
            <w:tcW w:w="1843" w:type="dxa"/>
            <w:tcBorders>
              <w:top w:val="nil"/>
              <w:left w:val="single" w:sz="8" w:space="0" w:color="auto"/>
              <w:bottom w:val="single" w:sz="4" w:space="0" w:color="auto"/>
              <w:right w:val="single" w:sz="4" w:space="0" w:color="auto"/>
            </w:tcBorders>
            <w:vAlign w:val="center"/>
            <w:hideMark/>
          </w:tcPr>
          <w:p w14:paraId="30A74808" w14:textId="77777777" w:rsidR="002167FF" w:rsidRPr="002167FF" w:rsidRDefault="002167FF" w:rsidP="00945940">
            <w:pPr>
              <w:suppressAutoHyphens w:val="0"/>
              <w:spacing w:before="0" w:after="0"/>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Total Costs</w:t>
            </w:r>
          </w:p>
        </w:tc>
        <w:tc>
          <w:tcPr>
            <w:tcW w:w="1018" w:type="dxa"/>
            <w:tcBorders>
              <w:top w:val="nil"/>
              <w:left w:val="single" w:sz="4" w:space="0" w:color="auto"/>
              <w:bottom w:val="single" w:sz="4" w:space="0" w:color="auto"/>
              <w:right w:val="single" w:sz="4" w:space="0" w:color="auto"/>
            </w:tcBorders>
            <w:shd w:val="clear" w:color="000000" w:fill="FFFFFF"/>
            <w:noWrap/>
            <w:vAlign w:val="center"/>
            <w:hideMark/>
          </w:tcPr>
          <w:p w14:paraId="1C832D08"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$6,071,834</w:t>
            </w:r>
          </w:p>
        </w:tc>
        <w:tc>
          <w:tcPr>
            <w:tcW w:w="1019" w:type="dxa"/>
            <w:tcBorders>
              <w:top w:val="nil"/>
              <w:left w:val="nil"/>
              <w:bottom w:val="single" w:sz="4" w:space="0" w:color="auto"/>
              <w:right w:val="single" w:sz="4" w:space="0" w:color="auto"/>
            </w:tcBorders>
            <w:shd w:val="clear" w:color="000000" w:fill="FFFFFF"/>
            <w:noWrap/>
            <w:vAlign w:val="center"/>
            <w:hideMark/>
          </w:tcPr>
          <w:p w14:paraId="6F634260"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$6,947,246</w:t>
            </w:r>
          </w:p>
        </w:tc>
        <w:tc>
          <w:tcPr>
            <w:tcW w:w="1019" w:type="dxa"/>
            <w:tcBorders>
              <w:top w:val="nil"/>
              <w:left w:val="nil"/>
              <w:bottom w:val="single" w:sz="4" w:space="0" w:color="auto"/>
              <w:right w:val="single" w:sz="4" w:space="0" w:color="auto"/>
            </w:tcBorders>
            <w:shd w:val="clear" w:color="000000" w:fill="FFFFFF"/>
            <w:noWrap/>
            <w:vAlign w:val="center"/>
            <w:hideMark/>
          </w:tcPr>
          <w:p w14:paraId="4DF65F1A"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$6,853,623</w:t>
            </w:r>
          </w:p>
        </w:tc>
        <w:tc>
          <w:tcPr>
            <w:tcW w:w="1019" w:type="dxa"/>
            <w:tcBorders>
              <w:top w:val="nil"/>
              <w:left w:val="nil"/>
              <w:bottom w:val="single" w:sz="4" w:space="0" w:color="auto"/>
              <w:right w:val="single" w:sz="4" w:space="0" w:color="auto"/>
            </w:tcBorders>
            <w:shd w:val="clear" w:color="000000" w:fill="FFFFFF"/>
            <w:noWrap/>
            <w:vAlign w:val="center"/>
            <w:hideMark/>
          </w:tcPr>
          <w:p w14:paraId="7FAB3698"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$5,873,505</w:t>
            </w:r>
          </w:p>
        </w:tc>
        <w:tc>
          <w:tcPr>
            <w:tcW w:w="1018" w:type="dxa"/>
            <w:tcBorders>
              <w:top w:val="nil"/>
              <w:left w:val="nil"/>
              <w:bottom w:val="single" w:sz="4" w:space="0" w:color="auto"/>
              <w:right w:val="single" w:sz="4" w:space="0" w:color="auto"/>
            </w:tcBorders>
            <w:shd w:val="clear" w:color="000000" w:fill="FFFFFF"/>
            <w:noWrap/>
            <w:vAlign w:val="center"/>
            <w:hideMark/>
          </w:tcPr>
          <w:p w14:paraId="665A505D"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$5,538,058</w:t>
            </w:r>
          </w:p>
        </w:tc>
        <w:tc>
          <w:tcPr>
            <w:tcW w:w="1019" w:type="dxa"/>
            <w:tcBorders>
              <w:top w:val="nil"/>
              <w:left w:val="nil"/>
              <w:bottom w:val="single" w:sz="4" w:space="0" w:color="auto"/>
              <w:right w:val="single" w:sz="4" w:space="0" w:color="auto"/>
            </w:tcBorders>
            <w:shd w:val="clear" w:color="000000" w:fill="FFFFFF"/>
            <w:noWrap/>
            <w:vAlign w:val="center"/>
            <w:hideMark/>
          </w:tcPr>
          <w:p w14:paraId="31C9F666"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$5,713,243</w:t>
            </w:r>
          </w:p>
        </w:tc>
        <w:tc>
          <w:tcPr>
            <w:tcW w:w="1019" w:type="dxa"/>
            <w:tcBorders>
              <w:top w:val="nil"/>
              <w:left w:val="nil"/>
              <w:bottom w:val="single" w:sz="4" w:space="0" w:color="auto"/>
              <w:right w:val="single" w:sz="4" w:space="0" w:color="auto"/>
            </w:tcBorders>
            <w:shd w:val="clear" w:color="000000" w:fill="FFFFFF"/>
            <w:noWrap/>
            <w:vAlign w:val="center"/>
            <w:hideMark/>
          </w:tcPr>
          <w:p w14:paraId="2BFE6F23"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$5,894,056</w:t>
            </w:r>
          </w:p>
        </w:tc>
        <w:tc>
          <w:tcPr>
            <w:tcW w:w="1019" w:type="dxa"/>
            <w:tcBorders>
              <w:top w:val="nil"/>
              <w:left w:val="nil"/>
              <w:bottom w:val="single" w:sz="4" w:space="0" w:color="auto"/>
              <w:right w:val="single" w:sz="8" w:space="0" w:color="auto"/>
            </w:tcBorders>
            <w:shd w:val="clear" w:color="000000" w:fill="FFFFFF"/>
            <w:noWrap/>
            <w:vAlign w:val="center"/>
            <w:hideMark/>
          </w:tcPr>
          <w:p w14:paraId="5AFA6183"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$6,080,681</w:t>
            </w:r>
          </w:p>
        </w:tc>
      </w:tr>
      <w:tr w:rsidR="00B57D8C" w:rsidRPr="002167FF" w14:paraId="6BD05247" w14:textId="77777777" w:rsidTr="00945940">
        <w:trPr>
          <w:trHeight w:val="289"/>
        </w:trPr>
        <w:tc>
          <w:tcPr>
            <w:tcW w:w="1843" w:type="dxa"/>
            <w:tcBorders>
              <w:top w:val="nil"/>
              <w:left w:val="single" w:sz="8" w:space="0" w:color="auto"/>
              <w:bottom w:val="single" w:sz="4" w:space="0" w:color="auto"/>
              <w:right w:val="single" w:sz="4" w:space="0" w:color="auto"/>
            </w:tcBorders>
            <w:vAlign w:val="center"/>
            <w:hideMark/>
          </w:tcPr>
          <w:p w14:paraId="71F16804" w14:textId="77777777" w:rsidR="002167FF" w:rsidRPr="002167FF" w:rsidRDefault="002167FF" w:rsidP="00945940">
            <w:pPr>
              <w:suppressAutoHyphens w:val="0"/>
              <w:spacing w:before="0" w:after="0"/>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Fees for Service</w:t>
            </w:r>
          </w:p>
        </w:tc>
        <w:tc>
          <w:tcPr>
            <w:tcW w:w="1018" w:type="dxa"/>
            <w:tcBorders>
              <w:top w:val="nil"/>
              <w:left w:val="single" w:sz="4" w:space="0" w:color="auto"/>
              <w:bottom w:val="single" w:sz="4" w:space="0" w:color="auto"/>
              <w:right w:val="single" w:sz="4" w:space="0" w:color="auto"/>
            </w:tcBorders>
            <w:shd w:val="clear" w:color="000000" w:fill="FFFFFF"/>
            <w:noWrap/>
            <w:vAlign w:val="center"/>
            <w:hideMark/>
          </w:tcPr>
          <w:p w14:paraId="55304A34"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$2,915,910</w:t>
            </w:r>
          </w:p>
        </w:tc>
        <w:tc>
          <w:tcPr>
            <w:tcW w:w="1019" w:type="dxa"/>
            <w:tcBorders>
              <w:top w:val="nil"/>
              <w:left w:val="nil"/>
              <w:bottom w:val="single" w:sz="4" w:space="0" w:color="auto"/>
              <w:right w:val="single" w:sz="4" w:space="0" w:color="auto"/>
            </w:tcBorders>
            <w:shd w:val="clear" w:color="000000" w:fill="FFFFFF"/>
            <w:noWrap/>
            <w:vAlign w:val="center"/>
            <w:hideMark/>
          </w:tcPr>
          <w:p w14:paraId="389B8455"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$2,315,375</w:t>
            </w:r>
          </w:p>
        </w:tc>
        <w:tc>
          <w:tcPr>
            <w:tcW w:w="1019" w:type="dxa"/>
            <w:tcBorders>
              <w:top w:val="nil"/>
              <w:left w:val="nil"/>
              <w:bottom w:val="single" w:sz="4" w:space="0" w:color="auto"/>
              <w:right w:val="single" w:sz="4" w:space="0" w:color="auto"/>
            </w:tcBorders>
            <w:shd w:val="clear" w:color="000000" w:fill="FFFFFF"/>
            <w:noWrap/>
            <w:vAlign w:val="center"/>
            <w:hideMark/>
          </w:tcPr>
          <w:p w14:paraId="413089BE"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$1,336,410</w:t>
            </w:r>
          </w:p>
        </w:tc>
        <w:tc>
          <w:tcPr>
            <w:tcW w:w="1019" w:type="dxa"/>
            <w:tcBorders>
              <w:top w:val="nil"/>
              <w:left w:val="nil"/>
              <w:bottom w:val="single" w:sz="4" w:space="0" w:color="auto"/>
              <w:right w:val="single" w:sz="4" w:space="0" w:color="auto"/>
            </w:tcBorders>
            <w:noWrap/>
            <w:vAlign w:val="center"/>
            <w:hideMark/>
          </w:tcPr>
          <w:p w14:paraId="7E212831"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$1,434,459</w:t>
            </w:r>
          </w:p>
        </w:tc>
        <w:tc>
          <w:tcPr>
            <w:tcW w:w="1018" w:type="dxa"/>
            <w:tcBorders>
              <w:top w:val="nil"/>
              <w:left w:val="nil"/>
              <w:bottom w:val="single" w:sz="4" w:space="0" w:color="auto"/>
              <w:right w:val="single" w:sz="4" w:space="0" w:color="auto"/>
            </w:tcBorders>
            <w:noWrap/>
            <w:vAlign w:val="center"/>
            <w:hideMark/>
          </w:tcPr>
          <w:p w14:paraId="590FEEC3"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$1,434,459</w:t>
            </w:r>
          </w:p>
        </w:tc>
        <w:tc>
          <w:tcPr>
            <w:tcW w:w="1019" w:type="dxa"/>
            <w:tcBorders>
              <w:top w:val="nil"/>
              <w:left w:val="nil"/>
              <w:bottom w:val="single" w:sz="4" w:space="0" w:color="auto"/>
              <w:right w:val="single" w:sz="4" w:space="0" w:color="auto"/>
            </w:tcBorders>
            <w:noWrap/>
            <w:vAlign w:val="center"/>
            <w:hideMark/>
          </w:tcPr>
          <w:p w14:paraId="53479E8F"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$1,434,459</w:t>
            </w:r>
          </w:p>
        </w:tc>
        <w:tc>
          <w:tcPr>
            <w:tcW w:w="1019" w:type="dxa"/>
            <w:tcBorders>
              <w:top w:val="nil"/>
              <w:left w:val="nil"/>
              <w:bottom w:val="single" w:sz="4" w:space="0" w:color="auto"/>
              <w:right w:val="single" w:sz="4" w:space="0" w:color="auto"/>
            </w:tcBorders>
            <w:noWrap/>
            <w:vAlign w:val="center"/>
            <w:hideMark/>
          </w:tcPr>
          <w:p w14:paraId="7D9AA71E"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$1,434,459</w:t>
            </w:r>
          </w:p>
        </w:tc>
        <w:tc>
          <w:tcPr>
            <w:tcW w:w="1019" w:type="dxa"/>
            <w:tcBorders>
              <w:top w:val="nil"/>
              <w:left w:val="nil"/>
              <w:bottom w:val="single" w:sz="4" w:space="0" w:color="auto"/>
              <w:right w:val="single" w:sz="8" w:space="0" w:color="auto"/>
            </w:tcBorders>
            <w:noWrap/>
            <w:vAlign w:val="center"/>
            <w:hideMark/>
          </w:tcPr>
          <w:p w14:paraId="310A1B91"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$1,434,459</w:t>
            </w:r>
          </w:p>
        </w:tc>
      </w:tr>
      <w:tr w:rsidR="00B57D8C" w:rsidRPr="002167FF" w14:paraId="6636B378" w14:textId="77777777" w:rsidTr="00945940">
        <w:trPr>
          <w:trHeight w:val="289"/>
        </w:trPr>
        <w:tc>
          <w:tcPr>
            <w:tcW w:w="1843" w:type="dxa"/>
            <w:tcBorders>
              <w:top w:val="nil"/>
              <w:left w:val="single" w:sz="8" w:space="0" w:color="auto"/>
              <w:bottom w:val="single" w:sz="4" w:space="0" w:color="auto"/>
              <w:right w:val="single" w:sz="4" w:space="0" w:color="auto"/>
            </w:tcBorders>
            <w:vAlign w:val="center"/>
            <w:hideMark/>
          </w:tcPr>
          <w:p w14:paraId="31F16E5F" w14:textId="77777777" w:rsidR="002167FF" w:rsidRPr="002167FF" w:rsidRDefault="002167FF" w:rsidP="00945940">
            <w:pPr>
              <w:suppressAutoHyphens w:val="0"/>
              <w:spacing w:before="0" w:after="0"/>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Reimbursements</w:t>
            </w:r>
          </w:p>
        </w:tc>
        <w:tc>
          <w:tcPr>
            <w:tcW w:w="1018" w:type="dxa"/>
            <w:tcBorders>
              <w:top w:val="nil"/>
              <w:left w:val="single" w:sz="4" w:space="0" w:color="auto"/>
              <w:bottom w:val="single" w:sz="4" w:space="0" w:color="auto"/>
              <w:right w:val="single" w:sz="4" w:space="0" w:color="auto"/>
            </w:tcBorders>
            <w:shd w:val="clear" w:color="000000" w:fill="FFFFFF"/>
            <w:noWrap/>
            <w:vAlign w:val="center"/>
            <w:hideMark/>
          </w:tcPr>
          <w:p w14:paraId="162400AA"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$304,000</w:t>
            </w:r>
          </w:p>
        </w:tc>
        <w:tc>
          <w:tcPr>
            <w:tcW w:w="1019" w:type="dxa"/>
            <w:tcBorders>
              <w:top w:val="nil"/>
              <w:left w:val="nil"/>
              <w:bottom w:val="single" w:sz="4" w:space="0" w:color="auto"/>
              <w:right w:val="single" w:sz="4" w:space="0" w:color="auto"/>
            </w:tcBorders>
            <w:shd w:val="clear" w:color="000000" w:fill="FFFFFF"/>
            <w:noWrap/>
            <w:vAlign w:val="center"/>
            <w:hideMark/>
          </w:tcPr>
          <w:p w14:paraId="7E3A3E8A"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$307,000</w:t>
            </w:r>
          </w:p>
        </w:tc>
        <w:tc>
          <w:tcPr>
            <w:tcW w:w="1019" w:type="dxa"/>
            <w:tcBorders>
              <w:top w:val="nil"/>
              <w:left w:val="nil"/>
              <w:bottom w:val="single" w:sz="4" w:space="0" w:color="auto"/>
              <w:right w:val="single" w:sz="4" w:space="0" w:color="auto"/>
            </w:tcBorders>
            <w:shd w:val="clear" w:color="000000" w:fill="FFFFFF"/>
            <w:noWrap/>
            <w:vAlign w:val="center"/>
            <w:hideMark/>
          </w:tcPr>
          <w:p w14:paraId="1B7E2A99"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$275,000</w:t>
            </w:r>
          </w:p>
        </w:tc>
        <w:tc>
          <w:tcPr>
            <w:tcW w:w="1019" w:type="dxa"/>
            <w:tcBorders>
              <w:top w:val="nil"/>
              <w:left w:val="nil"/>
              <w:bottom w:val="single" w:sz="4" w:space="0" w:color="auto"/>
              <w:right w:val="single" w:sz="4" w:space="0" w:color="auto"/>
            </w:tcBorders>
            <w:shd w:val="clear" w:color="000000" w:fill="FFFFFF"/>
            <w:noWrap/>
            <w:vAlign w:val="center"/>
            <w:hideMark/>
          </w:tcPr>
          <w:p w14:paraId="5234E9CD"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$217,424</w:t>
            </w:r>
          </w:p>
        </w:tc>
        <w:tc>
          <w:tcPr>
            <w:tcW w:w="1018" w:type="dxa"/>
            <w:tcBorders>
              <w:top w:val="nil"/>
              <w:left w:val="nil"/>
              <w:bottom w:val="single" w:sz="4" w:space="0" w:color="auto"/>
              <w:right w:val="single" w:sz="4" w:space="0" w:color="auto"/>
            </w:tcBorders>
            <w:shd w:val="clear" w:color="000000" w:fill="FFFFFF"/>
            <w:noWrap/>
            <w:vAlign w:val="center"/>
            <w:hideMark/>
          </w:tcPr>
          <w:p w14:paraId="52FA3C7B"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$224,509</w:t>
            </w:r>
          </w:p>
        </w:tc>
        <w:tc>
          <w:tcPr>
            <w:tcW w:w="1019" w:type="dxa"/>
            <w:tcBorders>
              <w:top w:val="nil"/>
              <w:left w:val="nil"/>
              <w:bottom w:val="single" w:sz="4" w:space="0" w:color="auto"/>
              <w:right w:val="single" w:sz="4" w:space="0" w:color="auto"/>
            </w:tcBorders>
            <w:shd w:val="clear" w:color="000000" w:fill="FFFFFF"/>
            <w:noWrap/>
            <w:vAlign w:val="center"/>
            <w:hideMark/>
          </w:tcPr>
          <w:p w14:paraId="64EF20CF"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$231,827</w:t>
            </w:r>
          </w:p>
        </w:tc>
        <w:tc>
          <w:tcPr>
            <w:tcW w:w="1019" w:type="dxa"/>
            <w:tcBorders>
              <w:top w:val="nil"/>
              <w:left w:val="nil"/>
              <w:bottom w:val="single" w:sz="4" w:space="0" w:color="auto"/>
              <w:right w:val="single" w:sz="4" w:space="0" w:color="auto"/>
            </w:tcBorders>
            <w:shd w:val="clear" w:color="000000" w:fill="FFFFFF"/>
            <w:noWrap/>
            <w:vAlign w:val="center"/>
            <w:hideMark/>
          </w:tcPr>
          <w:p w14:paraId="44CA9524"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$239,386</w:t>
            </w:r>
          </w:p>
        </w:tc>
        <w:tc>
          <w:tcPr>
            <w:tcW w:w="1019" w:type="dxa"/>
            <w:tcBorders>
              <w:top w:val="nil"/>
              <w:left w:val="nil"/>
              <w:bottom w:val="single" w:sz="4" w:space="0" w:color="auto"/>
              <w:right w:val="single" w:sz="8" w:space="0" w:color="auto"/>
            </w:tcBorders>
            <w:shd w:val="clear" w:color="000000" w:fill="FFFFFF"/>
            <w:noWrap/>
            <w:vAlign w:val="center"/>
            <w:hideMark/>
          </w:tcPr>
          <w:p w14:paraId="2AC86E28"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$247,193</w:t>
            </w:r>
          </w:p>
        </w:tc>
      </w:tr>
      <w:tr w:rsidR="00B57D8C" w:rsidRPr="002167FF" w14:paraId="499032C4" w14:textId="77777777" w:rsidTr="00945940">
        <w:trPr>
          <w:trHeight w:val="289"/>
        </w:trPr>
        <w:tc>
          <w:tcPr>
            <w:tcW w:w="1843" w:type="dxa"/>
            <w:tcBorders>
              <w:top w:val="nil"/>
              <w:left w:val="single" w:sz="8" w:space="0" w:color="auto"/>
              <w:bottom w:val="single" w:sz="4" w:space="0" w:color="auto"/>
              <w:right w:val="single" w:sz="4" w:space="0" w:color="auto"/>
            </w:tcBorders>
            <w:vAlign w:val="center"/>
            <w:hideMark/>
          </w:tcPr>
          <w:p w14:paraId="5B8FF29C" w14:textId="13BED4D5" w:rsidR="002167FF" w:rsidRPr="002167FF" w:rsidRDefault="002167FF" w:rsidP="00945940">
            <w:pPr>
              <w:suppressAutoHyphens w:val="0"/>
              <w:spacing w:before="0" w:after="0"/>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Program Revenue</w:t>
            </w:r>
            <w:r w:rsidR="00D502D0">
              <w:rPr>
                <w:rFonts w:ascii="Calibri" w:eastAsia="Times New Roman" w:hAnsi="Calibri" w:cs="Calibri"/>
                <w:color w:val="000000"/>
                <w:sz w:val="16"/>
                <w:szCs w:val="16"/>
                <w:lang w:val="en-US"/>
              </w:rPr>
              <w:t xml:space="preserve"> (FFS)</w:t>
            </w:r>
          </w:p>
        </w:tc>
        <w:tc>
          <w:tcPr>
            <w:tcW w:w="1018" w:type="dxa"/>
            <w:tcBorders>
              <w:top w:val="nil"/>
              <w:left w:val="single" w:sz="4" w:space="0" w:color="auto"/>
              <w:bottom w:val="single" w:sz="4" w:space="0" w:color="auto"/>
              <w:right w:val="single" w:sz="4" w:space="0" w:color="auto"/>
            </w:tcBorders>
            <w:shd w:val="clear" w:color="000000" w:fill="FFFFFF"/>
            <w:noWrap/>
            <w:vAlign w:val="center"/>
            <w:hideMark/>
          </w:tcPr>
          <w:p w14:paraId="3C5B39B7"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$3,219,910</w:t>
            </w:r>
          </w:p>
        </w:tc>
        <w:tc>
          <w:tcPr>
            <w:tcW w:w="1019" w:type="dxa"/>
            <w:tcBorders>
              <w:top w:val="nil"/>
              <w:left w:val="nil"/>
              <w:bottom w:val="single" w:sz="4" w:space="0" w:color="auto"/>
              <w:right w:val="single" w:sz="4" w:space="0" w:color="auto"/>
            </w:tcBorders>
            <w:shd w:val="clear" w:color="000000" w:fill="FFFFFF"/>
            <w:noWrap/>
            <w:vAlign w:val="center"/>
            <w:hideMark/>
          </w:tcPr>
          <w:p w14:paraId="12C202AA"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$2,622,375</w:t>
            </w:r>
          </w:p>
        </w:tc>
        <w:tc>
          <w:tcPr>
            <w:tcW w:w="1019" w:type="dxa"/>
            <w:tcBorders>
              <w:top w:val="nil"/>
              <w:left w:val="nil"/>
              <w:bottom w:val="single" w:sz="4" w:space="0" w:color="auto"/>
              <w:right w:val="single" w:sz="4" w:space="0" w:color="auto"/>
            </w:tcBorders>
            <w:shd w:val="clear" w:color="000000" w:fill="FFFFFF"/>
            <w:noWrap/>
            <w:vAlign w:val="center"/>
            <w:hideMark/>
          </w:tcPr>
          <w:p w14:paraId="37ECFDCA"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$1,279,000</w:t>
            </w:r>
          </w:p>
        </w:tc>
        <w:tc>
          <w:tcPr>
            <w:tcW w:w="1019" w:type="dxa"/>
            <w:tcBorders>
              <w:top w:val="nil"/>
              <w:left w:val="nil"/>
              <w:bottom w:val="single" w:sz="4" w:space="0" w:color="auto"/>
              <w:right w:val="single" w:sz="4" w:space="0" w:color="auto"/>
            </w:tcBorders>
            <w:shd w:val="clear" w:color="000000" w:fill="FFFFFF"/>
            <w:noWrap/>
            <w:vAlign w:val="center"/>
            <w:hideMark/>
          </w:tcPr>
          <w:p w14:paraId="19D0F38B"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$1,651,883</w:t>
            </w:r>
          </w:p>
        </w:tc>
        <w:tc>
          <w:tcPr>
            <w:tcW w:w="1018" w:type="dxa"/>
            <w:tcBorders>
              <w:top w:val="nil"/>
              <w:left w:val="nil"/>
              <w:bottom w:val="single" w:sz="4" w:space="0" w:color="auto"/>
              <w:right w:val="single" w:sz="4" w:space="0" w:color="auto"/>
            </w:tcBorders>
            <w:shd w:val="clear" w:color="000000" w:fill="FFFFFF"/>
            <w:noWrap/>
            <w:vAlign w:val="center"/>
            <w:hideMark/>
          </w:tcPr>
          <w:p w14:paraId="001BE814"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$1,658,967</w:t>
            </w:r>
          </w:p>
        </w:tc>
        <w:tc>
          <w:tcPr>
            <w:tcW w:w="1019" w:type="dxa"/>
            <w:tcBorders>
              <w:top w:val="nil"/>
              <w:left w:val="nil"/>
              <w:bottom w:val="single" w:sz="4" w:space="0" w:color="auto"/>
              <w:right w:val="single" w:sz="4" w:space="0" w:color="auto"/>
            </w:tcBorders>
            <w:shd w:val="clear" w:color="000000" w:fill="FFFFFF"/>
            <w:noWrap/>
            <w:vAlign w:val="center"/>
            <w:hideMark/>
          </w:tcPr>
          <w:p w14:paraId="49A2ECCE"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$1,666,285</w:t>
            </w:r>
          </w:p>
        </w:tc>
        <w:tc>
          <w:tcPr>
            <w:tcW w:w="1019" w:type="dxa"/>
            <w:tcBorders>
              <w:top w:val="nil"/>
              <w:left w:val="nil"/>
              <w:bottom w:val="single" w:sz="4" w:space="0" w:color="auto"/>
              <w:right w:val="single" w:sz="4" w:space="0" w:color="auto"/>
            </w:tcBorders>
            <w:shd w:val="clear" w:color="000000" w:fill="FFFFFF"/>
            <w:noWrap/>
            <w:vAlign w:val="center"/>
            <w:hideMark/>
          </w:tcPr>
          <w:p w14:paraId="0A6374C1"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$1,673,844</w:t>
            </w:r>
          </w:p>
        </w:tc>
        <w:tc>
          <w:tcPr>
            <w:tcW w:w="1019" w:type="dxa"/>
            <w:tcBorders>
              <w:top w:val="nil"/>
              <w:left w:val="nil"/>
              <w:bottom w:val="single" w:sz="4" w:space="0" w:color="auto"/>
              <w:right w:val="single" w:sz="8" w:space="0" w:color="auto"/>
            </w:tcBorders>
            <w:shd w:val="clear" w:color="000000" w:fill="FFFFFF"/>
            <w:noWrap/>
            <w:vAlign w:val="center"/>
            <w:hideMark/>
          </w:tcPr>
          <w:p w14:paraId="2482D0C7"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$1,681,652</w:t>
            </w:r>
          </w:p>
        </w:tc>
      </w:tr>
      <w:tr w:rsidR="00B57D8C" w:rsidRPr="002167FF" w14:paraId="461E7C9F" w14:textId="77777777" w:rsidTr="00945940">
        <w:trPr>
          <w:trHeight w:val="289"/>
        </w:trPr>
        <w:tc>
          <w:tcPr>
            <w:tcW w:w="1843" w:type="dxa"/>
            <w:tcBorders>
              <w:top w:val="nil"/>
              <w:left w:val="single" w:sz="8" w:space="0" w:color="auto"/>
              <w:bottom w:val="single" w:sz="4" w:space="0" w:color="auto"/>
              <w:right w:val="single" w:sz="4" w:space="0" w:color="auto"/>
            </w:tcBorders>
            <w:vAlign w:val="center"/>
            <w:hideMark/>
          </w:tcPr>
          <w:p w14:paraId="3BF86631" w14:textId="77777777" w:rsidR="002167FF" w:rsidRPr="002167FF" w:rsidRDefault="002167FF" w:rsidP="00945940">
            <w:pPr>
              <w:suppressAutoHyphens w:val="0"/>
              <w:spacing w:before="0" w:after="0"/>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Variance ($)</w:t>
            </w:r>
          </w:p>
        </w:tc>
        <w:tc>
          <w:tcPr>
            <w:tcW w:w="1018" w:type="dxa"/>
            <w:tcBorders>
              <w:top w:val="nil"/>
              <w:left w:val="single" w:sz="4" w:space="0" w:color="auto"/>
              <w:bottom w:val="single" w:sz="4" w:space="0" w:color="auto"/>
              <w:right w:val="single" w:sz="4" w:space="0" w:color="auto"/>
            </w:tcBorders>
            <w:shd w:val="clear" w:color="000000" w:fill="FFFFFF"/>
            <w:noWrap/>
            <w:vAlign w:val="center"/>
            <w:hideMark/>
          </w:tcPr>
          <w:p w14:paraId="4375293D"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FF0000"/>
                <w:sz w:val="16"/>
                <w:szCs w:val="16"/>
                <w:lang w:val="en-US"/>
              </w:rPr>
              <w:t>-$2,851,924</w:t>
            </w:r>
          </w:p>
        </w:tc>
        <w:tc>
          <w:tcPr>
            <w:tcW w:w="1019" w:type="dxa"/>
            <w:tcBorders>
              <w:top w:val="nil"/>
              <w:left w:val="nil"/>
              <w:bottom w:val="single" w:sz="4" w:space="0" w:color="auto"/>
              <w:right w:val="single" w:sz="4" w:space="0" w:color="auto"/>
            </w:tcBorders>
            <w:shd w:val="clear" w:color="000000" w:fill="FFFFFF"/>
            <w:noWrap/>
            <w:vAlign w:val="center"/>
            <w:hideMark/>
          </w:tcPr>
          <w:p w14:paraId="00BBCEEC"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FF0000"/>
                <w:sz w:val="16"/>
                <w:szCs w:val="16"/>
                <w:lang w:val="en-US"/>
              </w:rPr>
              <w:t>-$4,324,871</w:t>
            </w:r>
          </w:p>
        </w:tc>
        <w:tc>
          <w:tcPr>
            <w:tcW w:w="1019" w:type="dxa"/>
            <w:tcBorders>
              <w:top w:val="nil"/>
              <w:left w:val="nil"/>
              <w:bottom w:val="single" w:sz="4" w:space="0" w:color="auto"/>
              <w:right w:val="single" w:sz="4" w:space="0" w:color="auto"/>
            </w:tcBorders>
            <w:shd w:val="clear" w:color="000000" w:fill="FFFFFF"/>
            <w:noWrap/>
            <w:vAlign w:val="center"/>
            <w:hideMark/>
          </w:tcPr>
          <w:p w14:paraId="3FFDEB55"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FF0000"/>
                <w:sz w:val="16"/>
                <w:szCs w:val="16"/>
                <w:lang w:val="en-US"/>
              </w:rPr>
              <w:t>-$5,574,623</w:t>
            </w:r>
          </w:p>
        </w:tc>
        <w:tc>
          <w:tcPr>
            <w:tcW w:w="1019" w:type="dxa"/>
            <w:tcBorders>
              <w:top w:val="nil"/>
              <w:left w:val="nil"/>
              <w:bottom w:val="single" w:sz="4" w:space="0" w:color="auto"/>
              <w:right w:val="single" w:sz="4" w:space="0" w:color="auto"/>
            </w:tcBorders>
            <w:shd w:val="clear" w:color="000000" w:fill="FFFFFF"/>
            <w:noWrap/>
            <w:vAlign w:val="center"/>
            <w:hideMark/>
          </w:tcPr>
          <w:p w14:paraId="0B39ED2E"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FF0000"/>
                <w:sz w:val="16"/>
                <w:szCs w:val="16"/>
                <w:lang w:val="en-US"/>
              </w:rPr>
              <w:t>-$4,221,622</w:t>
            </w:r>
          </w:p>
        </w:tc>
        <w:tc>
          <w:tcPr>
            <w:tcW w:w="1018" w:type="dxa"/>
            <w:tcBorders>
              <w:top w:val="nil"/>
              <w:left w:val="nil"/>
              <w:bottom w:val="single" w:sz="4" w:space="0" w:color="auto"/>
              <w:right w:val="single" w:sz="4" w:space="0" w:color="auto"/>
            </w:tcBorders>
            <w:shd w:val="clear" w:color="000000" w:fill="FFFFFF"/>
            <w:noWrap/>
            <w:vAlign w:val="center"/>
            <w:hideMark/>
          </w:tcPr>
          <w:p w14:paraId="484CBFB9"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FF0000"/>
                <w:sz w:val="16"/>
                <w:szCs w:val="16"/>
                <w:lang w:val="en-US"/>
              </w:rPr>
              <w:t>-$3,879,091</w:t>
            </w:r>
          </w:p>
        </w:tc>
        <w:tc>
          <w:tcPr>
            <w:tcW w:w="1019" w:type="dxa"/>
            <w:tcBorders>
              <w:top w:val="nil"/>
              <w:left w:val="nil"/>
              <w:bottom w:val="single" w:sz="4" w:space="0" w:color="auto"/>
              <w:right w:val="single" w:sz="4" w:space="0" w:color="auto"/>
            </w:tcBorders>
            <w:shd w:val="clear" w:color="000000" w:fill="FFFFFF"/>
            <w:noWrap/>
            <w:vAlign w:val="center"/>
            <w:hideMark/>
          </w:tcPr>
          <w:p w14:paraId="4363F705"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FF0000"/>
                <w:sz w:val="16"/>
                <w:szCs w:val="16"/>
                <w:lang w:val="en-US"/>
              </w:rPr>
              <w:t>-$4,046,958</w:t>
            </w:r>
          </w:p>
        </w:tc>
        <w:tc>
          <w:tcPr>
            <w:tcW w:w="1019" w:type="dxa"/>
            <w:tcBorders>
              <w:top w:val="nil"/>
              <w:left w:val="nil"/>
              <w:bottom w:val="single" w:sz="4" w:space="0" w:color="auto"/>
              <w:right w:val="single" w:sz="4" w:space="0" w:color="auto"/>
            </w:tcBorders>
            <w:shd w:val="clear" w:color="000000" w:fill="FFFFFF"/>
            <w:noWrap/>
            <w:vAlign w:val="center"/>
            <w:hideMark/>
          </w:tcPr>
          <w:p w14:paraId="6D085A59"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FF0000"/>
                <w:sz w:val="16"/>
                <w:szCs w:val="16"/>
                <w:lang w:val="en-US"/>
              </w:rPr>
              <w:t>-$4,220,212</w:t>
            </w:r>
          </w:p>
        </w:tc>
        <w:tc>
          <w:tcPr>
            <w:tcW w:w="1019" w:type="dxa"/>
            <w:tcBorders>
              <w:top w:val="nil"/>
              <w:left w:val="nil"/>
              <w:bottom w:val="single" w:sz="4" w:space="0" w:color="auto"/>
              <w:right w:val="single" w:sz="8" w:space="0" w:color="auto"/>
            </w:tcBorders>
            <w:shd w:val="clear" w:color="000000" w:fill="FFFFFF"/>
            <w:noWrap/>
            <w:vAlign w:val="center"/>
            <w:hideMark/>
          </w:tcPr>
          <w:p w14:paraId="747EF8DF"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FF0000"/>
                <w:sz w:val="16"/>
                <w:szCs w:val="16"/>
                <w:lang w:val="en-US"/>
              </w:rPr>
              <w:t>-$4,399,029</w:t>
            </w:r>
          </w:p>
        </w:tc>
      </w:tr>
      <w:tr w:rsidR="00B57D8C" w:rsidRPr="002167FF" w14:paraId="77F295C2" w14:textId="77777777" w:rsidTr="00945940">
        <w:trPr>
          <w:trHeight w:val="289"/>
        </w:trPr>
        <w:tc>
          <w:tcPr>
            <w:tcW w:w="1843" w:type="dxa"/>
            <w:tcBorders>
              <w:top w:val="nil"/>
              <w:left w:val="single" w:sz="8" w:space="0" w:color="auto"/>
              <w:bottom w:val="single" w:sz="4" w:space="0" w:color="auto"/>
              <w:right w:val="single" w:sz="4" w:space="0" w:color="auto"/>
            </w:tcBorders>
            <w:vAlign w:val="center"/>
            <w:hideMark/>
          </w:tcPr>
          <w:p w14:paraId="1A9FB21C" w14:textId="77777777" w:rsidR="002167FF" w:rsidRPr="002167FF" w:rsidRDefault="002167FF" w:rsidP="00945940">
            <w:pPr>
              <w:suppressAutoHyphens w:val="0"/>
              <w:spacing w:before="0" w:after="0"/>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Cost Recovery Rate (%)</w:t>
            </w:r>
          </w:p>
        </w:tc>
        <w:tc>
          <w:tcPr>
            <w:tcW w:w="1018" w:type="dxa"/>
            <w:tcBorders>
              <w:top w:val="nil"/>
              <w:left w:val="single" w:sz="4" w:space="0" w:color="auto"/>
              <w:bottom w:val="single" w:sz="4" w:space="0" w:color="auto"/>
              <w:right w:val="single" w:sz="4" w:space="0" w:color="auto"/>
            </w:tcBorders>
            <w:shd w:val="clear" w:color="000000" w:fill="FFFFFF"/>
            <w:noWrap/>
            <w:vAlign w:val="center"/>
            <w:hideMark/>
          </w:tcPr>
          <w:p w14:paraId="7B80A78C"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53%</w:t>
            </w:r>
          </w:p>
        </w:tc>
        <w:tc>
          <w:tcPr>
            <w:tcW w:w="1019" w:type="dxa"/>
            <w:tcBorders>
              <w:top w:val="nil"/>
              <w:left w:val="nil"/>
              <w:bottom w:val="single" w:sz="4" w:space="0" w:color="auto"/>
              <w:right w:val="single" w:sz="4" w:space="0" w:color="auto"/>
            </w:tcBorders>
            <w:shd w:val="clear" w:color="000000" w:fill="FFFFFF"/>
            <w:noWrap/>
            <w:vAlign w:val="center"/>
            <w:hideMark/>
          </w:tcPr>
          <w:p w14:paraId="11A89BBA"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38%</w:t>
            </w:r>
          </w:p>
        </w:tc>
        <w:tc>
          <w:tcPr>
            <w:tcW w:w="1019" w:type="dxa"/>
            <w:tcBorders>
              <w:top w:val="nil"/>
              <w:left w:val="nil"/>
              <w:bottom w:val="single" w:sz="4" w:space="0" w:color="auto"/>
              <w:right w:val="single" w:sz="4" w:space="0" w:color="auto"/>
            </w:tcBorders>
            <w:shd w:val="clear" w:color="000000" w:fill="FFFFFF"/>
            <w:noWrap/>
            <w:vAlign w:val="center"/>
            <w:hideMark/>
          </w:tcPr>
          <w:p w14:paraId="0C6AD769"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19%</w:t>
            </w:r>
          </w:p>
        </w:tc>
        <w:tc>
          <w:tcPr>
            <w:tcW w:w="1019" w:type="dxa"/>
            <w:tcBorders>
              <w:top w:val="nil"/>
              <w:left w:val="nil"/>
              <w:bottom w:val="single" w:sz="4" w:space="0" w:color="auto"/>
              <w:right w:val="single" w:sz="4" w:space="0" w:color="auto"/>
            </w:tcBorders>
            <w:shd w:val="clear" w:color="000000" w:fill="FFFFFF"/>
            <w:noWrap/>
            <w:vAlign w:val="center"/>
            <w:hideMark/>
          </w:tcPr>
          <w:p w14:paraId="79D68A64"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28%</w:t>
            </w:r>
          </w:p>
        </w:tc>
        <w:tc>
          <w:tcPr>
            <w:tcW w:w="1018" w:type="dxa"/>
            <w:tcBorders>
              <w:top w:val="nil"/>
              <w:left w:val="nil"/>
              <w:bottom w:val="single" w:sz="4" w:space="0" w:color="auto"/>
              <w:right w:val="single" w:sz="4" w:space="0" w:color="auto"/>
            </w:tcBorders>
            <w:shd w:val="clear" w:color="000000" w:fill="FFFFFF"/>
            <w:noWrap/>
            <w:vAlign w:val="center"/>
            <w:hideMark/>
          </w:tcPr>
          <w:p w14:paraId="368827D3"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30%</w:t>
            </w:r>
          </w:p>
        </w:tc>
        <w:tc>
          <w:tcPr>
            <w:tcW w:w="1019" w:type="dxa"/>
            <w:tcBorders>
              <w:top w:val="nil"/>
              <w:left w:val="nil"/>
              <w:bottom w:val="single" w:sz="4" w:space="0" w:color="auto"/>
              <w:right w:val="single" w:sz="4" w:space="0" w:color="auto"/>
            </w:tcBorders>
            <w:shd w:val="clear" w:color="000000" w:fill="FFFFFF"/>
            <w:noWrap/>
            <w:vAlign w:val="center"/>
            <w:hideMark/>
          </w:tcPr>
          <w:p w14:paraId="206C891E"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29%</w:t>
            </w:r>
          </w:p>
        </w:tc>
        <w:tc>
          <w:tcPr>
            <w:tcW w:w="1019" w:type="dxa"/>
            <w:tcBorders>
              <w:top w:val="nil"/>
              <w:left w:val="nil"/>
              <w:bottom w:val="single" w:sz="4" w:space="0" w:color="auto"/>
              <w:right w:val="single" w:sz="4" w:space="0" w:color="auto"/>
            </w:tcBorders>
            <w:shd w:val="clear" w:color="000000" w:fill="FFFFFF"/>
            <w:noWrap/>
            <w:vAlign w:val="center"/>
            <w:hideMark/>
          </w:tcPr>
          <w:p w14:paraId="7ED517F7"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28%</w:t>
            </w:r>
          </w:p>
        </w:tc>
        <w:tc>
          <w:tcPr>
            <w:tcW w:w="1019" w:type="dxa"/>
            <w:tcBorders>
              <w:top w:val="nil"/>
              <w:left w:val="nil"/>
              <w:bottom w:val="single" w:sz="4" w:space="0" w:color="auto"/>
              <w:right w:val="single" w:sz="8" w:space="0" w:color="auto"/>
            </w:tcBorders>
            <w:shd w:val="clear" w:color="000000" w:fill="FFFFFF"/>
            <w:noWrap/>
            <w:vAlign w:val="center"/>
            <w:hideMark/>
          </w:tcPr>
          <w:p w14:paraId="5005574A"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28%</w:t>
            </w:r>
          </w:p>
        </w:tc>
      </w:tr>
      <w:tr w:rsidR="00B57D8C" w:rsidRPr="002167FF" w14:paraId="0377CB8B" w14:textId="77777777" w:rsidTr="00945940">
        <w:trPr>
          <w:trHeight w:val="289"/>
        </w:trPr>
        <w:tc>
          <w:tcPr>
            <w:tcW w:w="1843" w:type="dxa"/>
            <w:tcBorders>
              <w:top w:val="nil"/>
              <w:left w:val="single" w:sz="8" w:space="0" w:color="auto"/>
              <w:bottom w:val="single" w:sz="4" w:space="0" w:color="auto"/>
              <w:right w:val="single" w:sz="4" w:space="0" w:color="auto"/>
            </w:tcBorders>
            <w:vAlign w:val="center"/>
            <w:hideMark/>
          </w:tcPr>
          <w:p w14:paraId="3068388D" w14:textId="77777777" w:rsidR="002167FF" w:rsidRPr="002167FF" w:rsidRDefault="002167FF" w:rsidP="00945940">
            <w:pPr>
              <w:suppressAutoHyphens w:val="0"/>
              <w:spacing w:before="0" w:after="0"/>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Budget Funded</w:t>
            </w:r>
          </w:p>
        </w:tc>
        <w:tc>
          <w:tcPr>
            <w:tcW w:w="1018" w:type="dxa"/>
            <w:tcBorders>
              <w:top w:val="nil"/>
              <w:left w:val="single" w:sz="4" w:space="0" w:color="auto"/>
              <w:bottom w:val="single" w:sz="4" w:space="0" w:color="auto"/>
              <w:right w:val="single" w:sz="4" w:space="0" w:color="auto"/>
            </w:tcBorders>
            <w:shd w:val="clear" w:color="000000" w:fill="FFFFFF"/>
            <w:noWrap/>
            <w:vAlign w:val="center"/>
            <w:hideMark/>
          </w:tcPr>
          <w:p w14:paraId="294E437A"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$2,851,924</w:t>
            </w:r>
          </w:p>
        </w:tc>
        <w:tc>
          <w:tcPr>
            <w:tcW w:w="1019" w:type="dxa"/>
            <w:tcBorders>
              <w:top w:val="nil"/>
              <w:left w:val="nil"/>
              <w:bottom w:val="single" w:sz="4" w:space="0" w:color="auto"/>
              <w:right w:val="single" w:sz="4" w:space="0" w:color="auto"/>
            </w:tcBorders>
            <w:shd w:val="clear" w:color="000000" w:fill="FFFFFF"/>
            <w:noWrap/>
            <w:vAlign w:val="center"/>
            <w:hideMark/>
          </w:tcPr>
          <w:p w14:paraId="3A7F7963"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$4,324,871</w:t>
            </w:r>
          </w:p>
        </w:tc>
        <w:tc>
          <w:tcPr>
            <w:tcW w:w="1019" w:type="dxa"/>
            <w:tcBorders>
              <w:top w:val="nil"/>
              <w:left w:val="nil"/>
              <w:bottom w:val="single" w:sz="4" w:space="0" w:color="auto"/>
              <w:right w:val="single" w:sz="4" w:space="0" w:color="auto"/>
            </w:tcBorders>
            <w:shd w:val="clear" w:color="000000" w:fill="FFFFFF"/>
            <w:noWrap/>
            <w:vAlign w:val="center"/>
            <w:hideMark/>
          </w:tcPr>
          <w:p w14:paraId="47608B2E"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$5,574,623</w:t>
            </w:r>
          </w:p>
        </w:tc>
        <w:tc>
          <w:tcPr>
            <w:tcW w:w="1019" w:type="dxa"/>
            <w:tcBorders>
              <w:top w:val="nil"/>
              <w:left w:val="nil"/>
              <w:bottom w:val="single" w:sz="4" w:space="0" w:color="auto"/>
              <w:right w:val="single" w:sz="4" w:space="0" w:color="auto"/>
            </w:tcBorders>
            <w:shd w:val="clear" w:color="000000" w:fill="FFFFFF"/>
            <w:noWrap/>
            <w:vAlign w:val="center"/>
            <w:hideMark/>
          </w:tcPr>
          <w:p w14:paraId="5DC830BC"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$4,221,622</w:t>
            </w:r>
          </w:p>
        </w:tc>
        <w:tc>
          <w:tcPr>
            <w:tcW w:w="1018" w:type="dxa"/>
            <w:tcBorders>
              <w:top w:val="nil"/>
              <w:left w:val="nil"/>
              <w:bottom w:val="single" w:sz="4" w:space="0" w:color="auto"/>
              <w:right w:val="single" w:sz="4" w:space="0" w:color="auto"/>
            </w:tcBorders>
            <w:shd w:val="clear" w:color="000000" w:fill="FFFFFF"/>
            <w:noWrap/>
            <w:vAlign w:val="center"/>
            <w:hideMark/>
          </w:tcPr>
          <w:p w14:paraId="64029202"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$3,879,091</w:t>
            </w:r>
          </w:p>
        </w:tc>
        <w:tc>
          <w:tcPr>
            <w:tcW w:w="1019" w:type="dxa"/>
            <w:tcBorders>
              <w:top w:val="nil"/>
              <w:left w:val="nil"/>
              <w:bottom w:val="single" w:sz="4" w:space="0" w:color="auto"/>
              <w:right w:val="single" w:sz="4" w:space="0" w:color="auto"/>
            </w:tcBorders>
            <w:shd w:val="clear" w:color="000000" w:fill="FFFFFF"/>
            <w:noWrap/>
            <w:vAlign w:val="center"/>
            <w:hideMark/>
          </w:tcPr>
          <w:p w14:paraId="51A83E47"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$4,046,958</w:t>
            </w:r>
          </w:p>
        </w:tc>
        <w:tc>
          <w:tcPr>
            <w:tcW w:w="1019" w:type="dxa"/>
            <w:tcBorders>
              <w:top w:val="nil"/>
              <w:left w:val="nil"/>
              <w:bottom w:val="single" w:sz="4" w:space="0" w:color="auto"/>
              <w:right w:val="single" w:sz="4" w:space="0" w:color="auto"/>
            </w:tcBorders>
            <w:shd w:val="clear" w:color="000000" w:fill="FFFFFF"/>
            <w:noWrap/>
            <w:vAlign w:val="center"/>
            <w:hideMark/>
          </w:tcPr>
          <w:p w14:paraId="3E6A04AE"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$4,220,212</w:t>
            </w:r>
          </w:p>
        </w:tc>
        <w:tc>
          <w:tcPr>
            <w:tcW w:w="1019" w:type="dxa"/>
            <w:tcBorders>
              <w:top w:val="nil"/>
              <w:left w:val="nil"/>
              <w:bottom w:val="single" w:sz="4" w:space="0" w:color="auto"/>
              <w:right w:val="single" w:sz="8" w:space="0" w:color="auto"/>
            </w:tcBorders>
            <w:shd w:val="clear" w:color="000000" w:fill="FFFFFF"/>
            <w:noWrap/>
            <w:vAlign w:val="center"/>
            <w:hideMark/>
          </w:tcPr>
          <w:p w14:paraId="04426DB8"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$4,399,029</w:t>
            </w:r>
          </w:p>
        </w:tc>
      </w:tr>
      <w:tr w:rsidR="00B57D8C" w:rsidRPr="002167FF" w14:paraId="5B84EFD9" w14:textId="77777777" w:rsidTr="00945940">
        <w:trPr>
          <w:trHeight w:val="299"/>
        </w:trPr>
        <w:tc>
          <w:tcPr>
            <w:tcW w:w="1843" w:type="dxa"/>
            <w:tcBorders>
              <w:top w:val="nil"/>
              <w:left w:val="single" w:sz="8" w:space="0" w:color="auto"/>
              <w:bottom w:val="single" w:sz="8" w:space="0" w:color="auto"/>
              <w:right w:val="single" w:sz="4" w:space="0" w:color="auto"/>
            </w:tcBorders>
            <w:vAlign w:val="center"/>
            <w:hideMark/>
          </w:tcPr>
          <w:p w14:paraId="25C8409B" w14:textId="77777777" w:rsidR="002167FF" w:rsidRPr="002167FF" w:rsidRDefault="002167FF" w:rsidP="00945940">
            <w:pPr>
              <w:suppressAutoHyphens w:val="0"/>
              <w:spacing w:before="0" w:after="0"/>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Total Revenue</w:t>
            </w:r>
          </w:p>
        </w:tc>
        <w:tc>
          <w:tcPr>
            <w:tcW w:w="1018" w:type="dxa"/>
            <w:tcBorders>
              <w:top w:val="nil"/>
              <w:left w:val="single" w:sz="4" w:space="0" w:color="auto"/>
              <w:bottom w:val="single" w:sz="8" w:space="0" w:color="auto"/>
              <w:right w:val="single" w:sz="4" w:space="0" w:color="auto"/>
            </w:tcBorders>
            <w:shd w:val="clear" w:color="000000" w:fill="FFFFFF"/>
            <w:noWrap/>
            <w:vAlign w:val="center"/>
            <w:hideMark/>
          </w:tcPr>
          <w:p w14:paraId="0E633B20"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$6,071,834</w:t>
            </w:r>
          </w:p>
        </w:tc>
        <w:tc>
          <w:tcPr>
            <w:tcW w:w="1019" w:type="dxa"/>
            <w:tcBorders>
              <w:top w:val="nil"/>
              <w:left w:val="nil"/>
              <w:bottom w:val="single" w:sz="8" w:space="0" w:color="auto"/>
              <w:right w:val="single" w:sz="4" w:space="0" w:color="auto"/>
            </w:tcBorders>
            <w:shd w:val="clear" w:color="000000" w:fill="FFFFFF"/>
            <w:noWrap/>
            <w:vAlign w:val="center"/>
            <w:hideMark/>
          </w:tcPr>
          <w:p w14:paraId="0FDFF2AD"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$6,947,246</w:t>
            </w:r>
          </w:p>
        </w:tc>
        <w:tc>
          <w:tcPr>
            <w:tcW w:w="1019" w:type="dxa"/>
            <w:tcBorders>
              <w:top w:val="nil"/>
              <w:left w:val="nil"/>
              <w:bottom w:val="single" w:sz="8" w:space="0" w:color="auto"/>
              <w:right w:val="single" w:sz="4" w:space="0" w:color="auto"/>
            </w:tcBorders>
            <w:shd w:val="clear" w:color="000000" w:fill="FFFFFF"/>
            <w:noWrap/>
            <w:vAlign w:val="center"/>
            <w:hideMark/>
          </w:tcPr>
          <w:p w14:paraId="1D6D853B"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$6,853,623</w:t>
            </w:r>
          </w:p>
        </w:tc>
        <w:tc>
          <w:tcPr>
            <w:tcW w:w="1019" w:type="dxa"/>
            <w:tcBorders>
              <w:top w:val="nil"/>
              <w:left w:val="nil"/>
              <w:bottom w:val="single" w:sz="8" w:space="0" w:color="auto"/>
              <w:right w:val="single" w:sz="4" w:space="0" w:color="auto"/>
            </w:tcBorders>
            <w:shd w:val="clear" w:color="000000" w:fill="FFFFFF"/>
            <w:noWrap/>
            <w:vAlign w:val="center"/>
            <w:hideMark/>
          </w:tcPr>
          <w:p w14:paraId="0D9CEC9F"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$5,873,505</w:t>
            </w:r>
          </w:p>
        </w:tc>
        <w:tc>
          <w:tcPr>
            <w:tcW w:w="1018" w:type="dxa"/>
            <w:tcBorders>
              <w:top w:val="nil"/>
              <w:left w:val="nil"/>
              <w:bottom w:val="single" w:sz="8" w:space="0" w:color="auto"/>
              <w:right w:val="single" w:sz="4" w:space="0" w:color="auto"/>
            </w:tcBorders>
            <w:shd w:val="clear" w:color="000000" w:fill="FFFFFF"/>
            <w:noWrap/>
            <w:vAlign w:val="center"/>
            <w:hideMark/>
          </w:tcPr>
          <w:p w14:paraId="582E4E7A"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$5,538,058</w:t>
            </w:r>
          </w:p>
        </w:tc>
        <w:tc>
          <w:tcPr>
            <w:tcW w:w="1019" w:type="dxa"/>
            <w:tcBorders>
              <w:top w:val="nil"/>
              <w:left w:val="nil"/>
              <w:bottom w:val="single" w:sz="8" w:space="0" w:color="auto"/>
              <w:right w:val="single" w:sz="4" w:space="0" w:color="auto"/>
            </w:tcBorders>
            <w:shd w:val="clear" w:color="000000" w:fill="FFFFFF"/>
            <w:noWrap/>
            <w:vAlign w:val="center"/>
            <w:hideMark/>
          </w:tcPr>
          <w:p w14:paraId="03857970"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$5,713,243</w:t>
            </w:r>
          </w:p>
        </w:tc>
        <w:tc>
          <w:tcPr>
            <w:tcW w:w="1019" w:type="dxa"/>
            <w:tcBorders>
              <w:top w:val="nil"/>
              <w:left w:val="nil"/>
              <w:bottom w:val="single" w:sz="8" w:space="0" w:color="auto"/>
              <w:right w:val="single" w:sz="4" w:space="0" w:color="auto"/>
            </w:tcBorders>
            <w:shd w:val="clear" w:color="000000" w:fill="FFFFFF"/>
            <w:noWrap/>
            <w:vAlign w:val="center"/>
            <w:hideMark/>
          </w:tcPr>
          <w:p w14:paraId="32906C5E"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$5,894,056</w:t>
            </w:r>
          </w:p>
        </w:tc>
        <w:tc>
          <w:tcPr>
            <w:tcW w:w="1019" w:type="dxa"/>
            <w:tcBorders>
              <w:top w:val="nil"/>
              <w:left w:val="nil"/>
              <w:bottom w:val="single" w:sz="8" w:space="0" w:color="auto"/>
              <w:right w:val="single" w:sz="8" w:space="0" w:color="auto"/>
            </w:tcBorders>
            <w:shd w:val="clear" w:color="000000" w:fill="FFFFFF"/>
            <w:noWrap/>
            <w:vAlign w:val="center"/>
            <w:hideMark/>
          </w:tcPr>
          <w:p w14:paraId="699A3234" w14:textId="77777777" w:rsidR="002167FF" w:rsidRPr="002167FF" w:rsidRDefault="002167FF" w:rsidP="00864C86">
            <w:pPr>
              <w:suppressAutoHyphens w:val="0"/>
              <w:spacing w:before="0" w:after="0"/>
              <w:jc w:val="center"/>
              <w:rPr>
                <w:rFonts w:ascii="Calibri" w:eastAsia="Times New Roman" w:hAnsi="Calibri" w:cs="Calibri"/>
                <w:color w:val="000000"/>
                <w:sz w:val="16"/>
                <w:szCs w:val="16"/>
                <w:lang w:val="en-US"/>
              </w:rPr>
            </w:pPr>
            <w:r w:rsidRPr="002167FF">
              <w:rPr>
                <w:rFonts w:ascii="Calibri" w:eastAsia="Times New Roman" w:hAnsi="Calibri" w:cs="Calibri"/>
                <w:color w:val="000000"/>
                <w:sz w:val="16"/>
                <w:szCs w:val="16"/>
                <w:lang w:val="en-US"/>
              </w:rPr>
              <w:t>$6,080,681</w:t>
            </w:r>
          </w:p>
        </w:tc>
      </w:tr>
    </w:tbl>
    <w:p w14:paraId="5A39504D" w14:textId="77777777" w:rsidR="005C0ACB" w:rsidRDefault="005C0ACB" w:rsidP="005C0ACB">
      <w:pPr>
        <w:pStyle w:val="Heading2"/>
      </w:pPr>
      <w:bookmarkStart w:id="29" w:name="_Toc201043459"/>
      <w:bookmarkStart w:id="30" w:name="_Toc200122172"/>
      <w:r>
        <w:t>PCR and activities subject to cost recovery</w:t>
      </w:r>
      <w:bookmarkEnd w:id="29"/>
    </w:p>
    <w:p w14:paraId="63CA7C80" w14:textId="7A7CBCB5" w:rsidR="005C0ACB" w:rsidRDefault="005C0ACB" w:rsidP="005C0ACB">
      <w:pPr>
        <w:rPr>
          <w:rFonts w:ascii="Calibri" w:hAnsi="Calibri" w:cs="Calibri"/>
        </w:rPr>
      </w:pPr>
      <w:r>
        <w:rPr>
          <w:rFonts w:ascii="Calibri" w:hAnsi="Calibri" w:cs="Calibri"/>
        </w:rPr>
        <w:t xml:space="preserve">It is anticipated that information gathered </w:t>
      </w:r>
      <w:r w:rsidR="002A2966">
        <w:rPr>
          <w:rFonts w:ascii="Calibri" w:hAnsi="Calibri" w:cs="Calibri"/>
        </w:rPr>
        <w:t xml:space="preserve">for </w:t>
      </w:r>
      <w:r>
        <w:rPr>
          <w:rFonts w:ascii="Calibri" w:hAnsi="Calibri" w:cs="Calibri"/>
        </w:rPr>
        <w:t>a 2025 CRIS for classification services will flow into the PCR that is scheduled to occur in 2026. A PCR is a periodic review of all existing and potential charging activities within a government department and must occur at least every 5 years.</w:t>
      </w:r>
    </w:p>
    <w:p w14:paraId="6A17353B" w14:textId="77777777" w:rsidR="005C0ACB" w:rsidRDefault="005C0ACB" w:rsidP="005C0ACB">
      <w:pPr>
        <w:suppressAutoHyphens w:val="0"/>
        <w:spacing w:before="0" w:after="160" w:line="276" w:lineRule="auto"/>
        <w:rPr>
          <w:rFonts w:ascii="Calibri" w:hAnsi="Calibri" w:cs="Calibri"/>
        </w:rPr>
      </w:pPr>
      <w:r>
        <w:rPr>
          <w:rFonts w:ascii="Calibri" w:hAnsi="Calibri" w:cs="Calibri"/>
        </w:rPr>
        <w:t>It is expected that the PCR will examine:</w:t>
      </w:r>
    </w:p>
    <w:p w14:paraId="17620682" w14:textId="77777777" w:rsidR="005C0ACB" w:rsidRDefault="005C0ACB" w:rsidP="005C0ACB">
      <w:pPr>
        <w:pStyle w:val="Bullet1"/>
      </w:pPr>
      <w:proofErr w:type="spellStart"/>
      <w:r>
        <w:rPr>
          <w:lang w:val="en-AU"/>
        </w:rPr>
        <w:t>t</w:t>
      </w:r>
      <w:r>
        <w:t>he</w:t>
      </w:r>
      <w:proofErr w:type="spellEnd"/>
      <w:r>
        <w:t xml:space="preserve"> current cost recovery position of the department</w:t>
      </w:r>
    </w:p>
    <w:p w14:paraId="26A0562F" w14:textId="77777777" w:rsidR="005C0ACB" w:rsidRDefault="005C0ACB" w:rsidP="005C0ACB">
      <w:pPr>
        <w:pStyle w:val="Bullet1"/>
      </w:pPr>
      <w:r>
        <w:rPr>
          <w:lang w:val="en-AU"/>
        </w:rPr>
        <w:t>w</w:t>
      </w:r>
      <w:proofErr w:type="spellStart"/>
      <w:r>
        <w:t>hether</w:t>
      </w:r>
      <w:proofErr w:type="spellEnd"/>
      <w:r>
        <w:t xml:space="preserve"> the current fees for service appropriately reflect the costs of service delivery</w:t>
      </w:r>
    </w:p>
    <w:p w14:paraId="70172250" w14:textId="77777777" w:rsidR="005C0ACB" w:rsidRPr="009C7216" w:rsidRDefault="005C0ACB" w:rsidP="005C0ACB">
      <w:pPr>
        <w:pStyle w:val="Bullet1"/>
      </w:pPr>
      <w:r>
        <w:rPr>
          <w:lang w:val="en-AU"/>
        </w:rPr>
        <w:t>w</w:t>
      </w:r>
      <w:proofErr w:type="spellStart"/>
      <w:r>
        <w:t>hether</w:t>
      </w:r>
      <w:proofErr w:type="spellEnd"/>
      <w:r>
        <w:t xml:space="preserve"> any additional fees </w:t>
      </w:r>
      <w:r>
        <w:rPr>
          <w:lang w:val="en-AU"/>
        </w:rPr>
        <w:t>allowed under</w:t>
      </w:r>
      <w:r>
        <w:t xml:space="preserve"> legislation that are not currently charged, should be.</w:t>
      </w:r>
    </w:p>
    <w:p w14:paraId="428C3DB7" w14:textId="77777777" w:rsidR="005C0ACB" w:rsidRPr="009C7216" w:rsidRDefault="005C0ACB" w:rsidP="005C0ACB">
      <w:pPr>
        <w:rPr>
          <w:rFonts w:ascii="Calibri" w:hAnsi="Calibri" w:cs="Calibri"/>
          <w:u w:val="single"/>
        </w:rPr>
      </w:pPr>
      <w:r>
        <w:rPr>
          <w:rFonts w:ascii="Calibri" w:hAnsi="Calibri" w:cs="Calibri"/>
        </w:rPr>
        <w:t>T</w:t>
      </w:r>
      <w:r w:rsidRPr="00453482">
        <w:rPr>
          <w:rFonts w:ascii="Calibri" w:hAnsi="Calibri" w:cs="Calibri"/>
        </w:rPr>
        <w:t xml:space="preserve">he current </w:t>
      </w:r>
      <w:r>
        <w:rPr>
          <w:rFonts w:ascii="Calibri" w:hAnsi="Calibri" w:cs="Calibri"/>
        </w:rPr>
        <w:t xml:space="preserve">cost recovery arrangement </w:t>
      </w:r>
      <w:r w:rsidRPr="00453482">
        <w:rPr>
          <w:rFonts w:ascii="Calibri" w:hAnsi="Calibri" w:cs="Calibri"/>
        </w:rPr>
        <w:t>may lead to under-recovery in some areas and over-recovery in others, creating inequities and inefficiencies</w:t>
      </w:r>
      <w:r>
        <w:rPr>
          <w:rFonts w:ascii="Calibri" w:hAnsi="Calibri" w:cs="Calibri"/>
        </w:rPr>
        <w:t>.</w:t>
      </w:r>
    </w:p>
    <w:p w14:paraId="60830D12" w14:textId="77777777" w:rsidR="00FC510F" w:rsidRPr="001C0FAD" w:rsidRDefault="005C0ACB" w:rsidP="001C0FAD">
      <w:pPr>
        <w:rPr>
          <w:rFonts w:ascii="Calibri" w:hAnsi="Calibri" w:cs="Calibri"/>
        </w:rPr>
      </w:pPr>
      <w:r>
        <w:rPr>
          <w:rFonts w:ascii="Calibri" w:hAnsi="Calibri" w:cs="Calibri"/>
        </w:rPr>
        <w:t>This means that</w:t>
      </w:r>
      <w:r w:rsidR="00FC510F">
        <w:rPr>
          <w:rFonts w:ascii="Calibri" w:hAnsi="Calibri" w:cs="Calibri"/>
        </w:rPr>
        <w:t xml:space="preserve"> </w:t>
      </w:r>
      <w:r w:rsidR="00FC510F" w:rsidRPr="001C0FAD">
        <w:rPr>
          <w:rFonts w:ascii="Calibri" w:hAnsi="Calibri" w:cs="Calibri"/>
        </w:rPr>
        <w:t>the current charges for services will require adjustment to fees for applying to the Board, including:</w:t>
      </w:r>
    </w:p>
    <w:p w14:paraId="1E99538B" w14:textId="42E8F816" w:rsidR="00FC510F" w:rsidRDefault="00FC510F" w:rsidP="00FC510F">
      <w:pPr>
        <w:pStyle w:val="Bullet1"/>
        <w:numPr>
          <w:ilvl w:val="0"/>
          <w:numId w:val="46"/>
        </w:numPr>
        <w:rPr>
          <w:lang w:val="en-AU"/>
        </w:rPr>
      </w:pPr>
      <w:r>
        <w:rPr>
          <w:lang w:val="en-AU"/>
        </w:rPr>
        <w:t xml:space="preserve">Fees for the classification of Public Exhibition films </w:t>
      </w:r>
      <w:r w:rsidR="00126169">
        <w:rPr>
          <w:lang w:val="en-AU"/>
        </w:rPr>
        <w:t xml:space="preserve">potentially </w:t>
      </w:r>
      <w:r>
        <w:rPr>
          <w:lang w:val="en-AU"/>
        </w:rPr>
        <w:t xml:space="preserve">decreasing by </w:t>
      </w:r>
      <w:r w:rsidR="00126169">
        <w:rPr>
          <w:lang w:val="en-AU"/>
        </w:rPr>
        <w:t>20-30%</w:t>
      </w:r>
    </w:p>
    <w:p w14:paraId="7B26B377" w14:textId="7EF6E96E" w:rsidR="00FC510F" w:rsidRDefault="00FC510F" w:rsidP="00FC510F">
      <w:pPr>
        <w:pStyle w:val="Bullet1"/>
        <w:numPr>
          <w:ilvl w:val="0"/>
          <w:numId w:val="46"/>
        </w:numPr>
        <w:rPr>
          <w:lang w:val="en-AU"/>
        </w:rPr>
      </w:pPr>
      <w:r>
        <w:rPr>
          <w:lang w:val="en-AU"/>
        </w:rPr>
        <w:t xml:space="preserve">Fees for the classification of Film Other </w:t>
      </w:r>
      <w:r w:rsidR="00126169">
        <w:rPr>
          <w:lang w:val="en-AU"/>
        </w:rPr>
        <w:t xml:space="preserve">potentially </w:t>
      </w:r>
      <w:r>
        <w:rPr>
          <w:lang w:val="en-AU"/>
        </w:rPr>
        <w:t xml:space="preserve">increasing by </w:t>
      </w:r>
      <w:r w:rsidR="00126169">
        <w:rPr>
          <w:lang w:val="en-AU"/>
        </w:rPr>
        <w:t>50-60%</w:t>
      </w:r>
    </w:p>
    <w:p w14:paraId="16BFD05F" w14:textId="1DA71786" w:rsidR="00FC510F" w:rsidRDefault="00FC510F" w:rsidP="00FC510F">
      <w:pPr>
        <w:pStyle w:val="Bullet1"/>
        <w:numPr>
          <w:ilvl w:val="0"/>
          <w:numId w:val="46"/>
        </w:numPr>
        <w:rPr>
          <w:lang w:val="en-AU"/>
        </w:rPr>
      </w:pPr>
      <w:r>
        <w:rPr>
          <w:lang w:val="en-AU"/>
        </w:rPr>
        <w:t xml:space="preserve">Fees for the classification of computer games </w:t>
      </w:r>
      <w:r w:rsidR="00126169">
        <w:rPr>
          <w:lang w:val="en-AU"/>
        </w:rPr>
        <w:t>potentially decreasing by 5-15%</w:t>
      </w:r>
    </w:p>
    <w:p w14:paraId="1649DCCA" w14:textId="6439596F" w:rsidR="00FC510F" w:rsidRPr="00FC510F" w:rsidRDefault="00FC510F" w:rsidP="00FC510F">
      <w:pPr>
        <w:pStyle w:val="Bullet1"/>
        <w:numPr>
          <w:ilvl w:val="0"/>
          <w:numId w:val="46"/>
        </w:numPr>
        <w:rPr>
          <w:lang w:val="en-AU"/>
        </w:rPr>
      </w:pPr>
      <w:r>
        <w:rPr>
          <w:lang w:val="en-AU"/>
        </w:rPr>
        <w:t xml:space="preserve">Fees for the classification of publications </w:t>
      </w:r>
      <w:r w:rsidR="00126169">
        <w:rPr>
          <w:lang w:val="en-AU"/>
        </w:rPr>
        <w:t xml:space="preserve">potentially increasing </w:t>
      </w:r>
      <w:r w:rsidR="000854E1">
        <w:rPr>
          <w:lang w:val="en-AU"/>
        </w:rPr>
        <w:t>significantly</w:t>
      </w:r>
      <w:r w:rsidR="00126169">
        <w:rPr>
          <w:lang w:val="en-AU"/>
        </w:rPr>
        <w:t>.</w:t>
      </w:r>
    </w:p>
    <w:p w14:paraId="192869A1" w14:textId="7409E8BC" w:rsidR="005C0ACB" w:rsidRDefault="00FC510F" w:rsidP="005C0ACB">
      <w:pPr>
        <w:rPr>
          <w:rFonts w:ascii="Calibri" w:hAnsi="Calibri" w:cs="Calibri"/>
        </w:rPr>
      </w:pPr>
      <w:r>
        <w:rPr>
          <w:rFonts w:ascii="Calibri" w:hAnsi="Calibri" w:cs="Calibri"/>
        </w:rPr>
        <w:lastRenderedPageBreak/>
        <w:t>I</w:t>
      </w:r>
      <w:r w:rsidR="005C0ACB">
        <w:rPr>
          <w:rFonts w:ascii="Calibri" w:hAnsi="Calibri" w:cs="Calibri"/>
        </w:rPr>
        <w:t>n addition, other activities</w:t>
      </w:r>
      <w:r>
        <w:rPr>
          <w:rFonts w:ascii="Calibri" w:hAnsi="Calibri" w:cs="Calibri"/>
        </w:rPr>
        <w:t xml:space="preserve"> which are currently not charged for</w:t>
      </w:r>
      <w:r w:rsidR="005C0ACB">
        <w:rPr>
          <w:rFonts w:ascii="Calibri" w:hAnsi="Calibri" w:cs="Calibri"/>
        </w:rPr>
        <w:t>, including but not limited to those listed below, may be subject to cost recovery to align with a potential updated fee structure:</w:t>
      </w:r>
    </w:p>
    <w:p w14:paraId="3E68F84A" w14:textId="36EAEB9E" w:rsidR="005C0ACB" w:rsidRDefault="005C0ACB" w:rsidP="005C0ACB">
      <w:pPr>
        <w:pStyle w:val="Bullet1"/>
      </w:pPr>
      <w:r>
        <w:rPr>
          <w:lang w:val="en-US"/>
        </w:rPr>
        <w:t>t</w:t>
      </w:r>
      <w:r>
        <w:t xml:space="preserve">raining </w:t>
      </w:r>
      <w:r w:rsidR="00EF3868">
        <w:rPr>
          <w:lang w:val="en-AU"/>
        </w:rPr>
        <w:t>for</w:t>
      </w:r>
      <w:r>
        <w:t xml:space="preserve"> </w:t>
      </w:r>
      <w:r>
        <w:rPr>
          <w:lang w:val="en-US"/>
        </w:rPr>
        <w:t>accredited classifiers</w:t>
      </w:r>
      <w:r>
        <w:t xml:space="preserve"> and </w:t>
      </w:r>
      <w:r>
        <w:rPr>
          <w:lang w:val="en-US"/>
        </w:rPr>
        <w:t>a</w:t>
      </w:r>
      <w:proofErr w:type="spellStart"/>
      <w:r>
        <w:t>uthorised</w:t>
      </w:r>
      <w:proofErr w:type="spellEnd"/>
      <w:r>
        <w:t xml:space="preserve"> </w:t>
      </w:r>
      <w:r>
        <w:rPr>
          <w:lang w:val="en-US"/>
        </w:rPr>
        <w:t>a</w:t>
      </w:r>
      <w:proofErr w:type="spellStart"/>
      <w:r>
        <w:t>ssessors</w:t>
      </w:r>
      <w:proofErr w:type="spellEnd"/>
    </w:p>
    <w:p w14:paraId="5C0A0E91" w14:textId="626BDA73" w:rsidR="005C0ACB" w:rsidRPr="006D6DD2" w:rsidRDefault="005C0ACB" w:rsidP="005C0ACB">
      <w:pPr>
        <w:pStyle w:val="Bullet1"/>
      </w:pPr>
      <w:r>
        <w:rPr>
          <w:lang w:val="en-US"/>
        </w:rPr>
        <w:t>a</w:t>
      </w:r>
      <w:proofErr w:type="spellStart"/>
      <w:r>
        <w:t>ccreditation</w:t>
      </w:r>
      <w:proofErr w:type="spellEnd"/>
      <w:r>
        <w:t xml:space="preserve"> of </w:t>
      </w:r>
      <w:r w:rsidR="00EC4C65">
        <w:rPr>
          <w:lang w:val="en-AU"/>
        </w:rPr>
        <w:t>persons</w:t>
      </w:r>
      <w:r>
        <w:t xml:space="preserve"> by the </w:t>
      </w:r>
      <w:r>
        <w:rPr>
          <w:lang w:val="en-US"/>
        </w:rPr>
        <w:t>department</w:t>
      </w:r>
      <w:r w:rsidR="00CC0E31">
        <w:rPr>
          <w:lang w:val="en-US"/>
        </w:rPr>
        <w:t xml:space="preserve"> to </w:t>
      </w:r>
      <w:r w:rsidR="00EC4C65">
        <w:rPr>
          <w:lang w:val="en-US"/>
        </w:rPr>
        <w:t>classify films or computer games</w:t>
      </w:r>
    </w:p>
    <w:p w14:paraId="08DDA8CC" w14:textId="03C37B49" w:rsidR="005C0ACB" w:rsidRPr="002A2966" w:rsidRDefault="005C0ACB" w:rsidP="005C0ACB">
      <w:pPr>
        <w:pStyle w:val="Bullet1"/>
      </w:pPr>
      <w:r>
        <w:rPr>
          <w:lang w:val="en-AU"/>
        </w:rPr>
        <w:t>monitoring and quality assurance of self-classification decisions.</w:t>
      </w:r>
    </w:p>
    <w:p w14:paraId="73118E9A" w14:textId="28B1AAD0" w:rsidR="005C0ACB" w:rsidRDefault="005C0ACB" w:rsidP="005C0ACB">
      <w:pPr>
        <w:pStyle w:val="Heading2"/>
      </w:pPr>
      <w:bookmarkStart w:id="31" w:name="_Toc201043460"/>
      <w:r>
        <w:t>Future fees and revenue</w:t>
      </w:r>
      <w:bookmarkEnd w:id="31"/>
    </w:p>
    <w:p w14:paraId="0DC60636" w14:textId="27F9B511" w:rsidR="00BA0B90" w:rsidRDefault="00BA0B90" w:rsidP="00BA0B90">
      <w:pPr>
        <w:rPr>
          <w:rFonts w:ascii="Calibri" w:hAnsi="Calibri" w:cs="Calibri"/>
        </w:rPr>
      </w:pPr>
      <w:r>
        <w:rPr>
          <w:rFonts w:ascii="Calibri" w:hAnsi="Calibri" w:cs="Calibri"/>
        </w:rPr>
        <w:t>The A</w:t>
      </w:r>
      <w:r w:rsidR="00734249">
        <w:rPr>
          <w:rFonts w:ascii="Calibri" w:hAnsi="Calibri" w:cs="Calibri"/>
        </w:rPr>
        <w:t>GCRP</w:t>
      </w:r>
      <w:r>
        <w:rPr>
          <w:rFonts w:ascii="Calibri" w:hAnsi="Calibri" w:cs="Calibri"/>
        </w:rPr>
        <w:t xml:space="preserve"> is that revenue should generally result in fully recovering the costs of service, unless a partial recovery arrangement has been approved </w:t>
      </w:r>
      <w:r w:rsidR="00C37AEC">
        <w:rPr>
          <w:rFonts w:ascii="Calibri" w:hAnsi="Calibri" w:cs="Calibri"/>
        </w:rPr>
        <w:t xml:space="preserve">by </w:t>
      </w:r>
      <w:r w:rsidR="00444B0A">
        <w:rPr>
          <w:rFonts w:ascii="Calibri" w:hAnsi="Calibri" w:cs="Calibri"/>
        </w:rPr>
        <w:t>g</w:t>
      </w:r>
      <w:r w:rsidR="00C37AEC">
        <w:rPr>
          <w:rFonts w:ascii="Calibri" w:hAnsi="Calibri" w:cs="Calibri"/>
        </w:rPr>
        <w:t xml:space="preserve">overnment </w:t>
      </w:r>
      <w:r>
        <w:rPr>
          <w:rFonts w:ascii="Calibri" w:hAnsi="Calibri" w:cs="Calibri"/>
        </w:rPr>
        <w:t>in relation to a particular set of activities.</w:t>
      </w:r>
    </w:p>
    <w:p w14:paraId="44CA01B3" w14:textId="20664086" w:rsidR="006A6D6D" w:rsidRDefault="006A6D6D" w:rsidP="006A6D6D">
      <w:pPr>
        <w:rPr>
          <w:rFonts w:ascii="Calibri" w:hAnsi="Calibri" w:cs="Calibri"/>
        </w:rPr>
      </w:pPr>
      <w:r>
        <w:rPr>
          <w:rFonts w:ascii="Calibri" w:hAnsi="Calibri" w:cs="Calibri"/>
        </w:rPr>
        <w:t>A full cost recovery model aims to achieve a break-even position over the forward estimates period and any over- or under-recovery should be monitored and may be addressed through periodic reviews and adjustments to the fee schedule.</w:t>
      </w:r>
    </w:p>
    <w:p w14:paraId="03988FB4" w14:textId="77777777" w:rsidR="005C0ACB" w:rsidRPr="00A629FB" w:rsidRDefault="005C0ACB" w:rsidP="005C0ACB">
      <w:pPr>
        <w:rPr>
          <w:rFonts w:ascii="Calibri" w:hAnsi="Calibri" w:cs="Calibri"/>
        </w:rPr>
      </w:pPr>
      <w:r>
        <w:rPr>
          <w:rFonts w:ascii="Calibri" w:hAnsi="Calibri" w:cs="Calibri"/>
        </w:rPr>
        <w:t>In considering the cost recovery position, estimated fees (whether revised or new), will be calculated on:</w:t>
      </w:r>
    </w:p>
    <w:p w14:paraId="0ECD9348" w14:textId="77777777" w:rsidR="005C0ACB" w:rsidRDefault="005C0ACB" w:rsidP="005C0ACB">
      <w:pPr>
        <w:pStyle w:val="Bullet1"/>
      </w:pPr>
      <w:r>
        <w:t>direct costs:</w:t>
      </w:r>
      <w:r>
        <w:rPr>
          <w:lang w:val="en-AU"/>
        </w:rPr>
        <w:t xml:space="preserve"> </w:t>
      </w:r>
      <w:r>
        <w:t>including staff salaries, classification decision-making, training delivery, application processing, operational expenses, and administrative costs directly related to classification activities</w:t>
      </w:r>
    </w:p>
    <w:p w14:paraId="7F97EF0B" w14:textId="77777777" w:rsidR="005C0ACB" w:rsidRDefault="005C0ACB" w:rsidP="005C0ACB">
      <w:pPr>
        <w:pStyle w:val="Bullet1"/>
      </w:pPr>
      <w:r>
        <w:t>indirect costs:</w:t>
      </w:r>
      <w:r>
        <w:rPr>
          <w:lang w:val="en-AU"/>
        </w:rPr>
        <w:t xml:space="preserve"> </w:t>
      </w:r>
      <w:r>
        <w:t>covering overheads such as office space, utilities, policy support and IT infrastructure</w:t>
      </w:r>
    </w:p>
    <w:p w14:paraId="02BA7A8D" w14:textId="77777777" w:rsidR="005C0ACB" w:rsidRDefault="005C0ACB" w:rsidP="005C0ACB">
      <w:pPr>
        <w:pStyle w:val="Bullet1"/>
      </w:pPr>
      <w:r>
        <w:t>activity volumes:</w:t>
      </w:r>
      <w:r>
        <w:rPr>
          <w:lang w:val="en-AU"/>
        </w:rPr>
        <w:t xml:space="preserve"> </w:t>
      </w:r>
      <w:r>
        <w:t>estimating the number of activities in line with historic and predicted data</w:t>
      </w:r>
    </w:p>
    <w:p w14:paraId="46FC28F2" w14:textId="77777777" w:rsidR="005C0ACB" w:rsidRDefault="005C0ACB" w:rsidP="005C0ACB">
      <w:pPr>
        <w:pStyle w:val="Bullet1"/>
      </w:pPr>
      <w:r>
        <w:t>capital costs: investment in digital infrastructure and classification tools</w:t>
      </w:r>
      <w:r>
        <w:rPr>
          <w:lang w:val="en-US"/>
        </w:rPr>
        <w:t>.</w:t>
      </w:r>
    </w:p>
    <w:p w14:paraId="52BBAED2" w14:textId="77777777" w:rsidR="005C0ACB" w:rsidRPr="003D43AE" w:rsidRDefault="005C0ACB" w:rsidP="005C0ACB">
      <w:pPr>
        <w:rPr>
          <w:rFonts w:ascii="Calibri" w:hAnsi="Calibri" w:cs="Calibri"/>
        </w:rPr>
      </w:pPr>
      <w:r w:rsidRPr="003D43AE">
        <w:rPr>
          <w:rFonts w:ascii="Calibri" w:hAnsi="Calibri" w:cs="Calibri"/>
        </w:rPr>
        <w:t>Revenue is projected based on the proposed fee structure and expected demand for classification services. This includes:</w:t>
      </w:r>
    </w:p>
    <w:p w14:paraId="052E9625" w14:textId="77777777" w:rsidR="005C0ACB" w:rsidRDefault="005C0ACB" w:rsidP="005C0ACB">
      <w:pPr>
        <w:pStyle w:val="Bullet1"/>
      </w:pPr>
      <w:r>
        <w:t xml:space="preserve">Board </w:t>
      </w:r>
      <w:r w:rsidRPr="003D43AE">
        <w:t xml:space="preserve">applications </w:t>
      </w:r>
    </w:p>
    <w:p w14:paraId="6742B379" w14:textId="77777777" w:rsidR="005C0ACB" w:rsidRPr="003D43AE" w:rsidRDefault="005C0ACB" w:rsidP="005C0ACB">
      <w:pPr>
        <w:pStyle w:val="Bullet1"/>
      </w:pPr>
      <w:r>
        <w:t>Review Board applications</w:t>
      </w:r>
    </w:p>
    <w:p w14:paraId="04EC2558" w14:textId="77777777" w:rsidR="005C0ACB" w:rsidRPr="003D43AE" w:rsidRDefault="005C0ACB" w:rsidP="005C0ACB">
      <w:pPr>
        <w:pStyle w:val="Bullet1"/>
      </w:pPr>
      <w:r>
        <w:t>i</w:t>
      </w:r>
      <w:r w:rsidRPr="003D43AE">
        <w:t>ndustry training and accreditation</w:t>
      </w:r>
    </w:p>
    <w:p w14:paraId="72614229" w14:textId="77777777" w:rsidR="005C0ACB" w:rsidRPr="003D43AE" w:rsidRDefault="005C0ACB" w:rsidP="005C0ACB">
      <w:pPr>
        <w:pStyle w:val="Bullet1"/>
      </w:pPr>
      <w:r>
        <w:t>monitoring and quality assurance.</w:t>
      </w:r>
    </w:p>
    <w:p w14:paraId="277A8897" w14:textId="31A406CC" w:rsidR="005C0ACB" w:rsidRPr="005C0ACB" w:rsidRDefault="006764A6" w:rsidP="007F0127">
      <w:pPr>
        <w:rPr>
          <w:rFonts w:ascii="Calibri" w:hAnsi="Calibri" w:cs="Calibri"/>
        </w:rPr>
      </w:pPr>
      <w:r>
        <w:rPr>
          <w:rFonts w:ascii="Calibri" w:hAnsi="Calibri" w:cs="Calibri"/>
        </w:rPr>
        <w:t>C</w:t>
      </w:r>
      <w:r w:rsidR="00E0082C">
        <w:rPr>
          <w:rFonts w:ascii="Calibri" w:hAnsi="Calibri" w:cs="Calibri"/>
        </w:rPr>
        <w:t xml:space="preserve">hanges to the </w:t>
      </w:r>
      <w:r w:rsidR="005C0ACB">
        <w:rPr>
          <w:rFonts w:ascii="Calibri" w:hAnsi="Calibri" w:cs="Calibri"/>
        </w:rPr>
        <w:t xml:space="preserve">existing fees for service </w:t>
      </w:r>
      <w:r w:rsidR="00E0082C">
        <w:rPr>
          <w:rFonts w:ascii="Calibri" w:hAnsi="Calibri" w:cs="Calibri"/>
        </w:rPr>
        <w:t>or</w:t>
      </w:r>
      <w:r w:rsidR="00FC510F">
        <w:rPr>
          <w:rFonts w:ascii="Calibri" w:hAnsi="Calibri" w:cs="Calibri"/>
        </w:rPr>
        <w:t xml:space="preserve"> the introduction of new fees, </w:t>
      </w:r>
      <w:r w:rsidR="00E0082C">
        <w:rPr>
          <w:rFonts w:ascii="Calibri" w:hAnsi="Calibri" w:cs="Calibri"/>
        </w:rPr>
        <w:t xml:space="preserve">will require </w:t>
      </w:r>
      <w:r w:rsidR="00444B0A">
        <w:rPr>
          <w:rFonts w:ascii="Calibri" w:hAnsi="Calibri" w:cs="Calibri"/>
        </w:rPr>
        <w:t>g</w:t>
      </w:r>
      <w:r w:rsidR="00E0082C">
        <w:rPr>
          <w:rFonts w:ascii="Calibri" w:hAnsi="Calibri" w:cs="Calibri"/>
        </w:rPr>
        <w:t>overnment approval to amend</w:t>
      </w:r>
      <w:r w:rsidR="005D5E7A">
        <w:rPr>
          <w:rFonts w:ascii="Calibri" w:hAnsi="Calibri" w:cs="Calibri"/>
        </w:rPr>
        <w:t xml:space="preserve"> </w:t>
      </w:r>
      <w:r>
        <w:rPr>
          <w:rFonts w:ascii="Calibri" w:hAnsi="Calibri" w:cs="Calibri"/>
        </w:rPr>
        <w:t>the Classification Regulations</w:t>
      </w:r>
      <w:r w:rsidR="005C0ACB">
        <w:rPr>
          <w:rFonts w:ascii="Calibri" w:hAnsi="Calibri" w:cs="Calibri"/>
        </w:rPr>
        <w:t xml:space="preserve"> and would involve </w:t>
      </w:r>
      <w:r w:rsidR="005C0ACB" w:rsidRPr="00EF0C93">
        <w:rPr>
          <w:rFonts w:ascii="Calibri" w:hAnsi="Calibri" w:cs="Calibri"/>
        </w:rPr>
        <w:t xml:space="preserve">consultation on </w:t>
      </w:r>
      <w:r w:rsidR="00E0082C">
        <w:rPr>
          <w:rFonts w:ascii="Calibri" w:hAnsi="Calibri" w:cs="Calibri"/>
        </w:rPr>
        <w:t xml:space="preserve">the </w:t>
      </w:r>
      <w:r w:rsidR="005C0ACB" w:rsidRPr="00EF0C93">
        <w:rPr>
          <w:rFonts w:ascii="Calibri" w:hAnsi="Calibri" w:cs="Calibri"/>
        </w:rPr>
        <w:t>proposed fee</w:t>
      </w:r>
      <w:r w:rsidR="00E0082C">
        <w:rPr>
          <w:rFonts w:ascii="Calibri" w:hAnsi="Calibri" w:cs="Calibri"/>
        </w:rPr>
        <w:t xml:space="preserve"> changes</w:t>
      </w:r>
      <w:r w:rsidR="005C0ACB">
        <w:rPr>
          <w:rFonts w:ascii="Calibri" w:hAnsi="Calibri" w:cs="Calibri"/>
        </w:rPr>
        <w:t>.</w:t>
      </w:r>
    </w:p>
    <w:p w14:paraId="15EFBA84" w14:textId="1D1E1E3B" w:rsidR="00E40076" w:rsidRDefault="00E40076" w:rsidP="00006F02">
      <w:pPr>
        <w:pStyle w:val="Heading1"/>
        <w:rPr>
          <w:u w:val="single"/>
        </w:rPr>
      </w:pPr>
      <w:bookmarkStart w:id="32" w:name="_Toc201043461"/>
      <w:r>
        <w:rPr>
          <w:u w:val="single"/>
        </w:rPr>
        <w:t>Your feedback</w:t>
      </w:r>
      <w:bookmarkEnd w:id="32"/>
    </w:p>
    <w:p w14:paraId="058AA1EA" w14:textId="666C67BF" w:rsidR="00554FF9" w:rsidRPr="004E2775" w:rsidRDefault="00554FF9" w:rsidP="004E2775">
      <w:pPr>
        <w:pStyle w:val="Heading2"/>
      </w:pPr>
      <w:bookmarkStart w:id="33" w:name="_Toc201043462"/>
      <w:r w:rsidRPr="004E2775">
        <w:t xml:space="preserve">Stakeholder </w:t>
      </w:r>
      <w:r w:rsidR="003971D1">
        <w:t>e</w:t>
      </w:r>
      <w:r w:rsidRPr="004E2775">
        <w:t xml:space="preserve">ngagement </w:t>
      </w:r>
      <w:r w:rsidR="003971D1">
        <w:t>o</w:t>
      </w:r>
      <w:r w:rsidRPr="004E2775">
        <w:t>bjectives</w:t>
      </w:r>
      <w:bookmarkEnd w:id="30"/>
      <w:bookmarkEnd w:id="33"/>
    </w:p>
    <w:p w14:paraId="32723845" w14:textId="77777777" w:rsidR="00554FF9" w:rsidRPr="00173A08" w:rsidRDefault="00554FF9" w:rsidP="00554FF9">
      <w:pPr>
        <w:pStyle w:val="Heading5"/>
        <w:rPr>
          <w:rFonts w:ascii="Calibri" w:eastAsiaTheme="minorHAnsi" w:hAnsi="Calibri" w:cs="Calibri"/>
          <w:b w:val="0"/>
          <w:color w:val="auto"/>
        </w:rPr>
      </w:pPr>
      <w:r w:rsidRPr="00173A08">
        <w:rPr>
          <w:rFonts w:ascii="Calibri" w:eastAsiaTheme="minorHAnsi" w:hAnsi="Calibri" w:cs="Calibri"/>
          <w:b w:val="0"/>
          <w:color w:val="auto"/>
        </w:rPr>
        <w:t>This engagement process aims to:</w:t>
      </w:r>
    </w:p>
    <w:p w14:paraId="62E573A0" w14:textId="73B077E5" w:rsidR="00554FF9" w:rsidRPr="00173A08" w:rsidRDefault="00554FF9" w:rsidP="00006F02">
      <w:pPr>
        <w:pStyle w:val="Bullet1"/>
        <w:rPr>
          <w:color w:val="auto"/>
        </w:rPr>
      </w:pPr>
      <w:r w:rsidRPr="00173A08">
        <w:rPr>
          <w:color w:val="auto"/>
        </w:rPr>
        <w:t>inform stakeholders about the development of a 2025 CRIS and the potential future need to review the department’s cost recovery model in support of this</w:t>
      </w:r>
    </w:p>
    <w:p w14:paraId="1791A2AF" w14:textId="77777777" w:rsidR="00554FF9" w:rsidRPr="00173A08" w:rsidRDefault="00554FF9" w:rsidP="00006F02">
      <w:pPr>
        <w:pStyle w:val="Bullet1"/>
        <w:rPr>
          <w:color w:val="auto"/>
        </w:rPr>
      </w:pPr>
      <w:r w:rsidRPr="00173A08">
        <w:rPr>
          <w:color w:val="auto"/>
        </w:rPr>
        <w:t>gather feedback on the likely impact of changes to fees</w:t>
      </w:r>
    </w:p>
    <w:p w14:paraId="491ADA15" w14:textId="77777777" w:rsidR="00554FF9" w:rsidRPr="00173A08" w:rsidRDefault="00554FF9" w:rsidP="00006F02">
      <w:pPr>
        <w:pStyle w:val="Bullet1"/>
        <w:rPr>
          <w:color w:val="auto"/>
        </w:rPr>
      </w:pPr>
      <w:r w:rsidRPr="00173A08">
        <w:rPr>
          <w:color w:val="auto"/>
        </w:rPr>
        <w:t>seek to identify any possible unintended consequences and/or implementation challenges</w:t>
      </w:r>
    </w:p>
    <w:p w14:paraId="262D2E8C" w14:textId="04D24A83" w:rsidR="00554FF9" w:rsidRPr="00173A08" w:rsidRDefault="00554FF9" w:rsidP="00006F02">
      <w:pPr>
        <w:pStyle w:val="Bullet1"/>
        <w:rPr>
          <w:color w:val="auto"/>
        </w:rPr>
      </w:pPr>
      <w:r w:rsidRPr="00173A08">
        <w:rPr>
          <w:color w:val="auto"/>
        </w:rPr>
        <w:t>ensure transparency in relation to the issues that may drive future fee changes</w:t>
      </w:r>
      <w:r w:rsidR="00F55C95" w:rsidRPr="00173A08">
        <w:rPr>
          <w:color w:val="auto"/>
          <w:lang w:val="en-US"/>
        </w:rPr>
        <w:t>.</w:t>
      </w:r>
    </w:p>
    <w:p w14:paraId="2E5F7F50" w14:textId="2A71AE4F" w:rsidR="00554FF9" w:rsidRPr="00173A08" w:rsidRDefault="00554FF9" w:rsidP="00554FF9">
      <w:pPr>
        <w:rPr>
          <w:rFonts w:ascii="Calibri" w:hAnsi="Calibri" w:cs="Calibri"/>
          <w:color w:val="auto"/>
        </w:rPr>
      </w:pPr>
      <w:r w:rsidRPr="00173A08">
        <w:rPr>
          <w:rFonts w:ascii="Calibri" w:hAnsi="Calibri" w:cs="Calibri"/>
          <w:color w:val="auto"/>
        </w:rPr>
        <w:t xml:space="preserve">All feedback received during the engagement period will be reviewed and considered in the development of the 2025 CRIS, which will include a summary of stakeholder </w:t>
      </w:r>
      <w:r w:rsidR="00C70ABB" w:rsidRPr="00173A08">
        <w:rPr>
          <w:rFonts w:ascii="Calibri" w:hAnsi="Calibri" w:cs="Calibri"/>
          <w:color w:val="auto"/>
        </w:rPr>
        <w:t>views</w:t>
      </w:r>
      <w:r w:rsidRPr="00173A08">
        <w:rPr>
          <w:rFonts w:ascii="Calibri" w:hAnsi="Calibri" w:cs="Calibri"/>
          <w:color w:val="auto"/>
        </w:rPr>
        <w:t>.</w:t>
      </w:r>
    </w:p>
    <w:p w14:paraId="20A3DA5C" w14:textId="4D54BE26" w:rsidR="00554FF9" w:rsidRDefault="00EB0454" w:rsidP="00006F02">
      <w:pPr>
        <w:pStyle w:val="Heading2"/>
      </w:pPr>
      <w:bookmarkStart w:id="34" w:name="_Toc200122173"/>
      <w:bookmarkStart w:id="35" w:name="_Toc201043463"/>
      <w:r>
        <w:lastRenderedPageBreak/>
        <w:t>Q</w:t>
      </w:r>
      <w:r w:rsidR="00554FF9" w:rsidRPr="00006F02">
        <w:t>uestions</w:t>
      </w:r>
      <w:r w:rsidR="00554FF9">
        <w:t xml:space="preserve"> for </w:t>
      </w:r>
      <w:r>
        <w:t>s</w:t>
      </w:r>
      <w:r w:rsidR="00554FF9">
        <w:t xml:space="preserve">takeholder </w:t>
      </w:r>
      <w:r>
        <w:t>f</w:t>
      </w:r>
      <w:r w:rsidR="00554FF9">
        <w:t>eedback</w:t>
      </w:r>
      <w:bookmarkEnd w:id="34"/>
      <w:bookmarkEnd w:id="35"/>
    </w:p>
    <w:p w14:paraId="45EAD6C3" w14:textId="6A694E40" w:rsidR="00C70ABB" w:rsidRPr="007F55C6" w:rsidRDefault="00554FF9" w:rsidP="007F55C6">
      <w:pPr>
        <w:rPr>
          <w:rFonts w:ascii="Calibri" w:hAnsi="Calibri" w:cs="Calibri"/>
        </w:rPr>
      </w:pPr>
      <w:r w:rsidRPr="0086007D">
        <w:rPr>
          <w:rFonts w:ascii="Calibri" w:hAnsi="Calibri" w:cs="Calibri"/>
        </w:rPr>
        <w:t>We invite feedback on the following questions:</w:t>
      </w:r>
    </w:p>
    <w:p w14:paraId="3E92D362" w14:textId="55A2731B" w:rsidR="00C70ABB" w:rsidRPr="007F55C6" w:rsidRDefault="0086007D" w:rsidP="00554FF9">
      <w:pPr>
        <w:suppressAutoHyphens w:val="0"/>
        <w:spacing w:before="0" w:after="160" w:line="276" w:lineRule="auto"/>
        <w:rPr>
          <w:rFonts w:ascii="Calibri" w:hAnsi="Calibri" w:cs="Calibri"/>
        </w:rPr>
      </w:pPr>
      <w:r w:rsidRPr="007F55C6">
        <w:rPr>
          <w:rFonts w:ascii="Calibri" w:hAnsi="Calibri" w:cs="Calibri"/>
        </w:rPr>
        <w:t xml:space="preserve">1. </w:t>
      </w:r>
      <w:r w:rsidR="00C70ABB" w:rsidRPr="007F55C6">
        <w:rPr>
          <w:rFonts w:ascii="Calibri" w:hAnsi="Calibri" w:cs="Calibri"/>
        </w:rPr>
        <w:t>Do you have any views on the current fee structure?</w:t>
      </w:r>
      <w:r w:rsidR="006413C7" w:rsidRPr="007F55C6">
        <w:rPr>
          <w:rFonts w:ascii="Calibri" w:hAnsi="Calibri" w:cs="Calibri"/>
        </w:rPr>
        <w:t xml:space="preserve"> For example,</w:t>
      </w:r>
      <w:r w:rsidR="006413C7" w:rsidRPr="007F55C6">
        <w:t xml:space="preserve"> </w:t>
      </w:r>
      <w:r w:rsidRPr="007F55C6">
        <w:rPr>
          <w:rFonts w:ascii="Calibri" w:hAnsi="Calibri" w:cs="Calibri"/>
        </w:rPr>
        <w:t>s</w:t>
      </w:r>
      <w:r w:rsidR="006413C7" w:rsidRPr="007F55C6">
        <w:rPr>
          <w:rFonts w:ascii="Calibri" w:hAnsi="Calibri" w:cs="Calibri"/>
        </w:rPr>
        <w:t>hould different fee</w:t>
      </w:r>
      <w:r w:rsidR="004F68BF" w:rsidRPr="007F55C6">
        <w:rPr>
          <w:rFonts w:ascii="Calibri" w:hAnsi="Calibri" w:cs="Calibri"/>
        </w:rPr>
        <w:t>s</w:t>
      </w:r>
      <w:r w:rsidR="006413C7" w:rsidRPr="007F55C6">
        <w:rPr>
          <w:rFonts w:ascii="Calibri" w:hAnsi="Calibri" w:cs="Calibri"/>
        </w:rPr>
        <w:t xml:space="preserve"> apply to different types or sizes of industry participants or different products that are being classified</w:t>
      </w:r>
      <w:r w:rsidR="00C70ABB" w:rsidRPr="007F55C6">
        <w:rPr>
          <w:rFonts w:ascii="Calibri" w:hAnsi="Calibri" w:cs="Calibri"/>
        </w:rPr>
        <w:t>?</w:t>
      </w:r>
    </w:p>
    <w:p w14:paraId="24D84CEA" w14:textId="1A555F71" w:rsidR="006E3A8F" w:rsidRPr="007F55C6" w:rsidRDefault="00636D42" w:rsidP="00554FF9">
      <w:pPr>
        <w:suppressAutoHyphens w:val="0"/>
        <w:spacing w:before="0" w:after="160" w:line="276" w:lineRule="auto"/>
        <w:rPr>
          <w:rFonts w:ascii="Calibri" w:hAnsi="Calibri" w:cs="Calibri"/>
        </w:rPr>
      </w:pPr>
      <w:r>
        <w:rPr>
          <w:rFonts w:ascii="Calibri" w:hAnsi="Calibri" w:cs="Calibri"/>
        </w:rPr>
        <w:t>2</w:t>
      </w:r>
      <w:r w:rsidR="0086007D" w:rsidRPr="007F55C6">
        <w:rPr>
          <w:rFonts w:ascii="Calibri" w:hAnsi="Calibri" w:cs="Calibri"/>
        </w:rPr>
        <w:t xml:space="preserve">. </w:t>
      </w:r>
      <w:r w:rsidR="00554FF9" w:rsidRPr="007F55C6">
        <w:rPr>
          <w:rFonts w:ascii="Calibri" w:hAnsi="Calibri" w:cs="Calibri"/>
        </w:rPr>
        <w:t xml:space="preserve">In what way might </w:t>
      </w:r>
      <w:r w:rsidR="00816BA0">
        <w:rPr>
          <w:rFonts w:ascii="Calibri" w:hAnsi="Calibri" w:cs="Calibri"/>
        </w:rPr>
        <w:t xml:space="preserve">potential </w:t>
      </w:r>
      <w:r w:rsidR="00554FF9" w:rsidRPr="007F55C6">
        <w:rPr>
          <w:rFonts w:ascii="Calibri" w:hAnsi="Calibri" w:cs="Calibri"/>
        </w:rPr>
        <w:t xml:space="preserve">revised </w:t>
      </w:r>
      <w:r w:rsidR="0086007D" w:rsidRPr="007F55C6">
        <w:rPr>
          <w:rFonts w:ascii="Calibri" w:hAnsi="Calibri" w:cs="Calibri"/>
        </w:rPr>
        <w:t>or new</w:t>
      </w:r>
      <w:r w:rsidR="00816BA0">
        <w:rPr>
          <w:rFonts w:ascii="Calibri" w:hAnsi="Calibri" w:cs="Calibri"/>
        </w:rPr>
        <w:t>ly introduced</w:t>
      </w:r>
      <w:r w:rsidR="0086007D" w:rsidRPr="007F55C6">
        <w:rPr>
          <w:rFonts w:ascii="Calibri" w:hAnsi="Calibri" w:cs="Calibri"/>
        </w:rPr>
        <w:t xml:space="preserve"> </w:t>
      </w:r>
      <w:r w:rsidR="00554FF9" w:rsidRPr="007F55C6">
        <w:rPr>
          <w:rFonts w:ascii="Calibri" w:hAnsi="Calibri" w:cs="Calibri"/>
        </w:rPr>
        <w:t>fees impact on your busines</w:t>
      </w:r>
      <w:r w:rsidR="00A225AE" w:rsidRPr="007F55C6">
        <w:rPr>
          <w:rFonts w:ascii="Calibri" w:hAnsi="Calibri" w:cs="Calibri"/>
        </w:rPr>
        <w:t xml:space="preserve">s or </w:t>
      </w:r>
      <w:r w:rsidR="006E3A8F" w:rsidRPr="007F55C6">
        <w:rPr>
          <w:rFonts w:ascii="Calibri" w:hAnsi="Calibri" w:cs="Calibri"/>
        </w:rPr>
        <w:t>choice of classification method?</w:t>
      </w:r>
    </w:p>
    <w:p w14:paraId="43FCE481" w14:textId="7C880F8F" w:rsidR="00C70ABB" w:rsidRPr="007F55C6" w:rsidRDefault="00636D42" w:rsidP="0086007D">
      <w:pPr>
        <w:suppressAutoHyphens w:val="0"/>
        <w:spacing w:before="0" w:after="160" w:line="276" w:lineRule="auto"/>
        <w:rPr>
          <w:rFonts w:ascii="Calibri" w:hAnsi="Calibri" w:cs="Calibri"/>
        </w:rPr>
      </w:pPr>
      <w:r>
        <w:rPr>
          <w:rFonts w:ascii="Calibri" w:hAnsi="Calibri" w:cs="Calibri"/>
        </w:rPr>
        <w:t>3</w:t>
      </w:r>
      <w:r w:rsidR="0086007D" w:rsidRPr="007F55C6">
        <w:rPr>
          <w:rFonts w:ascii="Calibri" w:hAnsi="Calibri" w:cs="Calibri"/>
        </w:rPr>
        <w:t xml:space="preserve">. </w:t>
      </w:r>
      <w:r w:rsidR="00C70ABB" w:rsidRPr="007F55C6">
        <w:rPr>
          <w:rFonts w:ascii="Calibri" w:hAnsi="Calibri" w:cs="Calibri"/>
        </w:rPr>
        <w:t xml:space="preserve">While understanding broader </w:t>
      </w:r>
      <w:r w:rsidR="00444B0A">
        <w:rPr>
          <w:rFonts w:ascii="Calibri" w:hAnsi="Calibri" w:cs="Calibri"/>
        </w:rPr>
        <w:t>g</w:t>
      </w:r>
      <w:r w:rsidR="00C70ABB" w:rsidRPr="007F55C6">
        <w:rPr>
          <w:rFonts w:ascii="Calibri" w:hAnsi="Calibri" w:cs="Calibri"/>
        </w:rPr>
        <w:t>overnment policy concerning cost recovery, what factors should be taken into consideration for future cost recovery arrangements for classification services?</w:t>
      </w:r>
    </w:p>
    <w:p w14:paraId="1CA566F8" w14:textId="3CCBC77C" w:rsidR="0019792C" w:rsidRPr="007F55C6" w:rsidRDefault="00636D42" w:rsidP="0086007D">
      <w:pPr>
        <w:suppressAutoHyphens w:val="0"/>
        <w:spacing w:before="0" w:after="160" w:line="276" w:lineRule="auto"/>
        <w:rPr>
          <w:rFonts w:ascii="Calibri" w:hAnsi="Calibri" w:cs="Calibri"/>
        </w:rPr>
      </w:pPr>
      <w:r>
        <w:rPr>
          <w:rFonts w:ascii="Calibri" w:hAnsi="Calibri" w:cs="Calibri"/>
        </w:rPr>
        <w:t>4</w:t>
      </w:r>
      <w:r w:rsidR="0019792C" w:rsidRPr="007F55C6">
        <w:rPr>
          <w:rFonts w:ascii="Calibri" w:hAnsi="Calibri" w:cs="Calibri"/>
        </w:rPr>
        <w:t>. What transitional arrangements would support industry adaption to a revised cost recovery model?</w:t>
      </w:r>
    </w:p>
    <w:p w14:paraId="259CBA0B" w14:textId="20C1B698" w:rsidR="00C70ABB" w:rsidRPr="007F55C6" w:rsidRDefault="00636D42" w:rsidP="00554FF9">
      <w:pPr>
        <w:suppressAutoHyphens w:val="0"/>
        <w:spacing w:before="0" w:after="160" w:line="276" w:lineRule="auto"/>
        <w:rPr>
          <w:rFonts w:ascii="Calibri" w:hAnsi="Calibri" w:cs="Calibri"/>
        </w:rPr>
      </w:pPr>
      <w:r>
        <w:rPr>
          <w:rFonts w:ascii="Calibri" w:hAnsi="Calibri" w:cs="Calibri"/>
        </w:rPr>
        <w:t>5</w:t>
      </w:r>
      <w:r w:rsidR="0086007D" w:rsidRPr="007F55C6">
        <w:rPr>
          <w:rFonts w:ascii="Calibri" w:hAnsi="Calibri" w:cs="Calibri"/>
        </w:rPr>
        <w:t xml:space="preserve">. </w:t>
      </w:r>
      <w:r w:rsidR="00C70ABB" w:rsidRPr="007F55C6">
        <w:rPr>
          <w:rFonts w:ascii="Calibri" w:hAnsi="Calibri" w:cs="Calibri"/>
        </w:rPr>
        <w:t>Is there any further feedback that you would like to submit</w:t>
      </w:r>
      <w:r w:rsidR="00975216" w:rsidRPr="007F55C6">
        <w:rPr>
          <w:rFonts w:ascii="Calibri" w:hAnsi="Calibri" w:cs="Calibri"/>
        </w:rPr>
        <w:t xml:space="preserve"> in relation to classification fees or cost recovery arrangements</w:t>
      </w:r>
      <w:r w:rsidR="00C70ABB" w:rsidRPr="007F55C6">
        <w:rPr>
          <w:rFonts w:ascii="Calibri" w:hAnsi="Calibri" w:cs="Calibri"/>
        </w:rPr>
        <w:t xml:space="preserve"> as part of this Engagement process?</w:t>
      </w:r>
    </w:p>
    <w:p w14:paraId="7EF9EF9E" w14:textId="3774F8C3" w:rsidR="00554FF9" w:rsidRDefault="00554FF9" w:rsidP="00006F02">
      <w:pPr>
        <w:pStyle w:val="Heading2"/>
      </w:pPr>
      <w:bookmarkStart w:id="36" w:name="_Toc200122174"/>
      <w:bookmarkStart w:id="37" w:name="_Toc201043464"/>
      <w:r>
        <w:t xml:space="preserve">How </w:t>
      </w:r>
      <w:r w:rsidR="001931D9">
        <w:t>t</w:t>
      </w:r>
      <w:r>
        <w:t xml:space="preserve">o provide </w:t>
      </w:r>
      <w:r w:rsidR="001931D9">
        <w:t>f</w:t>
      </w:r>
      <w:r>
        <w:t>eedback</w:t>
      </w:r>
      <w:bookmarkEnd w:id="36"/>
      <w:bookmarkEnd w:id="37"/>
    </w:p>
    <w:p w14:paraId="18363B06" w14:textId="44675101" w:rsidR="00006F02" w:rsidRDefault="00006F02" w:rsidP="00006F02">
      <w:pPr>
        <w:pStyle w:val="CommentText"/>
        <w:rPr>
          <w:rFonts w:ascii="Calibri" w:hAnsi="Calibri" w:cs="Calibri"/>
          <w:sz w:val="22"/>
          <w:szCs w:val="22"/>
        </w:rPr>
      </w:pPr>
      <w:r w:rsidRPr="00006F02">
        <w:rPr>
          <w:rFonts w:ascii="Calibri" w:hAnsi="Calibri" w:cs="Calibri"/>
          <w:sz w:val="22"/>
          <w:szCs w:val="22"/>
        </w:rPr>
        <w:t xml:space="preserve">The department is welcoming written comments and submission on the matters outlined in this paper. Comments and submissions should be received by </w:t>
      </w:r>
      <w:r w:rsidR="00E710FA" w:rsidRPr="00BE46EC">
        <w:rPr>
          <w:rFonts w:ascii="Calibri" w:hAnsi="Calibri" w:cs="Calibri"/>
          <w:color w:val="auto"/>
          <w:sz w:val="22"/>
          <w:szCs w:val="22"/>
        </w:rPr>
        <w:t>11</w:t>
      </w:r>
      <w:r w:rsidRPr="00BE46EC">
        <w:rPr>
          <w:rFonts w:ascii="Calibri" w:hAnsi="Calibri" w:cs="Calibri"/>
          <w:color w:val="auto"/>
          <w:sz w:val="22"/>
          <w:szCs w:val="22"/>
        </w:rPr>
        <w:t>:</w:t>
      </w:r>
      <w:r w:rsidR="00E710FA" w:rsidRPr="00BE46EC">
        <w:rPr>
          <w:rFonts w:ascii="Calibri" w:hAnsi="Calibri" w:cs="Calibri"/>
          <w:color w:val="auto"/>
          <w:sz w:val="22"/>
          <w:szCs w:val="22"/>
        </w:rPr>
        <w:t>59</w:t>
      </w:r>
      <w:r w:rsidRPr="00BE46EC">
        <w:rPr>
          <w:rFonts w:ascii="Calibri" w:hAnsi="Calibri" w:cs="Calibri"/>
          <w:color w:val="auto"/>
          <w:sz w:val="22"/>
          <w:szCs w:val="22"/>
        </w:rPr>
        <w:t xml:space="preserve">pm AEST on </w:t>
      </w:r>
      <w:r w:rsidR="00CE3202" w:rsidRPr="00BE46EC">
        <w:rPr>
          <w:rFonts w:ascii="Calibri" w:hAnsi="Calibri" w:cs="Calibri"/>
          <w:color w:val="auto"/>
          <w:sz w:val="22"/>
          <w:szCs w:val="22"/>
        </w:rPr>
        <w:t>Monday</w:t>
      </w:r>
      <w:r w:rsidRPr="00BE46EC">
        <w:rPr>
          <w:rFonts w:ascii="Calibri" w:hAnsi="Calibri" w:cs="Calibri"/>
          <w:color w:val="auto"/>
          <w:sz w:val="22"/>
          <w:szCs w:val="22"/>
        </w:rPr>
        <w:t xml:space="preserve">, </w:t>
      </w:r>
      <w:r w:rsidR="00CE3202" w:rsidRPr="00BE46EC">
        <w:rPr>
          <w:rFonts w:ascii="Calibri" w:hAnsi="Calibri" w:cs="Calibri"/>
          <w:color w:val="auto"/>
          <w:sz w:val="22"/>
          <w:szCs w:val="22"/>
        </w:rPr>
        <w:t>21 July</w:t>
      </w:r>
      <w:r w:rsidRPr="00BE46EC">
        <w:rPr>
          <w:rFonts w:ascii="Calibri" w:hAnsi="Calibri" w:cs="Calibri"/>
          <w:color w:val="auto"/>
          <w:sz w:val="22"/>
          <w:szCs w:val="22"/>
        </w:rPr>
        <w:t xml:space="preserve"> </w:t>
      </w:r>
      <w:r w:rsidRPr="00006F02">
        <w:rPr>
          <w:rFonts w:ascii="Calibri" w:hAnsi="Calibri" w:cs="Calibri"/>
          <w:sz w:val="22"/>
          <w:szCs w:val="22"/>
        </w:rPr>
        <w:t xml:space="preserve">2025. </w:t>
      </w:r>
    </w:p>
    <w:p w14:paraId="7EAF7AE3" w14:textId="246F34DA" w:rsidR="00006F02" w:rsidRPr="00006F02" w:rsidRDefault="00006F02" w:rsidP="00006F02">
      <w:pPr>
        <w:pStyle w:val="CommentText"/>
        <w:rPr>
          <w:rFonts w:ascii="Calibri" w:hAnsi="Calibri" w:cs="Calibri"/>
          <w:sz w:val="22"/>
          <w:szCs w:val="22"/>
        </w:rPr>
      </w:pPr>
      <w:r w:rsidRPr="00006F02">
        <w:rPr>
          <w:rFonts w:ascii="Calibri" w:hAnsi="Calibri" w:cs="Calibri"/>
          <w:sz w:val="22"/>
          <w:szCs w:val="22"/>
        </w:rPr>
        <w:t xml:space="preserve">Online submissions can be made to: </w:t>
      </w:r>
      <w:hyperlink r:id="rId32" w:history="1">
        <w:r w:rsidR="00E710FA" w:rsidRPr="00674500">
          <w:rPr>
            <w:rStyle w:val="Hyperlink"/>
            <w:rFonts w:ascii="Calibri" w:hAnsi="Calibri" w:cs="Calibri"/>
            <w:sz w:val="22"/>
            <w:szCs w:val="22"/>
          </w:rPr>
          <w:t>www.infrastructure.gov.au/have-your-say/classification-cost-recovery</w:t>
        </w:r>
      </w:hyperlink>
      <w:r w:rsidR="003E5A87" w:rsidRPr="00674500">
        <w:rPr>
          <w:rFonts w:ascii="Calibri" w:hAnsi="Calibri" w:cs="Calibri"/>
          <w:sz w:val="22"/>
          <w:szCs w:val="22"/>
        </w:rPr>
        <w:t xml:space="preserve"> or by emailing </w:t>
      </w:r>
      <w:hyperlink r:id="rId33" w:tooltip="Send an email to OperationalPolicy@communications.gov.au" w:history="1">
        <w:r w:rsidR="003E5A87" w:rsidRPr="00674500">
          <w:rPr>
            <w:rStyle w:val="Hyperlink"/>
            <w:rFonts w:ascii="Calibri" w:hAnsi="Calibri" w:cs="Calibri"/>
            <w:sz w:val="22"/>
            <w:szCs w:val="22"/>
          </w:rPr>
          <w:t>OperationalPolicy@communic</w:t>
        </w:r>
        <w:r w:rsidR="003E5A87" w:rsidRPr="00674500">
          <w:rPr>
            <w:rStyle w:val="Hyperlink"/>
            <w:rFonts w:ascii="Calibri" w:hAnsi="Calibri" w:cs="Calibri"/>
            <w:sz w:val="22"/>
            <w:szCs w:val="22"/>
          </w:rPr>
          <w:t>a</w:t>
        </w:r>
        <w:r w:rsidR="003E5A87" w:rsidRPr="00674500">
          <w:rPr>
            <w:rStyle w:val="Hyperlink"/>
            <w:rFonts w:ascii="Calibri" w:hAnsi="Calibri" w:cs="Calibri"/>
            <w:sz w:val="22"/>
            <w:szCs w:val="22"/>
          </w:rPr>
          <w:t>tions.gov.au</w:t>
        </w:r>
      </w:hyperlink>
      <w:r w:rsidR="003E5A87" w:rsidRPr="00674500">
        <w:rPr>
          <w:rStyle w:val="Hyperlink"/>
          <w:rFonts w:ascii="Calibri" w:hAnsi="Calibri" w:cs="Calibri"/>
          <w:sz w:val="22"/>
          <w:szCs w:val="22"/>
        </w:rPr>
        <w:t>.</w:t>
      </w:r>
    </w:p>
    <w:p w14:paraId="7D4D56AA" w14:textId="3D7958E5" w:rsidR="00006F02" w:rsidRPr="00006F02" w:rsidRDefault="00006F02" w:rsidP="00006F02">
      <w:pPr>
        <w:pStyle w:val="CommentText"/>
        <w:rPr>
          <w:rFonts w:ascii="Calibri" w:hAnsi="Calibri" w:cs="Calibri"/>
          <w:sz w:val="22"/>
          <w:szCs w:val="22"/>
        </w:rPr>
      </w:pPr>
      <w:r w:rsidRPr="00006F02">
        <w:rPr>
          <w:rFonts w:ascii="Calibri" w:hAnsi="Calibri" w:cs="Calibri"/>
          <w:sz w:val="22"/>
          <w:szCs w:val="22"/>
        </w:rPr>
        <w:t>Submissions by mail can be sent to: Director – Operational Policy, Online Safety, Media and Platforms Division Department of Infrastructure, Transport, Regional Development, Communications</w:t>
      </w:r>
      <w:r w:rsidR="004E2775">
        <w:rPr>
          <w:rFonts w:ascii="Calibri" w:hAnsi="Calibri" w:cs="Calibri"/>
          <w:sz w:val="22"/>
          <w:szCs w:val="22"/>
        </w:rPr>
        <w:t xml:space="preserve">, Sport and </w:t>
      </w:r>
      <w:r w:rsidRPr="00006F02">
        <w:rPr>
          <w:rFonts w:ascii="Calibri" w:hAnsi="Calibri" w:cs="Calibri"/>
          <w:sz w:val="22"/>
          <w:szCs w:val="22"/>
        </w:rPr>
        <w:t>the Arts</w:t>
      </w:r>
      <w:r w:rsidR="00CA3113">
        <w:rPr>
          <w:rFonts w:ascii="Calibri" w:hAnsi="Calibri" w:cs="Calibri"/>
          <w:sz w:val="22"/>
          <w:szCs w:val="22"/>
        </w:rPr>
        <w:t>,</w:t>
      </w:r>
      <w:r w:rsidRPr="00006F02">
        <w:rPr>
          <w:rFonts w:ascii="Calibri" w:hAnsi="Calibri" w:cs="Calibri"/>
          <w:sz w:val="22"/>
          <w:szCs w:val="22"/>
        </w:rPr>
        <w:t xml:space="preserve"> GPO Box 594 CANBERRA ACT 2601</w:t>
      </w:r>
      <w:r w:rsidR="00674500">
        <w:rPr>
          <w:rFonts w:ascii="Calibri" w:hAnsi="Calibri" w:cs="Calibri"/>
          <w:sz w:val="22"/>
          <w:szCs w:val="22"/>
        </w:rPr>
        <w:t>.</w:t>
      </w:r>
      <w:r w:rsidRPr="00006F02">
        <w:rPr>
          <w:rFonts w:ascii="Calibri" w:hAnsi="Calibri" w:cs="Calibri"/>
          <w:sz w:val="22"/>
          <w:szCs w:val="22"/>
        </w:rPr>
        <w:t xml:space="preserve"> </w:t>
      </w:r>
    </w:p>
    <w:p w14:paraId="768AEDF2" w14:textId="594B6762" w:rsidR="00DE4FE2" w:rsidRDefault="00006F02" w:rsidP="00E30321">
      <w:pPr>
        <w:pStyle w:val="CommentText"/>
      </w:pPr>
      <w:r w:rsidRPr="00006F02">
        <w:rPr>
          <w:rFonts w:ascii="Calibri" w:hAnsi="Calibri" w:cs="Calibri"/>
          <w:sz w:val="22"/>
          <w:szCs w:val="22"/>
        </w:rPr>
        <w:t xml:space="preserve">Questions about the submission process can be directed to: </w:t>
      </w:r>
      <w:hyperlink r:id="rId34" w:tooltip="Send an email to OperationalPolicy@communications.gov.au" w:history="1">
        <w:r w:rsidR="00212F34" w:rsidRPr="00B22750">
          <w:rPr>
            <w:rStyle w:val="Hyperlink"/>
            <w:rFonts w:ascii="Calibri" w:hAnsi="Calibri" w:cs="Calibri"/>
            <w:sz w:val="22"/>
            <w:szCs w:val="22"/>
          </w:rPr>
          <w:t>OperationalPolicy@communications.gov.au</w:t>
        </w:r>
      </w:hyperlink>
      <w:r w:rsidRPr="00006F02">
        <w:rPr>
          <w:rFonts w:ascii="Calibri" w:hAnsi="Calibri" w:cs="Calibri"/>
          <w:sz w:val="22"/>
          <w:szCs w:val="22"/>
        </w:rPr>
        <w:t>.</w:t>
      </w:r>
    </w:p>
    <w:sectPr w:rsidR="00DE4FE2" w:rsidSect="000075AC">
      <w:headerReference w:type="default" r:id="rId35"/>
      <w:headerReference w:type="first" r:id="rId36"/>
      <w:type w:val="continuous"/>
      <w:pgSz w:w="11906" w:h="16838" w:code="9"/>
      <w:pgMar w:top="1021" w:right="1021" w:bottom="1021" w:left="1021" w:header="340"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BC002E" w16cex:dateUtc="2025-06-16T08:00:00Z"/>
  <w16cex:commentExtensible w16cex:durableId="147C00FA" w16cex:dateUtc="2025-06-16T08: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DD783" w14:textId="77777777" w:rsidR="00CE3202" w:rsidRDefault="00CE3202" w:rsidP="008456D5">
      <w:pPr>
        <w:spacing w:before="0" w:after="0"/>
      </w:pPr>
      <w:r>
        <w:separator/>
      </w:r>
    </w:p>
  </w:endnote>
  <w:endnote w:type="continuationSeparator" w:id="0">
    <w:p w14:paraId="0D288328" w14:textId="77777777" w:rsidR="00CE3202" w:rsidRDefault="00CE3202" w:rsidP="008456D5">
      <w:pPr>
        <w:spacing w:before="0" w:after="0"/>
      </w:pPr>
      <w:r>
        <w:continuationSeparator/>
      </w:r>
    </w:p>
  </w:endnote>
  <w:endnote w:type="continuationNotice" w:id="1">
    <w:p w14:paraId="33E60B16" w14:textId="77777777" w:rsidR="00CE3202" w:rsidRDefault="00CE32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63093" w14:textId="77777777" w:rsidR="00CE3202" w:rsidRDefault="00CE3202" w:rsidP="00BA24FB">
    <w:pPr>
      <w:pStyle w:val="Footer"/>
      <w:spacing w:before="360"/>
    </w:pPr>
  </w:p>
  <w:p w14:paraId="5EA22149" w14:textId="77777777" w:rsidR="00CE3202" w:rsidRDefault="00CE3202" w:rsidP="00827492">
    <w:pPr>
      <w:pStyle w:val="SecurityMarker"/>
    </w:pPr>
    <w:sdt>
      <w:sdtPr>
        <w:alias w:val="Status"/>
        <w:tag w:val=""/>
        <w:id w:val="-1420637097"/>
        <w:placeholder>
          <w:docPart w:val="37E99E3858DE49A68D1A0FA746E55369"/>
        </w:placeholder>
        <w:dataBinding w:prefixMappings="xmlns:ns0='http://purl.org/dc/elements/1.1/' xmlns:ns1='http://schemas.openxmlformats.org/package/2006/metadata/core-properties' " w:xpath="/ns1:coreProperties[1]/ns1:contentStatus[1]" w:storeItemID="{6C3C8BC8-F283-45AE-878A-BAB7291924A1}"/>
        <w:text/>
      </w:sdtPr>
      <w:sdtContent>
        <w:r>
          <w:t>OFFICIAL / OFFICIAL: SENSITIVE / PROTECTEDSELECT THE CLASSIFICATION MARKER ABOVE THAT APPLIES TO YOUR DOCUMENT, THEN DELETE THE OTHERS AND THIS TEXT&gt;</w:t>
        </w:r>
      </w:sdtContent>
    </w:sdt>
    <w:r>
      <w:rPr>
        <w:noProof/>
        <w:lang w:eastAsia="en-AU"/>
      </w:rPr>
      <mc:AlternateContent>
        <mc:Choice Requires="wps">
          <w:drawing>
            <wp:inline distT="0" distB="0" distL="0" distR="0" wp14:anchorId="0DB6D439" wp14:editId="39F8366B">
              <wp:extent cx="1007640" cy="720000"/>
              <wp:effectExtent l="0" t="0" r="0" b="0"/>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60792E80" w14:textId="77777777" w:rsidR="00CE3202" w:rsidRDefault="00CE3202"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23F9D305" w14:textId="77777777" w:rsidR="00CE3202" w:rsidRPr="00077FE0" w:rsidRDefault="00CE3202" w:rsidP="00827492">
                          <w:pPr>
                            <w:pStyle w:val="SecurityMarke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inline>
          </w:drawing>
        </mc:Choice>
        <mc:Fallback>
          <w:pict>
            <v:shapetype w14:anchorId="0DB6D439" id="_x0000_t202" coordsize="21600,21600" o:spt="202" path="m,l,21600r21600,l21600,xe">
              <v:stroke joinstyle="miter"/>
              <v:path gradientshapeok="t" o:connecttype="rect"/>
            </v:shapetype>
            <v:shape id="Text Box 10" o:spid="_x0000_s1026" type="#_x0000_t202" style="width:79.35pt;height:56.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" filled="f" stroked="f" strokeweight=".5pt">
              <v:textbox inset="0,0,18mm,7mm">
                <w:txbxContent>
                  <w:p w14:paraId="60792E80" w14:textId="77777777" w:rsidR="00CE3202" w:rsidRDefault="00CE3202"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23F9D305" w14:textId="77777777" w:rsidR="00CE3202" w:rsidRPr="00077FE0" w:rsidRDefault="00CE3202" w:rsidP="00827492">
                    <w:pPr>
                      <w:pStyle w:val="SecurityMarker"/>
                    </w:pP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F473" w14:textId="77777777" w:rsidR="00CE3202" w:rsidRDefault="00CE3202" w:rsidP="00C3007A">
    <w:pPr>
      <w:framePr w:w="11907" w:h="284" w:hSpace="181" w:wrap="around" w:vAnchor="page" w:hAnchor="page" w:yAlign="bottom"/>
      <w:spacing w:before="0" w:after="0"/>
    </w:pPr>
    <w:r>
      <w:rPr>
        <w:noProof/>
        <w:lang w:eastAsia="en-AU"/>
      </w:rPr>
      <w:drawing>
        <wp:inline distT="0" distB="0" distL="0" distR="0" wp14:anchorId="024C8B0E" wp14:editId="4D7F45F1">
          <wp:extent cx="7562850" cy="179922"/>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1A22AAB5" w14:textId="77777777" w:rsidR="00CE3202" w:rsidRPr="00654E6E" w:rsidRDefault="00CE3202" w:rsidP="005A6DAA">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874962478"/>
        <w:dataBinding w:prefixMappings="xmlns:ns0='http://purl.org/dc/elements/1.1/' xmlns:ns1='http://schemas.openxmlformats.org/package/2006/metadata/core-properties' " w:xpath="/ns1:coreProperties[1]/ns0:title[1]" w:storeItemID="{6C3C8BC8-F283-45AE-878A-BAB7291924A1}"/>
        <w:text/>
      </w:sdtPr>
      <w:sdtContent>
        <w:r>
          <w:rPr>
            <w:color w:val="auto"/>
            <w:sz w:val="18"/>
            <w:szCs w:val="18"/>
            <w:lang w:val="en-US"/>
          </w:rPr>
          <w:t>Stakeholder Engagement Paper - Cost Recovery Implementation Statement for Classification Services</w:t>
        </w:r>
      </w:sdtContent>
    </w:sdt>
    <w:r w:rsidRPr="00654E6E">
      <w:rPr>
        <w:color w:val="auto"/>
        <w:sz w:val="18"/>
        <w:szCs w:val="18"/>
        <w:lang w:val="en-US"/>
      </w:rPr>
      <w:tab/>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2</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12</w:t>
    </w:r>
    <w:r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FCB03" w14:textId="77777777" w:rsidR="00CE3202" w:rsidRPr="005912BE" w:rsidRDefault="00CE3202" w:rsidP="005912BE">
      <w:pPr>
        <w:spacing w:before="300"/>
        <w:rPr>
          <w:color w:val="008089" w:themeColor="accent2"/>
        </w:rPr>
      </w:pPr>
      <w:r w:rsidRPr="004063DE">
        <w:rPr>
          <w:color w:val="004044" w:themeColor="accent2" w:themeShade="80"/>
        </w:rPr>
        <w:t>----------</w:t>
      </w:r>
    </w:p>
  </w:footnote>
  <w:footnote w:type="continuationSeparator" w:id="0">
    <w:p w14:paraId="041939C9" w14:textId="77777777" w:rsidR="00CE3202" w:rsidRDefault="00CE3202" w:rsidP="008456D5">
      <w:pPr>
        <w:spacing w:before="0" w:after="0"/>
      </w:pPr>
      <w:r>
        <w:continuationSeparator/>
      </w:r>
    </w:p>
  </w:footnote>
  <w:footnote w:type="continuationNotice" w:id="1">
    <w:p w14:paraId="354F2732" w14:textId="77777777" w:rsidR="00CE3202" w:rsidRDefault="00CE3202">
      <w:pPr>
        <w:spacing w:before="0" w:after="0"/>
      </w:pPr>
    </w:p>
  </w:footnote>
  <w:footnote w:id="2">
    <w:p w14:paraId="30A6F738" w14:textId="3CCA12C9" w:rsidR="00CE3202" w:rsidRDefault="00CE3202">
      <w:pPr>
        <w:pStyle w:val="FootnoteText"/>
      </w:pPr>
      <w:r>
        <w:rPr>
          <w:rStyle w:val="FootnoteReference"/>
        </w:rPr>
        <w:footnoteRef/>
      </w:r>
      <w:r>
        <w:t xml:space="preserve"> </w:t>
      </w:r>
      <w:hyperlink r:id="rId1" w:history="1">
        <w:r w:rsidRPr="004E1F8E">
          <w:rPr>
            <w:color w:val="0000FF"/>
            <w:szCs w:val="18"/>
            <w:u w:val="single"/>
          </w:rPr>
          <w:t>Glossary of terms for the Charging Framework | Department of Finance</w:t>
        </w:r>
      </w:hyperlink>
    </w:p>
  </w:footnote>
  <w:footnote w:id="3">
    <w:p w14:paraId="2528F01E" w14:textId="2F3F9059" w:rsidR="00CE3202" w:rsidRPr="004317C8" w:rsidRDefault="00CE3202" w:rsidP="004E1F8E">
      <w:pPr>
        <w:pStyle w:val="FootnoteText"/>
        <w:ind w:left="0" w:firstLine="0"/>
        <w:rPr>
          <w:lang w:val="en-US"/>
        </w:rPr>
      </w:pPr>
      <w:r>
        <w:rPr>
          <w:rStyle w:val="FootnoteReference"/>
        </w:rPr>
        <w:footnoteRef/>
      </w:r>
      <w:r>
        <w:t xml:space="preserve"> 2018 CRIS for classification services: </w:t>
      </w:r>
      <w:hyperlink r:id="rId2" w:tooltip="Link to 2018 CRIS on the Australian Classification website" w:history="1">
        <w:r w:rsidRPr="004317C8">
          <w:rPr>
            <w:rStyle w:val="Hyperlink"/>
          </w:rPr>
          <w:t>https://www.classification.gov.au/sites/default/files/2019-08/cost-recovery-implementation-statement-classification-fees.pdf</w:t>
        </w:r>
      </w:hyperlink>
    </w:p>
  </w:footnote>
  <w:footnote w:id="4">
    <w:p w14:paraId="5A72BECA" w14:textId="77777777" w:rsidR="00CE3202" w:rsidRDefault="00CE3202" w:rsidP="00554FF9">
      <w:pPr>
        <w:pStyle w:val="FootnoteText"/>
      </w:pPr>
      <w:r>
        <w:rPr>
          <w:rStyle w:val="FootnoteReference"/>
        </w:rPr>
        <w:footnoteRef/>
      </w:r>
      <w:r>
        <w:t xml:space="preserve"> https://www.finance.gov.au/government/managing-commonwealth-resources/implementing-charging-framework-rmg-302/australian-government-cost-recovery-policy</w:t>
      </w:r>
    </w:p>
  </w:footnote>
  <w:footnote w:id="5">
    <w:p w14:paraId="1C93F757" w14:textId="77777777" w:rsidR="00CE3202" w:rsidRDefault="00CE3202" w:rsidP="00554FF9">
      <w:pPr>
        <w:pStyle w:val="FootnoteText"/>
      </w:pPr>
      <w:r>
        <w:rPr>
          <w:rStyle w:val="FootnoteReference"/>
        </w:rPr>
        <w:footnoteRef/>
      </w:r>
      <w:r>
        <w:t xml:space="preserve"> https://www.classification.gov.au/sites/default/files/2019-08/cost-recovery-implementation-statement-classification-fees.pdf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1B518" w14:textId="77777777" w:rsidR="00CE3202" w:rsidRDefault="00CE3202" w:rsidP="00D86E4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629A" w14:textId="77777777" w:rsidR="00CE3202" w:rsidRDefault="00CE3202"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6288" w14:textId="2771E22E" w:rsidR="00CE3202" w:rsidRPr="003C67CE" w:rsidRDefault="00CE3202" w:rsidP="0042391F">
    <w:pPr>
      <w:pStyle w:val="SecurityMarker"/>
      <w:ind w:left="0"/>
    </w:pPr>
  </w:p>
  <w:p w14:paraId="1E22C00B" w14:textId="77777777" w:rsidR="00CE3202" w:rsidRDefault="00CE3202" w:rsidP="00D86E40">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79FAF" w14:textId="45177B8C" w:rsidR="00CE3202" w:rsidRPr="003C67CE" w:rsidRDefault="00CE3202" w:rsidP="00D86E40">
    <w:pPr>
      <w:pStyle w:val="SecurityMarker"/>
      <w:ind w:left="0"/>
    </w:pPr>
  </w:p>
  <w:p w14:paraId="4EC5F356" w14:textId="77777777" w:rsidR="00CE3202" w:rsidRPr="00D86E40" w:rsidRDefault="00CE3202" w:rsidP="00D86E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075507228"/>
      <w:dataBinding w:prefixMappings="xmlns:ns0='http://purl.org/dc/elements/1.1/' xmlns:ns1='http://schemas.openxmlformats.org/package/2006/metadata/core-properties' " w:xpath="/ns1:coreProperties[1]/ns1:contentStatus[1]" w:storeItemID="{6C3C8BC8-F283-45AE-878A-BAB7291924A1}"/>
      <w:text/>
    </w:sdtPr>
    <w:sdtContent>
      <w:p w14:paraId="0FB7D1E6" w14:textId="77777777" w:rsidR="00CE3202" w:rsidRDefault="00CE3202" w:rsidP="00827492">
        <w:pPr>
          <w:pStyle w:val="SecurityMarker"/>
        </w:pPr>
        <w:r>
          <w:t>OFFICIAL / OFFICIAL: SENSITIVE / PROTECTEDSELECT THE CLASSIFICATION MARKER ABOVE THAT APPLIES TO YOUR DOCUMENT, THEN DELETE THE OTHERS AND THIS TEXT&gt;</w:t>
        </w:r>
      </w:p>
    </w:sdtContent>
  </w:sdt>
  <w:p w14:paraId="19FC29F1" w14:textId="3EFE43D4" w:rsidR="00CE3202" w:rsidRDefault="00CE3202" w:rsidP="00BA24FB">
    <w:pPr>
      <w:pStyle w:val="Header"/>
      <w:spacing w:after="720"/>
    </w:pPr>
    <w:fldSimple w:instr=" STYLEREF  &quot;Heading 1&quot; \l  \* MERGEFORMAT ">
      <w:r w:rsidR="00BE29DF">
        <w:rPr>
          <w:noProof/>
        </w:rPr>
        <w:t>Introduction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A70227"/>
    <w:multiLevelType w:val="hybridMultilevel"/>
    <w:tmpl w:val="A3DE1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181F0B28"/>
    <w:multiLevelType w:val="hybridMultilevel"/>
    <w:tmpl w:val="7980C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173011"/>
    <w:multiLevelType w:val="hybridMultilevel"/>
    <w:tmpl w:val="51AA6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917C97"/>
    <w:multiLevelType w:val="hybridMultilevel"/>
    <w:tmpl w:val="5F84BC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BBC2B18"/>
    <w:multiLevelType w:val="hybridMultilevel"/>
    <w:tmpl w:val="ED208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2A6182"/>
    <w:multiLevelType w:val="multilevel"/>
    <w:tmpl w:val="22CAF9E8"/>
    <w:lvl w:ilvl="0">
      <w:start w:val="1"/>
      <w:numFmt w:val="decimal"/>
      <w:lvlText w:val="%1."/>
      <w:lvlJc w:val="left"/>
      <w:pPr>
        <w:ind w:left="360" w:hanging="360"/>
      </w:pPr>
    </w:lvl>
    <w:lvl w:ilvl="1">
      <w:start w:val="2"/>
      <w:numFmt w:val="decimal"/>
      <w:isLgl/>
      <w:lvlText w:val="%1.%2"/>
      <w:lvlJc w:val="left"/>
      <w:pPr>
        <w:ind w:left="400" w:hanging="40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8" w15:restartNumberingAfterBreak="0">
    <w:nsid w:val="2DAC4FCB"/>
    <w:multiLevelType w:val="hybridMultilevel"/>
    <w:tmpl w:val="C9A69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F27199"/>
    <w:multiLevelType w:val="hybridMultilevel"/>
    <w:tmpl w:val="8AC88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A51938"/>
    <w:multiLevelType w:val="multilevel"/>
    <w:tmpl w:val="298C34E4"/>
    <w:numStyleLink w:val="AppendixNumbers"/>
  </w:abstractNum>
  <w:abstractNum w:abstractNumId="22" w15:restartNumberingAfterBreak="0">
    <w:nsid w:val="3DE6703B"/>
    <w:multiLevelType w:val="hybridMultilevel"/>
    <w:tmpl w:val="9CC47378"/>
    <w:lvl w:ilvl="0" w:tplc="1F0096A6">
      <w:start w:val="1"/>
      <w:numFmt w:val="bullet"/>
      <w:lvlText w:val="•"/>
      <w:lvlJc w:val="left"/>
      <w:pPr>
        <w:tabs>
          <w:tab w:val="num" w:pos="720"/>
        </w:tabs>
        <w:ind w:left="720" w:hanging="360"/>
      </w:pPr>
      <w:rPr>
        <w:rFonts w:ascii="Arial" w:hAnsi="Arial" w:hint="default"/>
      </w:rPr>
    </w:lvl>
    <w:lvl w:ilvl="1" w:tplc="F5AECD84" w:tentative="1">
      <w:start w:val="1"/>
      <w:numFmt w:val="bullet"/>
      <w:lvlText w:val="•"/>
      <w:lvlJc w:val="left"/>
      <w:pPr>
        <w:tabs>
          <w:tab w:val="num" w:pos="1440"/>
        </w:tabs>
        <w:ind w:left="1440" w:hanging="360"/>
      </w:pPr>
      <w:rPr>
        <w:rFonts w:ascii="Arial" w:hAnsi="Arial" w:hint="default"/>
      </w:rPr>
    </w:lvl>
    <w:lvl w:ilvl="2" w:tplc="BD866024" w:tentative="1">
      <w:start w:val="1"/>
      <w:numFmt w:val="bullet"/>
      <w:lvlText w:val="•"/>
      <w:lvlJc w:val="left"/>
      <w:pPr>
        <w:tabs>
          <w:tab w:val="num" w:pos="2160"/>
        </w:tabs>
        <w:ind w:left="2160" w:hanging="360"/>
      </w:pPr>
      <w:rPr>
        <w:rFonts w:ascii="Arial" w:hAnsi="Arial" w:hint="default"/>
      </w:rPr>
    </w:lvl>
    <w:lvl w:ilvl="3" w:tplc="C3DC6896" w:tentative="1">
      <w:start w:val="1"/>
      <w:numFmt w:val="bullet"/>
      <w:lvlText w:val="•"/>
      <w:lvlJc w:val="left"/>
      <w:pPr>
        <w:tabs>
          <w:tab w:val="num" w:pos="2880"/>
        </w:tabs>
        <w:ind w:left="2880" w:hanging="360"/>
      </w:pPr>
      <w:rPr>
        <w:rFonts w:ascii="Arial" w:hAnsi="Arial" w:hint="default"/>
      </w:rPr>
    </w:lvl>
    <w:lvl w:ilvl="4" w:tplc="9A3EDDC2" w:tentative="1">
      <w:start w:val="1"/>
      <w:numFmt w:val="bullet"/>
      <w:lvlText w:val="•"/>
      <w:lvlJc w:val="left"/>
      <w:pPr>
        <w:tabs>
          <w:tab w:val="num" w:pos="3600"/>
        </w:tabs>
        <w:ind w:left="3600" w:hanging="360"/>
      </w:pPr>
      <w:rPr>
        <w:rFonts w:ascii="Arial" w:hAnsi="Arial" w:hint="default"/>
      </w:rPr>
    </w:lvl>
    <w:lvl w:ilvl="5" w:tplc="E5440D4A" w:tentative="1">
      <w:start w:val="1"/>
      <w:numFmt w:val="bullet"/>
      <w:lvlText w:val="•"/>
      <w:lvlJc w:val="left"/>
      <w:pPr>
        <w:tabs>
          <w:tab w:val="num" w:pos="4320"/>
        </w:tabs>
        <w:ind w:left="4320" w:hanging="360"/>
      </w:pPr>
      <w:rPr>
        <w:rFonts w:ascii="Arial" w:hAnsi="Arial" w:hint="default"/>
      </w:rPr>
    </w:lvl>
    <w:lvl w:ilvl="6" w:tplc="34A89758" w:tentative="1">
      <w:start w:val="1"/>
      <w:numFmt w:val="bullet"/>
      <w:lvlText w:val="•"/>
      <w:lvlJc w:val="left"/>
      <w:pPr>
        <w:tabs>
          <w:tab w:val="num" w:pos="5040"/>
        </w:tabs>
        <w:ind w:left="5040" w:hanging="360"/>
      </w:pPr>
      <w:rPr>
        <w:rFonts w:ascii="Arial" w:hAnsi="Arial" w:hint="default"/>
      </w:rPr>
    </w:lvl>
    <w:lvl w:ilvl="7" w:tplc="9E14DCB2" w:tentative="1">
      <w:start w:val="1"/>
      <w:numFmt w:val="bullet"/>
      <w:lvlText w:val="•"/>
      <w:lvlJc w:val="left"/>
      <w:pPr>
        <w:tabs>
          <w:tab w:val="num" w:pos="5760"/>
        </w:tabs>
        <w:ind w:left="5760" w:hanging="360"/>
      </w:pPr>
      <w:rPr>
        <w:rFonts w:ascii="Arial" w:hAnsi="Arial" w:hint="default"/>
      </w:rPr>
    </w:lvl>
    <w:lvl w:ilvl="8" w:tplc="3BA0B3A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E18666F"/>
    <w:multiLevelType w:val="hybridMultilevel"/>
    <w:tmpl w:val="E46CBC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4DE05B8A"/>
    <w:multiLevelType w:val="hybridMultilevel"/>
    <w:tmpl w:val="8652792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1F2097D"/>
    <w:multiLevelType w:val="hybridMultilevel"/>
    <w:tmpl w:val="54A22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F03DC2"/>
    <w:multiLevelType w:val="hybridMultilevel"/>
    <w:tmpl w:val="FBD255E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5B27283B"/>
    <w:multiLevelType w:val="multilevel"/>
    <w:tmpl w:val="3B1C23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EDA2B5B"/>
    <w:multiLevelType w:val="hybridMultilevel"/>
    <w:tmpl w:val="9718FD6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EF86E7E"/>
    <w:multiLevelType w:val="hybridMultilevel"/>
    <w:tmpl w:val="4452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F7D5ACC"/>
    <w:multiLevelType w:val="hybridMultilevel"/>
    <w:tmpl w:val="1D56D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5A74908"/>
    <w:multiLevelType w:val="hybridMultilevel"/>
    <w:tmpl w:val="F37473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70E21D4"/>
    <w:multiLevelType w:val="hybridMultilevel"/>
    <w:tmpl w:val="C59C8BF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5"/>
  </w:num>
  <w:num w:numId="2">
    <w:abstractNumId w:val="38"/>
  </w:num>
  <w:num w:numId="3">
    <w:abstractNumId w:val="10"/>
  </w:num>
  <w:num w:numId="4">
    <w:abstractNumId w:val="24"/>
  </w:num>
  <w:num w:numId="5">
    <w:abstractNumId w:val="12"/>
  </w:num>
  <w:num w:numId="6">
    <w:abstractNumId w:val="19"/>
  </w:num>
  <w:num w:numId="7">
    <w:abstractNumId w:val="21"/>
  </w:num>
  <w:num w:numId="8">
    <w:abstractNumId w:val="31"/>
  </w:num>
  <w:num w:numId="9">
    <w:abstractNumId w:val="33"/>
  </w:num>
  <w:num w:numId="10">
    <w:abstractNumId w:val="33"/>
  </w:num>
  <w:num w:numId="11">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6"/>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6"/>
  </w:num>
  <w:num w:numId="3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35"/>
  </w:num>
  <w:num w:numId="36">
    <w:abstractNumId w:val="27"/>
  </w:num>
  <w:num w:numId="37">
    <w:abstractNumId w:val="18"/>
  </w:num>
  <w:num w:numId="38">
    <w:abstractNumId w:val="32"/>
  </w:num>
  <w:num w:numId="39">
    <w:abstractNumId w:val="11"/>
  </w:num>
  <w:num w:numId="40">
    <w:abstractNumId w:val="37"/>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15"/>
  </w:num>
  <w:num w:numId="44">
    <w:abstractNumId w:val="22"/>
  </w:num>
  <w:num w:numId="45">
    <w:abstractNumId w:val="20"/>
  </w:num>
  <w:num w:numId="4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21"/>
    <w:rsid w:val="00001FBB"/>
    <w:rsid w:val="00006F02"/>
    <w:rsid w:val="000075AC"/>
    <w:rsid w:val="0001198E"/>
    <w:rsid w:val="0001430B"/>
    <w:rsid w:val="0002275C"/>
    <w:rsid w:val="00036317"/>
    <w:rsid w:val="00041240"/>
    <w:rsid w:val="00041882"/>
    <w:rsid w:val="000650A0"/>
    <w:rsid w:val="000749C1"/>
    <w:rsid w:val="0008103B"/>
    <w:rsid w:val="000854E1"/>
    <w:rsid w:val="00085622"/>
    <w:rsid w:val="00086268"/>
    <w:rsid w:val="00087168"/>
    <w:rsid w:val="000928F1"/>
    <w:rsid w:val="000A4209"/>
    <w:rsid w:val="000B20C0"/>
    <w:rsid w:val="000B2CF8"/>
    <w:rsid w:val="000B419D"/>
    <w:rsid w:val="000C5563"/>
    <w:rsid w:val="000D47B9"/>
    <w:rsid w:val="000D4B34"/>
    <w:rsid w:val="000D591D"/>
    <w:rsid w:val="000E06DD"/>
    <w:rsid w:val="000E152B"/>
    <w:rsid w:val="000E24BA"/>
    <w:rsid w:val="000E5674"/>
    <w:rsid w:val="000F162C"/>
    <w:rsid w:val="000F3C32"/>
    <w:rsid w:val="000F4825"/>
    <w:rsid w:val="00101BBF"/>
    <w:rsid w:val="00101FC6"/>
    <w:rsid w:val="001041F2"/>
    <w:rsid w:val="001131E5"/>
    <w:rsid w:val="00117F87"/>
    <w:rsid w:val="001242D8"/>
    <w:rsid w:val="00126169"/>
    <w:rsid w:val="00130DA2"/>
    <w:rsid w:val="001349C6"/>
    <w:rsid w:val="00145368"/>
    <w:rsid w:val="00146FC7"/>
    <w:rsid w:val="00161097"/>
    <w:rsid w:val="0016159E"/>
    <w:rsid w:val="00161F70"/>
    <w:rsid w:val="00166958"/>
    <w:rsid w:val="00170676"/>
    <w:rsid w:val="00173A08"/>
    <w:rsid w:val="00176512"/>
    <w:rsid w:val="001803E3"/>
    <w:rsid w:val="001832D5"/>
    <w:rsid w:val="00183745"/>
    <w:rsid w:val="001865A8"/>
    <w:rsid w:val="00187BEF"/>
    <w:rsid w:val="00192534"/>
    <w:rsid w:val="001931D9"/>
    <w:rsid w:val="0019792C"/>
    <w:rsid w:val="001A7EE4"/>
    <w:rsid w:val="001B15B5"/>
    <w:rsid w:val="001B6533"/>
    <w:rsid w:val="001C0FAD"/>
    <w:rsid w:val="001C60BC"/>
    <w:rsid w:val="001D1100"/>
    <w:rsid w:val="001D4320"/>
    <w:rsid w:val="001E637B"/>
    <w:rsid w:val="0020616C"/>
    <w:rsid w:val="00206DF0"/>
    <w:rsid w:val="0021019B"/>
    <w:rsid w:val="00212F34"/>
    <w:rsid w:val="002167FF"/>
    <w:rsid w:val="00216AED"/>
    <w:rsid w:val="002254D5"/>
    <w:rsid w:val="0022611D"/>
    <w:rsid w:val="002261BC"/>
    <w:rsid w:val="00237CD1"/>
    <w:rsid w:val="002416BF"/>
    <w:rsid w:val="00246F21"/>
    <w:rsid w:val="00260578"/>
    <w:rsid w:val="00260E17"/>
    <w:rsid w:val="002639BF"/>
    <w:rsid w:val="00266FF6"/>
    <w:rsid w:val="00272BC9"/>
    <w:rsid w:val="00272EEF"/>
    <w:rsid w:val="002825EF"/>
    <w:rsid w:val="0028399F"/>
    <w:rsid w:val="00284164"/>
    <w:rsid w:val="00291050"/>
    <w:rsid w:val="00292672"/>
    <w:rsid w:val="002A2966"/>
    <w:rsid w:val="002B0907"/>
    <w:rsid w:val="002B2DAF"/>
    <w:rsid w:val="002B34C0"/>
    <w:rsid w:val="002B3569"/>
    <w:rsid w:val="002B3AD4"/>
    <w:rsid w:val="002B3AFC"/>
    <w:rsid w:val="002B7197"/>
    <w:rsid w:val="002C5948"/>
    <w:rsid w:val="002D01AA"/>
    <w:rsid w:val="002D3673"/>
    <w:rsid w:val="002E1ADA"/>
    <w:rsid w:val="002E5F5A"/>
    <w:rsid w:val="002E6D87"/>
    <w:rsid w:val="002F2A40"/>
    <w:rsid w:val="00300B74"/>
    <w:rsid w:val="00300E3F"/>
    <w:rsid w:val="00302183"/>
    <w:rsid w:val="00304434"/>
    <w:rsid w:val="00307CC3"/>
    <w:rsid w:val="00312978"/>
    <w:rsid w:val="003162C6"/>
    <w:rsid w:val="00322361"/>
    <w:rsid w:val="003261CF"/>
    <w:rsid w:val="00335AFB"/>
    <w:rsid w:val="00336679"/>
    <w:rsid w:val="00337948"/>
    <w:rsid w:val="00337FEC"/>
    <w:rsid w:val="00340AB8"/>
    <w:rsid w:val="003429B8"/>
    <w:rsid w:val="0034596F"/>
    <w:rsid w:val="003503D5"/>
    <w:rsid w:val="003508EB"/>
    <w:rsid w:val="003522C1"/>
    <w:rsid w:val="00355286"/>
    <w:rsid w:val="00355E89"/>
    <w:rsid w:val="00362CF7"/>
    <w:rsid w:val="003638DF"/>
    <w:rsid w:val="003656F5"/>
    <w:rsid w:val="003713E2"/>
    <w:rsid w:val="003719D2"/>
    <w:rsid w:val="003720E9"/>
    <w:rsid w:val="00372AAC"/>
    <w:rsid w:val="00372E10"/>
    <w:rsid w:val="0038644D"/>
    <w:rsid w:val="00386E82"/>
    <w:rsid w:val="003956F1"/>
    <w:rsid w:val="003963F6"/>
    <w:rsid w:val="003971D1"/>
    <w:rsid w:val="003A21BA"/>
    <w:rsid w:val="003A41A6"/>
    <w:rsid w:val="003A79C9"/>
    <w:rsid w:val="003C10F6"/>
    <w:rsid w:val="003C59A7"/>
    <w:rsid w:val="003C625A"/>
    <w:rsid w:val="003C7A36"/>
    <w:rsid w:val="003C7AAB"/>
    <w:rsid w:val="003D3FEF"/>
    <w:rsid w:val="003E29CC"/>
    <w:rsid w:val="003E5A87"/>
    <w:rsid w:val="003E77EF"/>
    <w:rsid w:val="003F12E9"/>
    <w:rsid w:val="003F5C9F"/>
    <w:rsid w:val="003F775D"/>
    <w:rsid w:val="00402DF1"/>
    <w:rsid w:val="004063DE"/>
    <w:rsid w:val="00420F04"/>
    <w:rsid w:val="00421036"/>
    <w:rsid w:val="0042391F"/>
    <w:rsid w:val="004317C8"/>
    <w:rsid w:val="00436B99"/>
    <w:rsid w:val="0044171B"/>
    <w:rsid w:val="00444B0A"/>
    <w:rsid w:val="0045665C"/>
    <w:rsid w:val="00465016"/>
    <w:rsid w:val="00477E77"/>
    <w:rsid w:val="004817ED"/>
    <w:rsid w:val="00494B28"/>
    <w:rsid w:val="004A0059"/>
    <w:rsid w:val="004A3726"/>
    <w:rsid w:val="004A6D76"/>
    <w:rsid w:val="004B344C"/>
    <w:rsid w:val="004B425F"/>
    <w:rsid w:val="004C15AE"/>
    <w:rsid w:val="004C1816"/>
    <w:rsid w:val="004C72CC"/>
    <w:rsid w:val="004D4D67"/>
    <w:rsid w:val="004E1F8E"/>
    <w:rsid w:val="004E2775"/>
    <w:rsid w:val="004E296E"/>
    <w:rsid w:val="004F42AB"/>
    <w:rsid w:val="004F68BF"/>
    <w:rsid w:val="00502674"/>
    <w:rsid w:val="00505BB5"/>
    <w:rsid w:val="00507C33"/>
    <w:rsid w:val="005104E5"/>
    <w:rsid w:val="005112AD"/>
    <w:rsid w:val="0051161D"/>
    <w:rsid w:val="0051292D"/>
    <w:rsid w:val="00530E92"/>
    <w:rsid w:val="00535938"/>
    <w:rsid w:val="00541213"/>
    <w:rsid w:val="005414B4"/>
    <w:rsid w:val="0054273F"/>
    <w:rsid w:val="00546218"/>
    <w:rsid w:val="00547854"/>
    <w:rsid w:val="005536A0"/>
    <w:rsid w:val="00554B2E"/>
    <w:rsid w:val="00554FF9"/>
    <w:rsid w:val="005566D0"/>
    <w:rsid w:val="00564DA4"/>
    <w:rsid w:val="00565EC8"/>
    <w:rsid w:val="0057502D"/>
    <w:rsid w:val="00582063"/>
    <w:rsid w:val="00582384"/>
    <w:rsid w:val="005912BE"/>
    <w:rsid w:val="00594259"/>
    <w:rsid w:val="0059505C"/>
    <w:rsid w:val="005970D1"/>
    <w:rsid w:val="005A2DB4"/>
    <w:rsid w:val="005A4B68"/>
    <w:rsid w:val="005A5A2D"/>
    <w:rsid w:val="005A6352"/>
    <w:rsid w:val="005A6DAA"/>
    <w:rsid w:val="005C0ACB"/>
    <w:rsid w:val="005D5E7A"/>
    <w:rsid w:val="005D664C"/>
    <w:rsid w:val="005E3014"/>
    <w:rsid w:val="005E4371"/>
    <w:rsid w:val="005F7075"/>
    <w:rsid w:val="005F794B"/>
    <w:rsid w:val="00610B5B"/>
    <w:rsid w:val="00636D42"/>
    <w:rsid w:val="0064133B"/>
    <w:rsid w:val="006413C7"/>
    <w:rsid w:val="00645FCE"/>
    <w:rsid w:val="00646420"/>
    <w:rsid w:val="00651359"/>
    <w:rsid w:val="00660A6B"/>
    <w:rsid w:val="00664C71"/>
    <w:rsid w:val="0066693C"/>
    <w:rsid w:val="00666D51"/>
    <w:rsid w:val="0067071D"/>
    <w:rsid w:val="00674500"/>
    <w:rsid w:val="0067601F"/>
    <w:rsid w:val="006764A6"/>
    <w:rsid w:val="00681B29"/>
    <w:rsid w:val="00682BCE"/>
    <w:rsid w:val="00694BFA"/>
    <w:rsid w:val="00697B9E"/>
    <w:rsid w:val="006A6D6D"/>
    <w:rsid w:val="006B34B3"/>
    <w:rsid w:val="006C616C"/>
    <w:rsid w:val="006C77F9"/>
    <w:rsid w:val="006D62CB"/>
    <w:rsid w:val="006D6DD2"/>
    <w:rsid w:val="006E1ECA"/>
    <w:rsid w:val="006E3A8F"/>
    <w:rsid w:val="006E62B6"/>
    <w:rsid w:val="006F42C3"/>
    <w:rsid w:val="00701000"/>
    <w:rsid w:val="00712EBC"/>
    <w:rsid w:val="00714BFF"/>
    <w:rsid w:val="00724D8C"/>
    <w:rsid w:val="0073171D"/>
    <w:rsid w:val="0073372A"/>
    <w:rsid w:val="00734249"/>
    <w:rsid w:val="00736876"/>
    <w:rsid w:val="00740289"/>
    <w:rsid w:val="00744558"/>
    <w:rsid w:val="00750195"/>
    <w:rsid w:val="0075238A"/>
    <w:rsid w:val="00754164"/>
    <w:rsid w:val="00757679"/>
    <w:rsid w:val="00757F07"/>
    <w:rsid w:val="00760A35"/>
    <w:rsid w:val="0076581E"/>
    <w:rsid w:val="0077449A"/>
    <w:rsid w:val="00784337"/>
    <w:rsid w:val="0078471C"/>
    <w:rsid w:val="00785429"/>
    <w:rsid w:val="00791FCB"/>
    <w:rsid w:val="007971B6"/>
    <w:rsid w:val="007A05BE"/>
    <w:rsid w:val="007A4754"/>
    <w:rsid w:val="007A527B"/>
    <w:rsid w:val="007B6304"/>
    <w:rsid w:val="007C7CCC"/>
    <w:rsid w:val="007D15B1"/>
    <w:rsid w:val="007D23F3"/>
    <w:rsid w:val="007D460D"/>
    <w:rsid w:val="007E7EF1"/>
    <w:rsid w:val="007F0127"/>
    <w:rsid w:val="007F55C6"/>
    <w:rsid w:val="00803DF5"/>
    <w:rsid w:val="008061E2"/>
    <w:rsid w:val="008067A1"/>
    <w:rsid w:val="00814B52"/>
    <w:rsid w:val="00816BA0"/>
    <w:rsid w:val="00821DE6"/>
    <w:rsid w:val="0082419F"/>
    <w:rsid w:val="008268AE"/>
    <w:rsid w:val="00827492"/>
    <w:rsid w:val="0084160B"/>
    <w:rsid w:val="008456D5"/>
    <w:rsid w:val="00845C59"/>
    <w:rsid w:val="0084634B"/>
    <w:rsid w:val="008535E4"/>
    <w:rsid w:val="0086007D"/>
    <w:rsid w:val="00863F7B"/>
    <w:rsid w:val="008643D6"/>
    <w:rsid w:val="00864C86"/>
    <w:rsid w:val="00864E49"/>
    <w:rsid w:val="00870110"/>
    <w:rsid w:val="008739CF"/>
    <w:rsid w:val="0087411E"/>
    <w:rsid w:val="00884199"/>
    <w:rsid w:val="00890376"/>
    <w:rsid w:val="008A1887"/>
    <w:rsid w:val="008A39D7"/>
    <w:rsid w:val="008A4621"/>
    <w:rsid w:val="008A7753"/>
    <w:rsid w:val="008B1A47"/>
    <w:rsid w:val="008B6A81"/>
    <w:rsid w:val="008B7D40"/>
    <w:rsid w:val="008C3180"/>
    <w:rsid w:val="008C3BDA"/>
    <w:rsid w:val="008D058C"/>
    <w:rsid w:val="008E2A0D"/>
    <w:rsid w:val="008E3D8C"/>
    <w:rsid w:val="00907F10"/>
    <w:rsid w:val="0091042A"/>
    <w:rsid w:val="00912585"/>
    <w:rsid w:val="00914077"/>
    <w:rsid w:val="009267F8"/>
    <w:rsid w:val="00932D5F"/>
    <w:rsid w:val="0093311A"/>
    <w:rsid w:val="0093791C"/>
    <w:rsid w:val="00940C41"/>
    <w:rsid w:val="00945940"/>
    <w:rsid w:val="00946198"/>
    <w:rsid w:val="00952651"/>
    <w:rsid w:val="009555FD"/>
    <w:rsid w:val="009672E7"/>
    <w:rsid w:val="00975216"/>
    <w:rsid w:val="009824E3"/>
    <w:rsid w:val="00992711"/>
    <w:rsid w:val="00992889"/>
    <w:rsid w:val="009956E1"/>
    <w:rsid w:val="009B00F2"/>
    <w:rsid w:val="009B4485"/>
    <w:rsid w:val="009B6114"/>
    <w:rsid w:val="009C237F"/>
    <w:rsid w:val="009C7216"/>
    <w:rsid w:val="009D17C2"/>
    <w:rsid w:val="009D5EBC"/>
    <w:rsid w:val="009D7CCE"/>
    <w:rsid w:val="009E4B3F"/>
    <w:rsid w:val="009F2F3C"/>
    <w:rsid w:val="009F3C06"/>
    <w:rsid w:val="00A070A2"/>
    <w:rsid w:val="00A10CA5"/>
    <w:rsid w:val="00A225AE"/>
    <w:rsid w:val="00A24A78"/>
    <w:rsid w:val="00A32FA3"/>
    <w:rsid w:val="00A33F39"/>
    <w:rsid w:val="00A35E5B"/>
    <w:rsid w:val="00A43A18"/>
    <w:rsid w:val="00A54717"/>
    <w:rsid w:val="00A6289D"/>
    <w:rsid w:val="00A629FB"/>
    <w:rsid w:val="00A64A0A"/>
    <w:rsid w:val="00A65433"/>
    <w:rsid w:val="00A65521"/>
    <w:rsid w:val="00A657CE"/>
    <w:rsid w:val="00A91758"/>
    <w:rsid w:val="00A9196B"/>
    <w:rsid w:val="00A92983"/>
    <w:rsid w:val="00A95970"/>
    <w:rsid w:val="00AB6294"/>
    <w:rsid w:val="00AC1302"/>
    <w:rsid w:val="00AC37D2"/>
    <w:rsid w:val="00AC7B3D"/>
    <w:rsid w:val="00AD14B5"/>
    <w:rsid w:val="00AD7703"/>
    <w:rsid w:val="00AE3BF1"/>
    <w:rsid w:val="00AF2A7F"/>
    <w:rsid w:val="00AF37C0"/>
    <w:rsid w:val="00AF55DB"/>
    <w:rsid w:val="00B00AAA"/>
    <w:rsid w:val="00B02CF2"/>
    <w:rsid w:val="00B031B2"/>
    <w:rsid w:val="00B03EB5"/>
    <w:rsid w:val="00B03FF9"/>
    <w:rsid w:val="00B06D96"/>
    <w:rsid w:val="00B246ED"/>
    <w:rsid w:val="00B24BE9"/>
    <w:rsid w:val="00B31046"/>
    <w:rsid w:val="00B33335"/>
    <w:rsid w:val="00B3401B"/>
    <w:rsid w:val="00B36989"/>
    <w:rsid w:val="00B4020B"/>
    <w:rsid w:val="00B42AC2"/>
    <w:rsid w:val="00B443DF"/>
    <w:rsid w:val="00B47BC5"/>
    <w:rsid w:val="00B5108D"/>
    <w:rsid w:val="00B52D62"/>
    <w:rsid w:val="00B54E13"/>
    <w:rsid w:val="00B57D8C"/>
    <w:rsid w:val="00B60166"/>
    <w:rsid w:val="00B61127"/>
    <w:rsid w:val="00B67410"/>
    <w:rsid w:val="00B9600C"/>
    <w:rsid w:val="00BA03AA"/>
    <w:rsid w:val="00BA0B90"/>
    <w:rsid w:val="00BA159B"/>
    <w:rsid w:val="00BA1C03"/>
    <w:rsid w:val="00BA21A7"/>
    <w:rsid w:val="00BA24FB"/>
    <w:rsid w:val="00BA2DFA"/>
    <w:rsid w:val="00BA6015"/>
    <w:rsid w:val="00BB11FD"/>
    <w:rsid w:val="00BB219B"/>
    <w:rsid w:val="00BB3AAC"/>
    <w:rsid w:val="00BB7677"/>
    <w:rsid w:val="00BC13CF"/>
    <w:rsid w:val="00BC2D36"/>
    <w:rsid w:val="00BC3AA3"/>
    <w:rsid w:val="00BC3BA6"/>
    <w:rsid w:val="00BC59CE"/>
    <w:rsid w:val="00BC6E9A"/>
    <w:rsid w:val="00BD277C"/>
    <w:rsid w:val="00BD338D"/>
    <w:rsid w:val="00BD4CCF"/>
    <w:rsid w:val="00BE29DF"/>
    <w:rsid w:val="00BE46EC"/>
    <w:rsid w:val="00BF6850"/>
    <w:rsid w:val="00C05FBE"/>
    <w:rsid w:val="00C151F5"/>
    <w:rsid w:val="00C16291"/>
    <w:rsid w:val="00C259BB"/>
    <w:rsid w:val="00C2645D"/>
    <w:rsid w:val="00C3007A"/>
    <w:rsid w:val="00C30902"/>
    <w:rsid w:val="00C30A6C"/>
    <w:rsid w:val="00C37AEC"/>
    <w:rsid w:val="00C40034"/>
    <w:rsid w:val="00C411DA"/>
    <w:rsid w:val="00C51525"/>
    <w:rsid w:val="00C60A84"/>
    <w:rsid w:val="00C61AE0"/>
    <w:rsid w:val="00C6432A"/>
    <w:rsid w:val="00C65B2C"/>
    <w:rsid w:val="00C70ABB"/>
    <w:rsid w:val="00C711F2"/>
    <w:rsid w:val="00C71D5B"/>
    <w:rsid w:val="00C73D39"/>
    <w:rsid w:val="00C816A4"/>
    <w:rsid w:val="00C83B88"/>
    <w:rsid w:val="00CA3113"/>
    <w:rsid w:val="00CB0D5F"/>
    <w:rsid w:val="00CB2596"/>
    <w:rsid w:val="00CC0E31"/>
    <w:rsid w:val="00CD0F68"/>
    <w:rsid w:val="00CD0FC9"/>
    <w:rsid w:val="00CD1CC1"/>
    <w:rsid w:val="00CD233E"/>
    <w:rsid w:val="00CD487B"/>
    <w:rsid w:val="00CD6F3A"/>
    <w:rsid w:val="00CE01AF"/>
    <w:rsid w:val="00CE2727"/>
    <w:rsid w:val="00CE3202"/>
    <w:rsid w:val="00CF2DAF"/>
    <w:rsid w:val="00CF6CFD"/>
    <w:rsid w:val="00D0071B"/>
    <w:rsid w:val="00D06934"/>
    <w:rsid w:val="00D11838"/>
    <w:rsid w:val="00D157FD"/>
    <w:rsid w:val="00D26EBB"/>
    <w:rsid w:val="00D27704"/>
    <w:rsid w:val="00D33D80"/>
    <w:rsid w:val="00D35662"/>
    <w:rsid w:val="00D3605D"/>
    <w:rsid w:val="00D42D7A"/>
    <w:rsid w:val="00D502D0"/>
    <w:rsid w:val="00D5552F"/>
    <w:rsid w:val="00D5655E"/>
    <w:rsid w:val="00D631A9"/>
    <w:rsid w:val="00D6338A"/>
    <w:rsid w:val="00D66296"/>
    <w:rsid w:val="00D80B79"/>
    <w:rsid w:val="00D82B3A"/>
    <w:rsid w:val="00D86E40"/>
    <w:rsid w:val="00D87AD8"/>
    <w:rsid w:val="00D9082F"/>
    <w:rsid w:val="00D954D2"/>
    <w:rsid w:val="00DB7B1A"/>
    <w:rsid w:val="00DC0C3E"/>
    <w:rsid w:val="00DC1059"/>
    <w:rsid w:val="00DC377F"/>
    <w:rsid w:val="00DD0652"/>
    <w:rsid w:val="00DD2883"/>
    <w:rsid w:val="00DD4763"/>
    <w:rsid w:val="00DD6561"/>
    <w:rsid w:val="00DE4362"/>
    <w:rsid w:val="00DE4FE2"/>
    <w:rsid w:val="00DF0DDE"/>
    <w:rsid w:val="00DF525F"/>
    <w:rsid w:val="00DF5483"/>
    <w:rsid w:val="00E0082C"/>
    <w:rsid w:val="00E009BF"/>
    <w:rsid w:val="00E04908"/>
    <w:rsid w:val="00E115A7"/>
    <w:rsid w:val="00E14470"/>
    <w:rsid w:val="00E15668"/>
    <w:rsid w:val="00E20EE3"/>
    <w:rsid w:val="00E22326"/>
    <w:rsid w:val="00E23718"/>
    <w:rsid w:val="00E30321"/>
    <w:rsid w:val="00E3038D"/>
    <w:rsid w:val="00E3202B"/>
    <w:rsid w:val="00E3671E"/>
    <w:rsid w:val="00E36E4B"/>
    <w:rsid w:val="00E40076"/>
    <w:rsid w:val="00E40A1F"/>
    <w:rsid w:val="00E50D64"/>
    <w:rsid w:val="00E64D15"/>
    <w:rsid w:val="00E710FA"/>
    <w:rsid w:val="00EA19AF"/>
    <w:rsid w:val="00EA3FDF"/>
    <w:rsid w:val="00EA5695"/>
    <w:rsid w:val="00EB0454"/>
    <w:rsid w:val="00EC435B"/>
    <w:rsid w:val="00EC4C65"/>
    <w:rsid w:val="00EC5CA6"/>
    <w:rsid w:val="00EC7BEB"/>
    <w:rsid w:val="00EC7F06"/>
    <w:rsid w:val="00ED29C3"/>
    <w:rsid w:val="00EE37C9"/>
    <w:rsid w:val="00EE49E7"/>
    <w:rsid w:val="00EE6EBB"/>
    <w:rsid w:val="00EF0C93"/>
    <w:rsid w:val="00EF3868"/>
    <w:rsid w:val="00EF6AB6"/>
    <w:rsid w:val="00F002D1"/>
    <w:rsid w:val="00F03033"/>
    <w:rsid w:val="00F1428D"/>
    <w:rsid w:val="00F160E6"/>
    <w:rsid w:val="00F2295E"/>
    <w:rsid w:val="00F2524F"/>
    <w:rsid w:val="00F2657D"/>
    <w:rsid w:val="00F33EF2"/>
    <w:rsid w:val="00F37D6E"/>
    <w:rsid w:val="00F42D3B"/>
    <w:rsid w:val="00F477F4"/>
    <w:rsid w:val="00F5043A"/>
    <w:rsid w:val="00F523D4"/>
    <w:rsid w:val="00F52F70"/>
    <w:rsid w:val="00F5493C"/>
    <w:rsid w:val="00F54FE6"/>
    <w:rsid w:val="00F55C95"/>
    <w:rsid w:val="00F60AB4"/>
    <w:rsid w:val="00F67CDB"/>
    <w:rsid w:val="00F73F31"/>
    <w:rsid w:val="00F77C01"/>
    <w:rsid w:val="00F82803"/>
    <w:rsid w:val="00F83E89"/>
    <w:rsid w:val="00F8451E"/>
    <w:rsid w:val="00F90578"/>
    <w:rsid w:val="00F91F99"/>
    <w:rsid w:val="00FA1070"/>
    <w:rsid w:val="00FA1EFB"/>
    <w:rsid w:val="00FA5137"/>
    <w:rsid w:val="00FA5284"/>
    <w:rsid w:val="00FB61DA"/>
    <w:rsid w:val="00FC32B2"/>
    <w:rsid w:val="00FC34AF"/>
    <w:rsid w:val="00FC510F"/>
    <w:rsid w:val="00FC5512"/>
    <w:rsid w:val="00FC599F"/>
    <w:rsid w:val="00FC7999"/>
    <w:rsid w:val="00FD22B9"/>
    <w:rsid w:val="00FD43EF"/>
    <w:rsid w:val="00FE0B0C"/>
    <w:rsid w:val="00FE306B"/>
    <w:rsid w:val="00FE7709"/>
    <w:rsid w:val="00FF1678"/>
    <w:rsid w:val="00FF4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0124AC"/>
  <w15:chartTrackingRefBased/>
  <w15:docId w15:val="{40CB0DC4-555A-4D73-9FDD-623A5F1B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3DE"/>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4063DE"/>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4063DE"/>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4063DE"/>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4063DE"/>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10"/>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numPr>
        <w:ilvl w:val="1"/>
        <w:numId w:val="10"/>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29105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10"/>
      </w:numPr>
    </w:pPr>
    <w:rPr>
      <w:kern w:val="12"/>
      <w:sz w:val="20"/>
      <w:szCs w:val="20"/>
    </w:rPr>
  </w:style>
  <w:style w:type="numbering" w:customStyle="1" w:styleId="BoxedBullets">
    <w:name w:val="Boxed Bullets"/>
    <w:uiPriority w:val="99"/>
    <w:rsid w:val="009D7CCE"/>
    <w:pPr>
      <w:numPr>
        <w:numId w:val="9"/>
      </w:numPr>
    </w:pPr>
  </w:style>
  <w:style w:type="paragraph" w:customStyle="1" w:styleId="SecurityMarker">
    <w:name w:val="Security Marker"/>
    <w:basedOn w:val="Normal"/>
    <w:qFormat/>
    <w:rsid w:val="00827492"/>
    <w:pPr>
      <w:spacing w:before="60" w:after="60"/>
      <w:ind w:left="-1247"/>
      <w:jc w:val="center"/>
    </w:pPr>
    <w:rPr>
      <w:b/>
      <w:bCs/>
      <w:caps/>
      <w:color w:val="E10000"/>
      <w:sz w:val="28"/>
      <w:szCs w:val="28"/>
    </w:rPr>
  </w:style>
  <w:style w:type="character" w:styleId="FollowedHyperlink">
    <w:name w:val="FollowedHyperlink"/>
    <w:basedOn w:val="DefaultParagraphFont"/>
    <w:uiPriority w:val="99"/>
    <w:semiHidden/>
    <w:unhideWhenUsed/>
    <w:rsid w:val="00216AED"/>
    <w:rPr>
      <w:color w:val="0046FF" w:themeColor="followedHyperlink"/>
      <w:u w:val="single"/>
    </w:rPr>
  </w:style>
  <w:style w:type="character" w:styleId="CommentReference">
    <w:name w:val="annotation reference"/>
    <w:basedOn w:val="DefaultParagraphFont"/>
    <w:uiPriority w:val="99"/>
    <w:semiHidden/>
    <w:unhideWhenUsed/>
    <w:rsid w:val="00666D51"/>
    <w:rPr>
      <w:sz w:val="16"/>
      <w:szCs w:val="16"/>
    </w:rPr>
  </w:style>
  <w:style w:type="paragraph" w:styleId="CommentText">
    <w:name w:val="annotation text"/>
    <w:basedOn w:val="Normal"/>
    <w:link w:val="CommentTextChar"/>
    <w:uiPriority w:val="99"/>
    <w:unhideWhenUsed/>
    <w:rsid w:val="00666D51"/>
    <w:rPr>
      <w:sz w:val="20"/>
      <w:szCs w:val="20"/>
    </w:rPr>
  </w:style>
  <w:style w:type="character" w:customStyle="1" w:styleId="CommentTextChar">
    <w:name w:val="Comment Text Char"/>
    <w:basedOn w:val="DefaultParagraphFont"/>
    <w:link w:val="CommentText"/>
    <w:uiPriority w:val="99"/>
    <w:rsid w:val="00666D51"/>
    <w:rPr>
      <w:sz w:val="20"/>
      <w:szCs w:val="20"/>
    </w:rPr>
  </w:style>
  <w:style w:type="paragraph" w:styleId="CommentSubject">
    <w:name w:val="annotation subject"/>
    <w:basedOn w:val="CommentText"/>
    <w:next w:val="CommentText"/>
    <w:link w:val="CommentSubjectChar"/>
    <w:uiPriority w:val="99"/>
    <w:semiHidden/>
    <w:unhideWhenUsed/>
    <w:rsid w:val="00666D51"/>
    <w:rPr>
      <w:b/>
      <w:bCs/>
    </w:rPr>
  </w:style>
  <w:style w:type="character" w:customStyle="1" w:styleId="CommentSubjectChar">
    <w:name w:val="Comment Subject Char"/>
    <w:basedOn w:val="CommentTextChar"/>
    <w:link w:val="CommentSubject"/>
    <w:uiPriority w:val="99"/>
    <w:semiHidden/>
    <w:rsid w:val="00666D51"/>
    <w:rPr>
      <w:b/>
      <w:bCs/>
      <w:sz w:val="20"/>
      <w:szCs w:val="20"/>
    </w:rPr>
  </w:style>
  <w:style w:type="paragraph" w:styleId="BalloonText">
    <w:name w:val="Balloon Text"/>
    <w:basedOn w:val="Normal"/>
    <w:link w:val="BalloonTextChar"/>
    <w:uiPriority w:val="99"/>
    <w:semiHidden/>
    <w:unhideWhenUsed/>
    <w:rsid w:val="00666D5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D51"/>
    <w:rPr>
      <w:rFonts w:ascii="Segoe UI" w:hAnsi="Segoe UI" w:cs="Segoe UI"/>
      <w:sz w:val="18"/>
      <w:szCs w:val="18"/>
    </w:rPr>
  </w:style>
  <w:style w:type="paragraph" w:styleId="ListParagraph">
    <w:name w:val="List Paragraph"/>
    <w:basedOn w:val="Normal"/>
    <w:uiPriority w:val="34"/>
    <w:unhideWhenUsed/>
    <w:qFormat/>
    <w:rsid w:val="000075AC"/>
    <w:pPr>
      <w:ind w:left="720"/>
      <w:contextualSpacing/>
    </w:pPr>
  </w:style>
  <w:style w:type="character" w:styleId="UnresolvedMention">
    <w:name w:val="Unresolved Mention"/>
    <w:basedOn w:val="DefaultParagraphFont"/>
    <w:uiPriority w:val="99"/>
    <w:semiHidden/>
    <w:unhideWhenUsed/>
    <w:rsid w:val="004317C8"/>
    <w:rPr>
      <w:color w:val="605E5C"/>
      <w:shd w:val="clear" w:color="auto" w:fill="E1DFDD"/>
    </w:rPr>
  </w:style>
  <w:style w:type="paragraph" w:styleId="Revision">
    <w:name w:val="Revision"/>
    <w:hidden/>
    <w:uiPriority w:val="99"/>
    <w:semiHidden/>
    <w:rsid w:val="007D15B1"/>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99014">
      <w:bodyDiv w:val="1"/>
      <w:marLeft w:val="0"/>
      <w:marRight w:val="0"/>
      <w:marTop w:val="0"/>
      <w:marBottom w:val="0"/>
      <w:divBdr>
        <w:top w:val="none" w:sz="0" w:space="0" w:color="auto"/>
        <w:left w:val="none" w:sz="0" w:space="0" w:color="auto"/>
        <w:bottom w:val="none" w:sz="0" w:space="0" w:color="auto"/>
        <w:right w:val="none" w:sz="0" w:space="0" w:color="auto"/>
      </w:divBdr>
      <w:divsChild>
        <w:div w:id="666834132">
          <w:marLeft w:val="547"/>
          <w:marRight w:val="0"/>
          <w:marTop w:val="200"/>
          <w:marBottom w:val="0"/>
          <w:divBdr>
            <w:top w:val="none" w:sz="0" w:space="0" w:color="auto"/>
            <w:left w:val="none" w:sz="0" w:space="0" w:color="auto"/>
            <w:bottom w:val="none" w:sz="0" w:space="0" w:color="auto"/>
            <w:right w:val="none" w:sz="0" w:space="0" w:color="auto"/>
          </w:divBdr>
        </w:div>
      </w:divsChild>
    </w:div>
    <w:div w:id="531920772">
      <w:bodyDiv w:val="1"/>
      <w:marLeft w:val="0"/>
      <w:marRight w:val="0"/>
      <w:marTop w:val="0"/>
      <w:marBottom w:val="0"/>
      <w:divBdr>
        <w:top w:val="none" w:sz="0" w:space="0" w:color="auto"/>
        <w:left w:val="none" w:sz="0" w:space="0" w:color="auto"/>
        <w:bottom w:val="none" w:sz="0" w:space="0" w:color="auto"/>
        <w:right w:val="none" w:sz="0" w:space="0" w:color="auto"/>
      </w:divBdr>
    </w:div>
    <w:div w:id="836186880">
      <w:bodyDiv w:val="1"/>
      <w:marLeft w:val="0"/>
      <w:marRight w:val="0"/>
      <w:marTop w:val="0"/>
      <w:marBottom w:val="0"/>
      <w:divBdr>
        <w:top w:val="none" w:sz="0" w:space="0" w:color="auto"/>
        <w:left w:val="none" w:sz="0" w:space="0" w:color="auto"/>
        <w:bottom w:val="none" w:sz="0" w:space="0" w:color="auto"/>
        <w:right w:val="none" w:sz="0" w:space="0" w:color="auto"/>
      </w:divBdr>
    </w:div>
    <w:div w:id="879706395">
      <w:bodyDiv w:val="1"/>
      <w:marLeft w:val="0"/>
      <w:marRight w:val="0"/>
      <w:marTop w:val="0"/>
      <w:marBottom w:val="0"/>
      <w:divBdr>
        <w:top w:val="none" w:sz="0" w:space="0" w:color="auto"/>
        <w:left w:val="none" w:sz="0" w:space="0" w:color="auto"/>
        <w:bottom w:val="none" w:sz="0" w:space="0" w:color="auto"/>
        <w:right w:val="none" w:sz="0" w:space="0" w:color="auto"/>
      </w:divBdr>
    </w:div>
    <w:div w:id="896937659">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 w:id="178372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gif"/><Relationship Id="rId26" Type="http://schemas.openxmlformats.org/officeDocument/2006/relationships/hyperlink" Target="https://www.arts.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gif"/><Relationship Id="rId34" Type="http://schemas.openxmlformats.org/officeDocument/2006/relationships/hyperlink" Target="mailto:OperationalPolicy@communications.gov.au?subject=Response%20to%20Engagement%20Paper%20on%20Cost%20Recovery%20Implementation%20Statement%20for%20Classification%20Servic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gif"/><Relationship Id="rId25" Type="http://schemas.openxmlformats.org/officeDocument/2006/relationships/hyperlink" Target="https://www.infrastructure.gov.au/" TargetMode="External"/><Relationship Id="rId33" Type="http://schemas.openxmlformats.org/officeDocument/2006/relationships/hyperlink" Target="mailto:OperationalPolicy@communications.gov.au?subject=Response%20to%20Engagement%20Paper%20on%20Cost%20Recovery%20Implementation%20Statement%20for%20Classification%20Services"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gif"/><Relationship Id="rId29" Type="http://schemas.openxmlformats.org/officeDocument/2006/relationships/hyperlink" Target="https://www.classification.gov.au/for-industry/develop-and-use-classification-too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ublishing@communications.gov.au" TargetMode="External"/><Relationship Id="rId32" Type="http://schemas.openxmlformats.org/officeDocument/2006/relationships/hyperlink" Target="http://www.infrastructure.gov.au/have-your-say/classification-cost-recovery" TargetMode="External"/><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pmc.gov.au/resources/commonwealth-coat-arms-information-and-guidelines" TargetMode="External"/><Relationship Id="rId28" Type="http://schemas.openxmlformats.org/officeDocument/2006/relationships/footer" Target="footer2.xml"/><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image" Target="media/image5.gif"/><Relationship Id="rId31" Type="http://schemas.openxmlformats.org/officeDocument/2006/relationships/hyperlink" Target="http://www.classification.gov.au/for-industry/using-broadcaster-classification-decis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hyperlink" Target="http://www.classification.gov.au/for-industry/accredited-classifiers" TargetMode="External"/><Relationship Id="rId35"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footnotes.xml.rels><?xml version="1.0" encoding="UTF-8" standalone="yes"?>
<Relationships xmlns="http://schemas.openxmlformats.org/package/2006/relationships"><Relationship Id="rId2" Type="http://schemas.openxmlformats.org/officeDocument/2006/relationships/hyperlink" Target="https://www.classification.gov.au/sites/default/files/2019-08/cost-recovery-implementation-statement-classification-fees.pdf" TargetMode="External"/><Relationship Id="rId1" Type="http://schemas.openxmlformats.org/officeDocument/2006/relationships/hyperlink" Target="https://www.finance.gov.au/government/managing-commonwealth-resources/implementing-charging-framework-rmg-302/glossary-terms-charging-frame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Report%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9C7F040947463AB2963F806E3C75AC"/>
        <w:category>
          <w:name w:val="General"/>
          <w:gallery w:val="placeholder"/>
        </w:category>
        <w:types>
          <w:type w:val="bbPlcHdr"/>
        </w:types>
        <w:behaviors>
          <w:behavior w:val="content"/>
        </w:behaviors>
        <w:guid w:val="{56A74222-5A87-4DB0-867A-4987847D8298}"/>
      </w:docPartPr>
      <w:docPartBody>
        <w:p w:rsidR="00F969A9" w:rsidRDefault="00F969A9">
          <w:pPr>
            <w:pStyle w:val="9D9C7F040947463AB2963F806E3C75AC"/>
          </w:pPr>
          <w:r w:rsidRPr="00EC51DD">
            <w:rPr>
              <w:rStyle w:val="PlaceholderText"/>
            </w:rPr>
            <w:t>[Title]</w:t>
          </w:r>
        </w:p>
      </w:docPartBody>
    </w:docPart>
    <w:docPart>
      <w:docPartPr>
        <w:name w:val="37E99E3858DE49A68D1A0FA746E55369"/>
        <w:category>
          <w:name w:val="General"/>
          <w:gallery w:val="placeholder"/>
        </w:category>
        <w:types>
          <w:type w:val="bbPlcHdr"/>
        </w:types>
        <w:behaviors>
          <w:behavior w:val="content"/>
        </w:behaviors>
        <w:guid w:val="{583DF51B-48A0-41C5-8EE3-9E8272E42B42}"/>
      </w:docPartPr>
      <w:docPartBody>
        <w:p w:rsidR="00F969A9" w:rsidRDefault="00F969A9">
          <w:pPr>
            <w:pStyle w:val="37E99E3858DE49A68D1A0FA746E55369"/>
          </w:pPr>
          <w:r w:rsidRPr="00EC51DD">
            <w:rPr>
              <w:rStyle w:val="PlaceholderText"/>
            </w:rPr>
            <w:t>[Publish Date]</w:t>
          </w:r>
        </w:p>
      </w:docPartBody>
    </w:docPart>
    <w:docPart>
      <w:docPartPr>
        <w:name w:val="89824B0945EA4D39B12994237ADFE774"/>
        <w:category>
          <w:name w:val="General"/>
          <w:gallery w:val="placeholder"/>
        </w:category>
        <w:types>
          <w:type w:val="bbPlcHdr"/>
        </w:types>
        <w:behaviors>
          <w:behavior w:val="content"/>
        </w:behaviors>
        <w:guid w:val="{4789D1A3-B885-4304-9BFA-8E8CA3B5A4D8}"/>
      </w:docPartPr>
      <w:docPartBody>
        <w:p w:rsidR="00F969A9" w:rsidRDefault="00F969A9">
          <w:pPr>
            <w:pStyle w:val="89824B0945EA4D39B12994237ADFE774"/>
          </w:pPr>
          <w:r w:rsidRPr="00650DDB">
            <w:rPr>
              <w:highlight w:val="yellow"/>
              <w:lang w:val="x-none"/>
            </w:rPr>
            <w:t>[select format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A9"/>
    <w:rsid w:val="00100A58"/>
    <w:rsid w:val="001E157D"/>
    <w:rsid w:val="001F7C32"/>
    <w:rsid w:val="0027159F"/>
    <w:rsid w:val="002D3827"/>
    <w:rsid w:val="002D7108"/>
    <w:rsid w:val="003A6B30"/>
    <w:rsid w:val="0051028E"/>
    <w:rsid w:val="00551B84"/>
    <w:rsid w:val="00582384"/>
    <w:rsid w:val="00875EF8"/>
    <w:rsid w:val="009C3354"/>
    <w:rsid w:val="009C4CBB"/>
    <w:rsid w:val="009E6B7F"/>
    <w:rsid w:val="00A402CD"/>
    <w:rsid w:val="00A602ED"/>
    <w:rsid w:val="00AD2AF3"/>
    <w:rsid w:val="00BC3BA6"/>
    <w:rsid w:val="00C67EDB"/>
    <w:rsid w:val="00D91699"/>
    <w:rsid w:val="00F045C8"/>
    <w:rsid w:val="00F969A9"/>
    <w:rsid w:val="00FE7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FE91598F7FD4767A5DABC4CED6CA707">
    <w:name w:val="9FE91598F7FD4767A5DABC4CED6CA707"/>
  </w:style>
  <w:style w:type="paragraph" w:customStyle="1" w:styleId="9D9C7F040947463AB2963F806E3C75AC">
    <w:name w:val="9D9C7F040947463AB2963F806E3C75AC"/>
  </w:style>
  <w:style w:type="paragraph" w:customStyle="1" w:styleId="37E99E3858DE49A68D1A0FA746E55369">
    <w:name w:val="37E99E3858DE49A68D1A0FA746E55369"/>
  </w:style>
  <w:style w:type="paragraph" w:customStyle="1" w:styleId="89824B0945EA4D39B12994237ADFE774">
    <w:name w:val="89824B0945EA4D39B12994237ADFE774"/>
  </w:style>
  <w:style w:type="paragraph" w:customStyle="1" w:styleId="D50D169D8C7F43B29B66BE0088E475E7">
    <w:name w:val="D50D169D8C7F43B29B66BE0088E475E7"/>
  </w:style>
  <w:style w:type="paragraph" w:customStyle="1" w:styleId="B09328274A1A44FFA3AC60913FBAD44F">
    <w:name w:val="B09328274A1A44FFA3AC60913FBAD44F"/>
  </w:style>
  <w:style w:type="paragraph" w:customStyle="1" w:styleId="17CA4C49DE7041BEA620686EAA48EA83">
    <w:name w:val="17CA4C49DE7041BEA620686EAA48EA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2025-06-10T00:00:00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E814B380E74B41B976DEF5EB851DCD" ma:contentTypeVersion="5" ma:contentTypeDescription="Create a new document." ma:contentTypeScope="" ma:versionID="c65dd4c36bb9e13c6b9dde98bab9870b">
  <xsd:schema xmlns:xsd="http://www.w3.org/2001/XMLSchema" xmlns:xs="http://www.w3.org/2001/XMLSchema" xmlns:p="http://schemas.microsoft.com/office/2006/metadata/properties" xmlns:ns2="ecf1d625-9990-4457-b3c9-3a72c674457d" targetNamespace="http://schemas.microsoft.com/office/2006/metadata/properties" ma:root="true" ma:fieldsID="3bb818b72ed1dde3524b73e64b4e93d6" ns2:_="">
    <xsd:import namespace="ecf1d625-9990-4457-b3c9-3a72c674457d"/>
    <xsd:element name="properties">
      <xsd:complexType>
        <xsd:sequence>
          <xsd:element name="documentManagement">
            <xsd:complexType>
              <xsd:all>
                <xsd:element ref="ns2:RecordNumber" minOccurs="0"/>
                <xsd:element ref="ns2:ie905ce9451549f9a61368c07c60a535" minOccurs="0"/>
                <xsd:element ref="ns2:TaxCatchAll" minOccurs="0"/>
                <xsd:element ref="ns2:TaxCatchAllLabel" minOccurs="0"/>
                <xsd:element ref="ns2:f0dedbf246554dc6835785a1c37a03b1"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d625-9990-4457-b3c9-3a72c674457d"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ie905ce9451549f9a61368c07c60a535" ma:index="9" ma:taxonomy="true" ma:internalName="ie905ce9451549f9a61368c07c60a535" ma:taxonomyFieldName="Security_x0020_Classification" ma:displayName="Security Classification" ma:readOnly="false" ma:default="1;#OFFICIAL|66ee57a8-59d0-46bc-a5fc-78440ee0cf81" ma:fieldId="{2e905ce9-4515-49f9-a613-68c07c60a535}"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f20b707-c925-400d-87a0-abc0fd9f9a35}" ma:internalName="TaxCatchAll" ma:showField="CatchAllData" ma:web="ecf1d625-9990-4457-b3c9-3a72c674457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f20b707-c925-400d-87a0-abc0fd9f9a35}" ma:internalName="TaxCatchAllLabel" ma:readOnly="true" ma:showField="CatchAllDataLabel" ma:web="ecf1d625-9990-4457-b3c9-3a72c674457d">
      <xsd:complexType>
        <xsd:complexContent>
          <xsd:extension base="dms:MultiChoiceLookup">
            <xsd:sequence>
              <xsd:element name="Value" type="dms:Lookup" maxOccurs="unbounded" minOccurs="0" nillable="true"/>
            </xsd:sequence>
          </xsd:extension>
        </xsd:complexContent>
      </xsd:complexType>
    </xsd:element>
    <xsd:element name="f0dedbf246554dc6835785a1c37a03b1" ma:index="13" nillable="true" ma:taxonomy="true" ma:internalName="f0dedbf246554dc6835785a1c37a03b1" ma:taxonomyFieldName="Information_x0020_Management_x0020_Marker" ma:displayName="Information Management Marker" ma:default="" ma:fieldId="{f0dedbf2-4655-4dc6-8357-85a1c37a03b1}"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5107E0-2B6B-4CFE-86D4-EC251450927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01745a6-bcde-430d-bbb2-1e8907ab9e50"/>
    <ds:schemaRef ds:uri="http://www.w3.org/XML/1998/namespace"/>
    <ds:schemaRef ds:uri="http://purl.org/dc/dcmitype/"/>
  </ds:schemaRefs>
</ds:datastoreItem>
</file>

<file path=customXml/itemProps3.xml><?xml version="1.0" encoding="utf-8"?>
<ds:datastoreItem xmlns:ds="http://schemas.openxmlformats.org/officeDocument/2006/customXml" ds:itemID="{01C9BB2B-4515-4C2E-8488-8FD69A15DB81}">
  <ds:schemaRefs>
    <ds:schemaRef ds:uri="http://schemas.microsoft.com/sharepoint/v3/contenttype/forms"/>
  </ds:schemaRefs>
</ds:datastoreItem>
</file>

<file path=customXml/itemProps4.xml><?xml version="1.0" encoding="utf-8"?>
<ds:datastoreItem xmlns:ds="http://schemas.openxmlformats.org/officeDocument/2006/customXml" ds:itemID="{11A0EC17-3CF6-4898-B017-FBB206DE2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d625-9990-4457-b3c9-3a72c6744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8E49B3-4F8E-4252-AD39-6C4D1167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portrait.dotx</Template>
  <TotalTime>2</TotalTime>
  <Pages>13</Pages>
  <Words>4712</Words>
  <Characters>26865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Stakeholder Engagement Paper - Cost Recovery Implementation Statement for Classification Services</vt:lpstr>
    </vt:vector>
  </TitlesOfParts>
  <Company>Department of Infrastructure, Transport, Regional Development, Communications, Sport and the Arts</Company>
  <LinksUpToDate>false</LinksUpToDate>
  <CharactersWithSpaces>31514</CharactersWithSpaces>
  <SharedDoc>false</SharedDoc>
  <HLinks>
    <vt:vector size="210" baseType="variant">
      <vt:variant>
        <vt:i4>8257613</vt:i4>
      </vt:variant>
      <vt:variant>
        <vt:i4>180</vt:i4>
      </vt:variant>
      <vt:variant>
        <vt:i4>0</vt:i4>
      </vt:variant>
      <vt:variant>
        <vt:i4>5</vt:i4>
      </vt:variant>
      <vt:variant>
        <vt:lpwstr>https://connect.internal.dotars.gov.au/sites/intranet/_layouts/15/DocIdRedir.aspx?ID=INTRANET-14568185-4835</vt:lpwstr>
      </vt:variant>
      <vt:variant>
        <vt:lpwstr/>
      </vt:variant>
      <vt:variant>
        <vt:i4>7340125</vt:i4>
      </vt:variant>
      <vt:variant>
        <vt:i4>177</vt:i4>
      </vt:variant>
      <vt:variant>
        <vt:i4>0</vt:i4>
      </vt:variant>
      <vt:variant>
        <vt:i4>5</vt:i4>
      </vt:variant>
      <vt:variant>
        <vt:lpwstr>mailto:OperationalPolicy@communications.gov.au?subject=Response%20to%20Engagement%20Paper%20on%20Cost%20Recovery%20Implementation%20Statement%20for%20Classification%20Services</vt:lpwstr>
      </vt:variant>
      <vt:variant>
        <vt:lpwstr/>
      </vt:variant>
      <vt:variant>
        <vt:i4>196638</vt:i4>
      </vt:variant>
      <vt:variant>
        <vt:i4>174</vt:i4>
      </vt:variant>
      <vt:variant>
        <vt:i4>0</vt:i4>
      </vt:variant>
      <vt:variant>
        <vt:i4>5</vt:i4>
      </vt:variant>
      <vt:variant>
        <vt:lpwstr>http://www.classification.gov.au/for-industry/using-broadcaster-classification-decisions</vt:lpwstr>
      </vt:variant>
      <vt:variant>
        <vt:lpwstr/>
      </vt:variant>
      <vt:variant>
        <vt:i4>851977</vt:i4>
      </vt:variant>
      <vt:variant>
        <vt:i4>171</vt:i4>
      </vt:variant>
      <vt:variant>
        <vt:i4>0</vt:i4>
      </vt:variant>
      <vt:variant>
        <vt:i4>5</vt:i4>
      </vt:variant>
      <vt:variant>
        <vt:lpwstr>http://www.classification.gov.au/for-industry/accredited-classifiers</vt:lpwstr>
      </vt:variant>
      <vt:variant>
        <vt:lpwstr/>
      </vt:variant>
      <vt:variant>
        <vt:i4>6291519</vt:i4>
      </vt:variant>
      <vt:variant>
        <vt:i4>168</vt:i4>
      </vt:variant>
      <vt:variant>
        <vt:i4>0</vt:i4>
      </vt:variant>
      <vt:variant>
        <vt:i4>5</vt:i4>
      </vt:variant>
      <vt:variant>
        <vt:lpwstr>https://www.classification.gov.au/for-industry/develop-and-use-classification-tool</vt:lpwstr>
      </vt:variant>
      <vt:variant>
        <vt:lpwstr/>
      </vt:variant>
      <vt:variant>
        <vt:i4>2031674</vt:i4>
      </vt:variant>
      <vt:variant>
        <vt:i4>161</vt:i4>
      </vt:variant>
      <vt:variant>
        <vt:i4>0</vt:i4>
      </vt:variant>
      <vt:variant>
        <vt:i4>5</vt:i4>
      </vt:variant>
      <vt:variant>
        <vt:lpwstr/>
      </vt:variant>
      <vt:variant>
        <vt:lpwstr>_Toc200981006</vt:lpwstr>
      </vt:variant>
      <vt:variant>
        <vt:i4>2031674</vt:i4>
      </vt:variant>
      <vt:variant>
        <vt:i4>155</vt:i4>
      </vt:variant>
      <vt:variant>
        <vt:i4>0</vt:i4>
      </vt:variant>
      <vt:variant>
        <vt:i4>5</vt:i4>
      </vt:variant>
      <vt:variant>
        <vt:lpwstr/>
      </vt:variant>
      <vt:variant>
        <vt:lpwstr>_Toc200981005</vt:lpwstr>
      </vt:variant>
      <vt:variant>
        <vt:i4>2031674</vt:i4>
      </vt:variant>
      <vt:variant>
        <vt:i4>149</vt:i4>
      </vt:variant>
      <vt:variant>
        <vt:i4>0</vt:i4>
      </vt:variant>
      <vt:variant>
        <vt:i4>5</vt:i4>
      </vt:variant>
      <vt:variant>
        <vt:lpwstr/>
      </vt:variant>
      <vt:variant>
        <vt:lpwstr>_Toc200981004</vt:lpwstr>
      </vt:variant>
      <vt:variant>
        <vt:i4>2031674</vt:i4>
      </vt:variant>
      <vt:variant>
        <vt:i4>143</vt:i4>
      </vt:variant>
      <vt:variant>
        <vt:i4>0</vt:i4>
      </vt:variant>
      <vt:variant>
        <vt:i4>5</vt:i4>
      </vt:variant>
      <vt:variant>
        <vt:lpwstr/>
      </vt:variant>
      <vt:variant>
        <vt:lpwstr>_Toc200981003</vt:lpwstr>
      </vt:variant>
      <vt:variant>
        <vt:i4>2031674</vt:i4>
      </vt:variant>
      <vt:variant>
        <vt:i4>137</vt:i4>
      </vt:variant>
      <vt:variant>
        <vt:i4>0</vt:i4>
      </vt:variant>
      <vt:variant>
        <vt:i4>5</vt:i4>
      </vt:variant>
      <vt:variant>
        <vt:lpwstr/>
      </vt:variant>
      <vt:variant>
        <vt:lpwstr>_Toc200981002</vt:lpwstr>
      </vt:variant>
      <vt:variant>
        <vt:i4>2031674</vt:i4>
      </vt:variant>
      <vt:variant>
        <vt:i4>131</vt:i4>
      </vt:variant>
      <vt:variant>
        <vt:i4>0</vt:i4>
      </vt:variant>
      <vt:variant>
        <vt:i4>5</vt:i4>
      </vt:variant>
      <vt:variant>
        <vt:lpwstr/>
      </vt:variant>
      <vt:variant>
        <vt:lpwstr>_Toc200981001</vt:lpwstr>
      </vt:variant>
      <vt:variant>
        <vt:i4>2031674</vt:i4>
      </vt:variant>
      <vt:variant>
        <vt:i4>125</vt:i4>
      </vt:variant>
      <vt:variant>
        <vt:i4>0</vt:i4>
      </vt:variant>
      <vt:variant>
        <vt:i4>5</vt:i4>
      </vt:variant>
      <vt:variant>
        <vt:lpwstr/>
      </vt:variant>
      <vt:variant>
        <vt:lpwstr>_Toc200981000</vt:lpwstr>
      </vt:variant>
      <vt:variant>
        <vt:i4>1507379</vt:i4>
      </vt:variant>
      <vt:variant>
        <vt:i4>119</vt:i4>
      </vt:variant>
      <vt:variant>
        <vt:i4>0</vt:i4>
      </vt:variant>
      <vt:variant>
        <vt:i4>5</vt:i4>
      </vt:variant>
      <vt:variant>
        <vt:lpwstr/>
      </vt:variant>
      <vt:variant>
        <vt:lpwstr>_Toc200980999</vt:lpwstr>
      </vt:variant>
      <vt:variant>
        <vt:i4>1507379</vt:i4>
      </vt:variant>
      <vt:variant>
        <vt:i4>113</vt:i4>
      </vt:variant>
      <vt:variant>
        <vt:i4>0</vt:i4>
      </vt:variant>
      <vt:variant>
        <vt:i4>5</vt:i4>
      </vt:variant>
      <vt:variant>
        <vt:lpwstr/>
      </vt:variant>
      <vt:variant>
        <vt:lpwstr>_Toc200980998</vt:lpwstr>
      </vt:variant>
      <vt:variant>
        <vt:i4>1507379</vt:i4>
      </vt:variant>
      <vt:variant>
        <vt:i4>107</vt:i4>
      </vt:variant>
      <vt:variant>
        <vt:i4>0</vt:i4>
      </vt:variant>
      <vt:variant>
        <vt:i4>5</vt:i4>
      </vt:variant>
      <vt:variant>
        <vt:lpwstr/>
      </vt:variant>
      <vt:variant>
        <vt:lpwstr>_Toc200980997</vt:lpwstr>
      </vt:variant>
      <vt:variant>
        <vt:i4>1507379</vt:i4>
      </vt:variant>
      <vt:variant>
        <vt:i4>101</vt:i4>
      </vt:variant>
      <vt:variant>
        <vt:i4>0</vt:i4>
      </vt:variant>
      <vt:variant>
        <vt:i4>5</vt:i4>
      </vt:variant>
      <vt:variant>
        <vt:lpwstr/>
      </vt:variant>
      <vt:variant>
        <vt:lpwstr>_Toc200980996</vt:lpwstr>
      </vt:variant>
      <vt:variant>
        <vt:i4>1507379</vt:i4>
      </vt:variant>
      <vt:variant>
        <vt:i4>95</vt:i4>
      </vt:variant>
      <vt:variant>
        <vt:i4>0</vt:i4>
      </vt:variant>
      <vt:variant>
        <vt:i4>5</vt:i4>
      </vt:variant>
      <vt:variant>
        <vt:lpwstr/>
      </vt:variant>
      <vt:variant>
        <vt:lpwstr>_Toc200980995</vt:lpwstr>
      </vt:variant>
      <vt:variant>
        <vt:i4>1507379</vt:i4>
      </vt:variant>
      <vt:variant>
        <vt:i4>89</vt:i4>
      </vt:variant>
      <vt:variant>
        <vt:i4>0</vt:i4>
      </vt:variant>
      <vt:variant>
        <vt:i4>5</vt:i4>
      </vt:variant>
      <vt:variant>
        <vt:lpwstr/>
      </vt:variant>
      <vt:variant>
        <vt:lpwstr>_Toc200980994</vt:lpwstr>
      </vt:variant>
      <vt:variant>
        <vt:i4>1507379</vt:i4>
      </vt:variant>
      <vt:variant>
        <vt:i4>83</vt:i4>
      </vt:variant>
      <vt:variant>
        <vt:i4>0</vt:i4>
      </vt:variant>
      <vt:variant>
        <vt:i4>5</vt:i4>
      </vt:variant>
      <vt:variant>
        <vt:lpwstr/>
      </vt:variant>
      <vt:variant>
        <vt:lpwstr>_Toc200980993</vt:lpwstr>
      </vt:variant>
      <vt:variant>
        <vt:i4>1507379</vt:i4>
      </vt:variant>
      <vt:variant>
        <vt:i4>77</vt:i4>
      </vt:variant>
      <vt:variant>
        <vt:i4>0</vt:i4>
      </vt:variant>
      <vt:variant>
        <vt:i4>5</vt:i4>
      </vt:variant>
      <vt:variant>
        <vt:lpwstr/>
      </vt:variant>
      <vt:variant>
        <vt:lpwstr>_Toc200980992</vt:lpwstr>
      </vt:variant>
      <vt:variant>
        <vt:i4>1507379</vt:i4>
      </vt:variant>
      <vt:variant>
        <vt:i4>71</vt:i4>
      </vt:variant>
      <vt:variant>
        <vt:i4>0</vt:i4>
      </vt:variant>
      <vt:variant>
        <vt:i4>5</vt:i4>
      </vt:variant>
      <vt:variant>
        <vt:lpwstr/>
      </vt:variant>
      <vt:variant>
        <vt:lpwstr>_Toc200980991</vt:lpwstr>
      </vt:variant>
      <vt:variant>
        <vt:i4>1507379</vt:i4>
      </vt:variant>
      <vt:variant>
        <vt:i4>65</vt:i4>
      </vt:variant>
      <vt:variant>
        <vt:i4>0</vt:i4>
      </vt:variant>
      <vt:variant>
        <vt:i4>5</vt:i4>
      </vt:variant>
      <vt:variant>
        <vt:lpwstr/>
      </vt:variant>
      <vt:variant>
        <vt:lpwstr>_Toc200980990</vt:lpwstr>
      </vt:variant>
      <vt:variant>
        <vt:i4>1441843</vt:i4>
      </vt:variant>
      <vt:variant>
        <vt:i4>59</vt:i4>
      </vt:variant>
      <vt:variant>
        <vt:i4>0</vt:i4>
      </vt:variant>
      <vt:variant>
        <vt:i4>5</vt:i4>
      </vt:variant>
      <vt:variant>
        <vt:lpwstr/>
      </vt:variant>
      <vt:variant>
        <vt:lpwstr>_Toc200980989</vt:lpwstr>
      </vt:variant>
      <vt:variant>
        <vt:i4>1441843</vt:i4>
      </vt:variant>
      <vt:variant>
        <vt:i4>53</vt:i4>
      </vt:variant>
      <vt:variant>
        <vt:i4>0</vt:i4>
      </vt:variant>
      <vt:variant>
        <vt:i4>5</vt:i4>
      </vt:variant>
      <vt:variant>
        <vt:lpwstr/>
      </vt:variant>
      <vt:variant>
        <vt:lpwstr>_Toc200980988</vt:lpwstr>
      </vt:variant>
      <vt:variant>
        <vt:i4>1441843</vt:i4>
      </vt:variant>
      <vt:variant>
        <vt:i4>47</vt:i4>
      </vt:variant>
      <vt:variant>
        <vt:i4>0</vt:i4>
      </vt:variant>
      <vt:variant>
        <vt:i4>5</vt:i4>
      </vt:variant>
      <vt:variant>
        <vt:lpwstr/>
      </vt:variant>
      <vt:variant>
        <vt:lpwstr>_Toc200980987</vt:lpwstr>
      </vt:variant>
      <vt:variant>
        <vt:i4>1441843</vt:i4>
      </vt:variant>
      <vt:variant>
        <vt:i4>41</vt:i4>
      </vt:variant>
      <vt:variant>
        <vt:i4>0</vt:i4>
      </vt:variant>
      <vt:variant>
        <vt:i4>5</vt:i4>
      </vt:variant>
      <vt:variant>
        <vt:lpwstr/>
      </vt:variant>
      <vt:variant>
        <vt:lpwstr>_Toc200980986</vt:lpwstr>
      </vt:variant>
      <vt:variant>
        <vt:i4>1441843</vt:i4>
      </vt:variant>
      <vt:variant>
        <vt:i4>35</vt:i4>
      </vt:variant>
      <vt:variant>
        <vt:i4>0</vt:i4>
      </vt:variant>
      <vt:variant>
        <vt:i4>5</vt:i4>
      </vt:variant>
      <vt:variant>
        <vt:lpwstr/>
      </vt:variant>
      <vt:variant>
        <vt:lpwstr>_Toc200980985</vt:lpwstr>
      </vt:variant>
      <vt:variant>
        <vt:i4>1441843</vt:i4>
      </vt:variant>
      <vt:variant>
        <vt:i4>29</vt:i4>
      </vt:variant>
      <vt:variant>
        <vt:i4>0</vt:i4>
      </vt:variant>
      <vt:variant>
        <vt:i4>5</vt:i4>
      </vt:variant>
      <vt:variant>
        <vt:lpwstr/>
      </vt:variant>
      <vt:variant>
        <vt:lpwstr>_Toc200980984</vt:lpwstr>
      </vt:variant>
      <vt:variant>
        <vt:i4>1441843</vt:i4>
      </vt:variant>
      <vt:variant>
        <vt:i4>23</vt:i4>
      </vt:variant>
      <vt:variant>
        <vt:i4>0</vt:i4>
      </vt:variant>
      <vt:variant>
        <vt:i4>5</vt:i4>
      </vt:variant>
      <vt:variant>
        <vt:lpwstr/>
      </vt:variant>
      <vt:variant>
        <vt:lpwstr>_Toc200980983</vt:lpwstr>
      </vt:variant>
      <vt:variant>
        <vt:i4>1441843</vt:i4>
      </vt:variant>
      <vt:variant>
        <vt:i4>17</vt:i4>
      </vt:variant>
      <vt:variant>
        <vt:i4>0</vt:i4>
      </vt:variant>
      <vt:variant>
        <vt:i4>5</vt:i4>
      </vt:variant>
      <vt:variant>
        <vt:lpwstr/>
      </vt:variant>
      <vt:variant>
        <vt:lpwstr>_Toc200980982</vt:lpwstr>
      </vt:variant>
      <vt:variant>
        <vt:i4>1441843</vt:i4>
      </vt:variant>
      <vt:variant>
        <vt:i4>11</vt:i4>
      </vt:variant>
      <vt:variant>
        <vt:i4>0</vt:i4>
      </vt:variant>
      <vt:variant>
        <vt:i4>5</vt:i4>
      </vt:variant>
      <vt:variant>
        <vt:lpwstr/>
      </vt:variant>
      <vt:variant>
        <vt:lpwstr>_Toc200980981</vt:lpwstr>
      </vt:variant>
      <vt:variant>
        <vt:i4>1441843</vt:i4>
      </vt:variant>
      <vt:variant>
        <vt:i4>5</vt:i4>
      </vt:variant>
      <vt:variant>
        <vt:i4>0</vt:i4>
      </vt:variant>
      <vt:variant>
        <vt:i4>5</vt:i4>
      </vt:variant>
      <vt:variant>
        <vt:lpwstr/>
      </vt:variant>
      <vt:variant>
        <vt:lpwstr>_Toc200980980</vt:lpwstr>
      </vt:variant>
      <vt:variant>
        <vt:i4>3539044</vt:i4>
      </vt:variant>
      <vt:variant>
        <vt:i4>0</vt:i4>
      </vt:variant>
      <vt:variant>
        <vt:i4>0</vt:i4>
      </vt:variant>
      <vt:variant>
        <vt:i4>5</vt:i4>
      </vt:variant>
      <vt:variant>
        <vt:lpwstr>https://www.pmc.gov.au/resources/commonwealth-coat-arms-information-and-guidelines</vt:lpwstr>
      </vt:variant>
      <vt:variant>
        <vt:lpwstr/>
      </vt:variant>
      <vt:variant>
        <vt:i4>6029379</vt:i4>
      </vt:variant>
      <vt:variant>
        <vt:i4>3</vt:i4>
      </vt:variant>
      <vt:variant>
        <vt:i4>0</vt:i4>
      </vt:variant>
      <vt:variant>
        <vt:i4>5</vt:i4>
      </vt:variant>
      <vt:variant>
        <vt:lpwstr>https://www.classification.gov.au/sites/default/files/2019-08/cost-recovery-implementation-statement-classification-fees.pdf</vt:lpwstr>
      </vt:variant>
      <vt:variant>
        <vt:lpwstr/>
      </vt:variant>
      <vt:variant>
        <vt:i4>6815863</vt:i4>
      </vt:variant>
      <vt:variant>
        <vt:i4>0</vt:i4>
      </vt:variant>
      <vt:variant>
        <vt:i4>0</vt:i4>
      </vt:variant>
      <vt:variant>
        <vt:i4>5</vt:i4>
      </vt:variant>
      <vt:variant>
        <vt:lpwstr>https://www.finance.gov.au/government/managing-commonwealth-resources/implementing-charging-framework-rmg-302/glossary-terms-charging-framework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Paper - Cost Recovery Implementation Statement for Classification Services</dc:title>
  <dc:subject/>
  <dc:creator>Australian Classification Branch</dc:creator>
  <cp:keywords>n.n</cp:keywords>
  <dc:description/>
  <cp:lastModifiedBy>Qin, Airina</cp:lastModifiedBy>
  <cp:revision>3</cp:revision>
  <cp:lastPrinted>2025-06-19T01:07:00Z</cp:lastPrinted>
  <dcterms:created xsi:type="dcterms:W3CDTF">2025-06-19T01:07:00Z</dcterms:created>
  <dcterms:modified xsi:type="dcterms:W3CDTF">2025-06-19T01:08:00Z</dcterms:modified>
  <cp:category>mm/yyyy</cp:category>
  <cp:contentStatus>OFFICIAL / OFFICIAL: SENSITIVE / PROTECTEDSELECT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0x01010090E814B380E74B41B976DEF5EB851DCD</vt:lpwstr>
  </property>
</Properties>
</file>