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993B" w14:textId="2AC0F864" w:rsidR="00F00E2D" w:rsidRDefault="00F00E2D" w:rsidP="00033CFE">
      <w:pPr>
        <w:suppressAutoHyphens/>
        <w:spacing w:before="160"/>
        <w:rPr>
          <w:rFonts w:eastAsia="SimSun" w:cs="Times New Roman"/>
          <w:b/>
          <w:color w:val="081E3E"/>
          <w:kern w:val="12"/>
          <w:sz w:val="44"/>
          <w:szCs w:val="5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A344F2E" wp14:editId="31E6A294">
            <wp:simplePos x="0" y="0"/>
            <wp:positionH relativeFrom="page">
              <wp:align>left</wp:align>
            </wp:positionH>
            <wp:positionV relativeFrom="paragraph">
              <wp:posOffset>-812800</wp:posOffset>
            </wp:positionV>
            <wp:extent cx="7538085" cy="1936750"/>
            <wp:effectExtent l="0" t="0" r="5715" b="6350"/>
            <wp:wrapNone/>
            <wp:docPr id="3" name="Picture 3" descr="Australian Government, Department of Infrastructure, Transport, Regional Development, Communications, Sport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-with-inline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85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8FF62" w14:textId="77777777" w:rsidR="00F00E2D" w:rsidRDefault="00F00E2D" w:rsidP="00033CFE">
      <w:pPr>
        <w:suppressAutoHyphens/>
        <w:spacing w:before="160"/>
        <w:rPr>
          <w:rFonts w:eastAsia="SimSun" w:cs="Times New Roman"/>
          <w:b/>
          <w:color w:val="081E3E"/>
          <w:kern w:val="12"/>
          <w:sz w:val="44"/>
          <w:szCs w:val="52"/>
        </w:rPr>
      </w:pPr>
    </w:p>
    <w:p w14:paraId="59F2E3E3" w14:textId="77777777" w:rsidR="00F00E2D" w:rsidRPr="00F00E2D" w:rsidRDefault="00F00E2D" w:rsidP="00033CFE">
      <w:pPr>
        <w:suppressAutoHyphens/>
        <w:spacing w:before="160"/>
        <w:rPr>
          <w:rFonts w:eastAsia="SimSun" w:cs="Times New Roman"/>
          <w:b/>
          <w:color w:val="081E3E"/>
          <w:kern w:val="12"/>
          <w:sz w:val="18"/>
        </w:rPr>
      </w:pPr>
    </w:p>
    <w:p w14:paraId="6978A3BC" w14:textId="0771B917" w:rsidR="00033CFE" w:rsidRPr="00352B24" w:rsidRDefault="00033CFE" w:rsidP="000D5B99">
      <w:pPr>
        <w:pStyle w:val="Heading1"/>
      </w:pPr>
      <w:r w:rsidRPr="00352B24">
        <w:t xml:space="preserve">Guidance to the </w:t>
      </w:r>
      <w:r w:rsidR="00122D85">
        <w:t xml:space="preserve">Sydney Airport </w:t>
      </w:r>
      <w:r w:rsidRPr="00352B24">
        <w:t>Slot Manager – Operator Non-Compliance</w:t>
      </w:r>
    </w:p>
    <w:p w14:paraId="542E48C0" w14:textId="6A81B04D" w:rsidR="00033CFE" w:rsidRPr="00B041CB" w:rsidRDefault="003871D3" w:rsidP="00033CFE">
      <w:pPr>
        <w:suppressAutoHyphens/>
        <w:spacing w:before="160"/>
        <w:rPr>
          <w:rFonts w:eastAsia="Calibri" w:cs="Times New Roman"/>
          <w:b/>
          <w:color w:val="081E3E"/>
          <w:kern w:val="12"/>
          <w:szCs w:val="20"/>
        </w:rPr>
      </w:pPr>
      <w:r>
        <w:rPr>
          <w:rFonts w:eastAsia="Calibri" w:cs="Times New Roman"/>
          <w:b/>
          <w:color w:val="081E3E"/>
          <w:kern w:val="12"/>
          <w:szCs w:val="20"/>
        </w:rPr>
        <w:t>March</w:t>
      </w:r>
      <w:r w:rsidR="00033CFE" w:rsidRPr="00B041CB">
        <w:rPr>
          <w:rFonts w:eastAsia="Calibri" w:cs="Times New Roman"/>
          <w:b/>
          <w:color w:val="081E3E"/>
          <w:kern w:val="12"/>
          <w:szCs w:val="20"/>
        </w:rPr>
        <w:t xml:space="preserve"> </w:t>
      </w:r>
      <w:r w:rsidR="00033CFE">
        <w:rPr>
          <w:rFonts w:eastAsia="Calibri" w:cs="Times New Roman"/>
          <w:b/>
          <w:color w:val="081E3E"/>
          <w:kern w:val="12"/>
          <w:szCs w:val="20"/>
        </w:rPr>
        <w:t>2026</w:t>
      </w:r>
    </w:p>
    <w:p w14:paraId="5FA34C41" w14:textId="77777777" w:rsidR="00B041CB" w:rsidRPr="00B041CB" w:rsidRDefault="00B041CB" w:rsidP="00906533">
      <w:pPr>
        <w:pBdr>
          <w:bottom w:val="single" w:sz="4" w:space="1" w:color="C0D48F"/>
        </w:pBdr>
        <w:suppressAutoHyphens/>
        <w:spacing w:before="160" w:after="360"/>
        <w:rPr>
          <w:rFonts w:eastAsia="Calibri" w:cs="Times New Roman"/>
          <w:color w:val="000000"/>
          <w:kern w:val="12"/>
          <w:szCs w:val="20"/>
        </w:rPr>
      </w:pPr>
    </w:p>
    <w:p w14:paraId="2EF176C4" w14:textId="374C9DA0" w:rsidR="00502647" w:rsidRPr="00B5266C" w:rsidRDefault="008351E7" w:rsidP="000D5B99">
      <w:pPr>
        <w:pStyle w:val="Heading2notshowing"/>
      </w:pPr>
      <w:bookmarkStart w:id="0" w:name="_How_to_add"/>
      <w:bookmarkEnd w:id="0"/>
      <w:r>
        <w:t>S</w:t>
      </w:r>
      <w:r w:rsidR="00502647" w:rsidRPr="00B5266C">
        <w:t xml:space="preserve">ydney </w:t>
      </w:r>
      <w:r w:rsidR="00122D85">
        <w:t xml:space="preserve">Airport Slot </w:t>
      </w:r>
      <w:r w:rsidR="00122D85" w:rsidRPr="000D5B99">
        <w:t>Management</w:t>
      </w:r>
      <w:r w:rsidR="00122D85">
        <w:t xml:space="preserve"> Scheme 2025</w:t>
      </w:r>
    </w:p>
    <w:p w14:paraId="418DF8C7" w14:textId="55EE401C" w:rsidR="00E9413F" w:rsidRPr="002E1C5C" w:rsidRDefault="00502647" w:rsidP="001D1553">
      <w:r w:rsidRPr="00B5266C">
        <w:t xml:space="preserve">This document provides guidance to the </w:t>
      </w:r>
      <w:r w:rsidR="00122D85">
        <w:t xml:space="preserve">Sydney Airport </w:t>
      </w:r>
      <w:r w:rsidRPr="00B5266C">
        <w:t xml:space="preserve">Slot Manager </w:t>
      </w:r>
      <w:r w:rsidR="00122D85">
        <w:t xml:space="preserve">about </w:t>
      </w:r>
      <w:r w:rsidRPr="00B5266C">
        <w:t xml:space="preserve">administrative </w:t>
      </w:r>
      <w:r w:rsidR="00122D85">
        <w:t>actions available</w:t>
      </w:r>
      <w:r w:rsidRPr="00B5266C">
        <w:t xml:space="preserve"> under section 32 of the Sydney Airport Slot Management Scheme 2025 </w:t>
      </w:r>
      <w:r w:rsidR="00122D85">
        <w:t xml:space="preserve">(the Scheme) </w:t>
      </w:r>
      <w:r w:rsidR="00DE7685">
        <w:t>in relation to</w:t>
      </w:r>
      <w:r w:rsidRPr="00B5266C">
        <w:t xml:space="preserve"> operator </w:t>
      </w:r>
      <w:r w:rsidR="00122D85">
        <w:t>non</w:t>
      </w:r>
      <w:r w:rsidRPr="00B5266C">
        <w:t>-compliance with</w:t>
      </w:r>
      <w:r w:rsidR="00122D85">
        <w:t xml:space="preserve"> Part 5 of the </w:t>
      </w:r>
      <w:r w:rsidR="00122D85" w:rsidRPr="001D1553">
        <w:rPr>
          <w:i/>
          <w:iCs/>
        </w:rPr>
        <w:t>S</w:t>
      </w:r>
      <w:r w:rsidR="00E9413F" w:rsidRPr="001D1553">
        <w:rPr>
          <w:i/>
          <w:iCs/>
        </w:rPr>
        <w:t>ydney Airport Demand Management Act 1997</w:t>
      </w:r>
      <w:r w:rsidR="00E9413F" w:rsidRPr="002E1C5C">
        <w:t xml:space="preserve"> (the Act)</w:t>
      </w:r>
      <w:r w:rsidR="00122D85">
        <w:t>.</w:t>
      </w:r>
    </w:p>
    <w:p w14:paraId="1A4F0484" w14:textId="2B83C73D" w:rsidR="003E2F9E" w:rsidRPr="00B5266C" w:rsidRDefault="003E2F9E" w:rsidP="001D1553">
      <w:r w:rsidRPr="00B5266C">
        <w:t xml:space="preserve">This document </w:t>
      </w:r>
      <w:r w:rsidR="00DE7685">
        <w:t>is</w:t>
      </w:r>
      <w:r w:rsidRPr="00B5266C">
        <w:t xml:space="preserve"> guidance published by the Department of Infrastructure, Transport, Regional Development, Communications, Sport and the Arts (the department) </w:t>
      </w:r>
      <w:r w:rsidR="00D3201F">
        <w:t>and</w:t>
      </w:r>
      <w:r w:rsidR="00DE7685">
        <w:t xml:space="preserve"> is accompanied by other materials including the </w:t>
      </w:r>
      <w:r w:rsidR="00DE7685" w:rsidRPr="001D1553">
        <w:rPr>
          <w:i/>
          <w:iCs/>
        </w:rPr>
        <w:t xml:space="preserve">Sydney Airport Demand Management </w:t>
      </w:r>
      <w:r w:rsidRPr="001D1553">
        <w:rPr>
          <w:i/>
          <w:iCs/>
        </w:rPr>
        <w:t>Compliance</w:t>
      </w:r>
      <w:r w:rsidR="00DE7685" w:rsidRPr="001D1553">
        <w:rPr>
          <w:i/>
          <w:iCs/>
        </w:rPr>
        <w:t xml:space="preserve"> &amp;</w:t>
      </w:r>
      <w:r w:rsidRPr="001D1553">
        <w:rPr>
          <w:i/>
          <w:iCs/>
        </w:rPr>
        <w:t xml:space="preserve"> Enforcement Strategy</w:t>
      </w:r>
      <w:r w:rsidR="00DE7685">
        <w:rPr>
          <w:i/>
          <w:iCs/>
        </w:rPr>
        <w:t xml:space="preserve"> </w:t>
      </w:r>
      <w:r w:rsidR="00DE7685" w:rsidRPr="001D1553">
        <w:t xml:space="preserve">and the </w:t>
      </w:r>
      <w:r w:rsidR="00DE7685" w:rsidRPr="001D1553">
        <w:rPr>
          <w:i/>
          <w:iCs/>
        </w:rPr>
        <w:t>G</w:t>
      </w:r>
      <w:r w:rsidRPr="001D1553">
        <w:rPr>
          <w:i/>
          <w:iCs/>
        </w:rPr>
        <w:t xml:space="preserve">uidance to the </w:t>
      </w:r>
      <w:r w:rsidR="009B591B">
        <w:rPr>
          <w:i/>
          <w:iCs/>
        </w:rPr>
        <w:t xml:space="preserve">Sydney Airport </w:t>
      </w:r>
      <w:r w:rsidRPr="001D1553">
        <w:rPr>
          <w:i/>
          <w:iCs/>
        </w:rPr>
        <w:t xml:space="preserve">Slot Manager </w:t>
      </w:r>
      <w:r w:rsidR="00DE7685" w:rsidRPr="001D1553">
        <w:rPr>
          <w:i/>
          <w:iCs/>
        </w:rPr>
        <w:t>–</w:t>
      </w:r>
      <w:r w:rsidRPr="001D1553">
        <w:rPr>
          <w:i/>
          <w:iCs/>
        </w:rPr>
        <w:t xml:space="preserve"> Publication</w:t>
      </w:r>
      <w:r w:rsidR="00DE7685">
        <w:t xml:space="preserve"> </w:t>
      </w:r>
      <w:r w:rsidR="004B4C5E">
        <w:t>published</w:t>
      </w:r>
      <w:r w:rsidR="00DE7685">
        <w:t xml:space="preserve"> </w:t>
      </w:r>
      <w:r w:rsidR="00D3201F">
        <w:t xml:space="preserve">on the </w:t>
      </w:r>
      <w:hyperlink r:id="rId9" w:history="1">
        <w:r w:rsidR="00D3201F" w:rsidRPr="000C643B">
          <w:rPr>
            <w:rStyle w:val="Hyperlink"/>
          </w:rPr>
          <w:t>department’s website</w:t>
        </w:r>
      </w:hyperlink>
      <w:r w:rsidR="00D3201F">
        <w:t xml:space="preserve">. </w:t>
      </w:r>
    </w:p>
    <w:p w14:paraId="15EA4DAE" w14:textId="25B11661" w:rsidR="008D4163" w:rsidRPr="008D4163" w:rsidRDefault="008D4163" w:rsidP="000D5B99">
      <w:pPr>
        <w:pStyle w:val="Heading2notshowing"/>
      </w:pPr>
      <w:r w:rsidRPr="008D4163">
        <w:t xml:space="preserve">Administrative </w:t>
      </w:r>
      <w:r w:rsidR="00BD3A95">
        <w:t>A</w:t>
      </w:r>
      <w:r w:rsidRPr="008D4163">
        <w:t xml:space="preserve">ctions </w:t>
      </w:r>
    </w:p>
    <w:p w14:paraId="55695AD6" w14:textId="4C912DAE" w:rsidR="008A3047" w:rsidRPr="00A22F4D" w:rsidRDefault="008A3047" w:rsidP="008A3047">
      <w:pPr>
        <w:spacing w:before="120"/>
      </w:pPr>
      <w:r w:rsidRPr="00B5266C">
        <w:t xml:space="preserve">Section 32 of the Scheme </w:t>
      </w:r>
      <w:r w:rsidR="00DE7685">
        <w:t>provides</w:t>
      </w:r>
      <w:r w:rsidRPr="00B5266C">
        <w:t xml:space="preserve"> a</w:t>
      </w:r>
      <w:r w:rsidR="00DE7685">
        <w:t xml:space="preserve"> number of</w:t>
      </w:r>
      <w:r w:rsidRPr="00B5266C">
        <w:t xml:space="preserve"> remedial actions available to the Slot Manager where, following monitoring, the Slot Manager is satisfied on reasonable grounds that an airline operator has failed to comply (the </w:t>
      </w:r>
      <w:r w:rsidRPr="00A22F4D">
        <w:t xml:space="preserve">non-compliance) with a civil penalty provision of Division 4 of Part 3 of the Act. </w:t>
      </w:r>
    </w:p>
    <w:p w14:paraId="6AE833E0" w14:textId="56CCB043" w:rsidR="005F7B3B" w:rsidRPr="00A22F4D" w:rsidRDefault="00E232F7" w:rsidP="005F7B3B">
      <w:pPr>
        <w:spacing w:before="120"/>
      </w:pPr>
      <w:r w:rsidRPr="00A22F4D">
        <w:t>Subsection 32(2) of the Scheme provides t</w:t>
      </w:r>
      <w:r w:rsidR="008A3047" w:rsidRPr="00A22F4D">
        <w:t>he Slot Manager may, by written notice (the compliance notice) to the operator, take one or more of the following actions.</w:t>
      </w:r>
    </w:p>
    <w:p w14:paraId="06406839" w14:textId="54920F14" w:rsidR="003A13D4" w:rsidRPr="00B5266C" w:rsidRDefault="003A13D4" w:rsidP="00B3414C">
      <w:pPr>
        <w:pStyle w:val="ListParagraph"/>
        <w:numPr>
          <w:ilvl w:val="0"/>
          <w:numId w:val="23"/>
        </w:numPr>
      </w:pPr>
      <w:r w:rsidRPr="00B5266C">
        <w:t xml:space="preserve">To inform the operator of the </w:t>
      </w:r>
      <w:r w:rsidR="000C643B" w:rsidRPr="00B5266C">
        <w:t>non-compliance and</w:t>
      </w:r>
      <w:r w:rsidRPr="00B5266C">
        <w:t xml:space="preserve"> warn the operator of the action that may be taken in response to the apparent non-compliance.</w:t>
      </w:r>
    </w:p>
    <w:p w14:paraId="6FEAFE8A" w14:textId="77777777" w:rsidR="003A13D4" w:rsidRPr="00B5266C" w:rsidRDefault="003A13D4" w:rsidP="00B3414C">
      <w:pPr>
        <w:pStyle w:val="ListParagraph"/>
        <w:numPr>
          <w:ilvl w:val="0"/>
          <w:numId w:val="23"/>
        </w:numPr>
      </w:pPr>
      <w:r w:rsidRPr="00B5266C">
        <w:t>Refer the non-compliance to the Compliance Committee.</w:t>
      </w:r>
    </w:p>
    <w:p w14:paraId="2533D7F0" w14:textId="77777777" w:rsidR="003A13D4" w:rsidRPr="00B5266C" w:rsidRDefault="003A13D4" w:rsidP="00B3414C">
      <w:pPr>
        <w:pStyle w:val="ListParagraph"/>
        <w:numPr>
          <w:ilvl w:val="0"/>
          <w:numId w:val="23"/>
        </w:numPr>
      </w:pPr>
      <w:r w:rsidRPr="00B5266C">
        <w:t>Refer the non-compliance to the Minister for possible action under Part 5 of the Act.</w:t>
      </w:r>
    </w:p>
    <w:p w14:paraId="50EFE9EE" w14:textId="406C01D9" w:rsidR="003A13D4" w:rsidRPr="00B5266C" w:rsidRDefault="003A13D4" w:rsidP="00B3414C">
      <w:pPr>
        <w:pStyle w:val="ListParagraph"/>
        <w:numPr>
          <w:ilvl w:val="0"/>
          <w:numId w:val="23"/>
        </w:numPr>
      </w:pPr>
      <w:r w:rsidRPr="00B5266C">
        <w:t>Enter into a performance plan with the operator under which the operator agrees to take specified action</w:t>
      </w:r>
      <w:r w:rsidR="00C1729C">
        <w:t>s</w:t>
      </w:r>
      <w:r w:rsidRPr="00B5266C">
        <w:t>, or agrees to refrain from taking specified action</w:t>
      </w:r>
      <w:r w:rsidR="00C1729C">
        <w:t>s</w:t>
      </w:r>
      <w:r w:rsidRPr="00B5266C">
        <w:t>, to improve the operator’s performance in relation to slot use.</w:t>
      </w:r>
    </w:p>
    <w:p w14:paraId="1EEE1DD7" w14:textId="77777777" w:rsidR="003A13D4" w:rsidRPr="00B5266C" w:rsidRDefault="003A13D4" w:rsidP="00B3414C">
      <w:pPr>
        <w:pStyle w:val="ListParagraph"/>
        <w:numPr>
          <w:ilvl w:val="0"/>
          <w:numId w:val="23"/>
        </w:numPr>
      </w:pPr>
      <w:r w:rsidRPr="00B5266C">
        <w:t>Suspend the slot, slot group or slot series allocated to the operator for a specified period (which must not exceed the remainder of the scheduling season).</w:t>
      </w:r>
    </w:p>
    <w:p w14:paraId="1870FF9A" w14:textId="4BA47613" w:rsidR="00A63782" w:rsidRPr="00B5266C" w:rsidRDefault="003A13D4" w:rsidP="00B3414C">
      <w:pPr>
        <w:pStyle w:val="ListParagraph"/>
        <w:numPr>
          <w:ilvl w:val="0"/>
          <w:numId w:val="23"/>
        </w:numPr>
      </w:pPr>
      <w:r w:rsidRPr="00B5266C">
        <w:t>Cancel the slot, slot group or slot series allocated to the operator.</w:t>
      </w:r>
    </w:p>
    <w:p w14:paraId="0F2A264B" w14:textId="2C8CDCE0" w:rsidR="00E9413F" w:rsidRPr="003836A5" w:rsidRDefault="00A63782" w:rsidP="003836A5">
      <w:pPr>
        <w:pStyle w:val="Bullet1"/>
        <w:numPr>
          <w:ilvl w:val="0"/>
          <w:numId w:val="0"/>
        </w:numPr>
        <w:rPr>
          <w:lang w:val="en-AU"/>
        </w:rPr>
      </w:pPr>
      <w:bookmarkStart w:id="1" w:name="_Hlk222132520"/>
      <w:r w:rsidRPr="00B5266C">
        <w:rPr>
          <w:lang w:val="en-AU"/>
        </w:rPr>
        <w:t xml:space="preserve">The </w:t>
      </w:r>
      <w:hyperlink r:id="rId10" w:history="1">
        <w:r w:rsidRPr="000C643B">
          <w:rPr>
            <w:rStyle w:val="Hyperlink"/>
            <w:lang w:val="en-AU"/>
          </w:rPr>
          <w:t>Minister</w:t>
        </w:r>
        <w:r w:rsidR="00945993" w:rsidRPr="000C643B">
          <w:rPr>
            <w:rStyle w:val="Hyperlink"/>
            <w:lang w:val="en-AU"/>
          </w:rPr>
          <w:t>’</w:t>
        </w:r>
        <w:r w:rsidRPr="000C643B">
          <w:rPr>
            <w:rStyle w:val="Hyperlink"/>
            <w:lang w:val="en-AU"/>
          </w:rPr>
          <w:t>s Statement of Expectations</w:t>
        </w:r>
      </w:hyperlink>
      <w:r w:rsidRPr="00B5266C">
        <w:rPr>
          <w:lang w:val="en-AU"/>
        </w:rPr>
        <w:t xml:space="preserve"> </w:t>
      </w:r>
      <w:bookmarkEnd w:id="1"/>
      <w:r w:rsidRPr="00B5266C">
        <w:rPr>
          <w:lang w:val="en-AU"/>
        </w:rPr>
        <w:t xml:space="preserve">outlines an obligation for the slot manager to </w:t>
      </w:r>
      <w:r w:rsidR="007265C2">
        <w:rPr>
          <w:lang w:val="en-AU"/>
        </w:rPr>
        <w:t>work with the department to establish a</w:t>
      </w:r>
      <w:r w:rsidRPr="00B5266C">
        <w:rPr>
          <w:lang w:val="en-AU"/>
        </w:rPr>
        <w:t xml:space="preserve"> routine</w:t>
      </w:r>
      <w:r w:rsidR="007265C2">
        <w:rPr>
          <w:lang w:val="en-AU"/>
        </w:rPr>
        <w:t xml:space="preserve"> transfer of</w:t>
      </w:r>
      <w:r w:rsidRPr="00B5266C">
        <w:rPr>
          <w:lang w:val="en-AU"/>
        </w:rPr>
        <w:t xml:space="preserve"> information about slot use and non-compliance with the Act. This information will be used by the </w:t>
      </w:r>
      <w:r w:rsidR="00226A28">
        <w:rPr>
          <w:lang w:val="en-AU"/>
        </w:rPr>
        <w:t>department</w:t>
      </w:r>
      <w:r w:rsidR="00226A28" w:rsidRPr="00B5266C">
        <w:rPr>
          <w:lang w:val="en-AU"/>
        </w:rPr>
        <w:t xml:space="preserve"> </w:t>
      </w:r>
      <w:r w:rsidRPr="00B5266C">
        <w:rPr>
          <w:lang w:val="en-AU"/>
        </w:rPr>
        <w:t>to track non-compliance</w:t>
      </w:r>
      <w:r w:rsidR="00383D86">
        <w:rPr>
          <w:lang w:val="en-AU"/>
        </w:rPr>
        <w:t xml:space="preserve"> with the Act</w:t>
      </w:r>
      <w:r w:rsidRPr="00B5266C">
        <w:rPr>
          <w:lang w:val="en-AU"/>
        </w:rPr>
        <w:t xml:space="preserve"> in addition to the </w:t>
      </w:r>
      <w:r w:rsidR="00383D86">
        <w:rPr>
          <w:lang w:val="en-AU"/>
        </w:rPr>
        <w:t>S</w:t>
      </w:r>
      <w:r w:rsidRPr="00B5266C">
        <w:rPr>
          <w:lang w:val="en-AU"/>
        </w:rPr>
        <w:t xml:space="preserve">lot </w:t>
      </w:r>
      <w:r w:rsidR="00383D86">
        <w:rPr>
          <w:lang w:val="en-AU"/>
        </w:rPr>
        <w:t>M</w:t>
      </w:r>
      <w:r w:rsidRPr="00B5266C">
        <w:rPr>
          <w:lang w:val="en-AU"/>
        </w:rPr>
        <w:t>anager</w:t>
      </w:r>
      <w:r w:rsidR="00760011">
        <w:rPr>
          <w:lang w:val="en-AU"/>
        </w:rPr>
        <w:t>’s</w:t>
      </w:r>
      <w:r w:rsidRPr="00B5266C">
        <w:rPr>
          <w:lang w:val="en-AU"/>
        </w:rPr>
        <w:t xml:space="preserve"> application of section</w:t>
      </w:r>
      <w:r w:rsidR="00383D86">
        <w:rPr>
          <w:lang w:val="en-AU"/>
        </w:rPr>
        <w:t> </w:t>
      </w:r>
      <w:r w:rsidRPr="00B5266C">
        <w:rPr>
          <w:lang w:val="en-AU"/>
        </w:rPr>
        <w:t>32</w:t>
      </w:r>
      <w:r w:rsidR="00383D86">
        <w:rPr>
          <w:lang w:val="en-AU"/>
        </w:rPr>
        <w:t xml:space="preserve"> of the Scheme</w:t>
      </w:r>
      <w:r w:rsidRPr="00B5266C">
        <w:rPr>
          <w:lang w:val="en-AU"/>
        </w:rPr>
        <w:t xml:space="preserve">. </w:t>
      </w:r>
    </w:p>
    <w:p w14:paraId="7932C0D7" w14:textId="77777777" w:rsidR="00DE7685" w:rsidRDefault="00DE7685">
      <w:pPr>
        <w:spacing w:after="160" w:line="259" w:lineRule="auto"/>
        <w:rPr>
          <w:rFonts w:eastAsia="SimSun" w:cs="Times New Roman"/>
          <w:b/>
          <w:color w:val="081E3E" w:themeColor="text2"/>
          <w:kern w:val="12"/>
          <w:sz w:val="26"/>
          <w:szCs w:val="24"/>
        </w:rPr>
      </w:pPr>
      <w:r>
        <w:br w:type="page"/>
      </w:r>
    </w:p>
    <w:p w14:paraId="22F24FCE" w14:textId="1C5D74B6" w:rsidR="00911A20" w:rsidRDefault="00911A20" w:rsidP="00F67FAE">
      <w:pPr>
        <w:pStyle w:val="Heading2notshowing"/>
      </w:pPr>
      <w:r w:rsidRPr="00911A20">
        <w:lastRenderedPageBreak/>
        <w:t xml:space="preserve">Slot </w:t>
      </w:r>
      <w:r w:rsidR="00DE3BAF">
        <w:t>U</w:t>
      </w:r>
      <w:r w:rsidRPr="00911A20">
        <w:t xml:space="preserve">se </w:t>
      </w:r>
      <w:r w:rsidR="00DE3BAF">
        <w:t>D</w:t>
      </w:r>
      <w:r w:rsidRPr="00911A20">
        <w:t xml:space="preserve">ata </w:t>
      </w:r>
    </w:p>
    <w:p w14:paraId="41386EBA" w14:textId="1409BB37" w:rsidR="00711E18" w:rsidRPr="00B5266C" w:rsidRDefault="00711E18" w:rsidP="00711E18">
      <w:r w:rsidRPr="00B5266C">
        <w:t xml:space="preserve">The </w:t>
      </w:r>
      <w:r w:rsidR="00022BA5">
        <w:t>S</w:t>
      </w:r>
      <w:r w:rsidRPr="00B5266C">
        <w:t xml:space="preserve">lot </w:t>
      </w:r>
      <w:r w:rsidR="00022BA5">
        <w:t>M</w:t>
      </w:r>
      <w:r w:rsidRPr="00B5266C">
        <w:t>anager should keep records about slot use at Sydney Airport</w:t>
      </w:r>
      <w:r w:rsidR="00153644">
        <w:t>. It is important the Slot Manager</w:t>
      </w:r>
      <w:r w:rsidRPr="00B5266C">
        <w:t>:</w:t>
      </w:r>
    </w:p>
    <w:p w14:paraId="298EA953" w14:textId="765FC0F6" w:rsidR="00DE3BAF" w:rsidRDefault="00711E18" w:rsidP="000D5B99">
      <w:pPr>
        <w:pStyle w:val="Listparagraphbullets"/>
      </w:pPr>
      <w:r w:rsidRPr="00B5266C">
        <w:t>Monitor</w:t>
      </w:r>
      <w:r w:rsidR="00153644">
        <w:t>s</w:t>
      </w:r>
      <w:r w:rsidRPr="00B5266C">
        <w:t>, gather</w:t>
      </w:r>
      <w:r w:rsidR="00153644">
        <w:t>s</w:t>
      </w:r>
      <w:r w:rsidRPr="00B5266C">
        <w:t xml:space="preserve"> and analyse</w:t>
      </w:r>
      <w:r w:rsidR="00153644">
        <w:t>s</w:t>
      </w:r>
      <w:r w:rsidRPr="00B5266C">
        <w:t xml:space="preserve"> data using</w:t>
      </w:r>
      <w:r w:rsidR="00A07885">
        <w:t xml:space="preserve"> a</w:t>
      </w:r>
      <w:r w:rsidRPr="00B5266C">
        <w:t xml:space="preserve"> robust methodology</w:t>
      </w:r>
      <w:r w:rsidR="00F6278E">
        <w:t>.</w:t>
      </w:r>
    </w:p>
    <w:p w14:paraId="74E220D0" w14:textId="709EFA1A" w:rsidR="00711E18" w:rsidRPr="001D1553" w:rsidRDefault="00153644" w:rsidP="000D5B99">
      <w:pPr>
        <w:pStyle w:val="Listparagraphbullets"/>
      </w:pPr>
      <w:r>
        <w:t>Checks</w:t>
      </w:r>
      <w:r w:rsidR="00DE3BAF" w:rsidRPr="00DE3BAF">
        <w:t xml:space="preserve"> </w:t>
      </w:r>
      <w:r w:rsidR="00BD3A95">
        <w:t xml:space="preserve">its </w:t>
      </w:r>
      <w:r w:rsidR="00DE3BAF" w:rsidRPr="00DE3BAF">
        <w:t xml:space="preserve">data </w:t>
      </w:r>
      <w:r>
        <w:t xml:space="preserve">as appropriate, calling on </w:t>
      </w:r>
      <w:r w:rsidR="00DE3BAF" w:rsidRPr="00DE3BAF">
        <w:t xml:space="preserve">a </w:t>
      </w:r>
      <w:r w:rsidR="00711E18" w:rsidRPr="00DE3BAF">
        <w:t xml:space="preserve">range of </w:t>
      </w:r>
      <w:r w:rsidR="00DE3BAF">
        <w:t xml:space="preserve">sources </w:t>
      </w:r>
      <w:r w:rsidR="00BD3A95">
        <w:t>of</w:t>
      </w:r>
      <w:r w:rsidR="00DE3BAF">
        <w:t xml:space="preserve"> slot use</w:t>
      </w:r>
      <w:r w:rsidR="00BD3A95">
        <w:t xml:space="preserve"> information</w:t>
      </w:r>
      <w:r w:rsidR="00711E18" w:rsidRPr="00DE3BAF">
        <w:t xml:space="preserve"> including</w:t>
      </w:r>
      <w:r w:rsidR="00DE3BAF">
        <w:t xml:space="preserve"> data held by </w:t>
      </w:r>
      <w:r w:rsidR="00711E18" w:rsidRPr="00DE3BAF">
        <w:t>Airservices Australia</w:t>
      </w:r>
      <w:r w:rsidR="00DE3BAF">
        <w:t>, operators and</w:t>
      </w:r>
      <w:r w:rsidR="00711E18" w:rsidRPr="00DE3BAF">
        <w:t xml:space="preserve"> Sydney Airport Corporation Ltd (SACL).</w:t>
      </w:r>
    </w:p>
    <w:p w14:paraId="7D665015" w14:textId="0E4313A5" w:rsidR="00413442" w:rsidRPr="00B5266C" w:rsidRDefault="00413442" w:rsidP="00413442">
      <w:r w:rsidRPr="00B5266C">
        <w:t>Section</w:t>
      </w:r>
      <w:r w:rsidR="000F5E10">
        <w:t>s 40,</w:t>
      </w:r>
      <w:r w:rsidRPr="00B5266C">
        <w:t xml:space="preserve"> 42 </w:t>
      </w:r>
      <w:r w:rsidR="000F5E10">
        <w:t xml:space="preserve">and 43 </w:t>
      </w:r>
      <w:r w:rsidRPr="00B5266C">
        <w:t xml:space="preserve">of the </w:t>
      </w:r>
      <w:r w:rsidR="00DE7685">
        <w:t xml:space="preserve">Sydney Airport Demand Management Regulations 2025 (the </w:t>
      </w:r>
      <w:r w:rsidRPr="00B5266C">
        <w:t>Regulations</w:t>
      </w:r>
      <w:r w:rsidR="00DE7685">
        <w:t>)</w:t>
      </w:r>
      <w:r w:rsidRPr="00B5266C">
        <w:t xml:space="preserve"> permit the Slot Manager to request access to records about slot use</w:t>
      </w:r>
      <w:r w:rsidR="00343866">
        <w:t xml:space="preserve"> </w:t>
      </w:r>
      <w:r w:rsidR="000F5E10">
        <w:t xml:space="preserve">from Airservices, an operator and </w:t>
      </w:r>
      <w:r w:rsidR="00026083">
        <w:t>SACL</w:t>
      </w:r>
      <w:r w:rsidR="000F5E10">
        <w:t xml:space="preserve">. </w:t>
      </w:r>
      <w:r w:rsidRPr="00B5266C">
        <w:t>Th</w:t>
      </w:r>
      <w:r w:rsidR="000F5E10">
        <w:t>e</w:t>
      </w:r>
      <w:r w:rsidRPr="00B5266C">
        <w:t>s</w:t>
      </w:r>
      <w:r w:rsidR="000F5E10">
        <w:t>e</w:t>
      </w:r>
      <w:r w:rsidRPr="00B5266C">
        <w:t xml:space="preserve"> provision</w:t>
      </w:r>
      <w:r w:rsidR="000F5E10">
        <w:t>s</w:t>
      </w:r>
      <w:r w:rsidRPr="00B5266C">
        <w:t xml:space="preserve"> </w:t>
      </w:r>
      <w:r w:rsidR="00922578">
        <w:t>enable</w:t>
      </w:r>
      <w:r w:rsidRPr="00B5266C">
        <w:t>:</w:t>
      </w:r>
    </w:p>
    <w:p w14:paraId="431E5377" w14:textId="715D441D" w:rsidR="00153644" w:rsidRDefault="00153644" w:rsidP="000D5B99">
      <w:pPr>
        <w:pStyle w:val="Listparagraphbullets"/>
      </w:pPr>
      <w:r>
        <w:t xml:space="preserve">Regular systemic cross-checking of slot allocations with actual air movements recorded by Airservices and SACL. </w:t>
      </w:r>
    </w:p>
    <w:p w14:paraId="4A80D6E6" w14:textId="028087B7" w:rsidR="00BD3A95" w:rsidRDefault="001E68DC" w:rsidP="000D5B99">
      <w:pPr>
        <w:pStyle w:val="Listparagraphbullets"/>
      </w:pPr>
      <w:r>
        <w:t>E</w:t>
      </w:r>
      <w:r w:rsidR="00BD3A95">
        <w:t>ngagement</w:t>
      </w:r>
      <w:r w:rsidR="00BD3A95" w:rsidRPr="00B5266C">
        <w:t xml:space="preserve"> between the Slot Manager and</w:t>
      </w:r>
      <w:r w:rsidR="00BD3A95">
        <w:t xml:space="preserve"> an</w:t>
      </w:r>
      <w:r w:rsidR="00BD3A95" w:rsidRPr="00B5266C">
        <w:t xml:space="preserve"> operator about </w:t>
      </w:r>
      <w:r w:rsidR="00BD3A95">
        <w:t>ad</w:t>
      </w:r>
      <w:r w:rsidR="00760011">
        <w:t xml:space="preserve"> </w:t>
      </w:r>
      <w:r w:rsidR="00BD3A95">
        <w:t>hoc</w:t>
      </w:r>
      <w:r w:rsidR="00BD3A95" w:rsidRPr="00B5266C">
        <w:t xml:space="preserve"> non-compliance</w:t>
      </w:r>
      <w:r w:rsidR="00BD3A95">
        <w:t xml:space="preserve"> with the Act</w:t>
      </w:r>
      <w:r w:rsidR="00BD3A95" w:rsidRPr="00B5266C">
        <w:t xml:space="preserve"> to </w:t>
      </w:r>
      <w:r w:rsidR="00A07885">
        <w:t xml:space="preserve">help </w:t>
      </w:r>
      <w:r w:rsidR="00BD3A95" w:rsidRPr="00B5266C">
        <w:t xml:space="preserve">prevent </w:t>
      </w:r>
      <w:r w:rsidR="00A07885">
        <w:t xml:space="preserve">repeated </w:t>
      </w:r>
      <w:r w:rsidR="00BD3A95" w:rsidRPr="00B5266C">
        <w:t>non-compliance</w:t>
      </w:r>
      <w:r>
        <w:t>.</w:t>
      </w:r>
    </w:p>
    <w:p w14:paraId="591B40FF" w14:textId="12FC8DEE" w:rsidR="00413442" w:rsidRPr="00B5266C" w:rsidRDefault="00922578" w:rsidP="000D5B99">
      <w:pPr>
        <w:pStyle w:val="Listparagraphbullets"/>
      </w:pPr>
      <w:r>
        <w:t>Slot Manager collect</w:t>
      </w:r>
      <w:r w:rsidR="001E68DC">
        <w:t>ion of</w:t>
      </w:r>
      <w:r>
        <w:t xml:space="preserve"> information mandated for publication under section 47 of the Regulations</w:t>
      </w:r>
      <w:r w:rsidR="00BD3A95">
        <w:t>.</w:t>
      </w:r>
    </w:p>
    <w:p w14:paraId="7FDBDC4A" w14:textId="741E8436" w:rsidR="00BD3A95" w:rsidRDefault="00DE3BAF" w:rsidP="00BD3A95">
      <w:r w:rsidRPr="00B5266C">
        <w:t xml:space="preserve">The Slot Manager should monitor slot </w:t>
      </w:r>
      <w:r>
        <w:t xml:space="preserve">use </w:t>
      </w:r>
      <w:r w:rsidRPr="00B5266C">
        <w:t xml:space="preserve">data with a focus on identifying </w:t>
      </w:r>
      <w:r w:rsidR="00FC4E13">
        <w:t xml:space="preserve">a </w:t>
      </w:r>
      <w:r w:rsidRPr="00B5266C">
        <w:t xml:space="preserve">pattern in </w:t>
      </w:r>
      <w:r w:rsidR="00FC4E13">
        <w:t xml:space="preserve">operator </w:t>
      </w:r>
      <w:r w:rsidRPr="00B5266C">
        <w:t>non-compliance</w:t>
      </w:r>
      <w:r w:rsidR="007E1B38">
        <w:t>,</w:t>
      </w:r>
      <w:r>
        <w:t xml:space="preserve"> following which</w:t>
      </w:r>
      <w:r w:rsidRPr="00B5266C">
        <w:t xml:space="preserve"> </w:t>
      </w:r>
      <w:r>
        <w:t>it</w:t>
      </w:r>
      <w:r w:rsidRPr="00B5266C">
        <w:t xml:space="preserve"> should </w:t>
      </w:r>
      <w:r>
        <w:t xml:space="preserve">promptly </w:t>
      </w:r>
      <w:r w:rsidRPr="00B5266C">
        <w:t xml:space="preserve">act to address non-compliance with the Act </w:t>
      </w:r>
      <w:r w:rsidR="00FC4E13">
        <w:t xml:space="preserve">by </w:t>
      </w:r>
      <w:r w:rsidR="00A07885">
        <w:t xml:space="preserve">leveraging </w:t>
      </w:r>
      <w:r w:rsidR="00153644">
        <w:t>its</w:t>
      </w:r>
      <w:r w:rsidR="00A07885">
        <w:t xml:space="preserve"> powers under </w:t>
      </w:r>
      <w:r w:rsidR="00A07885" w:rsidRPr="00B5266C">
        <w:t>section 32 of the Scheme</w:t>
      </w:r>
      <w:r w:rsidRPr="00B5266C">
        <w:t xml:space="preserve">. </w:t>
      </w:r>
    </w:p>
    <w:p w14:paraId="4C0E0175" w14:textId="33C089F3" w:rsidR="001A6253" w:rsidRDefault="001A6253" w:rsidP="00F67FAE">
      <w:pPr>
        <w:pStyle w:val="Heading2notshowing"/>
      </w:pPr>
      <w:r>
        <w:t xml:space="preserve">Issuing a Compliance Notice </w:t>
      </w:r>
    </w:p>
    <w:p w14:paraId="546BF981" w14:textId="2B23F0D7" w:rsidR="00E603CB" w:rsidRPr="00E603CB" w:rsidRDefault="00CB4EFB" w:rsidP="00E603CB">
      <w:r>
        <w:t>A c</w:t>
      </w:r>
      <w:r w:rsidR="00E603CB" w:rsidRPr="00E603CB">
        <w:t>ompliance notice</w:t>
      </w:r>
      <w:r>
        <w:t xml:space="preserve"> is</w:t>
      </w:r>
      <w:r w:rsidR="00E603CB" w:rsidRPr="00E603CB">
        <w:t xml:space="preserve"> appropriate where there are reasonable grounds </w:t>
      </w:r>
      <w:r w:rsidR="002F443F">
        <w:t xml:space="preserve">for the Slot Manager </w:t>
      </w:r>
      <w:r w:rsidR="00E603CB" w:rsidRPr="00E603CB">
        <w:t xml:space="preserve">to believe there is </w:t>
      </w:r>
      <w:r w:rsidR="002F443F">
        <w:t xml:space="preserve">a pattern of </w:t>
      </w:r>
      <w:r w:rsidR="00E603CB" w:rsidRPr="00E603CB">
        <w:t>non-compliance with a civil penalty provision</w:t>
      </w:r>
      <w:r>
        <w:t xml:space="preserve"> of the Act</w:t>
      </w:r>
      <w:r w:rsidR="00E603CB" w:rsidRPr="00E603CB">
        <w:t>.</w:t>
      </w:r>
      <w:r w:rsidR="00381D01">
        <w:t xml:space="preserve"> </w:t>
      </w:r>
    </w:p>
    <w:p w14:paraId="29FDF900" w14:textId="1E983F77" w:rsidR="00950997" w:rsidRDefault="00950997" w:rsidP="00E603CB">
      <w:r>
        <w:t xml:space="preserve">Compliance notices should clearly present: </w:t>
      </w:r>
    </w:p>
    <w:p w14:paraId="28E27363" w14:textId="541E4876" w:rsidR="00950997" w:rsidRDefault="008209C1" w:rsidP="000D5B99">
      <w:pPr>
        <w:pStyle w:val="Listparagraphbullets"/>
      </w:pPr>
      <w:r>
        <w:t xml:space="preserve">The relevant </w:t>
      </w:r>
      <w:r w:rsidR="00950997">
        <w:t>instances identified by the Slot Manager of apparent non-compliance with the Act</w:t>
      </w:r>
      <w:r w:rsidR="00297FE5">
        <w:t>.</w:t>
      </w:r>
      <w:r>
        <w:t xml:space="preserve"> </w:t>
      </w:r>
    </w:p>
    <w:p w14:paraId="25553695" w14:textId="66975BC6" w:rsidR="008209C1" w:rsidRDefault="008209C1" w:rsidP="000D5B99">
      <w:pPr>
        <w:pStyle w:val="Listparagraphbullets"/>
      </w:pPr>
      <w:r>
        <w:t>Slot Manager observations about the pattern of non-compliance</w:t>
      </w:r>
      <w:r w:rsidR="00297FE5">
        <w:t>.</w:t>
      </w:r>
    </w:p>
    <w:p w14:paraId="28E77F64" w14:textId="7510659B" w:rsidR="008209C1" w:rsidRDefault="008209C1" w:rsidP="000D5B99">
      <w:pPr>
        <w:pStyle w:val="Listparagraphbullets"/>
      </w:pPr>
      <w:r>
        <w:t>Slot Manager nomination of the appropriate remedial action</w:t>
      </w:r>
      <w:r w:rsidR="009C03CA">
        <w:t>.</w:t>
      </w:r>
      <w:r>
        <w:t xml:space="preserve"> </w:t>
      </w:r>
    </w:p>
    <w:p w14:paraId="21FBBDDA" w14:textId="5696DAFE" w:rsidR="008209C1" w:rsidRDefault="008209C1" w:rsidP="000D5B99">
      <w:pPr>
        <w:pStyle w:val="Listparagraphbullets"/>
      </w:pPr>
      <w:r>
        <w:t xml:space="preserve">Next steps for the operator. </w:t>
      </w:r>
    </w:p>
    <w:p w14:paraId="4D4F9C36" w14:textId="6F73F985" w:rsidR="00E603CB" w:rsidRPr="00E603CB" w:rsidRDefault="00E603CB" w:rsidP="00E603CB">
      <w:r w:rsidRPr="00E603CB">
        <w:t xml:space="preserve">Remedial actions should be </w:t>
      </w:r>
      <w:r w:rsidR="008209C1">
        <w:t>nominated</w:t>
      </w:r>
      <w:r w:rsidR="008209C1" w:rsidRPr="00E603CB">
        <w:t xml:space="preserve"> </w:t>
      </w:r>
      <w:r w:rsidRPr="00E603CB">
        <w:t>based on data</w:t>
      </w:r>
      <w:r w:rsidR="007262C8">
        <w:t xml:space="preserve"> records</w:t>
      </w:r>
      <w:r w:rsidR="00BD3A95">
        <w:t xml:space="preserve"> held by the Slot </w:t>
      </w:r>
      <w:r w:rsidR="007E1B38">
        <w:t>Manager;</w:t>
      </w:r>
      <w:r w:rsidRPr="00E603CB">
        <w:t xml:space="preserve"> the risk associated with the</w:t>
      </w:r>
      <w:r w:rsidR="00BD3A95">
        <w:t xml:space="preserve"> pattern of</w:t>
      </w:r>
      <w:r w:rsidRPr="00E603CB">
        <w:t xml:space="preserve"> </w:t>
      </w:r>
      <w:r w:rsidR="00AC2305" w:rsidRPr="00E603CB">
        <w:t>non-compliance</w:t>
      </w:r>
      <w:r w:rsidR="00AC2305">
        <w:t xml:space="preserve"> and</w:t>
      </w:r>
      <w:r w:rsidRPr="00E603CB">
        <w:t xml:space="preserve"> </w:t>
      </w:r>
      <w:r w:rsidR="008209C1">
        <w:t xml:space="preserve">be </w:t>
      </w:r>
      <w:r w:rsidRPr="00E603CB">
        <w:t xml:space="preserve">focused on achieving compliance with the Act. </w:t>
      </w:r>
    </w:p>
    <w:p w14:paraId="242CB9D8" w14:textId="60766189" w:rsidR="00E603CB" w:rsidRPr="00E603CB" w:rsidRDefault="00E603CB" w:rsidP="001D1553">
      <w:r w:rsidRPr="00E603CB">
        <w:rPr>
          <w:b/>
          <w:bCs/>
        </w:rPr>
        <w:t>Risk-based</w:t>
      </w:r>
      <w:r w:rsidRPr="00E603CB">
        <w:t xml:space="preserve"> – </w:t>
      </w:r>
      <w:r w:rsidR="008209C1">
        <w:t>The Slot Manager should c</w:t>
      </w:r>
      <w:r w:rsidRPr="00E603CB">
        <w:t>onsider</w:t>
      </w:r>
      <w:r w:rsidR="0054774C">
        <w:t xml:space="preserve"> if the pattern of slot misuse</w:t>
      </w:r>
      <w:r w:rsidRPr="00E603CB">
        <w:t xml:space="preserve"> </w:t>
      </w:r>
      <w:r w:rsidR="0054774C">
        <w:t>impacts on the</w:t>
      </w:r>
      <w:r w:rsidR="0054774C" w:rsidRPr="00C71C1E">
        <w:t xml:space="preserve"> </w:t>
      </w:r>
      <w:r w:rsidR="0054774C">
        <w:t xml:space="preserve">competitive use of Sydney Airport’s limited capacity and the efficient utilisation of slots </w:t>
      </w:r>
      <w:r w:rsidR="008209C1">
        <w:t>as well as any intelligence gathered by</w:t>
      </w:r>
      <w:r w:rsidR="00CB4EFB">
        <w:t xml:space="preserve"> or known to</w:t>
      </w:r>
      <w:r w:rsidR="008209C1">
        <w:t xml:space="preserve"> the Slot Manager about the willingness or ability </w:t>
      </w:r>
      <w:r w:rsidR="00CB4EFB">
        <w:t xml:space="preserve">of the operator </w:t>
      </w:r>
      <w:r w:rsidR="008209C1">
        <w:t xml:space="preserve">to comply with the Act. </w:t>
      </w:r>
    </w:p>
    <w:p w14:paraId="36CE358E" w14:textId="17E31ABD" w:rsidR="00E232F7" w:rsidRPr="00E232F7" w:rsidRDefault="00E603CB" w:rsidP="001D1553">
      <w:r w:rsidRPr="00E603CB">
        <w:rPr>
          <w:b/>
          <w:bCs/>
        </w:rPr>
        <w:t xml:space="preserve">Outcomes focused </w:t>
      </w:r>
      <w:r w:rsidRPr="00E603CB">
        <w:t xml:space="preserve">– </w:t>
      </w:r>
      <w:r w:rsidR="00CB4EFB">
        <w:t>T</w:t>
      </w:r>
      <w:r w:rsidRPr="00E603CB">
        <w:t>he</w:t>
      </w:r>
      <w:r w:rsidR="008209C1">
        <w:t xml:space="preserve"> </w:t>
      </w:r>
      <w:r w:rsidR="008209C1" w:rsidRPr="00E603CB">
        <w:t xml:space="preserve">remedial action </w:t>
      </w:r>
      <w:r w:rsidR="008209C1">
        <w:t>nominated by the Slot Manager</w:t>
      </w:r>
      <w:r w:rsidRPr="00E603CB">
        <w:t xml:space="preserve"> should aim to achieve </w:t>
      </w:r>
      <w:r w:rsidR="008209C1">
        <w:t>compliance with the Act. The Slot Manager should consider</w:t>
      </w:r>
      <w:r w:rsidR="00E232F7">
        <w:t xml:space="preserve"> which remedial action is most </w:t>
      </w:r>
      <w:r w:rsidRPr="00E603CB">
        <w:t xml:space="preserve">likely to </w:t>
      </w:r>
      <w:r w:rsidR="00E232F7">
        <w:t>result in a timely correction of the identified pattern of non-compliance.</w:t>
      </w:r>
    </w:p>
    <w:p w14:paraId="4ED679F3" w14:textId="3C9D1938" w:rsidR="00E603CB" w:rsidRPr="00EA156B" w:rsidRDefault="00EA156B" w:rsidP="000D5B99">
      <w:pPr>
        <w:pStyle w:val="Heading3notshowing"/>
      </w:pPr>
      <w:r w:rsidRPr="00122D85">
        <w:t>Slot Manager &amp; Operator Resolution</w:t>
      </w:r>
    </w:p>
    <w:p w14:paraId="680CDEF5" w14:textId="24702869" w:rsidR="00C8155B" w:rsidRDefault="00EA156B" w:rsidP="00C8155B">
      <w:r>
        <w:t>In some instances of non-compliance with the Act</w:t>
      </w:r>
      <w:r w:rsidR="00E73B44">
        <w:t>,</w:t>
      </w:r>
      <w:r>
        <w:t xml:space="preserve"> </w:t>
      </w:r>
      <w:r w:rsidR="00ED09B9">
        <w:t>an</w:t>
      </w:r>
      <w:r>
        <w:t xml:space="preserve"> operator may be </w:t>
      </w:r>
      <w:r w:rsidR="00ED09B9">
        <w:t xml:space="preserve">willing and </w:t>
      </w:r>
      <w:r>
        <w:t xml:space="preserve">able to </w:t>
      </w:r>
      <w:r w:rsidR="00ED09B9">
        <w:t>correct the pattern if it is clearly identified</w:t>
      </w:r>
      <w:r w:rsidR="00E73B44">
        <w:t xml:space="preserve"> by the Slot Manager and brought to the operator’s attention</w:t>
      </w:r>
      <w:r w:rsidR="00ED09B9">
        <w:t xml:space="preserve">. </w:t>
      </w:r>
      <w:r w:rsidR="00C8155B" w:rsidRPr="00E603CB">
        <w:t xml:space="preserve">Circumstances </w:t>
      </w:r>
      <w:r w:rsidR="00E73B44">
        <w:t>where</w:t>
      </w:r>
      <w:r w:rsidR="008F39E1">
        <w:t>, with the support of the Slot Manager,</w:t>
      </w:r>
      <w:r w:rsidR="00E73B44">
        <w:t xml:space="preserve"> </w:t>
      </w:r>
      <w:r w:rsidR="008F39E1">
        <w:t xml:space="preserve">compliance may be achieved by an operator as </w:t>
      </w:r>
      <w:r w:rsidR="00C8155B" w:rsidRPr="00E603CB">
        <w:t xml:space="preserve">a </w:t>
      </w:r>
      <w:r w:rsidR="008F39E1">
        <w:t xml:space="preserve">change from previous patterns of non-compliance </w:t>
      </w:r>
      <w:r w:rsidR="00C8155B" w:rsidRPr="00E603CB">
        <w:t>include</w:t>
      </w:r>
      <w:r w:rsidR="008E3CDA">
        <w:t xml:space="preserve"> where</w:t>
      </w:r>
      <w:r w:rsidR="00C8155B">
        <w:t>:</w:t>
      </w:r>
    </w:p>
    <w:p w14:paraId="677A3E86" w14:textId="2ED57707" w:rsidR="00C8155B" w:rsidRDefault="008E3CDA" w:rsidP="000D5B99">
      <w:pPr>
        <w:pStyle w:val="Listparagraphbullets"/>
      </w:pPr>
      <w:r>
        <w:t>T</w:t>
      </w:r>
      <w:r w:rsidR="00EA156B">
        <w:t>he pattern of non-compliance is newly identified</w:t>
      </w:r>
      <w:r w:rsidR="00E84346">
        <w:t>.</w:t>
      </w:r>
    </w:p>
    <w:p w14:paraId="62BA7783" w14:textId="5AB960B4" w:rsidR="00C8155B" w:rsidRDefault="00F5702D" w:rsidP="00B3414C">
      <w:pPr>
        <w:pStyle w:val="ListParagraph"/>
        <w:numPr>
          <w:ilvl w:val="0"/>
          <w:numId w:val="27"/>
        </w:numPr>
      </w:pPr>
      <w:r>
        <w:t>T</w:t>
      </w:r>
      <w:r w:rsidR="00C8155B">
        <w:t>he Slot Manager anticipates</w:t>
      </w:r>
      <w:r w:rsidR="00C8155B" w:rsidRPr="00E603CB">
        <w:t xml:space="preserve"> that </w:t>
      </w:r>
      <w:r w:rsidR="00C8155B">
        <w:t>with education or support an operator is likely to</w:t>
      </w:r>
      <w:r w:rsidR="00C8155B" w:rsidRPr="00E603CB">
        <w:t xml:space="preserve"> achieve compliance</w:t>
      </w:r>
      <w:r w:rsidR="00C8155B">
        <w:t xml:space="preserve"> with the Act</w:t>
      </w:r>
      <w:r w:rsidR="008F39E1">
        <w:t xml:space="preserve"> in the future</w:t>
      </w:r>
      <w:r w:rsidR="00C8155B">
        <w:t>.</w:t>
      </w:r>
      <w:r w:rsidR="00C8155B" w:rsidRPr="00E603CB">
        <w:t xml:space="preserve"> </w:t>
      </w:r>
    </w:p>
    <w:p w14:paraId="4900CF00" w14:textId="66FD081C" w:rsidR="00ED09B9" w:rsidRPr="00E603CB" w:rsidRDefault="00A2223E" w:rsidP="001D1553">
      <w:r>
        <w:t>In these circumstances</w:t>
      </w:r>
      <w:r w:rsidR="00ED09B9" w:rsidRPr="00E603CB">
        <w:t xml:space="preserve"> the Slot Manager should consider</w:t>
      </w:r>
      <w:r w:rsidR="00ED09B9">
        <w:t xml:space="preserve"> which of the following</w:t>
      </w:r>
      <w:r w:rsidR="004E592E">
        <w:t xml:space="preserve"> remedial actions</w:t>
      </w:r>
      <w:r w:rsidR="00ED09B9">
        <w:t xml:space="preserve"> may achieve compliance with the Act.</w:t>
      </w:r>
      <w:r w:rsidR="00ED09B9" w:rsidRPr="00E603CB">
        <w:t xml:space="preserve"> </w:t>
      </w:r>
    </w:p>
    <w:p w14:paraId="0CB6D699" w14:textId="77777777" w:rsidR="00CE6835" w:rsidRDefault="00CE6835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B08060E" w14:textId="4AA57A6C" w:rsidR="00C8155B" w:rsidRPr="001D1553" w:rsidRDefault="00ED09B9" w:rsidP="001D1553">
      <w:pPr>
        <w:rPr>
          <w:b/>
          <w:bCs/>
        </w:rPr>
      </w:pPr>
      <w:r>
        <w:rPr>
          <w:b/>
          <w:bCs/>
        </w:rPr>
        <w:lastRenderedPageBreak/>
        <w:t xml:space="preserve">Providing </w:t>
      </w:r>
      <w:r w:rsidRPr="001D1553">
        <w:rPr>
          <w:b/>
          <w:bCs/>
        </w:rPr>
        <w:t xml:space="preserve">Information </w:t>
      </w:r>
      <w:r>
        <w:rPr>
          <w:b/>
          <w:bCs/>
        </w:rPr>
        <w:t>&amp;</w:t>
      </w:r>
      <w:r w:rsidRPr="001D1553">
        <w:rPr>
          <w:b/>
          <w:bCs/>
        </w:rPr>
        <w:t xml:space="preserve"> </w:t>
      </w:r>
      <w:r>
        <w:rPr>
          <w:b/>
          <w:bCs/>
        </w:rPr>
        <w:t>W</w:t>
      </w:r>
      <w:r w:rsidRPr="001D1553">
        <w:rPr>
          <w:b/>
          <w:bCs/>
        </w:rPr>
        <w:t xml:space="preserve">arning of </w:t>
      </w:r>
      <w:r>
        <w:rPr>
          <w:b/>
          <w:bCs/>
        </w:rPr>
        <w:t>P</w:t>
      </w:r>
      <w:r w:rsidRPr="001D1553">
        <w:rPr>
          <w:b/>
          <w:bCs/>
        </w:rPr>
        <w:t xml:space="preserve">ossible </w:t>
      </w:r>
      <w:r>
        <w:rPr>
          <w:b/>
          <w:bCs/>
        </w:rPr>
        <w:t>A</w:t>
      </w:r>
      <w:r w:rsidRPr="001D1553">
        <w:rPr>
          <w:b/>
          <w:bCs/>
        </w:rPr>
        <w:t xml:space="preserve">ctions </w:t>
      </w:r>
      <w:r w:rsidRPr="001D1553">
        <w:t>(sub</w:t>
      </w:r>
      <w:r w:rsidRPr="00ED09B9">
        <w:t>s</w:t>
      </w:r>
      <w:r w:rsidR="00C8155B" w:rsidRPr="001D1553">
        <w:t>ection 32(2)(a)</w:t>
      </w:r>
      <w:r w:rsidR="004E48B4">
        <w:t xml:space="preserve"> of the Scheme</w:t>
      </w:r>
      <w:r w:rsidRPr="001D1553">
        <w:t>)</w:t>
      </w:r>
      <w:r w:rsidR="00C8155B" w:rsidRPr="001D1553">
        <w:rPr>
          <w:b/>
          <w:bCs/>
        </w:rPr>
        <w:t xml:space="preserve"> </w:t>
      </w:r>
    </w:p>
    <w:p w14:paraId="71607193" w14:textId="70226AD6" w:rsidR="00C8155B" w:rsidRPr="00E603CB" w:rsidRDefault="00C8155B" w:rsidP="000D5B99">
      <w:pPr>
        <w:pStyle w:val="Listparagraphbullets"/>
      </w:pPr>
      <w:r>
        <w:t>P</w:t>
      </w:r>
      <w:r w:rsidRPr="00E603CB">
        <w:t>rovid</w:t>
      </w:r>
      <w:r w:rsidR="00310C1D">
        <w:t>e</w:t>
      </w:r>
      <w:r w:rsidRPr="00E603CB">
        <w:t xml:space="preserve"> </w:t>
      </w:r>
      <w:r>
        <w:t xml:space="preserve">the operator with </w:t>
      </w:r>
      <w:r w:rsidRPr="00E603CB">
        <w:t>information</w:t>
      </w:r>
      <w:r>
        <w:t xml:space="preserve"> about the identified pattern of apparent non-compliance</w:t>
      </w:r>
      <w:r w:rsidR="009E264B">
        <w:t>.</w:t>
      </w:r>
    </w:p>
    <w:p w14:paraId="1BF2059F" w14:textId="03AA9E89" w:rsidR="00C8155B" w:rsidRPr="00E603CB" w:rsidRDefault="00C8155B" w:rsidP="000D5B99">
      <w:pPr>
        <w:pStyle w:val="Listparagraphbullets"/>
      </w:pPr>
      <w:r>
        <w:t>Issu</w:t>
      </w:r>
      <w:r w:rsidR="00310C1D">
        <w:t>e</w:t>
      </w:r>
      <w:r>
        <w:t xml:space="preserve"> a </w:t>
      </w:r>
      <w:r w:rsidRPr="00E603CB">
        <w:t>warning</w:t>
      </w:r>
      <w:r>
        <w:t xml:space="preserve"> about actions that may be taken if the</w:t>
      </w:r>
      <w:r w:rsidR="00ED09B9">
        <w:t xml:space="preserve"> pattern of</w:t>
      </w:r>
      <w:r>
        <w:t xml:space="preserve"> non-compliance continues</w:t>
      </w:r>
      <w:r w:rsidR="00ED09B9">
        <w:t>.</w:t>
      </w:r>
      <w:r>
        <w:t xml:space="preserve"> </w:t>
      </w:r>
      <w:r w:rsidRPr="00E603CB">
        <w:t xml:space="preserve"> </w:t>
      </w:r>
    </w:p>
    <w:p w14:paraId="2DDD2460" w14:textId="5918333B" w:rsidR="00C8155B" w:rsidRPr="00E603CB" w:rsidRDefault="00ED09B9" w:rsidP="001D1553">
      <w:r w:rsidRPr="001D1553">
        <w:rPr>
          <w:b/>
          <w:bCs/>
        </w:rPr>
        <w:t>Entering a Performance Improvement Action Plan (PIAP)</w:t>
      </w:r>
      <w:r>
        <w:t xml:space="preserve"> </w:t>
      </w:r>
      <w:r w:rsidRPr="00ED09B9">
        <w:t>(</w:t>
      </w:r>
      <w:r w:rsidR="00F5702D">
        <w:t>sub</w:t>
      </w:r>
      <w:r w:rsidRPr="00ED09B9">
        <w:t>s</w:t>
      </w:r>
      <w:r w:rsidR="00C8155B" w:rsidRPr="001D1553">
        <w:t>ection 32(2)(d)</w:t>
      </w:r>
      <w:r w:rsidR="004E48B4">
        <w:t xml:space="preserve"> of the Scheme</w:t>
      </w:r>
      <w:r w:rsidRPr="001D1553">
        <w:t>)</w:t>
      </w:r>
      <w:r w:rsidR="00C8155B" w:rsidRPr="00E603CB">
        <w:t xml:space="preserve"> </w:t>
      </w:r>
    </w:p>
    <w:p w14:paraId="63503408" w14:textId="3DD194B7" w:rsidR="00E603CB" w:rsidRPr="00E603CB" w:rsidRDefault="00C8155B" w:rsidP="000D5B99">
      <w:pPr>
        <w:pStyle w:val="Listparagraphbullets"/>
      </w:pPr>
      <w:r>
        <w:t xml:space="preserve">Enter into a </w:t>
      </w:r>
      <w:r w:rsidR="00E603CB" w:rsidRPr="00E603CB">
        <w:t xml:space="preserve">performance improvement plan </w:t>
      </w:r>
      <w:r>
        <w:t>with the operator where it agrees to take or refrain from taking a specified action</w:t>
      </w:r>
      <w:r w:rsidR="00114690">
        <w:t xml:space="preserve"> in order to improve performance</w:t>
      </w:r>
      <w:r>
        <w:t xml:space="preserve">. </w:t>
      </w:r>
    </w:p>
    <w:p w14:paraId="67488A9A" w14:textId="5AE8A21F" w:rsidR="00E603CB" w:rsidRPr="00FA4EB5" w:rsidRDefault="00E603CB" w:rsidP="000D5B99">
      <w:pPr>
        <w:pStyle w:val="Heading3notshowing"/>
      </w:pPr>
      <w:r>
        <w:t>R</w:t>
      </w:r>
      <w:r w:rsidR="00C8155B">
        <w:t xml:space="preserve">eferral to the Compliance Committee </w:t>
      </w:r>
      <w:r w:rsidR="008F39E1">
        <w:t>and the Minister</w:t>
      </w:r>
      <w:r>
        <w:t xml:space="preserve"> </w:t>
      </w:r>
    </w:p>
    <w:p w14:paraId="6ABB03E7" w14:textId="77777777" w:rsidR="0074365F" w:rsidRDefault="00E603CB" w:rsidP="000F5E10">
      <w:r w:rsidRPr="00E603CB">
        <w:t xml:space="preserve">Referral </w:t>
      </w:r>
      <w:r w:rsidR="00B3414C">
        <w:t xml:space="preserve">of </w:t>
      </w:r>
      <w:r w:rsidR="000F5E10">
        <w:t>a pattern of non-compliance with the Act</w:t>
      </w:r>
      <w:r w:rsidRPr="00E603CB">
        <w:t xml:space="preserve"> </w:t>
      </w:r>
      <w:r w:rsidR="000F5E10">
        <w:t xml:space="preserve">to the Minister </w:t>
      </w:r>
      <w:r w:rsidRPr="00E603CB">
        <w:t>may be appropriate when</w:t>
      </w:r>
      <w:r w:rsidR="0074365F">
        <w:t>:</w:t>
      </w:r>
    </w:p>
    <w:p w14:paraId="055DFB35" w14:textId="77777777" w:rsidR="0074365F" w:rsidRDefault="000F5E10" w:rsidP="0074365F">
      <w:pPr>
        <w:pStyle w:val="Listparagraphbullets"/>
        <w:ind w:left="340" w:hanging="340"/>
      </w:pPr>
      <w:r>
        <w:t>an</w:t>
      </w:r>
      <w:r w:rsidRPr="00E603CB">
        <w:t xml:space="preserve"> operator </w:t>
      </w:r>
      <w:r>
        <w:t>has not responded to an earlier approach from the Slot Manager about its non-compliance</w:t>
      </w:r>
      <w:r w:rsidR="0074365F">
        <w:t xml:space="preserve"> (via Slot Manager and operator resolutions as described in the section above);</w:t>
      </w:r>
      <w:r>
        <w:t xml:space="preserve"> or </w:t>
      </w:r>
    </w:p>
    <w:p w14:paraId="15D35996" w14:textId="72E9909E" w:rsidR="00B3414C" w:rsidRDefault="000F5E10" w:rsidP="0074365F">
      <w:pPr>
        <w:pStyle w:val="Listparagraphbullets"/>
        <w:ind w:left="340" w:hanging="340"/>
      </w:pPr>
      <w:r>
        <w:t xml:space="preserve">when </w:t>
      </w:r>
      <w:r w:rsidR="0074365F">
        <w:t xml:space="preserve">commencing or continuing </w:t>
      </w:r>
      <w:r>
        <w:t>d</w:t>
      </w:r>
      <w:r w:rsidR="00310C1D">
        <w:t xml:space="preserve">irect engagement with an operator about its pattern of non-compliance </w:t>
      </w:r>
      <w:r w:rsidR="00E603CB" w:rsidRPr="00E603CB">
        <w:t xml:space="preserve">is unlikely to result in </w:t>
      </w:r>
      <w:r w:rsidR="00310C1D">
        <w:t xml:space="preserve">future </w:t>
      </w:r>
      <w:r w:rsidR="00E603CB" w:rsidRPr="00E603CB">
        <w:t>compliance</w:t>
      </w:r>
      <w:r w:rsidR="00310C1D">
        <w:t xml:space="preserve"> with the Act</w:t>
      </w:r>
      <w:r w:rsidR="00E603CB" w:rsidRPr="00E603CB">
        <w:t xml:space="preserve">. </w:t>
      </w:r>
    </w:p>
    <w:p w14:paraId="7C46B3E7" w14:textId="32DFE45D" w:rsidR="009837FE" w:rsidRDefault="00A2223E" w:rsidP="000F5E10">
      <w:r>
        <w:t>In these circumstances</w:t>
      </w:r>
      <w:r w:rsidR="00581412">
        <w:t xml:space="preserve"> the Slot Manager should consider referral of the pattern of non-compliance to the Minister for possible action under Part 5 of the Act</w:t>
      </w:r>
      <w:r w:rsidR="00581412" w:rsidRPr="00581412">
        <w:rPr>
          <w:b/>
          <w:bCs/>
        </w:rPr>
        <w:t xml:space="preserve"> </w:t>
      </w:r>
      <w:r w:rsidR="00581412" w:rsidRPr="001D1553">
        <w:t>(</w:t>
      </w:r>
      <w:r w:rsidR="005421C9">
        <w:t>sub</w:t>
      </w:r>
      <w:r w:rsidR="00581412" w:rsidRPr="00581412">
        <w:t>s</w:t>
      </w:r>
      <w:r w:rsidR="00581412" w:rsidRPr="001D1553">
        <w:t>ection 32(2)(c)</w:t>
      </w:r>
      <w:r w:rsidR="00A41624">
        <w:t xml:space="preserve"> of the Scheme</w:t>
      </w:r>
      <w:r w:rsidR="00581412">
        <w:t>)</w:t>
      </w:r>
      <w:r w:rsidR="005421C9">
        <w:t xml:space="preserve">. </w:t>
      </w:r>
      <w:r w:rsidR="009837FE">
        <w:t xml:space="preserve">The Slot Manager should make efforts to verify the relevant slot data with </w:t>
      </w:r>
      <w:r w:rsidR="000F2627">
        <w:t xml:space="preserve">records kept by </w:t>
      </w:r>
      <w:r w:rsidR="009837FE">
        <w:t xml:space="preserve">Airservices, the operator and SACL before the pattern of non-compliance is referred to the Minister. </w:t>
      </w:r>
    </w:p>
    <w:p w14:paraId="50C12C57" w14:textId="124BFFD4" w:rsidR="000F5E10" w:rsidRDefault="00F5433B" w:rsidP="000F5E10">
      <w:r>
        <w:t>T</w:t>
      </w:r>
      <w:r w:rsidR="00A0491B">
        <w:t>he</w:t>
      </w:r>
      <w:r w:rsidR="00841EFC">
        <w:t xml:space="preserve"> Slot Manager is a member of the</w:t>
      </w:r>
      <w:r w:rsidR="00A0491B">
        <w:t xml:space="preserve"> Compliance Committee</w:t>
      </w:r>
      <w:r>
        <w:t xml:space="preserve"> </w:t>
      </w:r>
      <w:r w:rsidR="00841EFC">
        <w:t>and is aware of the Committee’s priorities</w:t>
      </w:r>
      <w:r w:rsidR="00F53801">
        <w:t xml:space="preserve"> for reporting to the Minister</w:t>
      </w:r>
      <w:r w:rsidR="00841EFC">
        <w:t xml:space="preserve">. </w:t>
      </w:r>
      <w:r w:rsidR="00A0491B">
        <w:t>W</w:t>
      </w:r>
      <w:r w:rsidR="005421C9">
        <w:t xml:space="preserve">here the </w:t>
      </w:r>
      <w:r>
        <w:t>Slot Manager</w:t>
      </w:r>
      <w:r w:rsidR="006F0834">
        <w:t xml:space="preserve"> </w:t>
      </w:r>
      <w:r w:rsidR="00F53801">
        <w:t>considers</w:t>
      </w:r>
      <w:r w:rsidR="006F0834">
        <w:t xml:space="preserve"> a pattern of non-compliance</w:t>
      </w:r>
      <w:r w:rsidR="005421C9">
        <w:t xml:space="preserve"> </w:t>
      </w:r>
      <w:r w:rsidR="00F53801">
        <w:t xml:space="preserve">is relevant </w:t>
      </w:r>
      <w:r w:rsidR="005421C9">
        <w:t xml:space="preserve">to the </w:t>
      </w:r>
      <w:r>
        <w:t xml:space="preserve">Committee, the </w:t>
      </w:r>
      <w:r w:rsidR="005421C9">
        <w:t xml:space="preserve">Slot Manager may </w:t>
      </w:r>
      <w:r w:rsidR="00F53801">
        <w:t>choose to refer to the Minister and the Committee in parallel.</w:t>
      </w:r>
      <w:r w:rsidR="000F5E10">
        <w:t xml:space="preserve"> </w:t>
      </w:r>
    </w:p>
    <w:p w14:paraId="7BBD935E" w14:textId="347326F9" w:rsidR="00E603CB" w:rsidRPr="00FA4EB5" w:rsidRDefault="00E603CB" w:rsidP="000D5B99">
      <w:pPr>
        <w:pStyle w:val="Heading3notshowing"/>
      </w:pPr>
      <w:r>
        <w:t>S</w:t>
      </w:r>
      <w:r w:rsidR="006112AD">
        <w:t>uspen</w:t>
      </w:r>
      <w:r w:rsidR="00780352">
        <w:t>sion and</w:t>
      </w:r>
      <w:r w:rsidR="006112AD">
        <w:t xml:space="preserve"> Cancel</w:t>
      </w:r>
      <w:r w:rsidR="00780352">
        <w:t>lation of Slot Allocation</w:t>
      </w:r>
    </w:p>
    <w:p w14:paraId="29C7B98E" w14:textId="456B4C92" w:rsidR="00B301A2" w:rsidRDefault="001C5FB5" w:rsidP="00E368D5">
      <w:r>
        <w:t>A Slot Manager</w:t>
      </w:r>
      <w:r w:rsidR="00E603CB" w:rsidRPr="00E603CB">
        <w:t xml:space="preserve"> decision to suspend or cancel slots should </w:t>
      </w:r>
      <w:r>
        <w:t xml:space="preserve">only </w:t>
      </w:r>
      <w:r w:rsidR="00E603CB" w:rsidRPr="00E603CB">
        <w:t xml:space="preserve">be </w:t>
      </w:r>
      <w:r>
        <w:t xml:space="preserve">undertaken in parallel </w:t>
      </w:r>
      <w:r w:rsidR="00E603CB" w:rsidRPr="00E603CB">
        <w:t xml:space="preserve">with a referral </w:t>
      </w:r>
      <w:r>
        <w:t xml:space="preserve">of a pattern of non-compliance </w:t>
      </w:r>
      <w:r w:rsidR="00E603CB" w:rsidRPr="00E603CB">
        <w:t>to the Minister</w:t>
      </w:r>
      <w:r w:rsidR="00CD2A36">
        <w:t xml:space="preserve">. </w:t>
      </w:r>
    </w:p>
    <w:p w14:paraId="3E5F02D4" w14:textId="10F7CE68" w:rsidR="00B301A2" w:rsidRDefault="007A1E84" w:rsidP="00E368D5">
      <w:r>
        <w:t>A decision by the Slot Manager to either suspend (subsection 32(2)(e)) or cancel</w:t>
      </w:r>
      <w:r w:rsidR="00897A36">
        <w:t xml:space="preserve"> (subsection 32(2)(f)</w:t>
      </w:r>
      <w:r w:rsidR="009823B8">
        <w:t xml:space="preserve"> of the Scheme</w:t>
      </w:r>
      <w:r w:rsidR="00897A36">
        <w:t>)</w:t>
      </w:r>
      <w:r>
        <w:t xml:space="preserve"> a slot allocation may be taken when the Slot Manager determines prompt action is required to prevent an operator from continuing a pattern of non-compliance. </w:t>
      </w:r>
      <w:r w:rsidR="00B301A2">
        <w:t xml:space="preserve">The show cause process outlined in subsections 32(4) to 32(8) of the Scheme should be followed. </w:t>
      </w:r>
    </w:p>
    <w:p w14:paraId="1C8D4BD7" w14:textId="19D10EB1" w:rsidR="00CD2A36" w:rsidRDefault="00897A36" w:rsidP="000D5B99">
      <w:pPr>
        <w:rPr>
          <w:noProof/>
        </w:rPr>
      </w:pPr>
      <w:r>
        <w:t>As only cancelled slots can be reallocated to another operator</w:t>
      </w:r>
      <w:r w:rsidR="00155243">
        <w:t>,</w:t>
      </w:r>
      <w:r>
        <w:t xml:space="preserve"> (section 33</w:t>
      </w:r>
      <w:r w:rsidR="00155243">
        <w:t xml:space="preserve"> of the Scheme</w:t>
      </w:r>
      <w:r>
        <w:t xml:space="preserve">) in deciding between the suspension or cancellation of a slot allocation the Slot Manager may consider if the </w:t>
      </w:r>
      <w:r w:rsidR="00E603CB" w:rsidRPr="00E603CB">
        <w:t xml:space="preserve">waitlist for slots indicates another operator would </w:t>
      </w:r>
      <w:r>
        <w:t xml:space="preserve">make </w:t>
      </w:r>
      <w:r w:rsidR="00E603CB" w:rsidRPr="00E603CB">
        <w:t xml:space="preserve">use </w:t>
      </w:r>
      <w:r>
        <w:t xml:space="preserve">of </w:t>
      </w:r>
      <w:r w:rsidR="00E603CB" w:rsidRPr="00E603CB">
        <w:t>the relevant slots</w:t>
      </w:r>
      <w:r>
        <w:t xml:space="preserve">. </w:t>
      </w:r>
    </w:p>
    <w:p w14:paraId="340AA5B4" w14:textId="77777777" w:rsidR="00DA05D2" w:rsidRDefault="00DA05D2" w:rsidP="000D5B99">
      <w:pPr>
        <w:suppressAutoHyphens/>
        <w:spacing w:before="160"/>
        <w:rPr>
          <w:rFonts w:eastAsia="Calibri" w:cs="Times New Roman"/>
          <w:b/>
          <w:bCs/>
          <w:color w:val="0D3064" w:themeColor="text2" w:themeTint="E6"/>
        </w:rPr>
      </w:pPr>
    </w:p>
    <w:p w14:paraId="401B3859" w14:textId="67940181" w:rsidR="00DA05D2" w:rsidRPr="00DA05D2" w:rsidRDefault="00DA05D2" w:rsidP="000D5B99">
      <w:pPr>
        <w:suppressAutoHyphens/>
        <w:spacing w:before="160"/>
        <w:rPr>
          <w:rFonts w:eastAsia="Calibri" w:cs="Times New Roman"/>
          <w:b/>
          <w:bCs/>
          <w:color w:val="002060"/>
        </w:rPr>
      </w:pPr>
      <w:r w:rsidRPr="00DA05D2">
        <w:rPr>
          <w:rFonts w:eastAsia="Calibri" w:cs="Times New Roman"/>
          <w:b/>
          <w:bCs/>
          <w:color w:val="002060"/>
        </w:rPr>
        <w:t>Document Review</w:t>
      </w:r>
    </w:p>
    <w:p w14:paraId="1761D537" w14:textId="75318F24" w:rsidR="000D5B99" w:rsidRDefault="000D5B99" w:rsidP="000D5B99">
      <w:pPr>
        <w:suppressAutoHyphens/>
        <w:spacing w:before="160"/>
        <w:rPr>
          <w:rFonts w:eastAsia="Calibri" w:cs="Times New Roman"/>
          <w:color w:val="000000"/>
        </w:rPr>
      </w:pPr>
      <w:r w:rsidRPr="000D5B99">
        <w:rPr>
          <w:rFonts w:eastAsia="Calibri" w:cs="Times New Roman"/>
          <w:color w:val="000000"/>
        </w:rPr>
        <w:t>This document will be updated periodically to incorporate changes to government policy, amendments to legislation, feedback from industry and other changes required by the department. It is intended th</w:t>
      </w:r>
      <w:r w:rsidR="00DA05D2">
        <w:rPr>
          <w:rFonts w:eastAsia="Calibri" w:cs="Times New Roman"/>
          <w:color w:val="000000"/>
        </w:rPr>
        <w:t>is</w:t>
      </w:r>
      <w:r w:rsidRPr="000D5B99">
        <w:rPr>
          <w:rFonts w:eastAsia="Calibri" w:cs="Times New Roman"/>
          <w:color w:val="000000"/>
        </w:rPr>
        <w:t xml:space="preserve"> </w:t>
      </w:r>
      <w:r>
        <w:rPr>
          <w:rFonts w:eastAsia="Calibri" w:cs="Times New Roman"/>
          <w:color w:val="000000"/>
        </w:rPr>
        <w:t>Guidance</w:t>
      </w:r>
      <w:r w:rsidRPr="000D5B99">
        <w:rPr>
          <w:rFonts w:eastAsia="Calibri" w:cs="Times New Roman"/>
          <w:color w:val="000000"/>
        </w:rPr>
        <w:t xml:space="preserve"> will be reviewed after two years of operation.</w:t>
      </w:r>
    </w:p>
    <w:p w14:paraId="4252E2A9" w14:textId="77777777" w:rsidR="000D5B99" w:rsidRPr="000D5B99" w:rsidRDefault="000D5B99" w:rsidP="000D5B99">
      <w:pPr>
        <w:suppressAutoHyphens/>
        <w:spacing w:before="160"/>
        <w:rPr>
          <w:rFonts w:eastAsia="Calibri" w:cs="Times New Roman"/>
          <w:color w:val="000000"/>
        </w:rPr>
      </w:pPr>
    </w:p>
    <w:tbl>
      <w:tblPr>
        <w:tblStyle w:val="DefaultTable11"/>
        <w:tblpPr w:leftFromText="180" w:rightFromText="180" w:vertAnchor="text" w:tblpY="59"/>
        <w:tblW w:w="4862" w:type="pct"/>
        <w:tblLook w:val="04A0" w:firstRow="1" w:lastRow="0" w:firstColumn="1" w:lastColumn="0" w:noHBand="0" w:noVBand="1"/>
        <w:tblCaption w:val="Document version control table"/>
        <w:tblDescription w:val="The table lists the version number, release date, approver and reason for update."/>
      </w:tblPr>
      <w:tblGrid>
        <w:gridCol w:w="1418"/>
        <w:gridCol w:w="1970"/>
        <w:gridCol w:w="2143"/>
        <w:gridCol w:w="3682"/>
      </w:tblGrid>
      <w:tr w:rsidR="00CD2A36" w:rsidRPr="00A03BA4" w14:paraId="54890648" w14:textId="77777777" w:rsidTr="001D1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hideMark/>
          </w:tcPr>
          <w:p w14:paraId="73A337FE" w14:textId="77777777" w:rsidR="00CD2A36" w:rsidRPr="00A03BA4" w:rsidRDefault="00CD2A36" w:rsidP="001D1553">
            <w:pPr>
              <w:rPr>
                <w:rFonts w:eastAsia="Calibri" w:cs="Times New Roman"/>
                <w:bCs/>
              </w:rPr>
            </w:pPr>
            <w:r w:rsidRPr="00A03BA4">
              <w:rPr>
                <w:rFonts w:eastAsia="Calibri" w:cs="Times New Roman"/>
                <w:bCs/>
              </w:rPr>
              <w:t>Version</w:t>
            </w:r>
          </w:p>
        </w:tc>
        <w:tc>
          <w:tcPr>
            <w:tcW w:w="1069" w:type="pct"/>
            <w:hideMark/>
          </w:tcPr>
          <w:p w14:paraId="57A7F0A6" w14:textId="77777777" w:rsidR="00CD2A36" w:rsidRPr="00A03BA4" w:rsidRDefault="00CD2A36" w:rsidP="001D15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</w:rPr>
            </w:pPr>
            <w:r w:rsidRPr="00A03BA4">
              <w:rPr>
                <w:rFonts w:eastAsia="Calibri" w:cs="Times New Roman"/>
                <w:bCs/>
              </w:rPr>
              <w:t>Release date</w:t>
            </w:r>
          </w:p>
        </w:tc>
        <w:tc>
          <w:tcPr>
            <w:tcW w:w="1163" w:type="pct"/>
            <w:hideMark/>
          </w:tcPr>
          <w:p w14:paraId="60C8075D" w14:textId="77777777" w:rsidR="00CD2A36" w:rsidRPr="00A03BA4" w:rsidRDefault="00CD2A36" w:rsidP="001D15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</w:rPr>
            </w:pPr>
            <w:r w:rsidRPr="00A03BA4">
              <w:rPr>
                <w:rFonts w:eastAsia="Calibri" w:cs="Times New Roman"/>
                <w:bCs/>
              </w:rPr>
              <w:t>Approver</w:t>
            </w:r>
          </w:p>
        </w:tc>
        <w:tc>
          <w:tcPr>
            <w:tcW w:w="1999" w:type="pct"/>
            <w:hideMark/>
          </w:tcPr>
          <w:p w14:paraId="74CF6CAC" w14:textId="77777777" w:rsidR="00CD2A36" w:rsidRPr="00A03BA4" w:rsidRDefault="00CD2A36" w:rsidP="001D15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</w:rPr>
            </w:pPr>
            <w:r w:rsidRPr="00A03BA4">
              <w:rPr>
                <w:rFonts w:eastAsia="Calibri" w:cs="Times New Roman"/>
                <w:bCs/>
              </w:rPr>
              <w:t>Reason for update</w:t>
            </w:r>
          </w:p>
        </w:tc>
      </w:tr>
      <w:tr w:rsidR="00CD2A36" w:rsidRPr="00A03BA4" w14:paraId="5B9CF4B1" w14:textId="77777777" w:rsidTr="001D155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27C2E57A" w14:textId="77777777" w:rsidR="00CD2A36" w:rsidRPr="00A03BA4" w:rsidRDefault="00CD2A36" w:rsidP="001D1553">
            <w:pPr>
              <w:rPr>
                <w:rFonts w:eastAsia="Calibri" w:cs="Times New Roman"/>
                <w:bCs/>
              </w:rPr>
            </w:pPr>
            <w:r w:rsidRPr="00A03BA4">
              <w:rPr>
                <w:rFonts w:eastAsia="Calibri" w:cs="Times New Roman"/>
                <w:bCs/>
              </w:rPr>
              <w:t>1.0</w:t>
            </w:r>
          </w:p>
        </w:tc>
        <w:tc>
          <w:tcPr>
            <w:tcW w:w="1069" w:type="pct"/>
          </w:tcPr>
          <w:p w14:paraId="7AEA53AE" w14:textId="0466B51B" w:rsidR="00CD2A36" w:rsidRPr="00A03BA4" w:rsidRDefault="006C00DC" w:rsidP="001D1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t>March</w:t>
            </w:r>
            <w:r w:rsidR="00CD2A36" w:rsidRPr="00CD2A36">
              <w:t xml:space="preserve"> 2026</w:t>
            </w:r>
          </w:p>
        </w:tc>
        <w:tc>
          <w:tcPr>
            <w:tcW w:w="1163" w:type="pct"/>
          </w:tcPr>
          <w:p w14:paraId="0A993CAA" w14:textId="51D29CA9" w:rsidR="00CD2A36" w:rsidRPr="00A03BA4" w:rsidRDefault="000D5B99" w:rsidP="000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 Meagher</w:t>
            </w:r>
          </w:p>
        </w:tc>
        <w:tc>
          <w:tcPr>
            <w:tcW w:w="1999" w:type="pct"/>
          </w:tcPr>
          <w:p w14:paraId="33B90260" w14:textId="77777777" w:rsidR="00CD2A36" w:rsidRPr="00A03BA4" w:rsidRDefault="00CD2A36" w:rsidP="001D1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CD2A36">
              <w:t xml:space="preserve">Initial Release </w:t>
            </w:r>
          </w:p>
        </w:tc>
      </w:tr>
    </w:tbl>
    <w:p w14:paraId="42E557D1" w14:textId="3FA448E5" w:rsidR="00CD2A36" w:rsidRPr="00CD2A36" w:rsidRDefault="00CD2A36" w:rsidP="00CD2A36">
      <w:pPr>
        <w:tabs>
          <w:tab w:val="left" w:pos="840"/>
        </w:tabs>
      </w:pPr>
    </w:p>
    <w:sectPr w:rsidR="00CD2A36" w:rsidRPr="00CD2A36" w:rsidSect="00F00E2D">
      <w:footerReference w:type="default" r:id="rId11"/>
      <w:footerReference w:type="first" r:id="rId12"/>
      <w:pgSz w:w="11906" w:h="16838"/>
      <w:pgMar w:top="1276" w:right="991" w:bottom="1276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25D2" w14:textId="77777777" w:rsidR="001D7E8C" w:rsidRDefault="001D7E8C" w:rsidP="00FC413F">
      <w:pPr>
        <w:spacing w:after="0"/>
      </w:pPr>
      <w:r>
        <w:separator/>
      </w:r>
    </w:p>
  </w:endnote>
  <w:endnote w:type="continuationSeparator" w:id="0">
    <w:p w14:paraId="5A879292" w14:textId="77777777" w:rsidR="001D7E8C" w:rsidRDefault="001D7E8C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2A1E" w14:textId="2DECC0A1" w:rsidR="005A7169" w:rsidRDefault="005A7169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2</w:t>
    </w:r>
    <w:r>
      <w:rPr>
        <w:rFonts w:cs="Segoe UI"/>
        <w:szCs w:val="18"/>
      </w:rPr>
      <w:fldChar w:fldCharType="end"/>
    </w:r>
  </w:p>
  <w:p w14:paraId="2D728C47" w14:textId="77777777" w:rsidR="005A7169" w:rsidRPr="00FC413F" w:rsidRDefault="005A7169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1E7C4F4B" wp14:editId="1C2C1C5E">
          <wp:extent cx="10736580" cy="150488"/>
          <wp:effectExtent l="0" t="0" r="0" b="2540"/>
          <wp:docPr id="390096262" name="Picture 390096262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595951" cy="162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AE90" w14:textId="68EA2CE4" w:rsidR="005A7169" w:rsidRDefault="006E5E8B" w:rsidP="008B7158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tab/>
    </w:r>
    <w:r w:rsidR="005A7169">
      <w:rPr>
        <w:rFonts w:cs="Segoe UI"/>
        <w:szCs w:val="18"/>
      </w:rPr>
      <w:fldChar w:fldCharType="begin"/>
    </w:r>
    <w:r w:rsidR="005A7169">
      <w:rPr>
        <w:rFonts w:cs="Segoe UI"/>
        <w:szCs w:val="18"/>
      </w:rPr>
      <w:instrText xml:space="preserve"> PAGE  \* Arabic  \* MERGEFORMAT </w:instrText>
    </w:r>
    <w:r w:rsidR="005A7169">
      <w:rPr>
        <w:rFonts w:cs="Segoe UI"/>
        <w:szCs w:val="18"/>
      </w:rPr>
      <w:fldChar w:fldCharType="separate"/>
    </w:r>
    <w:r w:rsidR="005A7169">
      <w:rPr>
        <w:rFonts w:cs="Segoe UI"/>
        <w:szCs w:val="18"/>
      </w:rPr>
      <w:t>3</w:t>
    </w:r>
    <w:r w:rsidR="005A7169">
      <w:rPr>
        <w:rFonts w:cs="Segoe UI"/>
        <w:szCs w:val="18"/>
      </w:rPr>
      <w:fldChar w:fldCharType="end"/>
    </w:r>
  </w:p>
  <w:p w14:paraId="0F65935F" w14:textId="77777777" w:rsidR="005A7169" w:rsidRPr="00FC413F" w:rsidRDefault="005A7169" w:rsidP="00113A03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46D35ACF" wp14:editId="24B76C24">
          <wp:extent cx="11258390" cy="151200"/>
          <wp:effectExtent l="0" t="0" r="635" b="1270"/>
          <wp:docPr id="5837540" name="Picture 5837540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390" cy="15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4C42" w14:textId="77777777" w:rsidR="001D7E8C" w:rsidRDefault="001D7E8C" w:rsidP="00FC413F">
      <w:pPr>
        <w:spacing w:after="0"/>
      </w:pPr>
      <w:r>
        <w:separator/>
      </w:r>
    </w:p>
  </w:footnote>
  <w:footnote w:type="continuationSeparator" w:id="0">
    <w:p w14:paraId="089160B1" w14:textId="77777777" w:rsidR="001D7E8C" w:rsidRDefault="001D7E8C" w:rsidP="00FC41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DA5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A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7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E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29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0D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2C6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46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4C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94A60"/>
    <w:multiLevelType w:val="hybridMultilevel"/>
    <w:tmpl w:val="A75856B0"/>
    <w:lvl w:ilvl="0" w:tplc="0406C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1E41C9"/>
    <w:multiLevelType w:val="hybridMultilevel"/>
    <w:tmpl w:val="478ACE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937613"/>
    <w:multiLevelType w:val="hybridMultilevel"/>
    <w:tmpl w:val="2B48B512"/>
    <w:lvl w:ilvl="0" w:tplc="69AC7252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DC5E55"/>
    <w:multiLevelType w:val="hybridMultilevel"/>
    <w:tmpl w:val="888A8A0C"/>
    <w:lvl w:ilvl="0" w:tplc="519C3F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357E61"/>
    <w:multiLevelType w:val="hybridMultilevel"/>
    <w:tmpl w:val="F79828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5CC1A60"/>
    <w:multiLevelType w:val="hybridMultilevel"/>
    <w:tmpl w:val="7D326B18"/>
    <w:lvl w:ilvl="0" w:tplc="FC1EA96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363A1"/>
    <w:multiLevelType w:val="multilevel"/>
    <w:tmpl w:val="E84EAB92"/>
    <w:lvl w:ilvl="0">
      <w:start w:val="1"/>
      <w:numFmt w:val="lowerLetter"/>
      <w:lvlText w:val="%1)"/>
      <w:lvlJc w:val="left"/>
      <w:pPr>
        <w:ind w:left="56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2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36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272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56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840" w:hanging="284"/>
      </w:pPr>
      <w:rPr>
        <w:rFonts w:hint="default"/>
      </w:rPr>
    </w:lvl>
  </w:abstractNum>
  <w:abstractNum w:abstractNumId="19" w15:restartNumberingAfterBreak="0">
    <w:nsid w:val="3AA51938"/>
    <w:multiLevelType w:val="multilevel"/>
    <w:tmpl w:val="298C34E4"/>
    <w:numStyleLink w:val="AppendixNumbers"/>
  </w:abstractNum>
  <w:abstractNum w:abstractNumId="20" w15:restartNumberingAfterBreak="0">
    <w:nsid w:val="3B475BFF"/>
    <w:multiLevelType w:val="hybridMultilevel"/>
    <w:tmpl w:val="B7EC75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1003B9"/>
    <w:multiLevelType w:val="hybridMultilevel"/>
    <w:tmpl w:val="B266A5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732DBD"/>
    <w:multiLevelType w:val="hybridMultilevel"/>
    <w:tmpl w:val="B04276D8"/>
    <w:lvl w:ilvl="0" w:tplc="F1B8D09C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C7B3DE5"/>
    <w:multiLevelType w:val="hybridMultilevel"/>
    <w:tmpl w:val="FFB2E57C"/>
    <w:lvl w:ilvl="0" w:tplc="888CE0A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95AA9"/>
    <w:multiLevelType w:val="hybridMultilevel"/>
    <w:tmpl w:val="FD0C436A"/>
    <w:lvl w:ilvl="0" w:tplc="92182BD6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27E7D"/>
    <w:multiLevelType w:val="hybridMultilevel"/>
    <w:tmpl w:val="DEDE79A4"/>
    <w:lvl w:ilvl="0" w:tplc="005C3048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77E03"/>
    <w:multiLevelType w:val="hybridMultilevel"/>
    <w:tmpl w:val="C8E48D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005737"/>
    <w:multiLevelType w:val="hybridMultilevel"/>
    <w:tmpl w:val="1CBA64EE"/>
    <w:lvl w:ilvl="0" w:tplc="ED4ADF66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FBD6ACD"/>
    <w:multiLevelType w:val="hybridMultilevel"/>
    <w:tmpl w:val="1B084C5A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CF5804"/>
    <w:multiLevelType w:val="hybridMultilevel"/>
    <w:tmpl w:val="3CB41C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554E84"/>
    <w:multiLevelType w:val="multilevel"/>
    <w:tmpl w:val="A5F2DDB2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635676401">
    <w:abstractNumId w:val="26"/>
  </w:num>
  <w:num w:numId="2" w16cid:durableId="168372359">
    <w:abstractNumId w:val="15"/>
  </w:num>
  <w:num w:numId="3" w16cid:durableId="487599509">
    <w:abstractNumId w:val="24"/>
  </w:num>
  <w:num w:numId="4" w16cid:durableId="978801605">
    <w:abstractNumId w:val="9"/>
  </w:num>
  <w:num w:numId="5" w16cid:durableId="1714571370">
    <w:abstractNumId w:val="7"/>
  </w:num>
  <w:num w:numId="6" w16cid:durableId="1191601962">
    <w:abstractNumId w:val="6"/>
  </w:num>
  <w:num w:numId="7" w16cid:durableId="1222449226">
    <w:abstractNumId w:val="5"/>
  </w:num>
  <w:num w:numId="8" w16cid:durableId="1954946135">
    <w:abstractNumId w:val="4"/>
  </w:num>
  <w:num w:numId="9" w16cid:durableId="1738820539">
    <w:abstractNumId w:val="8"/>
  </w:num>
  <w:num w:numId="10" w16cid:durableId="356322473">
    <w:abstractNumId w:val="3"/>
  </w:num>
  <w:num w:numId="11" w16cid:durableId="1964071110">
    <w:abstractNumId w:val="2"/>
  </w:num>
  <w:num w:numId="12" w16cid:durableId="27806648">
    <w:abstractNumId w:val="1"/>
  </w:num>
  <w:num w:numId="13" w16cid:durableId="1567105061">
    <w:abstractNumId w:val="0"/>
  </w:num>
  <w:num w:numId="14" w16cid:durableId="939947619">
    <w:abstractNumId w:val="31"/>
  </w:num>
  <w:num w:numId="15" w16cid:durableId="4547119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8095614">
    <w:abstractNumId w:val="12"/>
  </w:num>
  <w:num w:numId="17" w16cid:durableId="441806985">
    <w:abstractNumId w:val="12"/>
    <w:lvlOverride w:ilvl="0">
      <w:startOverride w:val="1"/>
    </w:lvlOverride>
  </w:num>
  <w:num w:numId="18" w16cid:durableId="1284114473">
    <w:abstractNumId w:val="23"/>
  </w:num>
  <w:num w:numId="19" w16cid:durableId="1731490465">
    <w:abstractNumId w:val="18"/>
  </w:num>
  <w:num w:numId="20" w16cid:durableId="958606875">
    <w:abstractNumId w:val="28"/>
  </w:num>
  <w:num w:numId="21" w16cid:durableId="2031181755">
    <w:abstractNumId w:val="16"/>
  </w:num>
  <w:num w:numId="22" w16cid:durableId="397436678">
    <w:abstractNumId w:val="19"/>
  </w:num>
  <w:num w:numId="23" w16cid:durableId="709300344">
    <w:abstractNumId w:val="29"/>
  </w:num>
  <w:num w:numId="24" w16cid:durableId="2027975914">
    <w:abstractNumId w:val="10"/>
  </w:num>
  <w:num w:numId="25" w16cid:durableId="1497988449">
    <w:abstractNumId w:val="20"/>
  </w:num>
  <w:num w:numId="26" w16cid:durableId="228224505">
    <w:abstractNumId w:val="21"/>
  </w:num>
  <w:num w:numId="27" w16cid:durableId="1398356889">
    <w:abstractNumId w:val="14"/>
  </w:num>
  <w:num w:numId="28" w16cid:durableId="685056251">
    <w:abstractNumId w:val="11"/>
  </w:num>
  <w:num w:numId="29" w16cid:durableId="1260336520">
    <w:abstractNumId w:val="27"/>
  </w:num>
  <w:num w:numId="30" w16cid:durableId="1032611626">
    <w:abstractNumId w:val="13"/>
  </w:num>
  <w:num w:numId="31" w16cid:durableId="1614511018">
    <w:abstractNumId w:val="30"/>
  </w:num>
  <w:num w:numId="32" w16cid:durableId="1222640006">
    <w:abstractNumId w:val="26"/>
  </w:num>
  <w:num w:numId="33" w16cid:durableId="448159920">
    <w:abstractNumId w:val="22"/>
  </w:num>
  <w:num w:numId="34" w16cid:durableId="1040592477">
    <w:abstractNumId w:val="13"/>
  </w:num>
  <w:num w:numId="35" w16cid:durableId="582028797">
    <w:abstractNumId w:val="25"/>
  </w:num>
  <w:num w:numId="36" w16cid:durableId="2129816638">
    <w:abstractNumId w:val="25"/>
  </w:num>
  <w:num w:numId="37" w16cid:durableId="524946591">
    <w:abstractNumId w:val="25"/>
  </w:num>
  <w:num w:numId="38" w16cid:durableId="1078482430">
    <w:abstractNumId w:val="25"/>
  </w:num>
  <w:num w:numId="39" w16cid:durableId="1234772985">
    <w:abstractNumId w:val="17"/>
  </w:num>
  <w:num w:numId="40" w16cid:durableId="1876961232">
    <w:abstractNumId w:val="17"/>
  </w:num>
  <w:num w:numId="41" w16cid:durableId="2012561587">
    <w:abstractNumId w:val="17"/>
  </w:num>
  <w:num w:numId="42" w16cid:durableId="246965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56"/>
    <w:rsid w:val="000007AA"/>
    <w:rsid w:val="0000270B"/>
    <w:rsid w:val="00012D3A"/>
    <w:rsid w:val="00013939"/>
    <w:rsid w:val="00022BA5"/>
    <w:rsid w:val="000250EC"/>
    <w:rsid w:val="00026083"/>
    <w:rsid w:val="00026CEE"/>
    <w:rsid w:val="00033CFE"/>
    <w:rsid w:val="00034C15"/>
    <w:rsid w:val="0003502E"/>
    <w:rsid w:val="00044C20"/>
    <w:rsid w:val="000522EB"/>
    <w:rsid w:val="00054EF4"/>
    <w:rsid w:val="00072195"/>
    <w:rsid w:val="000740FB"/>
    <w:rsid w:val="00090C84"/>
    <w:rsid w:val="00090E62"/>
    <w:rsid w:val="000A77D1"/>
    <w:rsid w:val="000B1E86"/>
    <w:rsid w:val="000B50AB"/>
    <w:rsid w:val="000B6FF7"/>
    <w:rsid w:val="000C0244"/>
    <w:rsid w:val="000C0B37"/>
    <w:rsid w:val="000C643B"/>
    <w:rsid w:val="000C7916"/>
    <w:rsid w:val="000D29F4"/>
    <w:rsid w:val="000D4B3B"/>
    <w:rsid w:val="000D4CB4"/>
    <w:rsid w:val="000D5B99"/>
    <w:rsid w:val="000E216C"/>
    <w:rsid w:val="000E6BC3"/>
    <w:rsid w:val="000F0726"/>
    <w:rsid w:val="000F2627"/>
    <w:rsid w:val="000F5E10"/>
    <w:rsid w:val="000F66A3"/>
    <w:rsid w:val="00105DA4"/>
    <w:rsid w:val="00113A03"/>
    <w:rsid w:val="00114690"/>
    <w:rsid w:val="00122D85"/>
    <w:rsid w:val="00133A45"/>
    <w:rsid w:val="0014278C"/>
    <w:rsid w:val="00142BF5"/>
    <w:rsid w:val="00143894"/>
    <w:rsid w:val="00153644"/>
    <w:rsid w:val="00155243"/>
    <w:rsid w:val="00190A0C"/>
    <w:rsid w:val="00197E67"/>
    <w:rsid w:val="001A547E"/>
    <w:rsid w:val="001A6253"/>
    <w:rsid w:val="001A681D"/>
    <w:rsid w:val="001B4E0B"/>
    <w:rsid w:val="001B5810"/>
    <w:rsid w:val="001B674D"/>
    <w:rsid w:val="001C5FB5"/>
    <w:rsid w:val="001D0218"/>
    <w:rsid w:val="001D1553"/>
    <w:rsid w:val="001D583B"/>
    <w:rsid w:val="001D6D6B"/>
    <w:rsid w:val="001D7E8C"/>
    <w:rsid w:val="001E4471"/>
    <w:rsid w:val="001E68DC"/>
    <w:rsid w:val="001E7AC4"/>
    <w:rsid w:val="001F2321"/>
    <w:rsid w:val="001F49F4"/>
    <w:rsid w:val="00204A64"/>
    <w:rsid w:val="002051B4"/>
    <w:rsid w:val="00215EDB"/>
    <w:rsid w:val="00217C11"/>
    <w:rsid w:val="00224756"/>
    <w:rsid w:val="00226A28"/>
    <w:rsid w:val="00236F1B"/>
    <w:rsid w:val="00247ED9"/>
    <w:rsid w:val="00250069"/>
    <w:rsid w:val="002527A4"/>
    <w:rsid w:val="00252A7B"/>
    <w:rsid w:val="0025376F"/>
    <w:rsid w:val="00261FFA"/>
    <w:rsid w:val="00262BB9"/>
    <w:rsid w:val="0026669E"/>
    <w:rsid w:val="00267F8D"/>
    <w:rsid w:val="00272982"/>
    <w:rsid w:val="002803E7"/>
    <w:rsid w:val="00280F0C"/>
    <w:rsid w:val="00287134"/>
    <w:rsid w:val="00287C7E"/>
    <w:rsid w:val="0029453A"/>
    <w:rsid w:val="00297FE5"/>
    <w:rsid w:val="002A5AB5"/>
    <w:rsid w:val="002B15B8"/>
    <w:rsid w:val="002E7717"/>
    <w:rsid w:val="002F1A23"/>
    <w:rsid w:val="002F4229"/>
    <w:rsid w:val="002F443F"/>
    <w:rsid w:val="002F58BA"/>
    <w:rsid w:val="00300077"/>
    <w:rsid w:val="00305CB1"/>
    <w:rsid w:val="00306093"/>
    <w:rsid w:val="00310148"/>
    <w:rsid w:val="00310C1D"/>
    <w:rsid w:val="00323710"/>
    <w:rsid w:val="00324A22"/>
    <w:rsid w:val="00326A3F"/>
    <w:rsid w:val="003273FA"/>
    <w:rsid w:val="00330772"/>
    <w:rsid w:val="00342348"/>
    <w:rsid w:val="00343866"/>
    <w:rsid w:val="003470C1"/>
    <w:rsid w:val="003508A8"/>
    <w:rsid w:val="00355B90"/>
    <w:rsid w:val="003561C1"/>
    <w:rsid w:val="00357C88"/>
    <w:rsid w:val="00364071"/>
    <w:rsid w:val="0037445B"/>
    <w:rsid w:val="00381BDA"/>
    <w:rsid w:val="00381D01"/>
    <w:rsid w:val="003836A5"/>
    <w:rsid w:val="00383D86"/>
    <w:rsid w:val="003871D3"/>
    <w:rsid w:val="003903F3"/>
    <w:rsid w:val="00396FF3"/>
    <w:rsid w:val="003A11A7"/>
    <w:rsid w:val="003A13D4"/>
    <w:rsid w:val="003A38B0"/>
    <w:rsid w:val="003B6D01"/>
    <w:rsid w:val="003B7505"/>
    <w:rsid w:val="003C575A"/>
    <w:rsid w:val="003D1AE6"/>
    <w:rsid w:val="003D71C5"/>
    <w:rsid w:val="003E2F9E"/>
    <w:rsid w:val="003E6492"/>
    <w:rsid w:val="003E7090"/>
    <w:rsid w:val="003F0070"/>
    <w:rsid w:val="003F1976"/>
    <w:rsid w:val="003F2271"/>
    <w:rsid w:val="003F3CB7"/>
    <w:rsid w:val="00402C9E"/>
    <w:rsid w:val="00404F1E"/>
    <w:rsid w:val="00413442"/>
    <w:rsid w:val="00416734"/>
    <w:rsid w:val="00422B5D"/>
    <w:rsid w:val="00422E86"/>
    <w:rsid w:val="0042621F"/>
    <w:rsid w:val="00445017"/>
    <w:rsid w:val="00446585"/>
    <w:rsid w:val="004535D2"/>
    <w:rsid w:val="0047220E"/>
    <w:rsid w:val="004778F1"/>
    <w:rsid w:val="00485524"/>
    <w:rsid w:val="00491BC5"/>
    <w:rsid w:val="004961EA"/>
    <w:rsid w:val="004A3207"/>
    <w:rsid w:val="004B09B8"/>
    <w:rsid w:val="004B4C5E"/>
    <w:rsid w:val="004E48B4"/>
    <w:rsid w:val="004E592E"/>
    <w:rsid w:val="004F001D"/>
    <w:rsid w:val="004F6F3C"/>
    <w:rsid w:val="00500A65"/>
    <w:rsid w:val="00502647"/>
    <w:rsid w:val="00513182"/>
    <w:rsid w:val="005248C0"/>
    <w:rsid w:val="005413E7"/>
    <w:rsid w:val="005421C9"/>
    <w:rsid w:val="00543D99"/>
    <w:rsid w:val="0054774C"/>
    <w:rsid w:val="00560B10"/>
    <w:rsid w:val="0056346C"/>
    <w:rsid w:val="00572EEB"/>
    <w:rsid w:val="00581412"/>
    <w:rsid w:val="005854D9"/>
    <w:rsid w:val="00592D23"/>
    <w:rsid w:val="00594BCF"/>
    <w:rsid w:val="0059569E"/>
    <w:rsid w:val="005A7169"/>
    <w:rsid w:val="005A7813"/>
    <w:rsid w:val="005B5FFE"/>
    <w:rsid w:val="005C0459"/>
    <w:rsid w:val="005C37D2"/>
    <w:rsid w:val="005C6197"/>
    <w:rsid w:val="005D038B"/>
    <w:rsid w:val="005D3A73"/>
    <w:rsid w:val="005E55BD"/>
    <w:rsid w:val="005F7B3B"/>
    <w:rsid w:val="00604D40"/>
    <w:rsid w:val="00610225"/>
    <w:rsid w:val="00610B55"/>
    <w:rsid w:val="006112AD"/>
    <w:rsid w:val="006118FD"/>
    <w:rsid w:val="006142A5"/>
    <w:rsid w:val="00614766"/>
    <w:rsid w:val="00624335"/>
    <w:rsid w:val="00630D43"/>
    <w:rsid w:val="00632760"/>
    <w:rsid w:val="0063485E"/>
    <w:rsid w:val="006452B1"/>
    <w:rsid w:val="006542FA"/>
    <w:rsid w:val="00654657"/>
    <w:rsid w:val="00654F9E"/>
    <w:rsid w:val="00656EB5"/>
    <w:rsid w:val="006729F3"/>
    <w:rsid w:val="00680E8E"/>
    <w:rsid w:val="00691FA2"/>
    <w:rsid w:val="006C00DC"/>
    <w:rsid w:val="006C31D3"/>
    <w:rsid w:val="006C3B2A"/>
    <w:rsid w:val="006C732D"/>
    <w:rsid w:val="006D43C7"/>
    <w:rsid w:val="006D73F9"/>
    <w:rsid w:val="006E5E8B"/>
    <w:rsid w:val="006F0834"/>
    <w:rsid w:val="006F0F60"/>
    <w:rsid w:val="006F2D75"/>
    <w:rsid w:val="00711E18"/>
    <w:rsid w:val="00714E32"/>
    <w:rsid w:val="007262C8"/>
    <w:rsid w:val="007265C2"/>
    <w:rsid w:val="00731351"/>
    <w:rsid w:val="0074365F"/>
    <w:rsid w:val="00744726"/>
    <w:rsid w:val="00744CD2"/>
    <w:rsid w:val="00745F4E"/>
    <w:rsid w:val="00754169"/>
    <w:rsid w:val="00756FE5"/>
    <w:rsid w:val="00760011"/>
    <w:rsid w:val="00772C27"/>
    <w:rsid w:val="007759EA"/>
    <w:rsid w:val="00776F37"/>
    <w:rsid w:val="00780352"/>
    <w:rsid w:val="00785AC6"/>
    <w:rsid w:val="00790F25"/>
    <w:rsid w:val="00793843"/>
    <w:rsid w:val="0079788A"/>
    <w:rsid w:val="007A1E84"/>
    <w:rsid w:val="007A3400"/>
    <w:rsid w:val="007B68AB"/>
    <w:rsid w:val="007C1FFA"/>
    <w:rsid w:val="007C498C"/>
    <w:rsid w:val="007D0D0A"/>
    <w:rsid w:val="007D4AE0"/>
    <w:rsid w:val="007E1B38"/>
    <w:rsid w:val="007E51C5"/>
    <w:rsid w:val="007E598F"/>
    <w:rsid w:val="007E6443"/>
    <w:rsid w:val="007F7DC9"/>
    <w:rsid w:val="00800901"/>
    <w:rsid w:val="0080243B"/>
    <w:rsid w:val="008209C1"/>
    <w:rsid w:val="00822DBF"/>
    <w:rsid w:val="0082413B"/>
    <w:rsid w:val="00827684"/>
    <w:rsid w:val="008351E7"/>
    <w:rsid w:val="00841EFC"/>
    <w:rsid w:val="00844881"/>
    <w:rsid w:val="00872AA5"/>
    <w:rsid w:val="00874A4C"/>
    <w:rsid w:val="0089124A"/>
    <w:rsid w:val="0089693E"/>
    <w:rsid w:val="00897A36"/>
    <w:rsid w:val="008A3047"/>
    <w:rsid w:val="008A7B93"/>
    <w:rsid w:val="008B7158"/>
    <w:rsid w:val="008C15DE"/>
    <w:rsid w:val="008C2D32"/>
    <w:rsid w:val="008C6CB9"/>
    <w:rsid w:val="008D1836"/>
    <w:rsid w:val="008D2561"/>
    <w:rsid w:val="008D4156"/>
    <w:rsid w:val="008D4163"/>
    <w:rsid w:val="008D7934"/>
    <w:rsid w:val="008E3CDA"/>
    <w:rsid w:val="008E534F"/>
    <w:rsid w:val="008E5C37"/>
    <w:rsid w:val="008F24DE"/>
    <w:rsid w:val="008F39E1"/>
    <w:rsid w:val="00906514"/>
    <w:rsid w:val="00906533"/>
    <w:rsid w:val="00911A20"/>
    <w:rsid w:val="00912D17"/>
    <w:rsid w:val="00922578"/>
    <w:rsid w:val="009276A3"/>
    <w:rsid w:val="009279AE"/>
    <w:rsid w:val="00933112"/>
    <w:rsid w:val="00935A30"/>
    <w:rsid w:val="00945993"/>
    <w:rsid w:val="00950997"/>
    <w:rsid w:val="00953CCD"/>
    <w:rsid w:val="00956894"/>
    <w:rsid w:val="009823B8"/>
    <w:rsid w:val="009837FE"/>
    <w:rsid w:val="00985DD5"/>
    <w:rsid w:val="009A4253"/>
    <w:rsid w:val="009B3FFD"/>
    <w:rsid w:val="009B4E7A"/>
    <w:rsid w:val="009B591B"/>
    <w:rsid w:val="009C03CA"/>
    <w:rsid w:val="009C0E17"/>
    <w:rsid w:val="009C38E1"/>
    <w:rsid w:val="009C3D4E"/>
    <w:rsid w:val="009D3440"/>
    <w:rsid w:val="009E0AC1"/>
    <w:rsid w:val="009E264B"/>
    <w:rsid w:val="009E7626"/>
    <w:rsid w:val="009F5557"/>
    <w:rsid w:val="009F6CDD"/>
    <w:rsid w:val="00A0491B"/>
    <w:rsid w:val="00A064F3"/>
    <w:rsid w:val="00A07733"/>
    <w:rsid w:val="00A07885"/>
    <w:rsid w:val="00A17839"/>
    <w:rsid w:val="00A21FDA"/>
    <w:rsid w:val="00A2223E"/>
    <w:rsid w:val="00A22F4D"/>
    <w:rsid w:val="00A24200"/>
    <w:rsid w:val="00A37FFD"/>
    <w:rsid w:val="00A41624"/>
    <w:rsid w:val="00A44E4B"/>
    <w:rsid w:val="00A4759C"/>
    <w:rsid w:val="00A51254"/>
    <w:rsid w:val="00A52B34"/>
    <w:rsid w:val="00A5600C"/>
    <w:rsid w:val="00A63390"/>
    <w:rsid w:val="00A63782"/>
    <w:rsid w:val="00A659FB"/>
    <w:rsid w:val="00A82DAF"/>
    <w:rsid w:val="00A82F27"/>
    <w:rsid w:val="00A86AF3"/>
    <w:rsid w:val="00AA68AD"/>
    <w:rsid w:val="00AB14D6"/>
    <w:rsid w:val="00AB4867"/>
    <w:rsid w:val="00AC2305"/>
    <w:rsid w:val="00AC34ED"/>
    <w:rsid w:val="00AC6195"/>
    <w:rsid w:val="00AE61A6"/>
    <w:rsid w:val="00AF2C03"/>
    <w:rsid w:val="00B000A4"/>
    <w:rsid w:val="00B02C69"/>
    <w:rsid w:val="00B041CB"/>
    <w:rsid w:val="00B12504"/>
    <w:rsid w:val="00B12FC1"/>
    <w:rsid w:val="00B22C7E"/>
    <w:rsid w:val="00B25ED9"/>
    <w:rsid w:val="00B301A2"/>
    <w:rsid w:val="00B30387"/>
    <w:rsid w:val="00B3414C"/>
    <w:rsid w:val="00B3785F"/>
    <w:rsid w:val="00B43F55"/>
    <w:rsid w:val="00B531FC"/>
    <w:rsid w:val="00B5393D"/>
    <w:rsid w:val="00B65F7D"/>
    <w:rsid w:val="00B74715"/>
    <w:rsid w:val="00B76D03"/>
    <w:rsid w:val="00B86B45"/>
    <w:rsid w:val="00B90F83"/>
    <w:rsid w:val="00B95AAF"/>
    <w:rsid w:val="00BB3D46"/>
    <w:rsid w:val="00BC0598"/>
    <w:rsid w:val="00BC3C46"/>
    <w:rsid w:val="00BD3A95"/>
    <w:rsid w:val="00BE21E4"/>
    <w:rsid w:val="00C010BB"/>
    <w:rsid w:val="00C02452"/>
    <w:rsid w:val="00C03F14"/>
    <w:rsid w:val="00C1729C"/>
    <w:rsid w:val="00C209D6"/>
    <w:rsid w:val="00C35D97"/>
    <w:rsid w:val="00C36E40"/>
    <w:rsid w:val="00C422C9"/>
    <w:rsid w:val="00C47C6E"/>
    <w:rsid w:val="00C540F2"/>
    <w:rsid w:val="00C5606F"/>
    <w:rsid w:val="00C62177"/>
    <w:rsid w:val="00C751EF"/>
    <w:rsid w:val="00C8155B"/>
    <w:rsid w:val="00C868C7"/>
    <w:rsid w:val="00C910ED"/>
    <w:rsid w:val="00CA5147"/>
    <w:rsid w:val="00CB4EFB"/>
    <w:rsid w:val="00CD0046"/>
    <w:rsid w:val="00CD1A64"/>
    <w:rsid w:val="00CD2A36"/>
    <w:rsid w:val="00CE6835"/>
    <w:rsid w:val="00CF2FDC"/>
    <w:rsid w:val="00CF542A"/>
    <w:rsid w:val="00D13C03"/>
    <w:rsid w:val="00D2193D"/>
    <w:rsid w:val="00D21E22"/>
    <w:rsid w:val="00D22944"/>
    <w:rsid w:val="00D22A3C"/>
    <w:rsid w:val="00D22ADB"/>
    <w:rsid w:val="00D3201F"/>
    <w:rsid w:val="00D34B78"/>
    <w:rsid w:val="00D47BFD"/>
    <w:rsid w:val="00D52C75"/>
    <w:rsid w:val="00D53737"/>
    <w:rsid w:val="00D56936"/>
    <w:rsid w:val="00D5728D"/>
    <w:rsid w:val="00D64922"/>
    <w:rsid w:val="00D64E15"/>
    <w:rsid w:val="00D762EB"/>
    <w:rsid w:val="00D865DA"/>
    <w:rsid w:val="00D96F68"/>
    <w:rsid w:val="00DA05D2"/>
    <w:rsid w:val="00DA2C18"/>
    <w:rsid w:val="00DB2EEF"/>
    <w:rsid w:val="00DC5DC8"/>
    <w:rsid w:val="00DC6538"/>
    <w:rsid w:val="00DD4F64"/>
    <w:rsid w:val="00DD6964"/>
    <w:rsid w:val="00DE3BAF"/>
    <w:rsid w:val="00DE5310"/>
    <w:rsid w:val="00DE72E1"/>
    <w:rsid w:val="00DE7685"/>
    <w:rsid w:val="00DE7C01"/>
    <w:rsid w:val="00DF3569"/>
    <w:rsid w:val="00E03BF7"/>
    <w:rsid w:val="00E06E92"/>
    <w:rsid w:val="00E232F7"/>
    <w:rsid w:val="00E263C6"/>
    <w:rsid w:val="00E335E3"/>
    <w:rsid w:val="00E368D5"/>
    <w:rsid w:val="00E36B3A"/>
    <w:rsid w:val="00E53151"/>
    <w:rsid w:val="00E55F6F"/>
    <w:rsid w:val="00E603CB"/>
    <w:rsid w:val="00E61771"/>
    <w:rsid w:val="00E7227D"/>
    <w:rsid w:val="00E73B44"/>
    <w:rsid w:val="00E76BC6"/>
    <w:rsid w:val="00E807B3"/>
    <w:rsid w:val="00E80E04"/>
    <w:rsid w:val="00E84346"/>
    <w:rsid w:val="00E9413F"/>
    <w:rsid w:val="00E941CA"/>
    <w:rsid w:val="00E95C4D"/>
    <w:rsid w:val="00EA156B"/>
    <w:rsid w:val="00EA415A"/>
    <w:rsid w:val="00EB1839"/>
    <w:rsid w:val="00EB38C1"/>
    <w:rsid w:val="00ED02DB"/>
    <w:rsid w:val="00ED09B9"/>
    <w:rsid w:val="00ED4DA7"/>
    <w:rsid w:val="00EE600F"/>
    <w:rsid w:val="00EE6EE8"/>
    <w:rsid w:val="00EF5B98"/>
    <w:rsid w:val="00F005AF"/>
    <w:rsid w:val="00F00E2D"/>
    <w:rsid w:val="00F25913"/>
    <w:rsid w:val="00F41576"/>
    <w:rsid w:val="00F53801"/>
    <w:rsid w:val="00F5433B"/>
    <w:rsid w:val="00F5702D"/>
    <w:rsid w:val="00F61FA1"/>
    <w:rsid w:val="00F6278E"/>
    <w:rsid w:val="00F67FAE"/>
    <w:rsid w:val="00F75D85"/>
    <w:rsid w:val="00F8136A"/>
    <w:rsid w:val="00F814AD"/>
    <w:rsid w:val="00F84997"/>
    <w:rsid w:val="00F92712"/>
    <w:rsid w:val="00F94FDB"/>
    <w:rsid w:val="00FA61AF"/>
    <w:rsid w:val="00FA64C7"/>
    <w:rsid w:val="00FC39A5"/>
    <w:rsid w:val="00FC413F"/>
    <w:rsid w:val="00FC4E13"/>
    <w:rsid w:val="00FD3DAB"/>
    <w:rsid w:val="00FE3D98"/>
    <w:rsid w:val="00FE6ADD"/>
    <w:rsid w:val="00FF2448"/>
    <w:rsid w:val="00FF294F"/>
    <w:rsid w:val="00FF64D0"/>
    <w:rsid w:val="1AB4F9D4"/>
    <w:rsid w:val="7678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74A71"/>
  <w15:chartTrackingRefBased/>
  <w15:docId w15:val="{DE9ED889-C8A3-47DF-8C41-980D252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F14"/>
    <w:pPr>
      <w:spacing w:after="8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03F14"/>
    <w:pPr>
      <w:numPr>
        <w:ilvl w:val="1"/>
      </w:numPr>
      <w:suppressAutoHyphens/>
      <w:spacing w:before="240"/>
      <w:outlineLvl w:val="0"/>
    </w:pPr>
    <w:rPr>
      <w:rFonts w:eastAsia="SimSun" w:cs="Times New Roman"/>
      <w:b/>
      <w:color w:val="081E3E"/>
      <w:kern w:val="12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5B8"/>
    <w:pPr>
      <w:keepNext/>
      <w:keepLines/>
      <w:suppressAutoHyphens/>
      <w:spacing w:before="240"/>
      <w:outlineLvl w:val="1"/>
    </w:pPr>
    <w:rPr>
      <w:rFonts w:eastAsia="SimSun" w:cs="Times New Roman"/>
      <w:b/>
      <w:color w:val="081E3E"/>
      <w:kern w:val="12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1729C"/>
    <w:pPr>
      <w:keepNext/>
      <w:keepLines/>
      <w:suppressAutoHyphens/>
      <w:spacing w:before="160"/>
      <w:outlineLvl w:val="2"/>
    </w:pPr>
    <w:rPr>
      <w:rFonts w:eastAsia="SimSun" w:cs="Times New Roman"/>
      <w:b/>
      <w:color w:val="081E3E" w:themeColor="text2"/>
      <w:kern w:val="12"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24A22"/>
    <w:pPr>
      <w:keepNext/>
      <w:keepLines/>
      <w:suppressAutoHyphens/>
      <w:spacing w:before="120"/>
      <w:outlineLvl w:val="3"/>
    </w:pPr>
    <w:rPr>
      <w:rFonts w:eastAsia="SimSun" w:cs="Times New Roman"/>
      <w:b/>
      <w:iCs/>
      <w:color w:val="595C6E"/>
      <w:kern w:val="12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A0C"/>
    <w:pPr>
      <w:keepNext/>
      <w:spacing w:before="120"/>
      <w:outlineLvl w:val="4"/>
    </w:pPr>
    <w:rPr>
      <w:rFonts w:eastAsia="MingLiU" w:cs="Segoe UI Semibold"/>
      <w:b/>
      <w:color w:val="4C556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A0C"/>
    <w:pPr>
      <w:keepNext/>
      <w:spacing w:before="120"/>
      <w:outlineLvl w:val="5"/>
    </w:pPr>
    <w:rPr>
      <w:rFonts w:eastAsia="MingLiU" w:cs="Segoe UI Semibold"/>
      <w:b/>
      <w:color w:val="4C556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A0C"/>
    <w:pPr>
      <w:keepNext/>
      <w:keepLines/>
      <w:spacing w:before="40" w:after="0"/>
      <w:outlineLvl w:val="6"/>
    </w:pPr>
    <w:rPr>
      <w:rFonts w:eastAsiaTheme="majorEastAsia" w:cs="Segoe UI Semibold"/>
      <w:b/>
      <w:iCs/>
      <w:color w:val="4C5564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CD2A36"/>
    <w:pPr>
      <w:numPr>
        <w:numId w:val="1"/>
      </w:numPr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C413F"/>
    <w:rPr>
      <w:color w:val="002D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3F14"/>
    <w:rPr>
      <w:rFonts w:ascii="Calibri" w:eastAsia="SimSun" w:hAnsi="Calibri" w:cs="Times New Roman"/>
      <w:b/>
      <w:color w:val="081E3E"/>
      <w:kern w:val="12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B15B8"/>
    <w:rPr>
      <w:rFonts w:ascii="Calibri" w:eastAsia="SimSun" w:hAnsi="Calibri" w:cs="Times New Roman"/>
      <w:b/>
      <w:color w:val="081E3E"/>
      <w:kern w:val="1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729C"/>
    <w:rPr>
      <w:rFonts w:ascii="Calibri" w:eastAsia="SimSun" w:hAnsi="Calibri" w:cs="Times New Roman"/>
      <w:b/>
      <w:color w:val="081E3E" w:themeColor="text2"/>
      <w:kern w:val="1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4A22"/>
    <w:rPr>
      <w:rFonts w:ascii="Calibri" w:eastAsia="SimSun" w:hAnsi="Calibri" w:cs="Times New Roman"/>
      <w:b/>
      <w:iCs/>
      <w:color w:val="595C6E"/>
      <w:kern w:val="12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0A0C"/>
    <w:rPr>
      <w:rFonts w:ascii="Calibri" w:eastAsia="MingLiU" w:hAnsi="Calibri" w:cs="Segoe UI Semibold"/>
      <w:b/>
      <w:color w:val="4C556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0C"/>
    <w:rPr>
      <w:rFonts w:ascii="Calibri" w:eastAsia="MingLiU" w:hAnsi="Calibri" w:cs="Segoe UI Semibold"/>
      <w:b/>
      <w:color w:val="4C5564"/>
    </w:rPr>
  </w:style>
  <w:style w:type="character" w:customStyle="1" w:styleId="Heading7Char">
    <w:name w:val="Heading 7 Char"/>
    <w:basedOn w:val="DefaultParagraphFont"/>
    <w:link w:val="Heading7"/>
    <w:uiPriority w:val="9"/>
    <w:rsid w:val="00190A0C"/>
    <w:rPr>
      <w:rFonts w:ascii="Calibri" w:eastAsiaTheme="majorEastAsia" w:hAnsi="Calibri" w:cs="Segoe UI Semibold"/>
      <w:b/>
      <w:iCs/>
      <w:color w:val="4C5564"/>
      <w:sz w:val="20"/>
      <w:szCs w:val="18"/>
    </w:rPr>
  </w:style>
  <w:style w:type="paragraph" w:customStyle="1" w:styleId="Heading2notshowing">
    <w:name w:val="Heading 2—not showing"/>
    <w:basedOn w:val="Heading2"/>
    <w:next w:val="Normal"/>
    <w:autoRedefine/>
    <w:qFormat/>
    <w:rsid w:val="000D5B99"/>
    <w:pPr>
      <w:spacing w:after="160"/>
    </w:pPr>
    <w:rPr>
      <w:bCs/>
    </w:rPr>
  </w:style>
  <w:style w:type="paragraph" w:customStyle="1" w:styleId="Heading3notshowing">
    <w:name w:val="Heading 3—not showing"/>
    <w:basedOn w:val="Normal"/>
    <w:next w:val="Normal"/>
    <w:autoRedefine/>
    <w:qFormat/>
    <w:rsid w:val="000D5B99"/>
    <w:pPr>
      <w:keepNext/>
      <w:spacing w:before="240" w:after="160"/>
      <w:outlineLvl w:val="2"/>
    </w:pPr>
    <w:rPr>
      <w:rFonts w:eastAsia="MingLiU" w:cs="Segoe UI Semibold"/>
      <w:b/>
      <w:color w:val="081E3E"/>
      <w:sz w:val="26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B86B45"/>
    <w:pPr>
      <w:pBdr>
        <w:left w:val="single" w:sz="48" w:space="22" w:color="4BB3B5"/>
      </w:pBdr>
      <w:suppressAutoHyphens/>
      <w:spacing w:before="160"/>
      <w:ind w:left="567" w:right="567"/>
    </w:pPr>
    <w:rPr>
      <w:rFonts w:eastAsia="Calibri" w:cs="Times New Roman"/>
      <w:b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86B45"/>
    <w:rPr>
      <w:rFonts w:ascii="Calibri" w:eastAsia="Calibri" w:hAnsi="Calibri" w:cs="Times New Roman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autoRedefine/>
    <w:qFormat/>
    <w:rsid w:val="000D5B99"/>
    <w:pPr>
      <w:numPr>
        <w:numId w:val="2"/>
      </w:numPr>
    </w:pPr>
    <w:rPr>
      <w:lang w:eastAsia="zh-TW"/>
    </w:rPr>
  </w:style>
  <w:style w:type="paragraph" w:styleId="ListParagraph">
    <w:name w:val="List Paragraph"/>
    <w:aliases w:val="List Paragraph—numbers,Recommendation,List Paragraph1,List Paragraph11,L,Number,#List Paragraph,Bullet point,List Paragraph111,F5 List Paragraph,Dot pt,CV text,Medium Grid 1 - Accent 21,Numbered Paragraph,List Paragraph2,FooterText"/>
    <w:basedOn w:val="Normal"/>
    <w:link w:val="ListParagraphChar"/>
    <w:autoRedefine/>
    <w:uiPriority w:val="34"/>
    <w:qFormat/>
    <w:rsid w:val="00B3414C"/>
    <w:pPr>
      <w:numPr>
        <w:numId w:val="39"/>
      </w:numPr>
      <w:suppressAutoHyphens/>
      <w:spacing w:before="80"/>
      <w:contextualSpacing/>
    </w:pPr>
  </w:style>
  <w:style w:type="paragraph" w:customStyle="1" w:styleId="Tabletext">
    <w:name w:val="Table text"/>
    <w:basedOn w:val="Normal"/>
    <w:qFormat/>
    <w:rsid w:val="008B7158"/>
    <w:pPr>
      <w:spacing w:before="40" w:after="40"/>
    </w:pPr>
    <w:rPr>
      <w:rFonts w:eastAsia="Times New Roman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0D29F4"/>
    <w:pPr>
      <w:shd w:val="clear" w:color="auto" w:fill="081E3E"/>
      <w:spacing w:before="60" w:after="60"/>
    </w:pPr>
    <w:rPr>
      <w:b/>
      <w:color w:val="FFFFFF" w:themeColor="background1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7C1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190A0C"/>
    <w:pPr>
      <w:keepNext/>
      <w:spacing w:after="0"/>
    </w:pPr>
    <w:rPr>
      <w:b/>
      <w:color w:val="002D72"/>
    </w:rPr>
  </w:style>
  <w:style w:type="paragraph" w:customStyle="1" w:styleId="Tabletextcentred">
    <w:name w:val="Table text—centred"/>
    <w:basedOn w:val="Tabletext"/>
    <w:next w:val="NoSpacing"/>
    <w:rsid w:val="008B7158"/>
    <w:pPr>
      <w:jc w:val="center"/>
    </w:pPr>
  </w:style>
  <w:style w:type="paragraph" w:customStyle="1" w:styleId="Tablerowcolumnheadingcentred">
    <w:name w:val="Table row/column heading—centred"/>
    <w:basedOn w:val="Tablerowcolumnheading"/>
    <w:next w:val="Normal"/>
    <w:rsid w:val="00CD0046"/>
    <w:pPr>
      <w:jc w:val="center"/>
    </w:pPr>
  </w:style>
  <w:style w:type="paragraph" w:customStyle="1" w:styleId="Sourcenote">
    <w:name w:val="Source / note"/>
    <w:basedOn w:val="Normal"/>
    <w:qFormat/>
    <w:rsid w:val="00654F9E"/>
    <w:rPr>
      <w:rFonts w:eastAsia="PMingLiU" w:cs="Mangal"/>
      <w:color w:val="595C6E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567" w:right="567" w:hanging="567"/>
    </w:pPr>
  </w:style>
  <w:style w:type="paragraph" w:styleId="TOC1">
    <w:name w:val="toc 1"/>
    <w:basedOn w:val="Normal"/>
    <w:next w:val="Normal"/>
    <w:autoRedefine/>
    <w:uiPriority w:val="39"/>
    <w:unhideWhenUsed/>
    <w:rsid w:val="000740FB"/>
    <w:pPr>
      <w:keepNext/>
      <w:tabs>
        <w:tab w:val="right" w:leader="dot" w:pos="9072"/>
      </w:tabs>
      <w:spacing w:before="120" w:after="0"/>
      <w:ind w:left="567" w:right="567" w:hanging="567"/>
    </w:pPr>
    <w:rPr>
      <w:b/>
      <w:color w:val="002D72"/>
    </w:rPr>
  </w:style>
  <w:style w:type="paragraph" w:styleId="TOC2">
    <w:name w:val="toc 2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134" w:right="567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701" w:right="567" w:hanging="567"/>
    </w:pPr>
  </w:style>
  <w:style w:type="paragraph" w:customStyle="1" w:styleId="Normaldisclaimerpage">
    <w:name w:val="Normal—disclaimer page"/>
    <w:basedOn w:val="Normal"/>
    <w:qFormat/>
    <w:rsid w:val="002F1A23"/>
    <w:rPr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BB3D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efaultTable1">
    <w:name w:val="Default Table 1"/>
    <w:basedOn w:val="TableNormal"/>
    <w:uiPriority w:val="99"/>
    <w:rsid w:val="00A63390"/>
    <w:pPr>
      <w:spacing w:before="80" w:after="8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bottom w:val="single" w:sz="4" w:space="0" w:color="595959" w:themeColor="text1" w:themeTint="A6"/>
        <w:insideH w:val="single" w:sz="4" w:space="0" w:color="595959" w:themeColor="text1" w:themeTint="A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bullets">
    <w:name w:val="Table text—bullets"/>
    <w:basedOn w:val="Listparagraphbullets"/>
    <w:qFormat/>
    <w:rsid w:val="00381BDA"/>
    <w:pPr>
      <w:spacing w:before="60" w:after="60"/>
      <w:ind w:left="284" w:hanging="284"/>
    </w:pPr>
    <w:rPr>
      <w:color w:val="000000" w:themeColor="text1"/>
      <w:szCs w:val="20"/>
    </w:rPr>
  </w:style>
  <w:style w:type="paragraph" w:styleId="Subtitle">
    <w:name w:val="Subtitle"/>
    <w:basedOn w:val="Normal"/>
    <w:next w:val="Normal"/>
    <w:link w:val="SubtitleChar"/>
    <w:uiPriority w:val="18"/>
    <w:qFormat/>
    <w:rsid w:val="000B6FF7"/>
    <w:pPr>
      <w:numPr>
        <w:ilvl w:val="1"/>
      </w:numPr>
      <w:suppressAutoHyphens/>
      <w:spacing w:before="120"/>
    </w:pPr>
    <w:rPr>
      <w:rFonts w:eastAsia="SimSun" w:cs="Times New Roman"/>
      <w:color w:val="377B88"/>
      <w:kern w:val="12"/>
    </w:rPr>
  </w:style>
  <w:style w:type="character" w:customStyle="1" w:styleId="SubtitleChar">
    <w:name w:val="Subtitle Char"/>
    <w:basedOn w:val="DefaultParagraphFont"/>
    <w:link w:val="Subtitle"/>
    <w:uiPriority w:val="18"/>
    <w:rsid w:val="000B6FF7"/>
    <w:rPr>
      <w:rFonts w:ascii="Calibri" w:eastAsia="SimSun" w:hAnsi="Calibri" w:cs="Times New Roman"/>
      <w:color w:val="377B88"/>
      <w:kern w:val="12"/>
    </w:rPr>
  </w:style>
  <w:style w:type="paragraph" w:customStyle="1" w:styleId="AreaHeading">
    <w:name w:val="Area Heading"/>
    <w:basedOn w:val="Normal"/>
    <w:qFormat/>
    <w:rsid w:val="00B041CB"/>
    <w:pPr>
      <w:suppressAutoHyphens/>
      <w:ind w:left="-1020" w:firstLine="1020"/>
    </w:pPr>
    <w:rPr>
      <w:rFonts w:asciiTheme="minorHAnsi" w:hAnsiTheme="minorHAnsi" w:cs="Times New Roman (Body CS)"/>
      <w:caps/>
      <w:color w:val="6D7989" w:themeColor="accent4" w:themeShade="BF"/>
      <w:kern w:val="12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1CB"/>
    <w:rPr>
      <w:color w:val="605E5C"/>
      <w:shd w:val="clear" w:color="auto" w:fill="E1DFDD"/>
    </w:rPr>
  </w:style>
  <w:style w:type="paragraph" w:customStyle="1" w:styleId="ListLegal1">
    <w:name w:val="List Legal 1"/>
    <w:basedOn w:val="Normal"/>
    <w:uiPriority w:val="3"/>
    <w:qFormat/>
    <w:rsid w:val="00B041CB"/>
    <w:pPr>
      <w:numPr>
        <w:numId w:val="14"/>
      </w:numPr>
      <w:suppressAutoHyphens/>
      <w:ind w:left="567" w:hanging="567"/>
    </w:pPr>
    <w:rPr>
      <w:color w:val="000000"/>
      <w:kern w:val="12"/>
      <w:szCs w:val="20"/>
      <w:lang w:val="x-none"/>
    </w:rPr>
  </w:style>
  <w:style w:type="paragraph" w:customStyle="1" w:styleId="ListLegal2">
    <w:name w:val="List Legal 2"/>
    <w:basedOn w:val="ListLegal1"/>
    <w:uiPriority w:val="3"/>
    <w:rsid w:val="00B041CB"/>
    <w:pPr>
      <w:numPr>
        <w:ilvl w:val="1"/>
      </w:numPr>
      <w:ind w:left="1134" w:hanging="567"/>
    </w:pPr>
  </w:style>
  <w:style w:type="paragraph" w:customStyle="1" w:styleId="ListLegal3">
    <w:name w:val="List Legal 3"/>
    <w:basedOn w:val="ListLegal2"/>
    <w:uiPriority w:val="3"/>
    <w:rsid w:val="00B041CB"/>
    <w:pPr>
      <w:numPr>
        <w:ilvl w:val="2"/>
      </w:numPr>
      <w:ind w:left="1701" w:hanging="567"/>
    </w:pPr>
  </w:style>
  <w:style w:type="numbering" w:customStyle="1" w:styleId="ListLegal">
    <w:name w:val="List Legal"/>
    <w:uiPriority w:val="99"/>
    <w:rsid w:val="00B041CB"/>
    <w:pPr>
      <w:numPr>
        <w:numId w:val="14"/>
      </w:numPr>
    </w:pPr>
  </w:style>
  <w:style w:type="table" w:customStyle="1" w:styleId="DefaultTable11">
    <w:name w:val="Default Table 11"/>
    <w:basedOn w:val="TableNormal"/>
    <w:uiPriority w:val="99"/>
    <w:rsid w:val="00654F9E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DefaultTable12">
    <w:name w:val="Default Table 12"/>
    <w:basedOn w:val="TableNormal"/>
    <w:uiPriority w:val="99"/>
    <w:rsid w:val="00953CCD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AC6195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uiPriority w:val="2"/>
    <w:qFormat/>
    <w:rsid w:val="00906533"/>
    <w:pPr>
      <w:suppressAutoHyphens/>
      <w:spacing w:before="240" w:after="240"/>
    </w:pPr>
    <w:rPr>
      <w:rFonts w:asciiTheme="minorHAnsi" w:hAnsiTheme="minorHAnsi"/>
      <w:color w:val="377B88"/>
      <w:sz w:val="26"/>
      <w:lang w:val="x-none"/>
    </w:rPr>
  </w:style>
  <w:style w:type="paragraph" w:customStyle="1" w:styleId="Bullet1">
    <w:name w:val="Bullet 1"/>
    <w:basedOn w:val="Normal"/>
    <w:uiPriority w:val="3"/>
    <w:qFormat/>
    <w:rsid w:val="00906533"/>
    <w:pPr>
      <w:numPr>
        <w:numId w:val="18"/>
      </w:numPr>
      <w:suppressAutoHyphens/>
      <w:spacing w:before="80"/>
    </w:pPr>
    <w:rPr>
      <w:rFonts w:asciiTheme="minorHAnsi" w:hAnsiTheme="minorHAnsi"/>
      <w:color w:val="000000" w:themeColor="text1"/>
      <w:lang w:val="x-none"/>
    </w:rPr>
  </w:style>
  <w:style w:type="paragraph" w:customStyle="1" w:styleId="Bullet2">
    <w:name w:val="Bullet 2"/>
    <w:basedOn w:val="Bullet1"/>
    <w:uiPriority w:val="3"/>
    <w:rsid w:val="00906533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906533"/>
    <w:pPr>
      <w:numPr>
        <w:ilvl w:val="2"/>
      </w:numPr>
    </w:pPr>
  </w:style>
  <w:style w:type="table" w:customStyle="1" w:styleId="IconBoxTable">
    <w:name w:val="Icon Box Table"/>
    <w:basedOn w:val="TableNormal"/>
    <w:uiPriority w:val="99"/>
    <w:rsid w:val="00906533"/>
    <w:pPr>
      <w:spacing w:before="80" w:after="80" w:line="240" w:lineRule="auto"/>
    </w:pPr>
    <w:rPr>
      <w:color w:val="000000" w:themeColor="text1"/>
    </w:r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06533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209D6"/>
    <w:rPr>
      <w:color w:val="0046FF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0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—numbers Char,Recommendation Char,List Paragraph1 Char,List Paragraph11 Char,L Char,Number Char,#List Paragraph Char,Bullet point Char,List Paragraph111 Char,F5 List Paragraph Char,Dot pt Char,CV text Char"/>
    <w:link w:val="ListParagraph"/>
    <w:uiPriority w:val="34"/>
    <w:qFormat/>
    <w:rsid w:val="00B3414C"/>
    <w:rPr>
      <w:rFonts w:ascii="Calibri" w:hAnsi="Calibri"/>
    </w:rPr>
  </w:style>
  <w:style w:type="paragraph" w:customStyle="1" w:styleId="AppendixHeading1">
    <w:name w:val="Appendix Heading 1"/>
    <w:basedOn w:val="Heading1"/>
    <w:uiPriority w:val="11"/>
    <w:qFormat/>
    <w:rsid w:val="006118FD"/>
    <w:pPr>
      <w:keepNext/>
      <w:keepLines/>
      <w:numPr>
        <w:ilvl w:val="0"/>
        <w:numId w:val="22"/>
      </w:numPr>
      <w:spacing w:before="320"/>
      <w:contextualSpacing/>
    </w:pPr>
    <w:rPr>
      <w:rFonts w:asciiTheme="majorHAnsi" w:eastAsiaTheme="majorEastAsia" w:hAnsiTheme="majorHAnsi" w:cstheme="majorBidi"/>
      <w:bCs/>
      <w:color w:val="081E3F"/>
      <w:kern w:val="0"/>
      <w:sz w:val="32"/>
      <w:szCs w:val="22"/>
    </w:rPr>
  </w:style>
  <w:style w:type="paragraph" w:customStyle="1" w:styleId="AppendixHeading2">
    <w:name w:val="Appendix Heading 2"/>
    <w:basedOn w:val="Heading2"/>
    <w:uiPriority w:val="11"/>
    <w:rsid w:val="006118FD"/>
    <w:pPr>
      <w:keepNext w:val="0"/>
      <w:keepLines w:val="0"/>
      <w:numPr>
        <w:ilvl w:val="1"/>
        <w:numId w:val="22"/>
      </w:numPr>
      <w:spacing w:before="320"/>
    </w:pPr>
    <w:rPr>
      <w:rFonts w:asciiTheme="minorHAnsi" w:eastAsiaTheme="minorHAnsi" w:hAnsiTheme="minorHAnsi" w:cs="Times New Roman (Body CS)"/>
      <w:caps/>
      <w:color w:val="49515C" w:themeColor="accent4" w:themeShade="80"/>
      <w:kern w:val="0"/>
      <w:sz w:val="22"/>
      <w:szCs w:val="22"/>
    </w:rPr>
  </w:style>
  <w:style w:type="numbering" w:customStyle="1" w:styleId="AppendixNumbers">
    <w:name w:val="Appendix Numbers"/>
    <w:uiPriority w:val="99"/>
    <w:rsid w:val="006118FD"/>
    <w:pPr>
      <w:numPr>
        <w:numId w:val="21"/>
      </w:numPr>
    </w:pPr>
  </w:style>
  <w:style w:type="paragraph" w:styleId="Revision">
    <w:name w:val="Revision"/>
    <w:hidden/>
    <w:uiPriority w:val="99"/>
    <w:semiHidden/>
    <w:rsid w:val="00090C84"/>
    <w:pPr>
      <w:spacing w:after="0" w:line="240" w:lineRule="auto"/>
    </w:pPr>
    <w:rPr>
      <w:rFonts w:ascii="Calibri" w:hAnsi="Calibri"/>
    </w:rPr>
  </w:style>
  <w:style w:type="paragraph" w:styleId="Title">
    <w:name w:val="Title"/>
    <w:basedOn w:val="Normal"/>
    <w:next w:val="Normal"/>
    <w:link w:val="TitleChar"/>
    <w:autoRedefine/>
    <w:uiPriority w:val="17"/>
    <w:qFormat/>
    <w:rsid w:val="00C35D97"/>
    <w:pPr>
      <w:framePr w:wrap="around" w:vAnchor="text" w:hAnchor="text" w:y="1"/>
      <w:widowControl w:val="0"/>
      <w:spacing w:after="0"/>
      <w:contextualSpacing/>
    </w:pPr>
    <w:rPr>
      <w:rFonts w:asciiTheme="majorHAnsi" w:eastAsiaTheme="majorEastAsia" w:hAnsiTheme="majorHAnsi" w:cstheme="majorBidi"/>
      <w:b/>
      <w:color w:val="081E3E" w:themeColor="text2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C35D97"/>
    <w:rPr>
      <w:rFonts w:asciiTheme="majorHAnsi" w:eastAsiaTheme="majorEastAsia" w:hAnsiTheme="majorHAnsi" w:cstheme="majorBidi"/>
      <w:b/>
      <w:color w:val="081E3E" w:themeColor="text2"/>
      <w:sz w:val="48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E2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1E4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1E4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nfrastructure.gov.au/department/media/publications/statement-expectations-slot-manager-sydney-air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rastructure.gov.au/infrastructure-transport-vehicles/aviation/airports/reforms-sydney-airport-demand-management-framewor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partment">
      <a:dk1>
        <a:sysClr val="windowText" lastClr="000000"/>
      </a:dk1>
      <a:lt1>
        <a:sysClr val="window" lastClr="FFFFFF"/>
      </a:lt1>
      <a:dk2>
        <a:srgbClr val="081E3E"/>
      </a:dk2>
      <a:lt2>
        <a:srgbClr val="E7E7E7"/>
      </a:lt2>
      <a:accent1>
        <a:srgbClr val="081E3E"/>
      </a:accent1>
      <a:accent2>
        <a:srgbClr val="008089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6E4DC-A2B1-4DEB-A953-5F9AD3EC0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1332</Words>
  <Characters>7216</Characters>
  <Application>Microsoft Office Word</Application>
  <DocSecurity>0</DocSecurity>
  <Lines>123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to the Slot Manager—Publication of Information—January 2026</vt:lpstr>
    </vt:vector>
  </TitlesOfParts>
  <Company>Department of Infrastructure, Transport, Regional Development, Communications, Sport and the Arts</Company>
  <LinksUpToDate>false</LinksUpToDate>
  <CharactersWithSpaces>8535</CharactersWithSpaces>
  <SharedDoc>false</SharedDoc>
  <HLinks>
    <vt:vector size="36" baseType="variant">
      <vt:variant>
        <vt:i4>1966113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_Table_3:_Count</vt:lpwstr>
      </vt:variant>
      <vt:variant>
        <vt:i4>983138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_Table_2b:_Mid-season</vt:lpwstr>
      </vt:variant>
      <vt:variant>
        <vt:i4>7995485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_Table_2a:_End</vt:lpwstr>
      </vt:variant>
      <vt:variant>
        <vt:i4>6815798</vt:i4>
      </vt:variant>
      <vt:variant>
        <vt:i4>6</vt:i4>
      </vt:variant>
      <vt:variant>
        <vt:i4>0</vt:i4>
      </vt:variant>
      <vt:variant>
        <vt:i4>5</vt:i4>
      </vt:variant>
      <vt:variant>
        <vt:lpwstr>https://www.masterplan2045.com.au/</vt:lpwstr>
      </vt:variant>
      <vt:variant>
        <vt:lpwstr/>
      </vt:variant>
      <vt:variant>
        <vt:i4>4325389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_Table_1:</vt:lpwstr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https://www.iata.org/en/programs/ops-infra/slots/calendar-of-coordinated-activities/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to the Slot Manager—Publication of Information—January 2026</dc:title>
  <dc:subject/>
  <dc:creator>Department of Infrastructure, Transport, Regional Development, Communications, Sport and the Arts</dc:creator>
  <cp:keywords/>
  <dc:description>20 January 2026</dc:description>
  <cp:lastModifiedBy>HARRISON, Michael</cp:lastModifiedBy>
  <cp:revision>63</cp:revision>
  <dcterms:created xsi:type="dcterms:W3CDTF">2026-02-26T20:33:00Z</dcterms:created>
  <dcterms:modified xsi:type="dcterms:W3CDTF">2026-03-20T04:23:00Z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76ea7342,5c8733db,3f884012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6c7b6e49,69ef75c8,7b68ccef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</Properties>
</file>