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BAD36" w14:textId="3C959D73" w:rsidR="00D26896" w:rsidRPr="00D26896" w:rsidRDefault="00B9192C" w:rsidP="00D26896">
      <w:pPr>
        <w:pStyle w:val="AreaHeading"/>
      </w:pPr>
      <w:bookmarkStart w:id="0" w:name="_Hlk150152067"/>
      <w:r>
        <w:t>rpad vehicle regulation</w:t>
      </w:r>
    </w:p>
    <w:p w14:paraId="2560B8DA" w14:textId="1DE3813C" w:rsidR="00F165AB" w:rsidRPr="00BE3AD8" w:rsidRDefault="00B9192C" w:rsidP="004F77AA">
      <w:pPr>
        <w:pStyle w:val="Title"/>
        <w:spacing w:before="0"/>
      </w:pPr>
      <w:sdt>
        <w:sdtPr>
          <w:alias w:val="Title"/>
          <w:tag w:val=""/>
          <w:id w:val="975726233"/>
          <w:placeholder>
            <w:docPart w:val="D3503D445A0A435AB3ABE10FD9599121"/>
          </w:placeholder>
          <w:dataBinding w:prefixMappings="xmlns:ns0='http://purl.org/dc/elements/1.1/' xmlns:ns1='http://schemas.openxmlformats.org/package/2006/metadata/core-properties' " w:xpath="/ns1:coreProperties[1]/ns0:title[1]" w:storeItemID="{6C3C8BC8-F283-45AE-878A-BAB7291924A1}"/>
          <w:text/>
        </w:sdtPr>
        <w:sdtContent>
          <w:r w:rsidRPr="00B9192C">
            <w:t>Road vehicle regulatory approach</w:t>
          </w:r>
        </w:sdtContent>
      </w:sdt>
    </w:p>
    <w:p w14:paraId="0AA03A92" w14:textId="1ABC32ED" w:rsidR="00DE4FE2" w:rsidRPr="002773D1" w:rsidRDefault="00B9192C" w:rsidP="002773D1">
      <w:pPr>
        <w:pStyle w:val="Subtitle"/>
      </w:pPr>
      <w:r w:rsidRPr="00B9192C">
        <w:t>Regulating under the Road Vehicle Standards Act 2018 and the New Vehicle Efficiency Standard Act 2024</w:t>
      </w:r>
    </w:p>
    <w:sdt>
      <w:sdtPr>
        <w:alias w:val="Publish Date"/>
        <w:tag w:val=""/>
        <w:id w:val="452527336"/>
        <w:placeholder>
          <w:docPart w:val="BB9CA3FBA3244F68A4297D96CDFF633C"/>
        </w:placeholder>
        <w:dataBinding w:prefixMappings="xmlns:ns0='http://schemas.microsoft.com/office/2006/coverPageProps' " w:xpath="/ns0:CoverPageProperties[1]/ns0:PublishDate[1]" w:storeItemID="{55AF091B-3C7A-41E3-B477-F2FDAA23CFDA}"/>
        <w:date w:fullDate="2026-06-15T00:00:00Z">
          <w:dateFormat w:val="MMMM yyyy"/>
          <w:lid w:val="en-AU"/>
          <w:storeMappedDataAs w:val="dateTime"/>
          <w:calendar w:val="gregorian"/>
        </w:date>
      </w:sdtPr>
      <w:sdtContent>
        <w:p w14:paraId="3FF3AF6E" w14:textId="031F0082" w:rsidR="00DE4FE2" w:rsidRDefault="00B9192C" w:rsidP="002773D1">
          <w:pPr>
            <w:pStyle w:val="CoverDate"/>
          </w:pPr>
          <w:r>
            <w:t>June 2026</w:t>
          </w:r>
        </w:p>
      </w:sdtContent>
    </w:sdt>
    <w:p w14:paraId="029DF83D" w14:textId="77777777" w:rsidR="00DE4FE2" w:rsidRDefault="00DE4FE2" w:rsidP="00D02062">
      <w:pPr>
        <w:pBdr>
          <w:bottom w:val="single" w:sz="4" w:space="1" w:color="C0D48F" w:themeColor="accent5"/>
        </w:pBdr>
      </w:pPr>
    </w:p>
    <w:bookmarkStart w:id="1" w:name="_Toc232419354" w:displacedByCustomXml="next"/>
    <w:sdt>
      <w:sdtPr>
        <w:id w:val="-197788928"/>
        <w:docPartObj>
          <w:docPartGallery w:val="Table of Contents"/>
          <w:docPartUnique/>
        </w:docPartObj>
      </w:sdtPr>
      <w:sdtEndPr>
        <w:rPr>
          <w:rFonts w:asciiTheme="minorHAnsi" w:eastAsiaTheme="minorHAnsi" w:hAnsiTheme="minorHAnsi" w:cstheme="minorBidi"/>
          <w:b/>
          <w:bCs/>
          <w:noProof/>
          <w:color w:val="000000" w:themeColor="text1"/>
          <w:sz w:val="22"/>
          <w:szCs w:val="22"/>
        </w:rPr>
      </w:sdtEndPr>
      <w:sdtContent>
        <w:p w14:paraId="38A7E2D2" w14:textId="4CC69A52" w:rsidR="00B9192C" w:rsidRDefault="00B9192C">
          <w:pPr>
            <w:pStyle w:val="TOCHeading"/>
          </w:pPr>
          <w:r>
            <w:t>Contents</w:t>
          </w:r>
          <w:bookmarkEnd w:id="1"/>
        </w:p>
        <w:p w14:paraId="7EA4CF61" w14:textId="66AFD5CE" w:rsidR="00AB7ECE" w:rsidRDefault="00B9192C">
          <w:pPr>
            <w:pStyle w:val="TOC1"/>
            <w:rPr>
              <w:rFonts w:eastAsiaTheme="minorEastAsia"/>
              <w:b w:val="0"/>
              <w:noProof/>
              <w:color w:val="auto"/>
              <w:kern w:val="2"/>
              <w:szCs w:val="24"/>
              <w:u w:val="none"/>
              <w:lang w:eastAsia="en-AU"/>
              <w14:ligatures w14:val="standardContextual"/>
            </w:rPr>
          </w:pPr>
          <w:r>
            <w:fldChar w:fldCharType="begin"/>
          </w:r>
          <w:r>
            <w:instrText xml:space="preserve"> TOC \o "1-3" \h \z \u </w:instrText>
          </w:r>
          <w:r>
            <w:fldChar w:fldCharType="separate"/>
          </w:r>
          <w:hyperlink w:anchor="_Toc232419354" w:history="1">
            <w:r w:rsidR="00AB7ECE" w:rsidRPr="001F7B89">
              <w:rPr>
                <w:rStyle w:val="Hyperlink"/>
                <w:noProof/>
              </w:rPr>
              <w:t>Contents</w:t>
            </w:r>
            <w:r w:rsidR="00AB7ECE">
              <w:rPr>
                <w:noProof/>
                <w:webHidden/>
              </w:rPr>
              <w:tab/>
            </w:r>
            <w:r w:rsidR="00AB7ECE">
              <w:rPr>
                <w:noProof/>
                <w:webHidden/>
              </w:rPr>
              <w:fldChar w:fldCharType="begin"/>
            </w:r>
            <w:r w:rsidR="00AB7ECE">
              <w:rPr>
                <w:noProof/>
                <w:webHidden/>
              </w:rPr>
              <w:instrText xml:space="preserve"> PAGEREF _Toc232419354 \h </w:instrText>
            </w:r>
            <w:r w:rsidR="00AB7ECE">
              <w:rPr>
                <w:noProof/>
                <w:webHidden/>
              </w:rPr>
            </w:r>
            <w:r w:rsidR="00AB7ECE">
              <w:rPr>
                <w:noProof/>
                <w:webHidden/>
              </w:rPr>
              <w:fldChar w:fldCharType="separate"/>
            </w:r>
            <w:r w:rsidR="00AB7ECE">
              <w:rPr>
                <w:noProof/>
                <w:webHidden/>
              </w:rPr>
              <w:t>1</w:t>
            </w:r>
            <w:r w:rsidR="00AB7ECE">
              <w:rPr>
                <w:noProof/>
                <w:webHidden/>
              </w:rPr>
              <w:fldChar w:fldCharType="end"/>
            </w:r>
          </w:hyperlink>
        </w:p>
        <w:p w14:paraId="13B4B94C" w14:textId="57311F45" w:rsidR="00AB7ECE" w:rsidRDefault="00AB7ECE">
          <w:pPr>
            <w:pStyle w:val="TOC1"/>
            <w:rPr>
              <w:rFonts w:eastAsiaTheme="minorEastAsia"/>
              <w:b w:val="0"/>
              <w:noProof/>
              <w:color w:val="auto"/>
              <w:kern w:val="2"/>
              <w:szCs w:val="24"/>
              <w:u w:val="none"/>
              <w:lang w:eastAsia="en-AU"/>
              <w14:ligatures w14:val="standardContextual"/>
            </w:rPr>
          </w:pPr>
          <w:hyperlink w:anchor="_Toc232419355" w:history="1">
            <w:r w:rsidRPr="001F7B89">
              <w:rPr>
                <w:rStyle w:val="Hyperlink"/>
                <w:noProof/>
              </w:rPr>
              <w:t>Purpose and context</w:t>
            </w:r>
            <w:r>
              <w:rPr>
                <w:noProof/>
                <w:webHidden/>
              </w:rPr>
              <w:tab/>
            </w:r>
            <w:r>
              <w:rPr>
                <w:noProof/>
                <w:webHidden/>
              </w:rPr>
              <w:fldChar w:fldCharType="begin"/>
            </w:r>
            <w:r>
              <w:rPr>
                <w:noProof/>
                <w:webHidden/>
              </w:rPr>
              <w:instrText xml:space="preserve"> PAGEREF _Toc232419355 \h </w:instrText>
            </w:r>
            <w:r>
              <w:rPr>
                <w:noProof/>
                <w:webHidden/>
              </w:rPr>
            </w:r>
            <w:r>
              <w:rPr>
                <w:noProof/>
                <w:webHidden/>
              </w:rPr>
              <w:fldChar w:fldCharType="separate"/>
            </w:r>
            <w:r>
              <w:rPr>
                <w:noProof/>
                <w:webHidden/>
              </w:rPr>
              <w:t>2</w:t>
            </w:r>
            <w:r>
              <w:rPr>
                <w:noProof/>
                <w:webHidden/>
              </w:rPr>
              <w:fldChar w:fldCharType="end"/>
            </w:r>
          </w:hyperlink>
        </w:p>
        <w:p w14:paraId="1735523B" w14:textId="41948CE6" w:rsidR="00AB7ECE" w:rsidRDefault="00AB7ECE">
          <w:pPr>
            <w:pStyle w:val="TOC2"/>
            <w:tabs>
              <w:tab w:val="right" w:pos="9854"/>
            </w:tabs>
            <w:rPr>
              <w:rFonts w:eastAsiaTheme="minorEastAsia"/>
              <w:noProof/>
              <w:color w:val="auto"/>
              <w:kern w:val="2"/>
              <w:sz w:val="24"/>
              <w:szCs w:val="24"/>
              <w:lang w:eastAsia="en-AU"/>
              <w14:ligatures w14:val="standardContextual"/>
            </w:rPr>
          </w:pPr>
          <w:hyperlink w:anchor="_Toc232419356" w:history="1">
            <w:r w:rsidRPr="001F7B89">
              <w:rPr>
                <w:rStyle w:val="Hyperlink"/>
                <w:noProof/>
              </w:rPr>
              <w:t>Our legislation</w:t>
            </w:r>
            <w:r>
              <w:rPr>
                <w:noProof/>
                <w:webHidden/>
              </w:rPr>
              <w:tab/>
            </w:r>
            <w:r>
              <w:rPr>
                <w:noProof/>
                <w:webHidden/>
              </w:rPr>
              <w:fldChar w:fldCharType="begin"/>
            </w:r>
            <w:r>
              <w:rPr>
                <w:noProof/>
                <w:webHidden/>
              </w:rPr>
              <w:instrText xml:space="preserve"> PAGEREF _Toc232419356 \h </w:instrText>
            </w:r>
            <w:r>
              <w:rPr>
                <w:noProof/>
                <w:webHidden/>
              </w:rPr>
            </w:r>
            <w:r>
              <w:rPr>
                <w:noProof/>
                <w:webHidden/>
              </w:rPr>
              <w:fldChar w:fldCharType="separate"/>
            </w:r>
            <w:r>
              <w:rPr>
                <w:noProof/>
                <w:webHidden/>
              </w:rPr>
              <w:t>2</w:t>
            </w:r>
            <w:r>
              <w:rPr>
                <w:noProof/>
                <w:webHidden/>
              </w:rPr>
              <w:fldChar w:fldCharType="end"/>
            </w:r>
          </w:hyperlink>
        </w:p>
        <w:p w14:paraId="73A06F0E" w14:textId="201958CD" w:rsidR="00AB7ECE" w:rsidRDefault="00AB7ECE">
          <w:pPr>
            <w:pStyle w:val="TOC2"/>
            <w:tabs>
              <w:tab w:val="right" w:pos="9854"/>
            </w:tabs>
            <w:rPr>
              <w:rFonts w:eastAsiaTheme="minorEastAsia"/>
              <w:noProof/>
              <w:color w:val="auto"/>
              <w:kern w:val="2"/>
              <w:sz w:val="24"/>
              <w:szCs w:val="24"/>
              <w:lang w:eastAsia="en-AU"/>
              <w14:ligatures w14:val="standardContextual"/>
            </w:rPr>
          </w:pPr>
          <w:hyperlink w:anchor="_Toc232419357" w:history="1">
            <w:r w:rsidRPr="001F7B89">
              <w:rPr>
                <w:rStyle w:val="Hyperlink"/>
                <w:noProof/>
              </w:rPr>
              <w:t>A risk-based approach to regulation</w:t>
            </w:r>
            <w:r>
              <w:rPr>
                <w:noProof/>
                <w:webHidden/>
              </w:rPr>
              <w:tab/>
            </w:r>
            <w:r>
              <w:rPr>
                <w:noProof/>
                <w:webHidden/>
              </w:rPr>
              <w:fldChar w:fldCharType="begin"/>
            </w:r>
            <w:r>
              <w:rPr>
                <w:noProof/>
                <w:webHidden/>
              </w:rPr>
              <w:instrText xml:space="preserve"> PAGEREF _Toc232419357 \h </w:instrText>
            </w:r>
            <w:r>
              <w:rPr>
                <w:noProof/>
                <w:webHidden/>
              </w:rPr>
            </w:r>
            <w:r>
              <w:rPr>
                <w:noProof/>
                <w:webHidden/>
              </w:rPr>
              <w:fldChar w:fldCharType="separate"/>
            </w:r>
            <w:r>
              <w:rPr>
                <w:noProof/>
                <w:webHidden/>
              </w:rPr>
              <w:t>2</w:t>
            </w:r>
            <w:r>
              <w:rPr>
                <w:noProof/>
                <w:webHidden/>
              </w:rPr>
              <w:fldChar w:fldCharType="end"/>
            </w:r>
          </w:hyperlink>
        </w:p>
        <w:p w14:paraId="6CD1732E" w14:textId="02F2B6B0" w:rsidR="00AB7ECE" w:rsidRDefault="00AB7ECE">
          <w:pPr>
            <w:pStyle w:val="TOC1"/>
            <w:rPr>
              <w:rFonts w:eastAsiaTheme="minorEastAsia"/>
              <w:b w:val="0"/>
              <w:noProof/>
              <w:color w:val="auto"/>
              <w:kern w:val="2"/>
              <w:szCs w:val="24"/>
              <w:u w:val="none"/>
              <w:lang w:eastAsia="en-AU"/>
              <w14:ligatures w14:val="standardContextual"/>
            </w:rPr>
          </w:pPr>
          <w:hyperlink w:anchor="_Toc232419358" w:history="1">
            <w:r w:rsidRPr="001F7B89">
              <w:rPr>
                <w:rStyle w:val="Hyperlink"/>
                <w:noProof/>
              </w:rPr>
              <w:t>Our compliance model</w:t>
            </w:r>
            <w:r>
              <w:rPr>
                <w:noProof/>
                <w:webHidden/>
              </w:rPr>
              <w:tab/>
            </w:r>
            <w:r>
              <w:rPr>
                <w:noProof/>
                <w:webHidden/>
              </w:rPr>
              <w:fldChar w:fldCharType="begin"/>
            </w:r>
            <w:r>
              <w:rPr>
                <w:noProof/>
                <w:webHidden/>
              </w:rPr>
              <w:instrText xml:space="preserve"> PAGEREF _Toc232419358 \h </w:instrText>
            </w:r>
            <w:r>
              <w:rPr>
                <w:noProof/>
                <w:webHidden/>
              </w:rPr>
            </w:r>
            <w:r>
              <w:rPr>
                <w:noProof/>
                <w:webHidden/>
              </w:rPr>
              <w:fldChar w:fldCharType="separate"/>
            </w:r>
            <w:r>
              <w:rPr>
                <w:noProof/>
                <w:webHidden/>
              </w:rPr>
              <w:t>4</w:t>
            </w:r>
            <w:r>
              <w:rPr>
                <w:noProof/>
                <w:webHidden/>
              </w:rPr>
              <w:fldChar w:fldCharType="end"/>
            </w:r>
          </w:hyperlink>
        </w:p>
        <w:p w14:paraId="3A3C98BB" w14:textId="0FA805D7" w:rsidR="00AB7ECE" w:rsidRDefault="00AB7ECE">
          <w:pPr>
            <w:pStyle w:val="TOC2"/>
            <w:tabs>
              <w:tab w:val="right" w:pos="9854"/>
            </w:tabs>
            <w:rPr>
              <w:rFonts w:eastAsiaTheme="minorEastAsia"/>
              <w:noProof/>
              <w:color w:val="auto"/>
              <w:kern w:val="2"/>
              <w:sz w:val="24"/>
              <w:szCs w:val="24"/>
              <w:lang w:eastAsia="en-AU"/>
              <w14:ligatures w14:val="standardContextual"/>
            </w:rPr>
          </w:pPr>
          <w:hyperlink w:anchor="_Toc232419359" w:history="1">
            <w:r w:rsidRPr="001F7B89">
              <w:rPr>
                <w:rStyle w:val="Hyperlink"/>
                <w:noProof/>
              </w:rPr>
              <w:t>Compliance types</w:t>
            </w:r>
            <w:r>
              <w:rPr>
                <w:noProof/>
                <w:webHidden/>
              </w:rPr>
              <w:tab/>
            </w:r>
            <w:r>
              <w:rPr>
                <w:noProof/>
                <w:webHidden/>
              </w:rPr>
              <w:fldChar w:fldCharType="begin"/>
            </w:r>
            <w:r>
              <w:rPr>
                <w:noProof/>
                <w:webHidden/>
              </w:rPr>
              <w:instrText xml:space="preserve"> PAGEREF _Toc232419359 \h </w:instrText>
            </w:r>
            <w:r>
              <w:rPr>
                <w:noProof/>
                <w:webHidden/>
              </w:rPr>
            </w:r>
            <w:r>
              <w:rPr>
                <w:noProof/>
                <w:webHidden/>
              </w:rPr>
              <w:fldChar w:fldCharType="separate"/>
            </w:r>
            <w:r>
              <w:rPr>
                <w:noProof/>
                <w:webHidden/>
              </w:rPr>
              <w:t>4</w:t>
            </w:r>
            <w:r>
              <w:rPr>
                <w:noProof/>
                <w:webHidden/>
              </w:rPr>
              <w:fldChar w:fldCharType="end"/>
            </w:r>
          </w:hyperlink>
        </w:p>
        <w:p w14:paraId="41BC22DD" w14:textId="399133AB" w:rsidR="00AB7ECE" w:rsidRDefault="00AB7ECE">
          <w:pPr>
            <w:pStyle w:val="TOC2"/>
            <w:tabs>
              <w:tab w:val="right" w:pos="9854"/>
            </w:tabs>
            <w:rPr>
              <w:rFonts w:eastAsiaTheme="minorEastAsia"/>
              <w:noProof/>
              <w:color w:val="auto"/>
              <w:kern w:val="2"/>
              <w:sz w:val="24"/>
              <w:szCs w:val="24"/>
              <w:lang w:eastAsia="en-AU"/>
              <w14:ligatures w14:val="standardContextual"/>
            </w:rPr>
          </w:pPr>
          <w:hyperlink w:anchor="_Toc232419360" w:history="1">
            <w:r w:rsidRPr="001F7B89">
              <w:rPr>
                <w:rStyle w:val="Hyperlink"/>
                <w:noProof/>
              </w:rPr>
              <w:t>Voluntary compliance</w:t>
            </w:r>
            <w:r>
              <w:rPr>
                <w:noProof/>
                <w:webHidden/>
              </w:rPr>
              <w:tab/>
            </w:r>
            <w:r>
              <w:rPr>
                <w:noProof/>
                <w:webHidden/>
              </w:rPr>
              <w:fldChar w:fldCharType="begin"/>
            </w:r>
            <w:r>
              <w:rPr>
                <w:noProof/>
                <w:webHidden/>
              </w:rPr>
              <w:instrText xml:space="preserve"> PAGEREF _Toc232419360 \h </w:instrText>
            </w:r>
            <w:r>
              <w:rPr>
                <w:noProof/>
                <w:webHidden/>
              </w:rPr>
            </w:r>
            <w:r>
              <w:rPr>
                <w:noProof/>
                <w:webHidden/>
              </w:rPr>
              <w:fldChar w:fldCharType="separate"/>
            </w:r>
            <w:r>
              <w:rPr>
                <w:noProof/>
                <w:webHidden/>
              </w:rPr>
              <w:t>5</w:t>
            </w:r>
            <w:r>
              <w:rPr>
                <w:noProof/>
                <w:webHidden/>
              </w:rPr>
              <w:fldChar w:fldCharType="end"/>
            </w:r>
          </w:hyperlink>
        </w:p>
        <w:p w14:paraId="69924576" w14:textId="208D51C2" w:rsidR="00AB7ECE" w:rsidRDefault="00AB7ECE">
          <w:pPr>
            <w:pStyle w:val="TOC2"/>
            <w:tabs>
              <w:tab w:val="right" w:pos="9854"/>
            </w:tabs>
            <w:rPr>
              <w:rFonts w:eastAsiaTheme="minorEastAsia"/>
              <w:noProof/>
              <w:color w:val="auto"/>
              <w:kern w:val="2"/>
              <w:sz w:val="24"/>
              <w:szCs w:val="24"/>
              <w:lang w:eastAsia="en-AU"/>
              <w14:ligatures w14:val="standardContextual"/>
            </w:rPr>
          </w:pPr>
          <w:hyperlink w:anchor="_Toc232419361" w:history="1">
            <w:r w:rsidRPr="001F7B89">
              <w:rPr>
                <w:rStyle w:val="Hyperlink"/>
                <w:noProof/>
              </w:rPr>
              <w:t>Assisted compliance</w:t>
            </w:r>
            <w:r>
              <w:rPr>
                <w:noProof/>
                <w:webHidden/>
              </w:rPr>
              <w:tab/>
            </w:r>
            <w:r>
              <w:rPr>
                <w:noProof/>
                <w:webHidden/>
              </w:rPr>
              <w:fldChar w:fldCharType="begin"/>
            </w:r>
            <w:r>
              <w:rPr>
                <w:noProof/>
                <w:webHidden/>
              </w:rPr>
              <w:instrText xml:space="preserve"> PAGEREF _Toc232419361 \h </w:instrText>
            </w:r>
            <w:r>
              <w:rPr>
                <w:noProof/>
                <w:webHidden/>
              </w:rPr>
            </w:r>
            <w:r>
              <w:rPr>
                <w:noProof/>
                <w:webHidden/>
              </w:rPr>
              <w:fldChar w:fldCharType="separate"/>
            </w:r>
            <w:r>
              <w:rPr>
                <w:noProof/>
                <w:webHidden/>
              </w:rPr>
              <w:t>5</w:t>
            </w:r>
            <w:r>
              <w:rPr>
                <w:noProof/>
                <w:webHidden/>
              </w:rPr>
              <w:fldChar w:fldCharType="end"/>
            </w:r>
          </w:hyperlink>
        </w:p>
        <w:p w14:paraId="2B7F9D28" w14:textId="00C4DC27" w:rsidR="00AB7ECE" w:rsidRDefault="00AB7ECE">
          <w:pPr>
            <w:pStyle w:val="TOC3"/>
            <w:tabs>
              <w:tab w:val="right" w:pos="9854"/>
            </w:tabs>
            <w:rPr>
              <w:rFonts w:eastAsiaTheme="minorEastAsia"/>
              <w:noProof/>
              <w:color w:val="auto"/>
              <w:kern w:val="2"/>
              <w:sz w:val="24"/>
              <w:szCs w:val="24"/>
              <w:lang w:eastAsia="en-AU"/>
              <w14:ligatures w14:val="standardContextual"/>
            </w:rPr>
          </w:pPr>
          <w:hyperlink w:anchor="_Toc232419362" w:history="1">
            <w:r w:rsidRPr="001F7B89">
              <w:rPr>
                <w:rStyle w:val="Hyperlink"/>
                <w:noProof/>
              </w:rPr>
              <w:t>Monitoring powers</w:t>
            </w:r>
            <w:r>
              <w:rPr>
                <w:noProof/>
                <w:webHidden/>
              </w:rPr>
              <w:tab/>
            </w:r>
            <w:r>
              <w:rPr>
                <w:noProof/>
                <w:webHidden/>
              </w:rPr>
              <w:fldChar w:fldCharType="begin"/>
            </w:r>
            <w:r>
              <w:rPr>
                <w:noProof/>
                <w:webHidden/>
              </w:rPr>
              <w:instrText xml:space="preserve"> PAGEREF _Toc232419362 \h </w:instrText>
            </w:r>
            <w:r>
              <w:rPr>
                <w:noProof/>
                <w:webHidden/>
              </w:rPr>
            </w:r>
            <w:r>
              <w:rPr>
                <w:noProof/>
                <w:webHidden/>
              </w:rPr>
              <w:fldChar w:fldCharType="separate"/>
            </w:r>
            <w:r>
              <w:rPr>
                <w:noProof/>
                <w:webHidden/>
              </w:rPr>
              <w:t>5</w:t>
            </w:r>
            <w:r>
              <w:rPr>
                <w:noProof/>
                <w:webHidden/>
              </w:rPr>
              <w:fldChar w:fldCharType="end"/>
            </w:r>
          </w:hyperlink>
        </w:p>
        <w:p w14:paraId="59BCC07A" w14:textId="43FA03B6" w:rsidR="00AB7ECE" w:rsidRDefault="00AB7ECE">
          <w:pPr>
            <w:pStyle w:val="TOC2"/>
            <w:tabs>
              <w:tab w:val="right" w:pos="9854"/>
            </w:tabs>
            <w:rPr>
              <w:rFonts w:eastAsiaTheme="minorEastAsia"/>
              <w:noProof/>
              <w:color w:val="auto"/>
              <w:kern w:val="2"/>
              <w:sz w:val="24"/>
              <w:szCs w:val="24"/>
              <w:lang w:eastAsia="en-AU"/>
              <w14:ligatures w14:val="standardContextual"/>
            </w:rPr>
          </w:pPr>
          <w:hyperlink w:anchor="_Toc232419363" w:history="1">
            <w:r w:rsidRPr="001F7B89">
              <w:rPr>
                <w:rStyle w:val="Hyperlink"/>
                <w:noProof/>
              </w:rPr>
              <w:t>Directed compliance</w:t>
            </w:r>
            <w:r>
              <w:rPr>
                <w:noProof/>
                <w:webHidden/>
              </w:rPr>
              <w:tab/>
            </w:r>
            <w:r>
              <w:rPr>
                <w:noProof/>
                <w:webHidden/>
              </w:rPr>
              <w:fldChar w:fldCharType="begin"/>
            </w:r>
            <w:r>
              <w:rPr>
                <w:noProof/>
                <w:webHidden/>
              </w:rPr>
              <w:instrText xml:space="preserve"> PAGEREF _Toc232419363 \h </w:instrText>
            </w:r>
            <w:r>
              <w:rPr>
                <w:noProof/>
                <w:webHidden/>
              </w:rPr>
            </w:r>
            <w:r>
              <w:rPr>
                <w:noProof/>
                <w:webHidden/>
              </w:rPr>
              <w:fldChar w:fldCharType="separate"/>
            </w:r>
            <w:r>
              <w:rPr>
                <w:noProof/>
                <w:webHidden/>
              </w:rPr>
              <w:t>5</w:t>
            </w:r>
            <w:r>
              <w:rPr>
                <w:noProof/>
                <w:webHidden/>
              </w:rPr>
              <w:fldChar w:fldCharType="end"/>
            </w:r>
          </w:hyperlink>
        </w:p>
        <w:p w14:paraId="3930E3F5" w14:textId="20843850" w:rsidR="00AB7ECE" w:rsidRDefault="00AB7ECE">
          <w:pPr>
            <w:pStyle w:val="TOC3"/>
            <w:tabs>
              <w:tab w:val="right" w:pos="9854"/>
            </w:tabs>
            <w:rPr>
              <w:rFonts w:eastAsiaTheme="minorEastAsia"/>
              <w:noProof/>
              <w:color w:val="auto"/>
              <w:kern w:val="2"/>
              <w:sz w:val="24"/>
              <w:szCs w:val="24"/>
              <w:lang w:eastAsia="en-AU"/>
              <w14:ligatures w14:val="standardContextual"/>
            </w:rPr>
          </w:pPr>
          <w:hyperlink w:anchor="_Toc232419364" w:history="1">
            <w:r w:rsidRPr="001F7B89">
              <w:rPr>
                <w:rStyle w:val="Hyperlink"/>
                <w:noProof/>
              </w:rPr>
              <w:t>Investigation powers</w:t>
            </w:r>
            <w:r>
              <w:rPr>
                <w:noProof/>
                <w:webHidden/>
              </w:rPr>
              <w:tab/>
            </w:r>
            <w:r>
              <w:rPr>
                <w:noProof/>
                <w:webHidden/>
              </w:rPr>
              <w:fldChar w:fldCharType="begin"/>
            </w:r>
            <w:r>
              <w:rPr>
                <w:noProof/>
                <w:webHidden/>
              </w:rPr>
              <w:instrText xml:space="preserve"> PAGEREF _Toc232419364 \h </w:instrText>
            </w:r>
            <w:r>
              <w:rPr>
                <w:noProof/>
                <w:webHidden/>
              </w:rPr>
            </w:r>
            <w:r>
              <w:rPr>
                <w:noProof/>
                <w:webHidden/>
              </w:rPr>
              <w:fldChar w:fldCharType="separate"/>
            </w:r>
            <w:r>
              <w:rPr>
                <w:noProof/>
                <w:webHidden/>
              </w:rPr>
              <w:t>6</w:t>
            </w:r>
            <w:r>
              <w:rPr>
                <w:noProof/>
                <w:webHidden/>
              </w:rPr>
              <w:fldChar w:fldCharType="end"/>
            </w:r>
          </w:hyperlink>
        </w:p>
        <w:p w14:paraId="23A60D77" w14:textId="0E71F8FE" w:rsidR="00AB7ECE" w:rsidRDefault="00AB7ECE">
          <w:pPr>
            <w:pStyle w:val="TOC3"/>
            <w:tabs>
              <w:tab w:val="right" w:pos="9854"/>
            </w:tabs>
            <w:rPr>
              <w:rFonts w:eastAsiaTheme="minorEastAsia"/>
              <w:noProof/>
              <w:color w:val="auto"/>
              <w:kern w:val="2"/>
              <w:sz w:val="24"/>
              <w:szCs w:val="24"/>
              <w:lang w:eastAsia="en-AU"/>
              <w14:ligatures w14:val="standardContextual"/>
            </w:rPr>
          </w:pPr>
          <w:hyperlink w:anchor="_Toc232419365" w:history="1">
            <w:r w:rsidRPr="001F7B89">
              <w:rPr>
                <w:rStyle w:val="Hyperlink"/>
                <w:noProof/>
              </w:rPr>
              <w:t>Infringement notices</w:t>
            </w:r>
            <w:r>
              <w:rPr>
                <w:noProof/>
                <w:webHidden/>
              </w:rPr>
              <w:tab/>
            </w:r>
            <w:r>
              <w:rPr>
                <w:noProof/>
                <w:webHidden/>
              </w:rPr>
              <w:fldChar w:fldCharType="begin"/>
            </w:r>
            <w:r>
              <w:rPr>
                <w:noProof/>
                <w:webHidden/>
              </w:rPr>
              <w:instrText xml:space="preserve"> PAGEREF _Toc232419365 \h </w:instrText>
            </w:r>
            <w:r>
              <w:rPr>
                <w:noProof/>
                <w:webHidden/>
              </w:rPr>
            </w:r>
            <w:r>
              <w:rPr>
                <w:noProof/>
                <w:webHidden/>
              </w:rPr>
              <w:fldChar w:fldCharType="separate"/>
            </w:r>
            <w:r>
              <w:rPr>
                <w:noProof/>
                <w:webHidden/>
              </w:rPr>
              <w:t>6</w:t>
            </w:r>
            <w:r>
              <w:rPr>
                <w:noProof/>
                <w:webHidden/>
              </w:rPr>
              <w:fldChar w:fldCharType="end"/>
            </w:r>
          </w:hyperlink>
        </w:p>
        <w:p w14:paraId="345F5171" w14:textId="09B59FB3" w:rsidR="00AB7ECE" w:rsidRDefault="00AB7ECE">
          <w:pPr>
            <w:pStyle w:val="TOC3"/>
            <w:tabs>
              <w:tab w:val="right" w:pos="9854"/>
            </w:tabs>
            <w:rPr>
              <w:rFonts w:eastAsiaTheme="minorEastAsia"/>
              <w:noProof/>
              <w:color w:val="auto"/>
              <w:kern w:val="2"/>
              <w:sz w:val="24"/>
              <w:szCs w:val="24"/>
              <w:lang w:eastAsia="en-AU"/>
              <w14:ligatures w14:val="standardContextual"/>
            </w:rPr>
          </w:pPr>
          <w:hyperlink w:anchor="_Toc232419366" w:history="1">
            <w:r w:rsidRPr="001F7B89">
              <w:rPr>
                <w:rStyle w:val="Hyperlink"/>
                <w:noProof/>
              </w:rPr>
              <w:t>Civil Penalty</w:t>
            </w:r>
            <w:r>
              <w:rPr>
                <w:noProof/>
                <w:webHidden/>
              </w:rPr>
              <w:tab/>
            </w:r>
            <w:r>
              <w:rPr>
                <w:noProof/>
                <w:webHidden/>
              </w:rPr>
              <w:fldChar w:fldCharType="begin"/>
            </w:r>
            <w:r>
              <w:rPr>
                <w:noProof/>
                <w:webHidden/>
              </w:rPr>
              <w:instrText xml:space="preserve"> PAGEREF _Toc232419366 \h </w:instrText>
            </w:r>
            <w:r>
              <w:rPr>
                <w:noProof/>
                <w:webHidden/>
              </w:rPr>
            </w:r>
            <w:r>
              <w:rPr>
                <w:noProof/>
                <w:webHidden/>
              </w:rPr>
              <w:fldChar w:fldCharType="separate"/>
            </w:r>
            <w:r>
              <w:rPr>
                <w:noProof/>
                <w:webHidden/>
              </w:rPr>
              <w:t>6</w:t>
            </w:r>
            <w:r>
              <w:rPr>
                <w:noProof/>
                <w:webHidden/>
              </w:rPr>
              <w:fldChar w:fldCharType="end"/>
            </w:r>
          </w:hyperlink>
        </w:p>
        <w:p w14:paraId="47C43344" w14:textId="2FACD0E5" w:rsidR="00AB7ECE" w:rsidRDefault="00AB7ECE">
          <w:pPr>
            <w:pStyle w:val="TOC3"/>
            <w:tabs>
              <w:tab w:val="right" w:pos="9854"/>
            </w:tabs>
            <w:rPr>
              <w:rFonts w:eastAsiaTheme="minorEastAsia"/>
              <w:noProof/>
              <w:color w:val="auto"/>
              <w:kern w:val="2"/>
              <w:sz w:val="24"/>
              <w:szCs w:val="24"/>
              <w:lang w:eastAsia="en-AU"/>
              <w14:ligatures w14:val="standardContextual"/>
            </w:rPr>
          </w:pPr>
          <w:hyperlink w:anchor="_Toc232419367" w:history="1">
            <w:r w:rsidRPr="001F7B89">
              <w:rPr>
                <w:rStyle w:val="Hyperlink"/>
                <w:noProof/>
              </w:rPr>
              <w:t>Enforceable undertakings</w:t>
            </w:r>
            <w:r>
              <w:rPr>
                <w:noProof/>
                <w:webHidden/>
              </w:rPr>
              <w:tab/>
            </w:r>
            <w:r>
              <w:rPr>
                <w:noProof/>
                <w:webHidden/>
              </w:rPr>
              <w:fldChar w:fldCharType="begin"/>
            </w:r>
            <w:r>
              <w:rPr>
                <w:noProof/>
                <w:webHidden/>
              </w:rPr>
              <w:instrText xml:space="preserve"> PAGEREF _Toc232419367 \h </w:instrText>
            </w:r>
            <w:r>
              <w:rPr>
                <w:noProof/>
                <w:webHidden/>
              </w:rPr>
            </w:r>
            <w:r>
              <w:rPr>
                <w:noProof/>
                <w:webHidden/>
              </w:rPr>
              <w:fldChar w:fldCharType="separate"/>
            </w:r>
            <w:r>
              <w:rPr>
                <w:noProof/>
                <w:webHidden/>
              </w:rPr>
              <w:t>6</w:t>
            </w:r>
            <w:r>
              <w:rPr>
                <w:noProof/>
                <w:webHidden/>
              </w:rPr>
              <w:fldChar w:fldCharType="end"/>
            </w:r>
          </w:hyperlink>
        </w:p>
        <w:p w14:paraId="4CEFA207" w14:textId="2F02FCE4" w:rsidR="00AB7ECE" w:rsidRDefault="00AB7ECE">
          <w:pPr>
            <w:pStyle w:val="TOC3"/>
            <w:tabs>
              <w:tab w:val="right" w:pos="9854"/>
            </w:tabs>
            <w:rPr>
              <w:rFonts w:eastAsiaTheme="minorEastAsia"/>
              <w:noProof/>
              <w:color w:val="auto"/>
              <w:kern w:val="2"/>
              <w:sz w:val="24"/>
              <w:szCs w:val="24"/>
              <w:lang w:eastAsia="en-AU"/>
              <w14:ligatures w14:val="standardContextual"/>
            </w:rPr>
          </w:pPr>
          <w:hyperlink w:anchor="_Toc232419368" w:history="1">
            <w:r w:rsidRPr="001F7B89">
              <w:rPr>
                <w:rStyle w:val="Hyperlink"/>
                <w:noProof/>
              </w:rPr>
              <w:t>Injunctions</w:t>
            </w:r>
            <w:r>
              <w:rPr>
                <w:noProof/>
                <w:webHidden/>
              </w:rPr>
              <w:tab/>
            </w:r>
            <w:r>
              <w:rPr>
                <w:noProof/>
                <w:webHidden/>
              </w:rPr>
              <w:fldChar w:fldCharType="begin"/>
            </w:r>
            <w:r>
              <w:rPr>
                <w:noProof/>
                <w:webHidden/>
              </w:rPr>
              <w:instrText xml:space="preserve"> PAGEREF _Toc232419368 \h </w:instrText>
            </w:r>
            <w:r>
              <w:rPr>
                <w:noProof/>
                <w:webHidden/>
              </w:rPr>
            </w:r>
            <w:r>
              <w:rPr>
                <w:noProof/>
                <w:webHidden/>
              </w:rPr>
              <w:fldChar w:fldCharType="separate"/>
            </w:r>
            <w:r>
              <w:rPr>
                <w:noProof/>
                <w:webHidden/>
              </w:rPr>
              <w:t>7</w:t>
            </w:r>
            <w:r>
              <w:rPr>
                <w:noProof/>
                <w:webHidden/>
              </w:rPr>
              <w:fldChar w:fldCharType="end"/>
            </w:r>
          </w:hyperlink>
        </w:p>
        <w:p w14:paraId="2027B6B8" w14:textId="159E9429" w:rsidR="00AB7ECE" w:rsidRDefault="00AB7ECE">
          <w:pPr>
            <w:pStyle w:val="TOC2"/>
            <w:tabs>
              <w:tab w:val="right" w:pos="9854"/>
            </w:tabs>
            <w:rPr>
              <w:rFonts w:eastAsiaTheme="minorEastAsia"/>
              <w:noProof/>
              <w:color w:val="auto"/>
              <w:kern w:val="2"/>
              <w:sz w:val="24"/>
              <w:szCs w:val="24"/>
              <w:lang w:eastAsia="en-AU"/>
              <w14:ligatures w14:val="standardContextual"/>
            </w:rPr>
          </w:pPr>
          <w:hyperlink w:anchor="_Toc232419369" w:history="1">
            <w:r w:rsidRPr="001F7B89">
              <w:rPr>
                <w:rStyle w:val="Hyperlink"/>
                <w:noProof/>
              </w:rPr>
              <w:t>Enforced compliance</w:t>
            </w:r>
            <w:r>
              <w:rPr>
                <w:noProof/>
                <w:webHidden/>
              </w:rPr>
              <w:tab/>
            </w:r>
            <w:r>
              <w:rPr>
                <w:noProof/>
                <w:webHidden/>
              </w:rPr>
              <w:fldChar w:fldCharType="begin"/>
            </w:r>
            <w:r>
              <w:rPr>
                <w:noProof/>
                <w:webHidden/>
              </w:rPr>
              <w:instrText xml:space="preserve"> PAGEREF _Toc232419369 \h </w:instrText>
            </w:r>
            <w:r>
              <w:rPr>
                <w:noProof/>
                <w:webHidden/>
              </w:rPr>
            </w:r>
            <w:r>
              <w:rPr>
                <w:noProof/>
                <w:webHidden/>
              </w:rPr>
              <w:fldChar w:fldCharType="separate"/>
            </w:r>
            <w:r>
              <w:rPr>
                <w:noProof/>
                <w:webHidden/>
              </w:rPr>
              <w:t>7</w:t>
            </w:r>
            <w:r>
              <w:rPr>
                <w:noProof/>
                <w:webHidden/>
              </w:rPr>
              <w:fldChar w:fldCharType="end"/>
            </w:r>
          </w:hyperlink>
        </w:p>
        <w:p w14:paraId="2E9971F5" w14:textId="372E2A26" w:rsidR="00AB7ECE" w:rsidRDefault="00AB7ECE">
          <w:pPr>
            <w:pStyle w:val="TOC1"/>
            <w:rPr>
              <w:rFonts w:eastAsiaTheme="minorEastAsia"/>
              <w:b w:val="0"/>
              <w:noProof/>
              <w:color w:val="auto"/>
              <w:kern w:val="2"/>
              <w:szCs w:val="24"/>
              <w:u w:val="none"/>
              <w:lang w:eastAsia="en-AU"/>
              <w14:ligatures w14:val="standardContextual"/>
            </w:rPr>
          </w:pPr>
          <w:hyperlink w:anchor="_Toc232419370" w:history="1">
            <w:r w:rsidRPr="001F7B89">
              <w:rPr>
                <w:rStyle w:val="Hyperlink"/>
                <w:noProof/>
              </w:rPr>
              <w:t>Glossary</w:t>
            </w:r>
            <w:r>
              <w:rPr>
                <w:noProof/>
                <w:webHidden/>
              </w:rPr>
              <w:tab/>
            </w:r>
            <w:r>
              <w:rPr>
                <w:noProof/>
                <w:webHidden/>
              </w:rPr>
              <w:fldChar w:fldCharType="begin"/>
            </w:r>
            <w:r>
              <w:rPr>
                <w:noProof/>
                <w:webHidden/>
              </w:rPr>
              <w:instrText xml:space="preserve"> PAGEREF _Toc232419370 \h </w:instrText>
            </w:r>
            <w:r>
              <w:rPr>
                <w:noProof/>
                <w:webHidden/>
              </w:rPr>
            </w:r>
            <w:r>
              <w:rPr>
                <w:noProof/>
                <w:webHidden/>
              </w:rPr>
              <w:fldChar w:fldCharType="separate"/>
            </w:r>
            <w:r>
              <w:rPr>
                <w:noProof/>
                <w:webHidden/>
              </w:rPr>
              <w:t>7</w:t>
            </w:r>
            <w:r>
              <w:rPr>
                <w:noProof/>
                <w:webHidden/>
              </w:rPr>
              <w:fldChar w:fldCharType="end"/>
            </w:r>
          </w:hyperlink>
        </w:p>
        <w:p w14:paraId="1BB5714D" w14:textId="4FB597EC" w:rsidR="00B9192C" w:rsidRDefault="00B9192C">
          <w:r>
            <w:rPr>
              <w:b/>
              <w:bCs/>
              <w:noProof/>
            </w:rPr>
            <w:fldChar w:fldCharType="end"/>
          </w:r>
        </w:p>
      </w:sdtContent>
    </w:sdt>
    <w:p w14:paraId="31C205F6" w14:textId="08509FBA" w:rsidR="00B9192C" w:rsidRDefault="00B9192C">
      <w:pPr>
        <w:suppressAutoHyphens w:val="0"/>
      </w:pPr>
      <w:r>
        <w:br w:type="page"/>
      </w:r>
    </w:p>
    <w:p w14:paraId="00A75D45" w14:textId="77777777" w:rsidR="00B9192C" w:rsidRPr="00B9192C" w:rsidRDefault="00B9192C" w:rsidP="00E446F7">
      <w:pPr>
        <w:pStyle w:val="Heading1"/>
      </w:pPr>
      <w:bookmarkStart w:id="2" w:name="_Toc229578844"/>
      <w:bookmarkStart w:id="3" w:name="_Toc232419355"/>
      <w:r w:rsidRPr="00B9192C">
        <w:lastRenderedPageBreak/>
        <w:t>Purpose and context</w:t>
      </w:r>
      <w:bookmarkEnd w:id="2"/>
      <w:bookmarkEnd w:id="3"/>
    </w:p>
    <w:p w14:paraId="2FB1DE09" w14:textId="77777777" w:rsidR="00B9192C" w:rsidRPr="00B9192C" w:rsidRDefault="00B9192C" w:rsidP="00B9192C">
      <w:pPr>
        <w:pStyle w:val="Introduction"/>
      </w:pPr>
      <w:r w:rsidRPr="00B9192C">
        <w:t xml:space="preserve">Our road vehicle regulatory approach (regulatory approach) describes how we support and enable regulated entities to comply with their obligations under the </w:t>
      </w:r>
      <w:r w:rsidRPr="00B9192C">
        <w:rPr>
          <w:i/>
        </w:rPr>
        <w:t xml:space="preserve">Road Vehicle Standards Act 2018 </w:t>
      </w:r>
      <w:r w:rsidRPr="00B9192C">
        <w:t xml:space="preserve">(the RVSA), the </w:t>
      </w:r>
      <w:r w:rsidRPr="00B9192C">
        <w:rPr>
          <w:i/>
        </w:rPr>
        <w:t xml:space="preserve">Road Vehicle Standards Rules 2019 </w:t>
      </w:r>
      <w:r w:rsidRPr="00B9192C">
        <w:t xml:space="preserve">(the Rules) and the </w:t>
      </w:r>
      <w:r w:rsidRPr="00E446F7">
        <w:rPr>
          <w:i/>
          <w:iCs/>
        </w:rPr>
        <w:t>New Vehicle Efficiency Standard Act 2024</w:t>
      </w:r>
      <w:r w:rsidRPr="00B9192C">
        <w:t xml:space="preserve"> (NVES).</w:t>
      </w:r>
    </w:p>
    <w:p w14:paraId="559FBB10" w14:textId="4436B59A" w:rsidR="00B9192C" w:rsidRPr="00B9192C" w:rsidRDefault="00B9192C" w:rsidP="00B9192C">
      <w:r w:rsidRPr="00B9192C">
        <w:t xml:space="preserve">The Department of Infrastructure, Transport, Regional Development, Communications, Sport and the Arts (the department) is responsible for administering the </w:t>
      </w:r>
      <w:r w:rsidRPr="00B9192C">
        <w:rPr>
          <w:i/>
          <w:iCs/>
        </w:rPr>
        <w:t>Road Vehicle Standards Act 2018</w:t>
      </w:r>
      <w:r w:rsidRPr="00B9192C">
        <w:t xml:space="preserve">, the </w:t>
      </w:r>
      <w:r w:rsidRPr="00B9192C">
        <w:rPr>
          <w:i/>
          <w:iCs/>
        </w:rPr>
        <w:t>Road Vehicle Standards Rules 2019</w:t>
      </w:r>
      <w:r w:rsidRPr="00B9192C">
        <w:t xml:space="preserve"> (together the RVS legislation) and the </w:t>
      </w:r>
      <w:r w:rsidRPr="00B9192C">
        <w:rPr>
          <w:i/>
          <w:iCs/>
        </w:rPr>
        <w:t>New Vehicle Efficiency Standard Act 2024</w:t>
      </w:r>
      <w:r w:rsidRPr="00B9192C">
        <w:t xml:space="preserve"> (NVES). These pieces of legislation work together to set nationally consistent performance-based standards for road vehicles being provided to the Australian market for the first time, while providing Australian consumers with a choice of vehicles that are safe, meet environmental expectations, can make use of technological advancements and incentivise the provision of vehicles that emit less carbon dioxide.</w:t>
      </w:r>
    </w:p>
    <w:p w14:paraId="6BD83834" w14:textId="77777777" w:rsidR="00B9192C" w:rsidRPr="00B9192C" w:rsidRDefault="00B9192C" w:rsidP="00B9192C">
      <w:r w:rsidRPr="00B9192C">
        <w:t>Our regulatory approach sets out an escalating compliance response to escalating risk and non-compliant behaviours. It shows the relationship between non-compliant behaviour, and the corresponding regulatory response guides our compliance activities and enforcement responses.</w:t>
      </w:r>
    </w:p>
    <w:p w14:paraId="60F10DE3" w14:textId="77777777" w:rsidR="00B9192C" w:rsidRPr="00B9192C" w:rsidRDefault="00B9192C" w:rsidP="00B9192C">
      <w:r w:rsidRPr="00B9192C">
        <w:t>A fundamental principle for the regulatory approach is to ensure there is a degree of flexibility in addressing non-compliance issues and risks as they arise.</w:t>
      </w:r>
    </w:p>
    <w:p w14:paraId="376C6F58" w14:textId="77777777" w:rsidR="00B9192C" w:rsidRPr="00B9192C" w:rsidRDefault="00B9192C" w:rsidP="00B9192C">
      <w:pPr>
        <w:pStyle w:val="Heading2"/>
      </w:pPr>
      <w:bookmarkStart w:id="4" w:name="_Toc229578845"/>
      <w:bookmarkStart w:id="5" w:name="_Toc232419356"/>
      <w:r w:rsidRPr="00B9192C">
        <w:t>Our legislation</w:t>
      </w:r>
      <w:bookmarkEnd w:id="4"/>
      <w:bookmarkEnd w:id="5"/>
    </w:p>
    <w:p w14:paraId="55F855D7" w14:textId="77777777" w:rsidR="00B9192C" w:rsidRPr="00B9192C" w:rsidRDefault="00B9192C" w:rsidP="00B9192C">
      <w:r w:rsidRPr="00B9192C">
        <w:t xml:space="preserve">The RVS legislation modernises the process for importing and supplying vehicles in Australia, </w:t>
      </w:r>
      <w:proofErr w:type="gramStart"/>
      <w:r w:rsidRPr="00B9192C">
        <w:t>taking into account</w:t>
      </w:r>
      <w:proofErr w:type="gramEnd"/>
      <w:r w:rsidRPr="00B9192C">
        <w:t xml:space="preserve"> major developments in the automotive industry since the previous legislation was introduced in 1989.</w:t>
      </w:r>
    </w:p>
    <w:p w14:paraId="3301EEE6" w14:textId="77777777" w:rsidR="00B9192C" w:rsidRPr="00B9192C" w:rsidRDefault="00B9192C" w:rsidP="00B9192C">
      <w:r w:rsidRPr="00B9192C">
        <w:t xml:space="preserve">The RVS legislation includes a framework to recall road vehicles and approved road vehicle components that are unsafe or do not comply with national road vehicle standards. It also allows for the triggering of certain provisions of the </w:t>
      </w:r>
      <w:r w:rsidRPr="00B9192C">
        <w:rPr>
          <w:i/>
        </w:rPr>
        <w:t>Regulatory Powers</w:t>
      </w:r>
      <w:r w:rsidRPr="00B9192C">
        <w:t> </w:t>
      </w:r>
      <w:r w:rsidRPr="00B9192C">
        <w:rPr>
          <w:i/>
        </w:rPr>
        <w:t xml:space="preserve">(Standard Provisions) Act 2014 </w:t>
      </w:r>
      <w:r w:rsidRPr="00B9192C">
        <w:t xml:space="preserve">(RPA), enhancing the department’s regulatory powers and allowing for a range of compliance and enforcement responses. </w:t>
      </w:r>
    </w:p>
    <w:p w14:paraId="6C36C691" w14:textId="77777777" w:rsidR="00B9192C" w:rsidRPr="00B9192C" w:rsidRDefault="00B9192C" w:rsidP="00B9192C">
      <w:r w:rsidRPr="00B9192C">
        <w:t>The NVES works in unison with the RVS legislation. The NVES sets carbon dioxide (CO2) emissions targets (emissions targets) for new passenger cars and light commercial vehicles, such as utility vehicles (</w:t>
      </w:r>
      <w:proofErr w:type="spellStart"/>
      <w:r w:rsidRPr="00B9192C">
        <w:t>utes</w:t>
      </w:r>
      <w:proofErr w:type="spellEnd"/>
      <w:r w:rsidRPr="00B9192C">
        <w:t>) and vans, entering the Australian market from 1 July 2025. The NVES applies to all new passenger and light commercial vehicles up to 4.5 tonnes gross vehicle mass (GVM).</w:t>
      </w:r>
    </w:p>
    <w:p w14:paraId="0C6CA0CA" w14:textId="77777777" w:rsidR="00B9192C" w:rsidRPr="00B9192C" w:rsidRDefault="00B9192C" w:rsidP="00B9192C">
      <w:r w:rsidRPr="00B9192C">
        <w:t xml:space="preserve">The RVS legislation supports voluntary compliance by linking current industry practices to clear, relevant, and objective legislative criteria for importing and providing road vehicles to the Australian market. To be compliant with the NVES Act, entities must enter data on the Register of Approved Vehicles (RAV) under the RVS legislation. </w:t>
      </w:r>
    </w:p>
    <w:p w14:paraId="2066958C" w14:textId="77777777" w:rsidR="00B9192C" w:rsidRDefault="00B9192C" w:rsidP="00B9192C">
      <w:pPr>
        <w:pStyle w:val="Heading2"/>
      </w:pPr>
      <w:bookmarkStart w:id="6" w:name="_Toc232419357"/>
      <w:r>
        <w:t>A risk-based approach to regulation</w:t>
      </w:r>
      <w:bookmarkEnd w:id="6"/>
    </w:p>
    <w:p w14:paraId="1A83E6F1" w14:textId="77777777" w:rsidR="00B9192C" w:rsidRDefault="00B9192C" w:rsidP="00B9192C">
      <w:r>
        <w:t>A risk-based approach to regulation means that we manage risks proportionately and maintain essential safeguards while minimising regulatory burden. We provide proportionate, prompt and consistent regulatory responses.</w:t>
      </w:r>
    </w:p>
    <w:p w14:paraId="513F5F2D" w14:textId="77777777" w:rsidR="00B9192C" w:rsidRDefault="00B9192C" w:rsidP="00B9192C">
      <w:r>
        <w:t>Where the non-compliance risk is considered high, there is a greater or stronger compliance and enforcement response to that risk. Conversely, where the non-compliance risk is considered low, there is a lesser or lighter compliance and enforcement response.</w:t>
      </w:r>
    </w:p>
    <w:p w14:paraId="073320F6" w14:textId="77777777" w:rsidR="00B9192C" w:rsidRDefault="00B9192C" w:rsidP="00B9192C">
      <w:r>
        <w:lastRenderedPageBreak/>
        <w:t>This risk-based approach helps ensure that our activities focus on regulated areas and regulated entities that pose the greatest risk, without impeding the regulated industry’s ability to operate.</w:t>
      </w:r>
    </w:p>
    <w:p w14:paraId="4F842827" w14:textId="77777777" w:rsidR="00B9192C" w:rsidRDefault="00B9192C" w:rsidP="00B9192C">
      <w:r>
        <w:t>A risk-based approach does not mean eliminating all risks, or taking a ‘no-touch’ approach to lower-risk regulated entities or behaviours.</w:t>
      </w:r>
    </w:p>
    <w:p w14:paraId="1C052F25" w14:textId="16099933" w:rsidR="00B9192C" w:rsidRDefault="00B9192C" w:rsidP="00B9192C">
      <w:r>
        <w:t>A risk-based approach utilises the following elements:</w:t>
      </w:r>
    </w:p>
    <w:p w14:paraId="0DEE6327" w14:textId="13E7F29A" w:rsidR="00B9192C" w:rsidRDefault="00B9192C" w:rsidP="00B9192C">
      <w:pPr>
        <w:pStyle w:val="Bullet1"/>
      </w:pPr>
      <w:r w:rsidRPr="00B9192C">
        <w:rPr>
          <w:b/>
          <w:bCs/>
        </w:rPr>
        <w:t>Risk identification:</w:t>
      </w:r>
      <w:r>
        <w:t xml:space="preserve"> actively identifying and documenting historical, current and emerging risks in our regulatory environment. </w:t>
      </w:r>
    </w:p>
    <w:p w14:paraId="0D5E984D" w14:textId="3655E36A" w:rsidR="00B9192C" w:rsidRDefault="00B9192C" w:rsidP="00B9192C">
      <w:pPr>
        <w:pStyle w:val="Bullet1"/>
      </w:pPr>
      <w:r w:rsidRPr="00B9192C">
        <w:rPr>
          <w:b/>
          <w:bCs/>
        </w:rPr>
        <w:t>Risk assessment:</w:t>
      </w:r>
      <w:r>
        <w:t xml:space="preserve"> assessing the likelihood and consequence of identified risks, considering the effectiveness of any controls.</w:t>
      </w:r>
    </w:p>
    <w:p w14:paraId="0105803E" w14:textId="271133A9" w:rsidR="00B9192C" w:rsidRDefault="00B9192C" w:rsidP="00B9192C">
      <w:pPr>
        <w:pStyle w:val="Bullet1"/>
      </w:pPr>
      <w:r w:rsidRPr="00B9192C">
        <w:rPr>
          <w:b/>
          <w:bCs/>
        </w:rPr>
        <w:t>Risk prioritisation:</w:t>
      </w:r>
      <w:r>
        <w:t xml:space="preserve"> prioritising the risks, together with the risk assessment, informing the design of compliance activities, allocation of resources to compliance activities and selection of the most appropriate compliance or enforcement response.</w:t>
      </w:r>
    </w:p>
    <w:p w14:paraId="4B157BD3" w14:textId="0DF57D0B" w:rsidR="00B9192C" w:rsidRDefault="00B9192C" w:rsidP="00B9192C">
      <w:pPr>
        <w:pStyle w:val="Bullet1"/>
      </w:pPr>
      <w:r w:rsidRPr="00B9192C">
        <w:rPr>
          <w:b/>
          <w:bCs/>
        </w:rPr>
        <w:t>Control assessment:</w:t>
      </w:r>
      <w:r>
        <w:t xml:space="preserve"> identifying and assessing the effectiveness of controls currently used to modify or prevent the likelihood or consequence of the risk.</w:t>
      </w:r>
    </w:p>
    <w:p w14:paraId="123C3B6D" w14:textId="063771C5" w:rsidR="00B9192C" w:rsidRDefault="00B9192C" w:rsidP="00B9192C">
      <w:pPr>
        <w:pStyle w:val="Bullet1"/>
      </w:pPr>
      <w:r w:rsidRPr="00B9192C">
        <w:rPr>
          <w:b/>
          <w:bCs/>
        </w:rPr>
        <w:t>Allocation of resources to compliance activities:</w:t>
      </w:r>
      <w:r>
        <w:t xml:space="preserve"> allocating resources to compliance activities in proportion to the risk and guided by the risk priority.</w:t>
      </w:r>
    </w:p>
    <w:p w14:paraId="2BC08783" w14:textId="5F428979" w:rsidR="00B9192C" w:rsidRDefault="00B9192C" w:rsidP="00B9192C">
      <w:pPr>
        <w:pStyle w:val="Bullet1"/>
      </w:pPr>
      <w:r w:rsidRPr="00B9192C">
        <w:rPr>
          <w:b/>
          <w:bCs/>
        </w:rPr>
        <w:t>Tailoring of the enforcement response:</w:t>
      </w:r>
      <w:r>
        <w:t xml:space="preserve"> tailoring enforcement or compliance responses based on the severity and behavioural drivers of the non-compliance.</w:t>
      </w:r>
    </w:p>
    <w:p w14:paraId="141B67F0" w14:textId="77777777" w:rsidR="00B9192C" w:rsidRDefault="00B9192C" w:rsidP="00B9192C">
      <w:r>
        <w:t>A risk-based approach aims to deliver better regulatory outcomes, while minimising the regulatory burden on low-risk regulated areas or entities. The implementation of an effective risk-based approach supports:</w:t>
      </w:r>
    </w:p>
    <w:p w14:paraId="7A6F1044" w14:textId="33587E05" w:rsidR="00B9192C" w:rsidRDefault="00B9192C" w:rsidP="00B9192C">
      <w:pPr>
        <w:pStyle w:val="Bullet1"/>
      </w:pPr>
      <w:r>
        <w:t>a flexible, yet consistent approach to the monitoring and management of compliance.</w:t>
      </w:r>
    </w:p>
    <w:p w14:paraId="11CFF5BF" w14:textId="191FDACC" w:rsidR="00B9192C" w:rsidRDefault="00B9192C" w:rsidP="00B9192C">
      <w:pPr>
        <w:pStyle w:val="Bullet1"/>
      </w:pPr>
      <w:r>
        <w:t>the efficient and effective allocation of limited resources proportionate to the identified risk.</w:t>
      </w:r>
    </w:p>
    <w:p w14:paraId="7213495F" w14:textId="4910928B" w:rsidR="00B9192C" w:rsidRDefault="00B9192C" w:rsidP="00B9192C">
      <w:pPr>
        <w:pStyle w:val="Bullet1"/>
      </w:pPr>
      <w:r>
        <w:t>direction of the ‘cost’ of compliance and enforcement activities to higher-risk areas or entities.</w:t>
      </w:r>
    </w:p>
    <w:p w14:paraId="68F2A90F" w14:textId="0085EF6F" w:rsidR="00B9192C" w:rsidRDefault="00B9192C" w:rsidP="00B9192C">
      <w:pPr>
        <w:pStyle w:val="Bullet1"/>
      </w:pPr>
      <w:r>
        <w:t>lower-risk entities being subject to a lighter touch compliance approach (not no touch), with any intervention designed to provide an incentive to voluntarily comply with obligations.</w:t>
      </w:r>
    </w:p>
    <w:p w14:paraId="404CA5DA" w14:textId="68277382" w:rsidR="00B9192C" w:rsidRDefault="00B9192C" w:rsidP="00B9192C">
      <w:pPr>
        <w:pStyle w:val="Bullet1"/>
      </w:pPr>
      <w:r>
        <w:t>higher-risk entities being subject to greater regulatory scrutiny and intervention.</w:t>
      </w:r>
    </w:p>
    <w:p w14:paraId="57836A45" w14:textId="7C109779" w:rsidR="00B9192C" w:rsidRDefault="00B9192C" w:rsidP="00B9192C">
      <w:pPr>
        <w:pStyle w:val="Bullet1"/>
      </w:pPr>
      <w:r>
        <w:t>proportionate responses to non-compliance.</w:t>
      </w:r>
    </w:p>
    <w:p w14:paraId="6790BD3E" w14:textId="65772512" w:rsidR="00B9192C" w:rsidRDefault="00B9192C" w:rsidP="00B9192C">
      <w:pPr>
        <w:pStyle w:val="Bullet1"/>
      </w:pPr>
      <w:r>
        <w:t>flexibility to adapt to changing circumstances and changing priorities resulting from new or evolving risks, changes in stakeholder expectations, or the behaviour and motivations of regulated entities.</w:t>
      </w:r>
    </w:p>
    <w:p w14:paraId="36B8EE1B" w14:textId="77777777" w:rsidR="00B9192C" w:rsidRDefault="00B9192C" w:rsidP="00B9192C">
      <w:r>
        <w:t xml:space="preserve">We are committed to maintaining an effective regulatory framework that is fit-for-purpose, proportionate to risk, and reviewed for continuous improvement. </w:t>
      </w:r>
    </w:p>
    <w:p w14:paraId="180C5E4A" w14:textId="6F9361F0" w:rsidR="00B9192C" w:rsidRDefault="00B9192C" w:rsidP="00B9192C">
      <w:r>
        <w:t>Our relationships with stakeholders also help us to achieve our purpose and objectives, with open discussions seen as critical. It is important to us that we understand the different perspectives of our stakeholders, even where we may not agree.</w:t>
      </w:r>
    </w:p>
    <w:p w14:paraId="43CD394F" w14:textId="4E044D6C" w:rsidR="005853B3" w:rsidRDefault="005853B3" w:rsidP="00B9192C">
      <w:r>
        <w:br w:type="page"/>
      </w:r>
    </w:p>
    <w:p w14:paraId="4DBD5877" w14:textId="77777777" w:rsidR="005853B3" w:rsidRDefault="005853B3" w:rsidP="005853B3">
      <w:pPr>
        <w:pStyle w:val="Heading1"/>
      </w:pPr>
      <w:bookmarkStart w:id="7" w:name="_Toc232419358"/>
      <w:r>
        <w:lastRenderedPageBreak/>
        <w:t>Our compliance model</w:t>
      </w:r>
      <w:bookmarkEnd w:id="7"/>
    </w:p>
    <w:p w14:paraId="73F7A27F" w14:textId="77777777" w:rsidR="005853B3" w:rsidRDefault="005853B3" w:rsidP="005853B3">
      <w:r>
        <w:t>The compliance model does the following:</w:t>
      </w:r>
    </w:p>
    <w:p w14:paraId="7E21D719" w14:textId="35ED8D6F" w:rsidR="005853B3" w:rsidRDefault="005853B3" w:rsidP="005853B3">
      <w:pPr>
        <w:pStyle w:val="Bullet1"/>
      </w:pPr>
      <w:r>
        <w:t>reflects our approach to regulating.</w:t>
      </w:r>
    </w:p>
    <w:p w14:paraId="7345C8C0" w14:textId="0BF5D2CB" w:rsidR="005853B3" w:rsidRDefault="005853B3" w:rsidP="005853B3">
      <w:pPr>
        <w:pStyle w:val="Bullet1"/>
      </w:pPr>
      <w:r>
        <w:t>sets out an escalating regulatory response to escalating risk and non-compliant behaviours.</w:t>
      </w:r>
    </w:p>
    <w:p w14:paraId="57335287" w14:textId="126CD9B9" w:rsidR="005853B3" w:rsidRDefault="005853B3" w:rsidP="005853B3">
      <w:pPr>
        <w:pStyle w:val="Bullet1"/>
      </w:pPr>
      <w:r>
        <w:t>shows the relationship between non-compliant behaviour and the likely corresponding regulatory response.</w:t>
      </w:r>
    </w:p>
    <w:p w14:paraId="66F1EAB8" w14:textId="4D350AA7" w:rsidR="005853B3" w:rsidRDefault="005853B3" w:rsidP="005853B3">
      <w:pPr>
        <w:pStyle w:val="Bullet1"/>
      </w:pPr>
      <w:r>
        <w:t xml:space="preserve">guides our compliance activities and enforcement responses while supporting industry. </w:t>
      </w:r>
    </w:p>
    <w:p w14:paraId="69C68156" w14:textId="6E420EAD" w:rsidR="005853B3" w:rsidRDefault="005853B3" w:rsidP="005853B3">
      <w:pPr>
        <w:pStyle w:val="Bullet1"/>
      </w:pPr>
      <w:r>
        <w:t>allows flexibility in addressing non-compliance issues and risks as they arise.</w:t>
      </w:r>
    </w:p>
    <w:p w14:paraId="7F5CC10A" w14:textId="77777777" w:rsidR="005853B3" w:rsidRDefault="005853B3" w:rsidP="005853B3">
      <w:pPr>
        <w:pStyle w:val="Heading2"/>
      </w:pPr>
      <w:bookmarkStart w:id="8" w:name="_Toc232419359"/>
      <w:r>
        <w:t>Compliance types</w:t>
      </w:r>
      <w:bookmarkEnd w:id="8"/>
    </w:p>
    <w:p w14:paraId="2466A60E" w14:textId="77777777" w:rsidR="005853B3" w:rsidRDefault="005853B3" w:rsidP="005853B3">
      <w:r>
        <w:t>The compliance model recognises there are varying degrees of compliant and non-compliant behaviour. Each behaviour requires a different compliance and enforcement approach to respond to any non-compliance, encourage a return to compliance, or enforce compliance. We use four main types when considering non-compliance and responding to non-compliance:</w:t>
      </w:r>
    </w:p>
    <w:p w14:paraId="10FD1FA9" w14:textId="3B068C66" w:rsidR="005853B3" w:rsidRDefault="005853B3" w:rsidP="005853B3">
      <w:pPr>
        <w:pStyle w:val="Bullet1"/>
      </w:pPr>
      <w:r>
        <w:t>voluntary compliance.</w:t>
      </w:r>
    </w:p>
    <w:p w14:paraId="59B44F30" w14:textId="6BF42C60" w:rsidR="005853B3" w:rsidRDefault="005853B3" w:rsidP="005853B3">
      <w:pPr>
        <w:pStyle w:val="Bullet1"/>
      </w:pPr>
      <w:r>
        <w:t>assisted compliance.</w:t>
      </w:r>
    </w:p>
    <w:p w14:paraId="754ED880" w14:textId="149A06AC" w:rsidR="005853B3" w:rsidRDefault="005853B3" w:rsidP="005853B3">
      <w:pPr>
        <w:pStyle w:val="Bullet1"/>
      </w:pPr>
      <w:r>
        <w:t>directed compliance.</w:t>
      </w:r>
    </w:p>
    <w:p w14:paraId="6CD48E33" w14:textId="277DDD4F" w:rsidR="005853B3" w:rsidRDefault="005853B3" w:rsidP="005853B3">
      <w:pPr>
        <w:pStyle w:val="Bullet1"/>
      </w:pPr>
      <w:r>
        <w:t>enforced compliance.</w:t>
      </w:r>
    </w:p>
    <w:p w14:paraId="25B379A8" w14:textId="77777777" w:rsidR="005B25B3" w:rsidRDefault="005853B3" w:rsidP="005B25B3">
      <w:pPr>
        <w:rPr>
          <w:b/>
          <w:bCs/>
          <w:noProof/>
        </w:rPr>
      </w:pPr>
      <w:r>
        <w:t>This concept is commonly illustrated as a pyramid. Most regulated entities follow the rules willingly, aided by educational materials that help them stay compliant. At the pyramid's upper level, deliberate or ongoing failure to comply will be met with suitable and progressively stricter compliance and enforcement actions.</w:t>
      </w:r>
      <w:r w:rsidR="00171CE1">
        <w:rPr>
          <w:b/>
          <w:bCs/>
          <w:noProof/>
        </w:rPr>
        <w:t xml:space="preserve"> </w:t>
      </w:r>
    </w:p>
    <w:p w14:paraId="759ACA02" w14:textId="1BB5BA29" w:rsidR="005B25B3" w:rsidRDefault="00901ABB" w:rsidP="00BE1394">
      <w:pPr>
        <w:jc w:val="center"/>
        <w:rPr>
          <w:b/>
          <w:bCs/>
          <w:noProof/>
        </w:rPr>
      </w:pPr>
      <w:r>
        <w:rPr>
          <w:b/>
          <w:bCs/>
          <w:noProof/>
        </w:rPr>
        <w:drawing>
          <wp:inline distT="0" distB="0" distL="0" distR="0" wp14:anchorId="212B5AE7" wp14:editId="7D494BF2">
            <wp:extent cx="6126841" cy="4176000"/>
            <wp:effectExtent l="0" t="0" r="7620" b="0"/>
            <wp:docPr id="1735513098" name="Picture 1" descr="A diagram of a pyramid split into four levels illustrates how a regulated entity’s attitude towards its obligations relates to the compliance approach used to respond to non-compliance. At the base, voluntary compliance focuses on education and guidance for entities that are willing to comply. Assisted compliance focuses on inspections and monitoring for entities that are trying to comply. Directed compliance focuses on penalty notices and enforcement for entities that do not want to comply. Enforcement of compliance focuses on prosecution for entities that are deliberately non-compli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13098" name="Picture 1" descr="A diagram of a pyramid split into four levels illustrates how a regulated entity’s attitude towards its obligations relates to the compliance approach used to respond to non-compliance. At the base, voluntary compliance focuses on education and guidance for entities that are willing to comply. Assisted compliance focuses on inspections and monitoring for entities that are trying to comply. Directed compliance focuses on penalty notices and enforcement for entities that do not want to comply. Enforcement of compliance focuses on prosecution for entities that are deliberately non-compliant."/>
                    <pic:cNvPicPr/>
                  </pic:nvPicPr>
                  <pic:blipFill>
                    <a:blip r:embed="rId12">
                      <a:extLst>
                        <a:ext uri="{28A0092B-C50C-407E-A947-70E740481C1C}">
                          <a14:useLocalDpi xmlns:a14="http://schemas.microsoft.com/office/drawing/2010/main" val="0"/>
                        </a:ext>
                      </a:extLst>
                    </a:blip>
                    <a:stretch>
                      <a:fillRect/>
                    </a:stretch>
                  </pic:blipFill>
                  <pic:spPr>
                    <a:xfrm>
                      <a:off x="0" y="0"/>
                      <a:ext cx="6126841" cy="4176000"/>
                    </a:xfrm>
                    <a:prstGeom prst="rect">
                      <a:avLst/>
                    </a:prstGeom>
                  </pic:spPr>
                </pic:pic>
              </a:graphicData>
            </a:graphic>
          </wp:inline>
        </w:drawing>
      </w:r>
    </w:p>
    <w:p w14:paraId="2C4A0944" w14:textId="15122ED1" w:rsidR="00F22CC5" w:rsidRPr="00F22CC5" w:rsidRDefault="00F22CC5" w:rsidP="00BE1394">
      <w:pPr>
        <w:jc w:val="center"/>
        <w:rPr>
          <w:b/>
          <w:bCs/>
          <w:noProof/>
        </w:rPr>
      </w:pPr>
      <w:r>
        <w:rPr>
          <w:b/>
          <w:bCs/>
        </w:rPr>
        <w:t>The Compliance Model</w:t>
      </w:r>
    </w:p>
    <w:p w14:paraId="4CCAE0A8" w14:textId="77777777" w:rsidR="00F22CC5" w:rsidRDefault="00F22CC5" w:rsidP="00F22CC5">
      <w:pPr>
        <w:pStyle w:val="Heading2"/>
      </w:pPr>
      <w:bookmarkStart w:id="9" w:name="_Toc232419360"/>
      <w:r>
        <w:lastRenderedPageBreak/>
        <w:t>Voluntary compliance</w:t>
      </w:r>
      <w:bookmarkEnd w:id="9"/>
    </w:p>
    <w:p w14:paraId="1E196466" w14:textId="77777777" w:rsidR="00F22CC5" w:rsidRDefault="00F22CC5" w:rsidP="00F22CC5">
      <w:pPr>
        <w:suppressAutoHyphens w:val="0"/>
      </w:pPr>
      <w:r>
        <w:t>The compliance model recognises that industry largely attempts to operate within the law and strives to be compliant. The department will assist industry by providing high quality explanatory guidance materials, streamlined processes and points of contact for assistance with issues or concerns.</w:t>
      </w:r>
    </w:p>
    <w:p w14:paraId="4F2D6EF3" w14:textId="77777777" w:rsidR="00F22CC5" w:rsidRDefault="00F22CC5" w:rsidP="00F22CC5">
      <w:pPr>
        <w:suppressAutoHyphens w:val="0"/>
      </w:pPr>
      <w:r>
        <w:t>The department’s website, along with the NVES website, contains easily accessed compliance-related information addressing a wide range of areas to assist industry in identifying changes to the regulated operating environment and the regulated entities’ obligations.</w:t>
      </w:r>
    </w:p>
    <w:p w14:paraId="1D064E93" w14:textId="77777777" w:rsidR="00F22CC5" w:rsidRDefault="00F22CC5" w:rsidP="00F22CC5">
      <w:pPr>
        <w:suppressAutoHyphens w:val="0"/>
      </w:pPr>
      <w:r>
        <w:t>All public information is subject to frequent reviews and updates, and industry is encouraged to regularly check the department’s website and the NVES website and provide feedback through relevant consultative forums.</w:t>
      </w:r>
    </w:p>
    <w:p w14:paraId="16011F44" w14:textId="77777777" w:rsidR="00F22CC5" w:rsidRDefault="00F22CC5" w:rsidP="00F22CC5">
      <w:pPr>
        <w:pStyle w:val="Heading2"/>
      </w:pPr>
      <w:bookmarkStart w:id="10" w:name="_Toc232419361"/>
      <w:r>
        <w:t>Assisted compliance</w:t>
      </w:r>
      <w:bookmarkEnd w:id="10"/>
    </w:p>
    <w:p w14:paraId="44194094" w14:textId="77777777" w:rsidR="00F22CC5" w:rsidRDefault="00F22CC5" w:rsidP="00F22CC5">
      <w:pPr>
        <w:suppressAutoHyphens w:val="0"/>
      </w:pPr>
      <w:r>
        <w:t>When non-compliance occurs through error or inability to comply with an aspect of an entity’s obligations, our aim is to assist. We will provide targeted guidance and education to assist in achieving, or re-establishing compliance. If this proves unachievable, previously issued approvals may be varied, suspended, or revoked, as appropriate, initiated either by the department or the approval holder.</w:t>
      </w:r>
    </w:p>
    <w:p w14:paraId="17CF558B" w14:textId="77777777" w:rsidR="00F22CC5" w:rsidRDefault="00F22CC5" w:rsidP="00F22CC5">
      <w:pPr>
        <w:suppressAutoHyphens w:val="0"/>
      </w:pPr>
      <w:r>
        <w:t>Assistance may also be provided through inspection and monitoring activities to identify compliance and/or potential or actual non-compliance. These activities may be conducted either using remote technology or onsite. It is important to note that initial assistance is provided through education about compliance obligations and how to meet them. However, regulatory consideration of non-compliance which falls within this second tier recognises an escalation in seriousness which may also justify proportionate enforcement action.</w:t>
      </w:r>
    </w:p>
    <w:p w14:paraId="274A6FFD" w14:textId="77777777" w:rsidR="00F22CC5" w:rsidRDefault="00F22CC5" w:rsidP="00F22CC5">
      <w:pPr>
        <w:suppressAutoHyphens w:val="0"/>
      </w:pPr>
      <w:r>
        <w:t xml:space="preserve">Monitoring allows us to assess whether the legislation is being followed, as well as verify the accuracy of any provided information. To conduct monitoring activities, an authorised person may enter premises either with the consent of the occupier, or under a monitoring warrant. </w:t>
      </w:r>
    </w:p>
    <w:p w14:paraId="6531B8C2" w14:textId="77777777" w:rsidR="00F22CC5" w:rsidRDefault="00F22CC5" w:rsidP="00F22CC5">
      <w:pPr>
        <w:pStyle w:val="Heading3"/>
      </w:pPr>
      <w:bookmarkStart w:id="11" w:name="_Toc232419362"/>
      <w:r>
        <w:t>Monitoring powers</w:t>
      </w:r>
      <w:bookmarkEnd w:id="11"/>
    </w:p>
    <w:p w14:paraId="3F89D0D4" w14:textId="77777777" w:rsidR="00F22CC5" w:rsidRDefault="00F22CC5" w:rsidP="00F22CC5">
      <w:pPr>
        <w:suppressAutoHyphens w:val="0"/>
      </w:pPr>
      <w:r>
        <w:t>The monitoring powers that may be used include:</w:t>
      </w:r>
    </w:p>
    <w:p w14:paraId="251D3381" w14:textId="04F08994" w:rsidR="00F22CC5" w:rsidRDefault="00F22CC5" w:rsidP="00F22CC5">
      <w:pPr>
        <w:pStyle w:val="Bullet1"/>
      </w:pPr>
      <w:r>
        <w:t>searching premises and anything on premises.</w:t>
      </w:r>
    </w:p>
    <w:p w14:paraId="6C4D9136" w14:textId="7F9F89C2" w:rsidR="00F22CC5" w:rsidRDefault="00F22CC5" w:rsidP="00F22CC5">
      <w:pPr>
        <w:pStyle w:val="Bullet1"/>
      </w:pPr>
      <w:r>
        <w:t>examining or observing an activity conducted on the premises.</w:t>
      </w:r>
    </w:p>
    <w:p w14:paraId="76C8AB0B" w14:textId="670F995E" w:rsidR="00F22CC5" w:rsidRDefault="00F22CC5" w:rsidP="00F22CC5">
      <w:pPr>
        <w:pStyle w:val="Bullet1"/>
      </w:pPr>
      <w:r>
        <w:t>make any still or moving images or recording of the premises or anything on the premises.</w:t>
      </w:r>
    </w:p>
    <w:p w14:paraId="0B56AA87" w14:textId="2EA6771D" w:rsidR="00F22CC5" w:rsidRDefault="00F22CC5" w:rsidP="00F22CC5">
      <w:pPr>
        <w:pStyle w:val="Bullet1"/>
      </w:pPr>
      <w:r>
        <w:t>inspecting any document on the premises.</w:t>
      </w:r>
    </w:p>
    <w:p w14:paraId="16D8B551" w14:textId="77777777" w:rsidR="00F22CC5" w:rsidRDefault="00F22CC5" w:rsidP="00F22CC5">
      <w:pPr>
        <w:suppressAutoHyphens w:val="0"/>
      </w:pPr>
      <w:r>
        <w:t>In addition to these monitoring powers, inspectors have additional monitoring powers to sample anything on the premises and the power to remove and test such samples.</w:t>
      </w:r>
    </w:p>
    <w:p w14:paraId="39D87C84" w14:textId="77777777" w:rsidR="00F22CC5" w:rsidRDefault="00F22CC5" w:rsidP="00F22CC5">
      <w:pPr>
        <w:suppressAutoHyphens w:val="0"/>
      </w:pPr>
      <w:r>
        <w:t>It is important to note that assisted compliance does not aim to help individuals avoid meeting regulatory requirements.</w:t>
      </w:r>
    </w:p>
    <w:p w14:paraId="00CCF837" w14:textId="77777777" w:rsidR="00F22CC5" w:rsidRDefault="00F22CC5" w:rsidP="00F22CC5">
      <w:pPr>
        <w:pStyle w:val="Heading2"/>
      </w:pPr>
      <w:bookmarkStart w:id="12" w:name="_Toc232419363"/>
      <w:r>
        <w:t>Directed compliance</w:t>
      </w:r>
      <w:bookmarkEnd w:id="12"/>
    </w:p>
    <w:p w14:paraId="525AF7EC" w14:textId="77777777" w:rsidR="00F22CC5" w:rsidRDefault="00F22CC5" w:rsidP="00F22CC5">
      <w:pPr>
        <w:suppressAutoHyphens w:val="0"/>
      </w:pPr>
      <w:r>
        <w:t>The likelihood of detection is seen as a strong deterrent to deliberate non-compliance. We will conduct inspections and regular compliance monitoring in conjunction with planned targeted compliance activities that target identified risks and suspected deliberate non-compliant behaviours.</w:t>
      </w:r>
    </w:p>
    <w:p w14:paraId="06E5FD71" w14:textId="77777777" w:rsidR="00F22CC5" w:rsidRDefault="00F22CC5" w:rsidP="00F22CC5">
      <w:pPr>
        <w:suppressAutoHyphens w:val="0"/>
      </w:pPr>
      <w:r>
        <w:t xml:space="preserve">Our regulatory activities in this category may involve varying, suspending or revoking approvals or executing monitoring and investigation warrants, issuing infringement notices, accepting enforceable undertakings, or </w:t>
      </w:r>
      <w:r>
        <w:lastRenderedPageBreak/>
        <w:t>seeking court issued injunctions. Depending on how long or how serious any detected non-compliance is, matters may also be referred for prosecution.</w:t>
      </w:r>
    </w:p>
    <w:p w14:paraId="40389BC9" w14:textId="77777777" w:rsidR="00F22CC5" w:rsidRDefault="00F22CC5" w:rsidP="00F22CC5">
      <w:pPr>
        <w:pStyle w:val="Heading3"/>
      </w:pPr>
      <w:bookmarkStart w:id="13" w:name="_Toc232419364"/>
      <w:r>
        <w:t>Investigation powers</w:t>
      </w:r>
      <w:bookmarkEnd w:id="13"/>
    </w:p>
    <w:p w14:paraId="56BD4FA6" w14:textId="77777777" w:rsidR="00F22CC5" w:rsidRDefault="00F22CC5" w:rsidP="00F22CC5">
      <w:pPr>
        <w:suppressAutoHyphens w:val="0"/>
      </w:pPr>
      <w:r>
        <w:t>An investigation is different from compliance monitoring. An investigation is important because its purpose is to compile a Brief of Evidence, which is then submitted to the Commonwealth Director of Public Prosecutions (CDPP) for a possible prosecution decision.</w:t>
      </w:r>
    </w:p>
    <w:p w14:paraId="37A58725" w14:textId="77777777" w:rsidR="00F22CC5" w:rsidRDefault="00F22CC5" w:rsidP="00F22CC5">
      <w:pPr>
        <w:suppressAutoHyphens w:val="0"/>
      </w:pPr>
      <w:r>
        <w:t xml:space="preserve">Investigation activities may also result in other enforcement decisions such as the issuing of infringement notices. </w:t>
      </w:r>
    </w:p>
    <w:p w14:paraId="643E693C" w14:textId="77777777" w:rsidR="00F22CC5" w:rsidRDefault="00F22CC5" w:rsidP="00F22CC5">
      <w:pPr>
        <w:pStyle w:val="Heading3"/>
      </w:pPr>
      <w:bookmarkStart w:id="14" w:name="_Toc232419365"/>
      <w:r>
        <w:t>Infringement notices</w:t>
      </w:r>
      <w:bookmarkEnd w:id="14"/>
    </w:p>
    <w:p w14:paraId="495817FC" w14:textId="77777777" w:rsidR="00F22CC5" w:rsidRDefault="00F22CC5" w:rsidP="00F22CC5">
      <w:pPr>
        <w:suppressAutoHyphens w:val="0"/>
      </w:pPr>
      <w:r>
        <w:t>An infringement notice is a lesser penalty than could be applied for via a civil penalty order and may be appropriate for less severe contraventions of the RVS legislation.</w:t>
      </w:r>
    </w:p>
    <w:p w14:paraId="539CFBAF" w14:textId="77777777" w:rsidR="00F22CC5" w:rsidRDefault="00F22CC5" w:rsidP="00F22CC5">
      <w:pPr>
        <w:suppressAutoHyphens w:val="0"/>
      </w:pPr>
      <w:r>
        <w:t xml:space="preserve">An infringement officer can issue an infringement notice to someone if they reasonably believe that the person has violated a provision covered by such notices. </w:t>
      </w:r>
    </w:p>
    <w:p w14:paraId="487039F2" w14:textId="77777777" w:rsidR="00F22CC5" w:rsidRDefault="00F22CC5" w:rsidP="00F22CC5">
      <w:pPr>
        <w:suppressAutoHyphens w:val="0"/>
      </w:pPr>
      <w:r>
        <w:t xml:space="preserve">A person who receives an infringement notice can choose to pay the penalty amount as an alternative to having court proceedings brought against them for a contravention. </w:t>
      </w:r>
    </w:p>
    <w:p w14:paraId="146BDCCC" w14:textId="77777777" w:rsidR="00F22CC5" w:rsidRDefault="00F22CC5" w:rsidP="00F22CC5">
      <w:pPr>
        <w:pStyle w:val="Heading3"/>
      </w:pPr>
      <w:bookmarkStart w:id="15" w:name="_Toc232419366"/>
      <w:r>
        <w:t>Civil Penalty</w:t>
      </w:r>
      <w:bookmarkEnd w:id="15"/>
    </w:p>
    <w:p w14:paraId="09023676" w14:textId="77777777" w:rsidR="00F22CC5" w:rsidRDefault="00F22CC5" w:rsidP="00F22CC5">
      <w:pPr>
        <w:suppressAutoHyphens w:val="0"/>
      </w:pPr>
      <w:r>
        <w:t>Civil penalty provisions are enforceable and allows an authorised applicant (i.e. the Minister, the department Secretary, an Senior Executive Service (SES) employee or acting SES employee of the department), to apply to a relevant court for an order that a person - including a body corporate - who is alleged to have contravened a civil penalty provision of the RVS legislation, pay the Commonwealth a pecuniary penalty (a monetary penalty).</w:t>
      </w:r>
    </w:p>
    <w:p w14:paraId="34EFF0C2" w14:textId="77777777" w:rsidR="00F22CC5" w:rsidRDefault="00F22CC5" w:rsidP="00F22CC5">
      <w:pPr>
        <w:suppressAutoHyphens w:val="0"/>
      </w:pPr>
      <w:r>
        <w:t>If the relevant court is satisfied that person has contravened a civil penalty provision of the RVS legislation, the court may order the person to pay a penalty that the court determines is appropriate.</w:t>
      </w:r>
    </w:p>
    <w:p w14:paraId="73F41C8A" w14:textId="77777777" w:rsidR="00F22CC5" w:rsidRDefault="00F22CC5" w:rsidP="00F22CC5">
      <w:pPr>
        <w:suppressAutoHyphens w:val="0"/>
      </w:pPr>
      <w:r>
        <w:t xml:space="preserve">A single civil penalty order may be made by the court for multiple contraventions of a civil penalty provision. </w:t>
      </w:r>
    </w:p>
    <w:p w14:paraId="76F7C0B5" w14:textId="77777777" w:rsidR="00F22CC5" w:rsidRDefault="00F22CC5" w:rsidP="00F22CC5">
      <w:pPr>
        <w:pStyle w:val="Heading3"/>
      </w:pPr>
      <w:bookmarkStart w:id="16" w:name="_Toc232419367"/>
      <w:r>
        <w:t>Enforceable undertakings</w:t>
      </w:r>
      <w:bookmarkEnd w:id="16"/>
    </w:p>
    <w:p w14:paraId="46E61025" w14:textId="19A8D339" w:rsidR="00F22CC5" w:rsidRDefault="00F22CC5" w:rsidP="00F22CC5">
      <w:pPr>
        <w:suppressAutoHyphens w:val="0"/>
      </w:pPr>
      <w:r>
        <w:t>The RVS Act prescribes that a civil penalty provision is enforceable under Part 6 of the RPA. This part of the RPA creates a framework for accepting and enforcing undertakings made by a person about compliance with relevant RVS legislation provisions. An authorised person can accept enforceable undertakings.</w:t>
      </w:r>
    </w:p>
    <w:p w14:paraId="35FB2A0B" w14:textId="77777777" w:rsidR="00F22CC5" w:rsidRDefault="00F22CC5" w:rsidP="00F22CC5">
      <w:pPr>
        <w:suppressAutoHyphens w:val="0"/>
      </w:pPr>
      <w:r>
        <w:t>For acceptance, undertakings need to be written and clearly identified as an undertaking under section 114 of the RPA, stating that the individual will:</w:t>
      </w:r>
    </w:p>
    <w:p w14:paraId="7F88B0AC" w14:textId="2F738B6B" w:rsidR="00F22CC5" w:rsidRDefault="00F22CC5" w:rsidP="00F22CC5">
      <w:pPr>
        <w:pStyle w:val="Bullet1"/>
      </w:pPr>
      <w:r>
        <w:t>take specified action to comply with a provision that is enforceable.</w:t>
      </w:r>
    </w:p>
    <w:p w14:paraId="39EEBE08" w14:textId="349169CD" w:rsidR="00F22CC5" w:rsidRDefault="00F22CC5" w:rsidP="00F22CC5">
      <w:pPr>
        <w:pStyle w:val="Bullet1"/>
      </w:pPr>
      <w:r>
        <w:t>refrain from taking specified action to comply with a provision that is enforceable.</w:t>
      </w:r>
    </w:p>
    <w:p w14:paraId="16FD0303" w14:textId="1B2A964D" w:rsidR="00F22CC5" w:rsidRDefault="00F22CC5" w:rsidP="00F22CC5">
      <w:pPr>
        <w:pStyle w:val="Bullet1"/>
      </w:pPr>
      <w:r>
        <w:t>take specified action towards ensuring that they do not contravene a provision that is enforceable.</w:t>
      </w:r>
    </w:p>
    <w:p w14:paraId="03695639" w14:textId="77777777" w:rsidR="00F22CC5" w:rsidRDefault="00F22CC5" w:rsidP="00F22CC5">
      <w:pPr>
        <w:suppressAutoHyphens w:val="0"/>
      </w:pPr>
      <w:r>
        <w:t>A notice of a decision to accept an undertaking, and the name of the person who gave it, will be published on the department’s website.</w:t>
      </w:r>
    </w:p>
    <w:p w14:paraId="7B1D6ACC" w14:textId="77777777" w:rsidR="00F22CC5" w:rsidRDefault="00F22CC5" w:rsidP="00F22CC5">
      <w:pPr>
        <w:pStyle w:val="Heading3"/>
      </w:pPr>
      <w:bookmarkStart w:id="17" w:name="_Toc232419368"/>
      <w:r>
        <w:lastRenderedPageBreak/>
        <w:t>Injunctions</w:t>
      </w:r>
      <w:bookmarkEnd w:id="17"/>
    </w:p>
    <w:p w14:paraId="329706C0" w14:textId="703179EA" w:rsidR="00F22CC5" w:rsidRDefault="00F22CC5" w:rsidP="005B25B3">
      <w:pPr>
        <w:keepNext/>
        <w:keepLines/>
        <w:suppressAutoHyphens w:val="0"/>
      </w:pPr>
      <w:r>
        <w:t>An injunction can be used to prevent someone from violating a</w:t>
      </w:r>
      <w:r w:rsidR="0036295D">
        <w:t>n</w:t>
      </w:r>
      <w:r>
        <w:t xml:space="preserve"> RVSA provision or to require them to comply with it. There are two types of injunctions.</w:t>
      </w:r>
    </w:p>
    <w:p w14:paraId="66EACA4A" w14:textId="1DCF48F5" w:rsidR="00F22CC5" w:rsidRDefault="00F22CC5" w:rsidP="005B25B3">
      <w:pPr>
        <w:pStyle w:val="ListLegal1"/>
        <w:keepNext/>
        <w:keepLines/>
      </w:pPr>
      <w:r>
        <w:t>Restraining injunctions. If a person has engaged, is engaging, or is proposing to engage in conduct that contravenes an RVSA provision, a court, on application by an authorised person may grant an injunction:</w:t>
      </w:r>
    </w:p>
    <w:p w14:paraId="585F7137" w14:textId="71B65ADB" w:rsidR="00F22CC5" w:rsidRDefault="00F22CC5" w:rsidP="005B25B3">
      <w:pPr>
        <w:pStyle w:val="Bullet2"/>
        <w:keepNext/>
        <w:keepLines/>
      </w:pPr>
      <w:r>
        <w:t>restraining a person from engaging in conduct; and</w:t>
      </w:r>
    </w:p>
    <w:p w14:paraId="6087403E" w14:textId="63F639C0" w:rsidR="00F22CC5" w:rsidRDefault="00F22CC5" w:rsidP="005B25B3">
      <w:pPr>
        <w:pStyle w:val="Bullet2"/>
        <w:keepNext/>
        <w:keepLines/>
      </w:pPr>
      <w:r>
        <w:t>if desirable in the court’s opinion, require the person to do a thing.</w:t>
      </w:r>
    </w:p>
    <w:p w14:paraId="3FB86EA1" w14:textId="7C1E34B7" w:rsidR="00F22CC5" w:rsidRDefault="00F22CC5" w:rsidP="005B25B3">
      <w:pPr>
        <w:pStyle w:val="ListLegal1"/>
        <w:keepNext/>
        <w:keepLines/>
      </w:pPr>
      <w:r>
        <w:t>Performance injunctions. If a person has refused or failed, or is refusing or failing, or is proposing to refuse or fail to do a thing; and the refusal or failure was, is, or would be a contravention of an RVSA provision, a court, on application by an authorised person may grant an injunction:</w:t>
      </w:r>
    </w:p>
    <w:p w14:paraId="79850895" w14:textId="4C4FF816" w:rsidR="00F22CC5" w:rsidRDefault="00F22CC5" w:rsidP="005B25B3">
      <w:pPr>
        <w:pStyle w:val="Bullet2"/>
        <w:keepNext/>
        <w:keepLines/>
      </w:pPr>
      <w:r>
        <w:t>requiring the person to do that thing.</w:t>
      </w:r>
    </w:p>
    <w:p w14:paraId="4892B6E8" w14:textId="77777777" w:rsidR="00F22CC5" w:rsidRDefault="00F22CC5" w:rsidP="00F22CC5">
      <w:pPr>
        <w:pStyle w:val="Heading2"/>
      </w:pPr>
      <w:bookmarkStart w:id="18" w:name="_Toc232419369"/>
      <w:r>
        <w:t>Enforced compliance</w:t>
      </w:r>
      <w:bookmarkEnd w:id="18"/>
    </w:p>
    <w:p w14:paraId="255EDC38" w14:textId="77777777" w:rsidR="00F22CC5" w:rsidRDefault="00F22CC5" w:rsidP="00F22CC5">
      <w:pPr>
        <w:suppressAutoHyphens w:val="0"/>
      </w:pPr>
      <w:r>
        <w:t>In cases involving deliberate or repeated serious non-compliance we are prepared to apply all relevant enforcement options provided under the law, including seeking prosecution. RVS legislation sets out a range of criminal offences that on conviction can result in significant financial penalties. When considering the actions to take, we will consider an entity’s compliance history and responses to any previous interactions with us.</w:t>
      </w:r>
    </w:p>
    <w:p w14:paraId="659B0CD8" w14:textId="798A1190" w:rsidR="00F22CC5" w:rsidRDefault="00AB7ECE" w:rsidP="00AB7ECE">
      <w:pPr>
        <w:pStyle w:val="Heading1"/>
      </w:pPr>
      <w:bookmarkStart w:id="19" w:name="_Toc232419370"/>
      <w:r>
        <w:t>Glossary</w:t>
      </w:r>
      <w:bookmarkEnd w:id="19"/>
    </w:p>
    <w:p w14:paraId="090820BF" w14:textId="50E94960" w:rsidR="00AB7ECE" w:rsidRPr="00AB7ECE" w:rsidRDefault="00AB7ECE" w:rsidP="00AB7ECE">
      <w:r>
        <w:t xml:space="preserve">For the full list of terms, refer to the </w:t>
      </w:r>
      <w:hyperlink r:id="rId13" w:history="1">
        <w:r w:rsidRPr="00AB7ECE">
          <w:rPr>
            <w:rStyle w:val="Hyperlink"/>
          </w:rPr>
          <w:t>RVS legislation glossary of terms</w:t>
        </w:r>
      </w:hyperlink>
      <w:r>
        <w:t xml:space="preserve"> on the department’s website.</w:t>
      </w:r>
    </w:p>
    <w:tbl>
      <w:tblPr>
        <w:tblStyle w:val="DefaultTable1"/>
        <w:tblW w:w="9878" w:type="dxa"/>
        <w:tblLayout w:type="fixed"/>
        <w:tblLook w:val="01A0" w:firstRow="1" w:lastRow="0" w:firstColumn="1" w:lastColumn="1" w:noHBand="0" w:noVBand="0"/>
      </w:tblPr>
      <w:tblGrid>
        <w:gridCol w:w="2258"/>
        <w:gridCol w:w="7620"/>
      </w:tblGrid>
      <w:tr w:rsidR="00F22CC5" w14:paraId="6AE56BC4" w14:textId="77777777" w:rsidTr="000D6C73">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2258" w:type="dxa"/>
          </w:tcPr>
          <w:p w14:paraId="6DFDFD56" w14:textId="77777777" w:rsidR="00F22CC5" w:rsidRDefault="00F22CC5" w:rsidP="004E0C86">
            <w:pPr>
              <w:pStyle w:val="TableParagraph"/>
              <w:rPr>
                <w:b w:val="0"/>
                <w:sz w:val="20"/>
              </w:rPr>
            </w:pPr>
            <w:bookmarkStart w:id="20" w:name="Key_enhancements_to_compliance_and_enfor"/>
            <w:bookmarkStart w:id="21" w:name="Monitoring_powers"/>
            <w:bookmarkStart w:id="22" w:name="Investigation_powers"/>
            <w:bookmarkEnd w:id="20"/>
            <w:bookmarkEnd w:id="21"/>
            <w:bookmarkEnd w:id="22"/>
            <w:r>
              <w:rPr>
                <w:color w:val="FFFFFF"/>
                <w:spacing w:val="-4"/>
                <w:sz w:val="20"/>
              </w:rPr>
              <w:t>Term</w:t>
            </w:r>
          </w:p>
        </w:tc>
        <w:tc>
          <w:tcPr>
            <w:tcW w:w="7620" w:type="dxa"/>
          </w:tcPr>
          <w:p w14:paraId="43ECB4EB" w14:textId="77777777" w:rsidR="00F22CC5" w:rsidRDefault="00F22CC5" w:rsidP="004E0C86">
            <w:pPr>
              <w:pStyle w:val="TableParagraph"/>
              <w:ind w:left="134"/>
              <w:cnfStyle w:val="100000000000" w:firstRow="1" w:lastRow="0" w:firstColumn="0" w:lastColumn="0" w:oddVBand="0" w:evenVBand="0" w:oddHBand="0" w:evenHBand="0" w:firstRowFirstColumn="0" w:firstRowLastColumn="0" w:lastRowFirstColumn="0" w:lastRowLastColumn="0"/>
              <w:rPr>
                <w:b w:val="0"/>
                <w:sz w:val="20"/>
              </w:rPr>
            </w:pPr>
            <w:r>
              <w:rPr>
                <w:color w:val="FFFFFF"/>
                <w:spacing w:val="-2"/>
                <w:sz w:val="20"/>
              </w:rPr>
              <w:t>Definition</w:t>
            </w:r>
          </w:p>
        </w:tc>
      </w:tr>
      <w:tr w:rsidR="00F22CC5" w14:paraId="342D3C2F" w14:textId="77777777" w:rsidTr="000D6C73">
        <w:trPr>
          <w:trHeight w:val="660"/>
        </w:trPr>
        <w:tc>
          <w:tcPr>
            <w:cnfStyle w:val="001000000000" w:firstRow="0" w:lastRow="0" w:firstColumn="1" w:lastColumn="0" w:oddVBand="0" w:evenVBand="0" w:oddHBand="0" w:evenHBand="0" w:firstRowFirstColumn="0" w:firstRowLastColumn="0" w:lastRowFirstColumn="0" w:lastRowLastColumn="0"/>
            <w:tcW w:w="2258" w:type="dxa"/>
          </w:tcPr>
          <w:p w14:paraId="7E643A95" w14:textId="77777777" w:rsidR="00F22CC5" w:rsidRPr="00D45947" w:rsidRDefault="00F22CC5" w:rsidP="004E0C86">
            <w:pPr>
              <w:pStyle w:val="TableParagraph"/>
              <w:spacing w:before="81"/>
              <w:rPr>
                <w:b w:val="0"/>
                <w:bCs/>
                <w:sz w:val="20"/>
              </w:rPr>
            </w:pPr>
            <w:r w:rsidRPr="00D45947">
              <w:rPr>
                <w:b w:val="0"/>
                <w:sz w:val="20"/>
              </w:rPr>
              <w:t>Civil</w:t>
            </w:r>
            <w:r w:rsidRPr="00D45947">
              <w:rPr>
                <w:b w:val="0"/>
                <w:spacing w:val="-6"/>
                <w:sz w:val="20"/>
              </w:rPr>
              <w:t xml:space="preserve"> </w:t>
            </w:r>
            <w:r w:rsidRPr="00D45947">
              <w:rPr>
                <w:b w:val="0"/>
                <w:sz w:val="20"/>
              </w:rPr>
              <w:t>penalty</w:t>
            </w:r>
            <w:r w:rsidRPr="00D45947">
              <w:rPr>
                <w:b w:val="0"/>
                <w:spacing w:val="-5"/>
                <w:sz w:val="20"/>
              </w:rPr>
              <w:t xml:space="preserve"> </w:t>
            </w:r>
            <w:r w:rsidRPr="00D45947">
              <w:rPr>
                <w:b w:val="0"/>
                <w:spacing w:val="-4"/>
                <w:sz w:val="20"/>
              </w:rPr>
              <w:t>order</w:t>
            </w:r>
          </w:p>
        </w:tc>
        <w:tc>
          <w:tcPr>
            <w:tcW w:w="7620" w:type="dxa"/>
          </w:tcPr>
          <w:p w14:paraId="6628540C" w14:textId="77777777" w:rsidR="00F22CC5" w:rsidRPr="00D45947" w:rsidRDefault="00F22CC5" w:rsidP="004E0C86">
            <w:pPr>
              <w:pStyle w:val="TableParagraph"/>
              <w:spacing w:before="81"/>
              <w:ind w:left="134" w:right="112"/>
              <w:cnfStyle w:val="000000000000" w:firstRow="0" w:lastRow="0" w:firstColumn="0" w:lastColumn="0" w:oddVBand="0" w:evenVBand="0" w:oddHBand="0" w:evenHBand="0" w:firstRowFirstColumn="0" w:firstRowLastColumn="0" w:lastRowFirstColumn="0" w:lastRowLastColumn="0"/>
              <w:rPr>
                <w:b/>
                <w:bCs/>
                <w:sz w:val="20"/>
              </w:rPr>
            </w:pPr>
            <w:r w:rsidRPr="00D45947">
              <w:rPr>
                <w:sz w:val="20"/>
              </w:rPr>
              <w:t>A</w:t>
            </w:r>
            <w:r w:rsidRPr="00D45947">
              <w:rPr>
                <w:spacing w:val="-5"/>
                <w:sz w:val="20"/>
              </w:rPr>
              <w:t xml:space="preserve"> </w:t>
            </w:r>
            <w:r w:rsidRPr="00D45947">
              <w:rPr>
                <w:sz w:val="20"/>
              </w:rPr>
              <w:t>court-issued</w:t>
            </w:r>
            <w:r w:rsidRPr="00D45947">
              <w:rPr>
                <w:spacing w:val="-4"/>
                <w:sz w:val="20"/>
              </w:rPr>
              <w:t xml:space="preserve"> </w:t>
            </w:r>
            <w:r w:rsidRPr="00D45947">
              <w:rPr>
                <w:sz w:val="20"/>
              </w:rPr>
              <w:t>pecuniary</w:t>
            </w:r>
            <w:r w:rsidRPr="00D45947">
              <w:rPr>
                <w:spacing w:val="-4"/>
                <w:sz w:val="20"/>
              </w:rPr>
              <w:t xml:space="preserve"> </w:t>
            </w:r>
            <w:r w:rsidRPr="00D45947">
              <w:rPr>
                <w:sz w:val="20"/>
              </w:rPr>
              <w:t>penalty</w:t>
            </w:r>
            <w:r w:rsidRPr="00D45947">
              <w:rPr>
                <w:spacing w:val="-4"/>
                <w:sz w:val="20"/>
              </w:rPr>
              <w:t xml:space="preserve"> </w:t>
            </w:r>
            <w:proofErr w:type="gramStart"/>
            <w:r w:rsidRPr="00D45947">
              <w:rPr>
                <w:sz w:val="20"/>
              </w:rPr>
              <w:t>order</w:t>
            </w:r>
            <w:proofErr w:type="gramEnd"/>
            <w:r w:rsidRPr="00D45947">
              <w:rPr>
                <w:spacing w:val="-5"/>
                <w:sz w:val="20"/>
              </w:rPr>
              <w:t xml:space="preserve"> </w:t>
            </w:r>
            <w:r w:rsidRPr="00D45947">
              <w:rPr>
                <w:sz w:val="20"/>
              </w:rPr>
              <w:t>i.e.</w:t>
            </w:r>
            <w:r w:rsidRPr="00D45947">
              <w:rPr>
                <w:spacing w:val="-5"/>
                <w:sz w:val="20"/>
              </w:rPr>
              <w:t xml:space="preserve"> </w:t>
            </w:r>
            <w:r w:rsidRPr="00D45947">
              <w:rPr>
                <w:sz w:val="20"/>
              </w:rPr>
              <w:t>fine,</w:t>
            </w:r>
            <w:r w:rsidRPr="00D45947">
              <w:rPr>
                <w:spacing w:val="-4"/>
                <w:sz w:val="20"/>
              </w:rPr>
              <w:t xml:space="preserve"> </w:t>
            </w:r>
            <w:r w:rsidRPr="00D45947">
              <w:rPr>
                <w:sz w:val="20"/>
              </w:rPr>
              <w:t>imposed</w:t>
            </w:r>
            <w:r w:rsidRPr="00D45947">
              <w:rPr>
                <w:spacing w:val="-4"/>
                <w:sz w:val="20"/>
              </w:rPr>
              <w:t xml:space="preserve"> </w:t>
            </w:r>
            <w:r w:rsidRPr="00D45947">
              <w:rPr>
                <w:sz w:val="20"/>
              </w:rPr>
              <w:t>when</w:t>
            </w:r>
            <w:r w:rsidRPr="00D45947">
              <w:rPr>
                <w:spacing w:val="-4"/>
                <w:sz w:val="20"/>
              </w:rPr>
              <w:t xml:space="preserve"> </w:t>
            </w:r>
            <w:r w:rsidRPr="00D45947">
              <w:rPr>
                <w:sz w:val="20"/>
              </w:rPr>
              <w:t>a</w:t>
            </w:r>
            <w:r w:rsidRPr="00D45947">
              <w:rPr>
                <w:spacing w:val="-4"/>
                <w:sz w:val="20"/>
              </w:rPr>
              <w:t xml:space="preserve"> </w:t>
            </w:r>
            <w:r w:rsidRPr="00D45947">
              <w:rPr>
                <w:sz w:val="20"/>
              </w:rPr>
              <w:t>civil</w:t>
            </w:r>
            <w:r w:rsidRPr="00D45947">
              <w:rPr>
                <w:spacing w:val="-5"/>
                <w:sz w:val="20"/>
              </w:rPr>
              <w:t xml:space="preserve"> </w:t>
            </w:r>
            <w:r w:rsidRPr="00D45947">
              <w:rPr>
                <w:sz w:val="20"/>
              </w:rPr>
              <w:t>penalty</w:t>
            </w:r>
            <w:r w:rsidRPr="00D45947">
              <w:rPr>
                <w:spacing w:val="-4"/>
                <w:sz w:val="20"/>
              </w:rPr>
              <w:t xml:space="preserve"> </w:t>
            </w:r>
            <w:r w:rsidRPr="00D45947">
              <w:rPr>
                <w:sz w:val="20"/>
              </w:rPr>
              <w:t>provision</w:t>
            </w:r>
            <w:r w:rsidRPr="00D45947">
              <w:rPr>
                <w:spacing w:val="-4"/>
                <w:sz w:val="20"/>
              </w:rPr>
              <w:t xml:space="preserve"> </w:t>
            </w:r>
            <w:r w:rsidRPr="00D45947">
              <w:rPr>
                <w:sz w:val="20"/>
              </w:rPr>
              <w:t>of the RVSA has been breached. Taken to be a ‘judgement debt’, the Commonwealth may enforce the order as if it were an order made in civil proceedings against the person to recover a due debt.</w:t>
            </w:r>
          </w:p>
        </w:tc>
      </w:tr>
      <w:tr w:rsidR="00F22CC5" w14:paraId="679B1742" w14:textId="77777777" w:rsidTr="000D6C73">
        <w:trPr>
          <w:cnfStyle w:val="000000010000" w:firstRow="0" w:lastRow="0" w:firstColumn="0" w:lastColumn="0" w:oddVBand="0" w:evenVBand="0" w:oddHBand="0" w:evenHBand="1"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2258" w:type="dxa"/>
          </w:tcPr>
          <w:p w14:paraId="466A9929" w14:textId="77777777" w:rsidR="00F22CC5" w:rsidRPr="00D45947" w:rsidRDefault="00F22CC5" w:rsidP="004E0C86">
            <w:pPr>
              <w:pStyle w:val="TableParagraph"/>
              <w:spacing w:before="83"/>
              <w:rPr>
                <w:b w:val="0"/>
                <w:bCs/>
                <w:sz w:val="20"/>
              </w:rPr>
            </w:pPr>
            <w:r w:rsidRPr="00D45947">
              <w:rPr>
                <w:b w:val="0"/>
                <w:sz w:val="20"/>
              </w:rPr>
              <w:t>Compliance</w:t>
            </w:r>
            <w:r w:rsidRPr="00D45947">
              <w:rPr>
                <w:b w:val="0"/>
                <w:spacing w:val="-11"/>
                <w:sz w:val="20"/>
              </w:rPr>
              <w:t xml:space="preserve"> </w:t>
            </w:r>
            <w:r w:rsidRPr="00D45947">
              <w:rPr>
                <w:b w:val="0"/>
                <w:spacing w:val="-2"/>
                <w:sz w:val="20"/>
              </w:rPr>
              <w:t>monitoring</w:t>
            </w:r>
          </w:p>
        </w:tc>
        <w:tc>
          <w:tcPr>
            <w:tcW w:w="7620" w:type="dxa"/>
          </w:tcPr>
          <w:p w14:paraId="02829BAE" w14:textId="77777777" w:rsidR="00F22CC5" w:rsidRPr="00D45947" w:rsidRDefault="00F22CC5" w:rsidP="004E0C86">
            <w:pPr>
              <w:pStyle w:val="TableParagraph"/>
              <w:spacing w:before="83"/>
              <w:ind w:left="134" w:right="112"/>
              <w:cnfStyle w:val="000000010000" w:firstRow="0" w:lastRow="0" w:firstColumn="0" w:lastColumn="0" w:oddVBand="0" w:evenVBand="0" w:oddHBand="0" w:evenHBand="1" w:firstRowFirstColumn="0" w:firstRowLastColumn="0" w:lastRowFirstColumn="0" w:lastRowLastColumn="0"/>
              <w:rPr>
                <w:b/>
                <w:bCs/>
                <w:sz w:val="20"/>
              </w:rPr>
            </w:pPr>
            <w:r w:rsidRPr="00D45947">
              <w:rPr>
                <w:sz w:val="20"/>
              </w:rPr>
              <w:t>A</w:t>
            </w:r>
            <w:r w:rsidRPr="00D45947">
              <w:rPr>
                <w:spacing w:val="-7"/>
                <w:sz w:val="20"/>
              </w:rPr>
              <w:t xml:space="preserve"> </w:t>
            </w:r>
            <w:r w:rsidRPr="00D45947">
              <w:rPr>
                <w:sz w:val="20"/>
              </w:rPr>
              <w:t>broad</w:t>
            </w:r>
            <w:r w:rsidRPr="00D45947">
              <w:rPr>
                <w:spacing w:val="-6"/>
                <w:sz w:val="20"/>
              </w:rPr>
              <w:t xml:space="preserve"> </w:t>
            </w:r>
            <w:r w:rsidRPr="00D45947">
              <w:rPr>
                <w:sz w:val="20"/>
              </w:rPr>
              <w:t>term</w:t>
            </w:r>
            <w:r w:rsidRPr="00D45947">
              <w:rPr>
                <w:spacing w:val="-8"/>
                <w:sz w:val="20"/>
              </w:rPr>
              <w:t xml:space="preserve"> </w:t>
            </w:r>
            <w:r w:rsidRPr="00D45947">
              <w:rPr>
                <w:sz w:val="20"/>
              </w:rPr>
              <w:t>referring</w:t>
            </w:r>
            <w:r w:rsidRPr="00D45947">
              <w:rPr>
                <w:spacing w:val="-8"/>
                <w:sz w:val="20"/>
              </w:rPr>
              <w:t xml:space="preserve"> </w:t>
            </w:r>
            <w:r w:rsidRPr="00D45947">
              <w:rPr>
                <w:sz w:val="20"/>
              </w:rPr>
              <w:t>to</w:t>
            </w:r>
            <w:r w:rsidRPr="00D45947">
              <w:rPr>
                <w:spacing w:val="-7"/>
                <w:sz w:val="20"/>
              </w:rPr>
              <w:t xml:space="preserve"> </w:t>
            </w:r>
            <w:r w:rsidRPr="00D45947">
              <w:rPr>
                <w:sz w:val="20"/>
              </w:rPr>
              <w:t>any</w:t>
            </w:r>
            <w:r w:rsidRPr="00D45947">
              <w:rPr>
                <w:spacing w:val="-6"/>
                <w:sz w:val="20"/>
              </w:rPr>
              <w:t xml:space="preserve"> </w:t>
            </w:r>
            <w:r w:rsidRPr="00D45947">
              <w:rPr>
                <w:sz w:val="20"/>
              </w:rPr>
              <w:t>form</w:t>
            </w:r>
            <w:r w:rsidRPr="00D45947">
              <w:rPr>
                <w:spacing w:val="-8"/>
                <w:sz w:val="20"/>
              </w:rPr>
              <w:t xml:space="preserve"> </w:t>
            </w:r>
            <w:r w:rsidRPr="00D45947">
              <w:rPr>
                <w:sz w:val="20"/>
              </w:rPr>
              <w:t>of</w:t>
            </w:r>
            <w:r w:rsidRPr="00D45947">
              <w:rPr>
                <w:spacing w:val="-8"/>
                <w:sz w:val="20"/>
              </w:rPr>
              <w:t xml:space="preserve"> </w:t>
            </w:r>
            <w:r w:rsidRPr="00D45947">
              <w:rPr>
                <w:sz w:val="20"/>
              </w:rPr>
              <w:t>information</w:t>
            </w:r>
            <w:r w:rsidRPr="00D45947">
              <w:rPr>
                <w:spacing w:val="-6"/>
                <w:sz w:val="20"/>
              </w:rPr>
              <w:t xml:space="preserve"> </w:t>
            </w:r>
            <w:proofErr w:type="gramStart"/>
            <w:r w:rsidRPr="00D45947">
              <w:rPr>
                <w:sz w:val="20"/>
              </w:rPr>
              <w:t>collection,</w:t>
            </w:r>
            <w:r w:rsidRPr="00D45947">
              <w:rPr>
                <w:spacing w:val="-6"/>
                <w:sz w:val="20"/>
              </w:rPr>
              <w:t xml:space="preserve"> </w:t>
            </w:r>
            <w:r w:rsidRPr="00D45947">
              <w:rPr>
                <w:sz w:val="20"/>
              </w:rPr>
              <w:t>or</w:t>
            </w:r>
            <w:proofErr w:type="gramEnd"/>
            <w:r w:rsidRPr="00D45947">
              <w:rPr>
                <w:spacing w:val="-7"/>
                <w:sz w:val="20"/>
              </w:rPr>
              <w:t xml:space="preserve"> </w:t>
            </w:r>
            <w:r w:rsidRPr="00D45947">
              <w:rPr>
                <w:sz w:val="20"/>
              </w:rPr>
              <w:t>contact</w:t>
            </w:r>
            <w:r w:rsidRPr="00D45947">
              <w:rPr>
                <w:spacing w:val="-7"/>
                <w:sz w:val="20"/>
              </w:rPr>
              <w:t xml:space="preserve"> </w:t>
            </w:r>
            <w:r w:rsidRPr="00D45947">
              <w:rPr>
                <w:sz w:val="20"/>
              </w:rPr>
              <w:t>with</w:t>
            </w:r>
            <w:r w:rsidRPr="00D45947">
              <w:rPr>
                <w:spacing w:val="-6"/>
                <w:sz w:val="20"/>
              </w:rPr>
              <w:t xml:space="preserve"> </w:t>
            </w:r>
            <w:r w:rsidRPr="00D45947">
              <w:rPr>
                <w:sz w:val="20"/>
              </w:rPr>
              <w:t>a</w:t>
            </w:r>
            <w:r w:rsidRPr="00D45947">
              <w:rPr>
                <w:spacing w:val="-6"/>
                <w:sz w:val="20"/>
              </w:rPr>
              <w:t xml:space="preserve"> </w:t>
            </w:r>
            <w:r w:rsidRPr="00D45947">
              <w:rPr>
                <w:sz w:val="20"/>
              </w:rPr>
              <w:t xml:space="preserve">regulated entity for the </w:t>
            </w:r>
            <w:proofErr w:type="gramStart"/>
            <w:r w:rsidRPr="00D45947">
              <w:rPr>
                <w:sz w:val="20"/>
              </w:rPr>
              <w:t>purposes</w:t>
            </w:r>
            <w:proofErr w:type="gramEnd"/>
            <w:r w:rsidRPr="00D45947">
              <w:rPr>
                <w:sz w:val="20"/>
              </w:rPr>
              <w:t xml:space="preserve"> of identifying issues relating to that entity’s compliance with the legislation and/or any conditions of </w:t>
            </w:r>
            <w:proofErr w:type="gramStart"/>
            <w:r w:rsidRPr="00D45947">
              <w:rPr>
                <w:sz w:val="20"/>
              </w:rPr>
              <w:t>an approval</w:t>
            </w:r>
            <w:proofErr w:type="gramEnd"/>
            <w:r w:rsidRPr="00D45947">
              <w:rPr>
                <w:sz w:val="20"/>
              </w:rPr>
              <w:t xml:space="preserve"> they hold.</w:t>
            </w:r>
          </w:p>
        </w:tc>
      </w:tr>
      <w:tr w:rsidR="00F22CC5" w14:paraId="6DEB3497" w14:textId="77777777" w:rsidTr="000D6C73">
        <w:trPr>
          <w:trHeight w:val="1137"/>
        </w:trPr>
        <w:tc>
          <w:tcPr>
            <w:cnfStyle w:val="001000000000" w:firstRow="0" w:lastRow="0" w:firstColumn="1" w:lastColumn="0" w:oddVBand="0" w:evenVBand="0" w:oddHBand="0" w:evenHBand="0" w:firstRowFirstColumn="0" w:firstRowLastColumn="0" w:lastRowFirstColumn="0" w:lastRowLastColumn="0"/>
            <w:tcW w:w="2258" w:type="dxa"/>
          </w:tcPr>
          <w:p w14:paraId="43D82FE5" w14:textId="77777777" w:rsidR="00F22CC5" w:rsidRPr="00D45947" w:rsidRDefault="00F22CC5" w:rsidP="004E0C86">
            <w:pPr>
              <w:pStyle w:val="TableParagraph"/>
              <w:spacing w:before="83"/>
              <w:rPr>
                <w:b w:val="0"/>
                <w:bCs/>
                <w:sz w:val="20"/>
              </w:rPr>
            </w:pPr>
            <w:r w:rsidRPr="00D45947">
              <w:rPr>
                <w:b w:val="0"/>
                <w:spacing w:val="-2"/>
                <w:sz w:val="20"/>
              </w:rPr>
              <w:t>Enforceable</w:t>
            </w:r>
            <w:r w:rsidRPr="00D45947">
              <w:rPr>
                <w:b w:val="0"/>
                <w:spacing w:val="1"/>
                <w:sz w:val="20"/>
              </w:rPr>
              <w:t xml:space="preserve"> </w:t>
            </w:r>
            <w:r w:rsidRPr="00D45947">
              <w:rPr>
                <w:b w:val="0"/>
                <w:spacing w:val="-2"/>
                <w:sz w:val="20"/>
              </w:rPr>
              <w:t>undertaking</w:t>
            </w:r>
          </w:p>
        </w:tc>
        <w:tc>
          <w:tcPr>
            <w:tcW w:w="7620" w:type="dxa"/>
          </w:tcPr>
          <w:p w14:paraId="57B24AC4" w14:textId="77777777" w:rsidR="00F22CC5" w:rsidRPr="00D45947" w:rsidRDefault="00F22CC5" w:rsidP="004E0C86">
            <w:pPr>
              <w:pStyle w:val="TableParagraph"/>
              <w:spacing w:before="83"/>
              <w:ind w:left="134" w:right="112"/>
              <w:cnfStyle w:val="000000000000" w:firstRow="0" w:lastRow="0" w:firstColumn="0" w:lastColumn="0" w:oddVBand="0" w:evenVBand="0" w:oddHBand="0" w:evenHBand="0" w:firstRowFirstColumn="0" w:firstRowLastColumn="0" w:lastRowFirstColumn="0" w:lastRowLastColumn="0"/>
              <w:rPr>
                <w:b/>
                <w:bCs/>
                <w:sz w:val="20"/>
              </w:rPr>
            </w:pPr>
            <w:r w:rsidRPr="00D45947">
              <w:rPr>
                <w:sz w:val="20"/>
              </w:rPr>
              <w:t xml:space="preserve">A written, court-enforceable undertaking given by a regulated entity to comply with provisions of the RVSA, accepted by an </w:t>
            </w:r>
            <w:proofErr w:type="spellStart"/>
            <w:r w:rsidRPr="00D45947">
              <w:rPr>
                <w:sz w:val="20"/>
              </w:rPr>
              <w:t>authorised</w:t>
            </w:r>
            <w:proofErr w:type="spellEnd"/>
            <w:r w:rsidRPr="00D45947">
              <w:rPr>
                <w:sz w:val="20"/>
              </w:rPr>
              <w:t xml:space="preserve"> person. Breaches of an accepted undertaking</w:t>
            </w:r>
            <w:r w:rsidRPr="00D45947">
              <w:rPr>
                <w:spacing w:val="-6"/>
                <w:sz w:val="20"/>
              </w:rPr>
              <w:t xml:space="preserve"> </w:t>
            </w:r>
            <w:r w:rsidRPr="00D45947">
              <w:rPr>
                <w:sz w:val="20"/>
              </w:rPr>
              <w:t>may</w:t>
            </w:r>
            <w:r w:rsidRPr="00D45947">
              <w:rPr>
                <w:spacing w:val="-4"/>
                <w:sz w:val="20"/>
              </w:rPr>
              <w:t xml:space="preserve"> </w:t>
            </w:r>
            <w:r w:rsidRPr="00D45947">
              <w:rPr>
                <w:sz w:val="20"/>
              </w:rPr>
              <w:t>result</w:t>
            </w:r>
            <w:r w:rsidRPr="00D45947">
              <w:rPr>
                <w:spacing w:val="-5"/>
                <w:sz w:val="20"/>
              </w:rPr>
              <w:t xml:space="preserve"> </w:t>
            </w:r>
            <w:r w:rsidRPr="00D45947">
              <w:rPr>
                <w:sz w:val="20"/>
              </w:rPr>
              <w:t>in</w:t>
            </w:r>
            <w:r w:rsidRPr="00D45947">
              <w:rPr>
                <w:spacing w:val="-4"/>
                <w:sz w:val="20"/>
              </w:rPr>
              <w:t xml:space="preserve"> </w:t>
            </w:r>
            <w:r w:rsidRPr="00D45947">
              <w:rPr>
                <w:sz w:val="20"/>
              </w:rPr>
              <w:t>a</w:t>
            </w:r>
            <w:r w:rsidRPr="00D45947">
              <w:rPr>
                <w:spacing w:val="-5"/>
                <w:sz w:val="20"/>
              </w:rPr>
              <w:t xml:space="preserve"> </w:t>
            </w:r>
            <w:r w:rsidRPr="00D45947">
              <w:rPr>
                <w:sz w:val="20"/>
              </w:rPr>
              <w:t>court</w:t>
            </w:r>
            <w:r w:rsidRPr="00D45947">
              <w:rPr>
                <w:spacing w:val="-5"/>
                <w:sz w:val="20"/>
              </w:rPr>
              <w:t xml:space="preserve"> </w:t>
            </w:r>
            <w:r w:rsidRPr="00D45947">
              <w:rPr>
                <w:sz w:val="20"/>
              </w:rPr>
              <w:t>making</w:t>
            </w:r>
            <w:r w:rsidRPr="00D45947">
              <w:rPr>
                <w:spacing w:val="-5"/>
                <w:sz w:val="20"/>
              </w:rPr>
              <w:t xml:space="preserve"> </w:t>
            </w:r>
            <w:proofErr w:type="gramStart"/>
            <w:r w:rsidRPr="00D45947">
              <w:rPr>
                <w:sz w:val="20"/>
              </w:rPr>
              <w:t>a</w:t>
            </w:r>
            <w:r w:rsidRPr="00D45947">
              <w:rPr>
                <w:spacing w:val="-4"/>
                <w:sz w:val="20"/>
              </w:rPr>
              <w:t xml:space="preserve"> </w:t>
            </w:r>
            <w:r w:rsidRPr="00D45947">
              <w:rPr>
                <w:sz w:val="20"/>
              </w:rPr>
              <w:t>compliance</w:t>
            </w:r>
            <w:proofErr w:type="gramEnd"/>
            <w:r w:rsidRPr="00D45947">
              <w:rPr>
                <w:sz w:val="20"/>
              </w:rPr>
              <w:t>,</w:t>
            </w:r>
            <w:r w:rsidRPr="00D45947">
              <w:rPr>
                <w:spacing w:val="-5"/>
                <w:sz w:val="20"/>
              </w:rPr>
              <w:t xml:space="preserve"> </w:t>
            </w:r>
            <w:r w:rsidRPr="00D45947">
              <w:rPr>
                <w:sz w:val="20"/>
              </w:rPr>
              <w:t>financial</w:t>
            </w:r>
            <w:r w:rsidRPr="00D45947">
              <w:rPr>
                <w:spacing w:val="-5"/>
                <w:sz w:val="20"/>
              </w:rPr>
              <w:t xml:space="preserve"> </w:t>
            </w:r>
            <w:r w:rsidRPr="00D45947">
              <w:rPr>
                <w:sz w:val="20"/>
              </w:rPr>
              <w:t>and/or</w:t>
            </w:r>
            <w:r w:rsidRPr="00D45947">
              <w:rPr>
                <w:spacing w:val="-5"/>
                <w:sz w:val="20"/>
              </w:rPr>
              <w:t xml:space="preserve"> </w:t>
            </w:r>
            <w:r w:rsidRPr="00D45947">
              <w:rPr>
                <w:sz w:val="20"/>
              </w:rPr>
              <w:t>any</w:t>
            </w:r>
            <w:r w:rsidRPr="00D45947">
              <w:rPr>
                <w:spacing w:val="-4"/>
                <w:sz w:val="20"/>
              </w:rPr>
              <w:t xml:space="preserve"> </w:t>
            </w:r>
            <w:r w:rsidRPr="00D45947">
              <w:rPr>
                <w:sz w:val="20"/>
              </w:rPr>
              <w:t>other</w:t>
            </w:r>
            <w:r w:rsidRPr="00D45947">
              <w:rPr>
                <w:spacing w:val="-5"/>
                <w:sz w:val="20"/>
              </w:rPr>
              <w:t xml:space="preserve"> </w:t>
            </w:r>
            <w:r w:rsidRPr="00D45947">
              <w:rPr>
                <w:sz w:val="20"/>
              </w:rPr>
              <w:t>order that it considers appropriate.</w:t>
            </w:r>
          </w:p>
        </w:tc>
      </w:tr>
      <w:tr w:rsidR="00F22CC5" w14:paraId="5BA00FE7" w14:textId="77777777" w:rsidTr="000D6C73">
        <w:trPr>
          <w:cnfStyle w:val="000000010000" w:firstRow="0" w:lastRow="0" w:firstColumn="0" w:lastColumn="0" w:oddVBand="0" w:evenVBand="0" w:oddHBand="0" w:evenHBand="1"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2258" w:type="dxa"/>
          </w:tcPr>
          <w:p w14:paraId="734D7A91" w14:textId="77777777" w:rsidR="00F22CC5" w:rsidRPr="00D45947" w:rsidRDefault="00F22CC5" w:rsidP="004E0C86">
            <w:pPr>
              <w:pStyle w:val="TableParagraph"/>
              <w:rPr>
                <w:b w:val="0"/>
                <w:bCs/>
                <w:sz w:val="20"/>
              </w:rPr>
            </w:pPr>
            <w:r w:rsidRPr="00D45947">
              <w:rPr>
                <w:b w:val="0"/>
                <w:spacing w:val="-2"/>
                <w:sz w:val="20"/>
              </w:rPr>
              <w:t>Infringement</w:t>
            </w:r>
            <w:r w:rsidRPr="00D45947">
              <w:rPr>
                <w:b w:val="0"/>
                <w:spacing w:val="6"/>
                <w:sz w:val="20"/>
              </w:rPr>
              <w:t xml:space="preserve"> </w:t>
            </w:r>
            <w:r w:rsidRPr="00D45947">
              <w:rPr>
                <w:b w:val="0"/>
                <w:spacing w:val="-2"/>
                <w:sz w:val="20"/>
              </w:rPr>
              <w:t>notice</w:t>
            </w:r>
          </w:p>
        </w:tc>
        <w:tc>
          <w:tcPr>
            <w:tcW w:w="7620" w:type="dxa"/>
          </w:tcPr>
          <w:p w14:paraId="7E63F44C" w14:textId="77777777" w:rsidR="00F22CC5" w:rsidRPr="00D45947" w:rsidRDefault="00F22CC5" w:rsidP="004E0C86">
            <w:pPr>
              <w:pStyle w:val="TableParagraph"/>
              <w:ind w:left="134" w:right="112"/>
              <w:cnfStyle w:val="000000010000" w:firstRow="0" w:lastRow="0" w:firstColumn="0" w:lastColumn="0" w:oddVBand="0" w:evenVBand="0" w:oddHBand="0" w:evenHBand="1" w:firstRowFirstColumn="0" w:firstRowLastColumn="0" w:lastRowFirstColumn="0" w:lastRowLastColumn="0"/>
              <w:rPr>
                <w:b/>
                <w:bCs/>
                <w:sz w:val="20"/>
              </w:rPr>
            </w:pPr>
            <w:r w:rsidRPr="00D45947">
              <w:rPr>
                <w:sz w:val="20"/>
              </w:rPr>
              <w:t xml:space="preserve">A pecuniary penalty notice given to a regulated entity by </w:t>
            </w:r>
            <w:proofErr w:type="spellStart"/>
            <w:proofErr w:type="gramStart"/>
            <w:r w:rsidRPr="00D45947">
              <w:rPr>
                <w:sz w:val="20"/>
              </w:rPr>
              <w:t>a</w:t>
            </w:r>
            <w:proofErr w:type="spellEnd"/>
            <w:proofErr w:type="gramEnd"/>
            <w:r w:rsidRPr="00D45947">
              <w:rPr>
                <w:sz w:val="20"/>
              </w:rPr>
              <w:t xml:space="preserve"> infringement officer who believes</w:t>
            </w:r>
            <w:r w:rsidRPr="00D45947">
              <w:rPr>
                <w:spacing w:val="-7"/>
                <w:sz w:val="20"/>
              </w:rPr>
              <w:t xml:space="preserve"> </w:t>
            </w:r>
            <w:r w:rsidRPr="00D45947">
              <w:rPr>
                <w:sz w:val="20"/>
              </w:rPr>
              <w:t>on</w:t>
            </w:r>
            <w:r w:rsidRPr="00D45947">
              <w:rPr>
                <w:spacing w:val="-5"/>
                <w:sz w:val="20"/>
              </w:rPr>
              <w:t xml:space="preserve"> </w:t>
            </w:r>
            <w:r w:rsidRPr="00D45947">
              <w:rPr>
                <w:sz w:val="20"/>
              </w:rPr>
              <w:t>reasonable</w:t>
            </w:r>
            <w:r w:rsidRPr="00D45947">
              <w:rPr>
                <w:spacing w:val="-7"/>
                <w:sz w:val="20"/>
              </w:rPr>
              <w:t xml:space="preserve"> </w:t>
            </w:r>
            <w:r w:rsidRPr="00D45947">
              <w:rPr>
                <w:sz w:val="20"/>
              </w:rPr>
              <w:t>grounds</w:t>
            </w:r>
            <w:r w:rsidRPr="00D45947">
              <w:rPr>
                <w:spacing w:val="-7"/>
                <w:sz w:val="20"/>
              </w:rPr>
              <w:t xml:space="preserve"> </w:t>
            </w:r>
            <w:r w:rsidRPr="00D45947">
              <w:rPr>
                <w:sz w:val="20"/>
              </w:rPr>
              <w:t>that</w:t>
            </w:r>
            <w:r w:rsidRPr="00D45947">
              <w:rPr>
                <w:spacing w:val="-5"/>
                <w:sz w:val="20"/>
              </w:rPr>
              <w:t xml:space="preserve"> </w:t>
            </w:r>
            <w:r w:rsidRPr="00D45947">
              <w:rPr>
                <w:sz w:val="20"/>
              </w:rPr>
              <w:t>the</w:t>
            </w:r>
            <w:r w:rsidRPr="00D45947">
              <w:rPr>
                <w:spacing w:val="-7"/>
                <w:sz w:val="20"/>
              </w:rPr>
              <w:t xml:space="preserve"> </w:t>
            </w:r>
            <w:r w:rsidRPr="00D45947">
              <w:rPr>
                <w:sz w:val="20"/>
              </w:rPr>
              <w:t>person</w:t>
            </w:r>
            <w:r w:rsidRPr="00D45947">
              <w:rPr>
                <w:spacing w:val="-5"/>
                <w:sz w:val="20"/>
              </w:rPr>
              <w:t xml:space="preserve"> </w:t>
            </w:r>
            <w:r w:rsidRPr="00D45947">
              <w:rPr>
                <w:sz w:val="20"/>
              </w:rPr>
              <w:t>has</w:t>
            </w:r>
            <w:r w:rsidRPr="00D45947">
              <w:rPr>
                <w:spacing w:val="-7"/>
                <w:sz w:val="20"/>
              </w:rPr>
              <w:t xml:space="preserve"> </w:t>
            </w:r>
            <w:r w:rsidRPr="00D45947">
              <w:rPr>
                <w:sz w:val="20"/>
              </w:rPr>
              <w:t>contravened</w:t>
            </w:r>
            <w:r w:rsidRPr="00D45947">
              <w:rPr>
                <w:spacing w:val="-5"/>
                <w:sz w:val="20"/>
              </w:rPr>
              <w:t xml:space="preserve"> </w:t>
            </w:r>
            <w:r w:rsidRPr="00D45947">
              <w:rPr>
                <w:sz w:val="20"/>
              </w:rPr>
              <w:t>a</w:t>
            </w:r>
            <w:r w:rsidRPr="00D45947">
              <w:rPr>
                <w:spacing w:val="-5"/>
                <w:sz w:val="20"/>
              </w:rPr>
              <w:t xml:space="preserve"> </w:t>
            </w:r>
            <w:r w:rsidRPr="00D45947">
              <w:rPr>
                <w:sz w:val="20"/>
              </w:rPr>
              <w:t>provision</w:t>
            </w:r>
            <w:r w:rsidRPr="00D45947">
              <w:rPr>
                <w:spacing w:val="-5"/>
                <w:sz w:val="20"/>
              </w:rPr>
              <w:t xml:space="preserve"> </w:t>
            </w:r>
            <w:r w:rsidRPr="00D45947">
              <w:rPr>
                <w:sz w:val="20"/>
              </w:rPr>
              <w:t>of</w:t>
            </w:r>
            <w:r w:rsidRPr="00D45947">
              <w:rPr>
                <w:spacing w:val="-7"/>
                <w:sz w:val="20"/>
              </w:rPr>
              <w:t xml:space="preserve"> </w:t>
            </w:r>
            <w:r w:rsidRPr="00D45947">
              <w:rPr>
                <w:sz w:val="20"/>
              </w:rPr>
              <w:t>the</w:t>
            </w:r>
            <w:r w:rsidRPr="00D45947">
              <w:rPr>
                <w:spacing w:val="-7"/>
                <w:sz w:val="20"/>
              </w:rPr>
              <w:t xml:space="preserve"> </w:t>
            </w:r>
            <w:r w:rsidRPr="00D45947">
              <w:rPr>
                <w:sz w:val="20"/>
              </w:rPr>
              <w:t>RVSA.</w:t>
            </w:r>
          </w:p>
        </w:tc>
      </w:tr>
      <w:tr w:rsidR="00F22CC5" w14:paraId="29502274" w14:textId="77777777" w:rsidTr="000D6C73">
        <w:trPr>
          <w:trHeight w:val="892"/>
        </w:trPr>
        <w:tc>
          <w:tcPr>
            <w:cnfStyle w:val="001000000000" w:firstRow="0" w:lastRow="0" w:firstColumn="1" w:lastColumn="0" w:oddVBand="0" w:evenVBand="0" w:oddHBand="0" w:evenHBand="0" w:firstRowFirstColumn="0" w:firstRowLastColumn="0" w:lastRowFirstColumn="0" w:lastRowLastColumn="0"/>
            <w:tcW w:w="2258" w:type="dxa"/>
          </w:tcPr>
          <w:p w14:paraId="268EFA58" w14:textId="77777777" w:rsidR="00F22CC5" w:rsidRPr="00D45947" w:rsidRDefault="00F22CC5" w:rsidP="004E0C86">
            <w:pPr>
              <w:pStyle w:val="TableParagraph"/>
              <w:spacing w:before="83"/>
              <w:rPr>
                <w:b w:val="0"/>
                <w:bCs/>
                <w:sz w:val="20"/>
              </w:rPr>
            </w:pPr>
            <w:r w:rsidRPr="00D45947">
              <w:rPr>
                <w:b w:val="0"/>
                <w:spacing w:val="-2"/>
                <w:sz w:val="20"/>
              </w:rPr>
              <w:t>Injunction</w:t>
            </w:r>
          </w:p>
        </w:tc>
        <w:tc>
          <w:tcPr>
            <w:tcW w:w="7620" w:type="dxa"/>
          </w:tcPr>
          <w:p w14:paraId="5626CB3F" w14:textId="77777777" w:rsidR="00F22CC5" w:rsidRPr="00D45947" w:rsidRDefault="00F22CC5" w:rsidP="004E0C86">
            <w:pPr>
              <w:pStyle w:val="TableParagraph"/>
              <w:spacing w:before="83"/>
              <w:ind w:left="134" w:right="112"/>
              <w:cnfStyle w:val="000000000000" w:firstRow="0" w:lastRow="0" w:firstColumn="0" w:lastColumn="0" w:oddVBand="0" w:evenVBand="0" w:oddHBand="0" w:evenHBand="0" w:firstRowFirstColumn="0" w:firstRowLastColumn="0" w:lastRowFirstColumn="0" w:lastRowLastColumn="0"/>
              <w:rPr>
                <w:b/>
                <w:bCs/>
                <w:sz w:val="20"/>
              </w:rPr>
            </w:pPr>
            <w:r w:rsidRPr="00D45947">
              <w:rPr>
                <w:sz w:val="20"/>
              </w:rPr>
              <w:t>Court issued document restraining a person from engaging in non-compliant conduct (restraining</w:t>
            </w:r>
            <w:r w:rsidRPr="00D45947">
              <w:rPr>
                <w:spacing w:val="-5"/>
                <w:sz w:val="20"/>
              </w:rPr>
              <w:t xml:space="preserve"> </w:t>
            </w:r>
            <w:r w:rsidRPr="00D45947">
              <w:rPr>
                <w:sz w:val="20"/>
              </w:rPr>
              <w:t>injunction);</w:t>
            </w:r>
            <w:r w:rsidRPr="00D45947">
              <w:rPr>
                <w:spacing w:val="-6"/>
                <w:sz w:val="20"/>
              </w:rPr>
              <w:t xml:space="preserve"> </w:t>
            </w:r>
            <w:r w:rsidRPr="00D45947">
              <w:rPr>
                <w:sz w:val="20"/>
              </w:rPr>
              <w:t>or</w:t>
            </w:r>
            <w:r w:rsidRPr="00D45947">
              <w:rPr>
                <w:spacing w:val="-5"/>
                <w:sz w:val="20"/>
              </w:rPr>
              <w:t xml:space="preserve"> </w:t>
            </w:r>
            <w:r w:rsidRPr="00D45947">
              <w:rPr>
                <w:sz w:val="20"/>
              </w:rPr>
              <w:t>requiring</w:t>
            </w:r>
            <w:r w:rsidRPr="00D45947">
              <w:rPr>
                <w:spacing w:val="-6"/>
                <w:sz w:val="20"/>
              </w:rPr>
              <w:t xml:space="preserve"> </w:t>
            </w:r>
            <w:r w:rsidRPr="00D45947">
              <w:rPr>
                <w:sz w:val="20"/>
              </w:rPr>
              <w:t>the</w:t>
            </w:r>
            <w:r w:rsidRPr="00D45947">
              <w:rPr>
                <w:spacing w:val="-6"/>
                <w:sz w:val="20"/>
              </w:rPr>
              <w:t xml:space="preserve"> </w:t>
            </w:r>
            <w:r w:rsidRPr="00D45947">
              <w:rPr>
                <w:sz w:val="20"/>
              </w:rPr>
              <w:t>person</w:t>
            </w:r>
            <w:r w:rsidRPr="00D45947">
              <w:rPr>
                <w:spacing w:val="-4"/>
                <w:sz w:val="20"/>
              </w:rPr>
              <w:t xml:space="preserve"> </w:t>
            </w:r>
            <w:r w:rsidRPr="00D45947">
              <w:rPr>
                <w:sz w:val="20"/>
              </w:rPr>
              <w:t>to</w:t>
            </w:r>
            <w:r w:rsidRPr="00D45947">
              <w:rPr>
                <w:spacing w:val="-5"/>
                <w:sz w:val="20"/>
              </w:rPr>
              <w:t xml:space="preserve"> </w:t>
            </w:r>
            <w:r w:rsidRPr="00D45947">
              <w:rPr>
                <w:sz w:val="20"/>
              </w:rPr>
              <w:t>do</w:t>
            </w:r>
            <w:r w:rsidRPr="00D45947">
              <w:rPr>
                <w:spacing w:val="-5"/>
                <w:sz w:val="20"/>
              </w:rPr>
              <w:t xml:space="preserve"> </w:t>
            </w:r>
            <w:r w:rsidRPr="00D45947">
              <w:rPr>
                <w:sz w:val="20"/>
              </w:rPr>
              <w:t>a</w:t>
            </w:r>
            <w:r w:rsidRPr="00D45947">
              <w:rPr>
                <w:spacing w:val="-4"/>
                <w:sz w:val="20"/>
              </w:rPr>
              <w:t xml:space="preserve"> </w:t>
            </w:r>
            <w:r w:rsidRPr="00D45947">
              <w:rPr>
                <w:sz w:val="20"/>
              </w:rPr>
              <w:t>thing</w:t>
            </w:r>
            <w:r w:rsidRPr="00D45947">
              <w:rPr>
                <w:spacing w:val="-5"/>
                <w:sz w:val="20"/>
              </w:rPr>
              <w:t xml:space="preserve"> </w:t>
            </w:r>
            <w:r w:rsidRPr="00D45947">
              <w:rPr>
                <w:sz w:val="20"/>
              </w:rPr>
              <w:t>they</w:t>
            </w:r>
            <w:r w:rsidRPr="00D45947">
              <w:rPr>
                <w:spacing w:val="-4"/>
                <w:sz w:val="20"/>
              </w:rPr>
              <w:t xml:space="preserve"> </w:t>
            </w:r>
            <w:r w:rsidRPr="00D45947">
              <w:rPr>
                <w:sz w:val="20"/>
              </w:rPr>
              <w:t>have</w:t>
            </w:r>
            <w:r w:rsidRPr="00D45947">
              <w:rPr>
                <w:spacing w:val="-6"/>
                <w:sz w:val="20"/>
              </w:rPr>
              <w:t xml:space="preserve"> </w:t>
            </w:r>
            <w:r w:rsidRPr="00D45947">
              <w:rPr>
                <w:sz w:val="20"/>
              </w:rPr>
              <w:t>refused</w:t>
            </w:r>
            <w:r w:rsidRPr="00D45947">
              <w:rPr>
                <w:spacing w:val="-4"/>
                <w:sz w:val="20"/>
              </w:rPr>
              <w:t xml:space="preserve"> </w:t>
            </w:r>
            <w:r w:rsidRPr="00D45947">
              <w:rPr>
                <w:sz w:val="20"/>
              </w:rPr>
              <w:t>or</w:t>
            </w:r>
            <w:r w:rsidRPr="00D45947">
              <w:rPr>
                <w:spacing w:val="-5"/>
                <w:sz w:val="20"/>
              </w:rPr>
              <w:t xml:space="preserve"> </w:t>
            </w:r>
            <w:r w:rsidRPr="00D45947">
              <w:rPr>
                <w:sz w:val="20"/>
              </w:rPr>
              <w:t>failed</w:t>
            </w:r>
            <w:r w:rsidRPr="00D45947">
              <w:rPr>
                <w:spacing w:val="-4"/>
                <w:sz w:val="20"/>
              </w:rPr>
              <w:t xml:space="preserve"> </w:t>
            </w:r>
            <w:r w:rsidRPr="00D45947">
              <w:rPr>
                <w:sz w:val="20"/>
              </w:rPr>
              <w:t>to do (performance injunction).</w:t>
            </w:r>
          </w:p>
        </w:tc>
      </w:tr>
      <w:tr w:rsidR="00F22CC5" w14:paraId="29041F26" w14:textId="77777777" w:rsidTr="000D6C73">
        <w:trPr>
          <w:cnfStyle w:val="000000010000" w:firstRow="0" w:lastRow="0" w:firstColumn="0" w:lastColumn="0" w:oddVBand="0" w:evenVBand="0" w:oddHBand="0" w:evenHBand="1"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2258" w:type="dxa"/>
          </w:tcPr>
          <w:p w14:paraId="02468B92" w14:textId="77777777" w:rsidR="00F22CC5" w:rsidRPr="00D45947" w:rsidRDefault="00F22CC5" w:rsidP="004E0C86">
            <w:pPr>
              <w:pStyle w:val="TableParagraph"/>
              <w:spacing w:before="83"/>
              <w:rPr>
                <w:b w:val="0"/>
                <w:bCs/>
                <w:sz w:val="20"/>
              </w:rPr>
            </w:pPr>
            <w:r w:rsidRPr="00D45947">
              <w:rPr>
                <w:b w:val="0"/>
                <w:spacing w:val="-2"/>
                <w:sz w:val="20"/>
              </w:rPr>
              <w:t>Inspection</w:t>
            </w:r>
          </w:p>
        </w:tc>
        <w:tc>
          <w:tcPr>
            <w:tcW w:w="7620" w:type="dxa"/>
          </w:tcPr>
          <w:p w14:paraId="676501D4" w14:textId="77777777" w:rsidR="00F22CC5" w:rsidRPr="00D45947" w:rsidRDefault="00F22CC5" w:rsidP="004E0C86">
            <w:pPr>
              <w:pStyle w:val="TableParagraph"/>
              <w:spacing w:before="83"/>
              <w:ind w:left="134" w:right="112"/>
              <w:cnfStyle w:val="000000010000" w:firstRow="0" w:lastRow="0" w:firstColumn="0" w:lastColumn="0" w:oddVBand="0" w:evenVBand="0" w:oddHBand="0" w:evenHBand="1" w:firstRowFirstColumn="0" w:firstRowLastColumn="0" w:lastRowFirstColumn="0" w:lastRowLastColumn="0"/>
              <w:rPr>
                <w:b/>
                <w:bCs/>
                <w:sz w:val="20"/>
              </w:rPr>
            </w:pPr>
            <w:r>
              <w:rPr>
                <w:sz w:val="20"/>
              </w:rPr>
              <w:t>I</w:t>
            </w:r>
            <w:r w:rsidRPr="00D45947">
              <w:rPr>
                <w:sz w:val="20"/>
              </w:rPr>
              <w:t>nspection</w:t>
            </w:r>
            <w:r>
              <w:rPr>
                <w:sz w:val="20"/>
              </w:rPr>
              <w:t>s may be conducted</w:t>
            </w:r>
            <w:r w:rsidRPr="00D45947">
              <w:rPr>
                <w:spacing w:val="-4"/>
                <w:sz w:val="20"/>
              </w:rPr>
              <w:t xml:space="preserve"> </w:t>
            </w:r>
            <w:r w:rsidRPr="00D45947">
              <w:rPr>
                <w:sz w:val="20"/>
              </w:rPr>
              <w:t>to</w:t>
            </w:r>
            <w:r w:rsidRPr="00D45947">
              <w:rPr>
                <w:spacing w:val="-4"/>
                <w:sz w:val="20"/>
              </w:rPr>
              <w:t xml:space="preserve"> </w:t>
            </w:r>
            <w:r w:rsidRPr="00D45947">
              <w:rPr>
                <w:sz w:val="20"/>
              </w:rPr>
              <w:t>assess</w:t>
            </w:r>
            <w:r w:rsidRPr="00D45947">
              <w:rPr>
                <w:spacing w:val="-4"/>
                <w:sz w:val="20"/>
              </w:rPr>
              <w:t xml:space="preserve"> </w:t>
            </w:r>
            <w:proofErr w:type="gramStart"/>
            <w:r w:rsidRPr="00D45947">
              <w:rPr>
                <w:sz w:val="20"/>
              </w:rPr>
              <w:t>whether</w:t>
            </w:r>
            <w:r w:rsidRPr="00D45947">
              <w:rPr>
                <w:spacing w:val="-5"/>
                <w:sz w:val="20"/>
              </w:rPr>
              <w:t xml:space="preserve"> </w:t>
            </w:r>
            <w:r w:rsidRPr="00D45947">
              <w:rPr>
                <w:sz w:val="20"/>
              </w:rPr>
              <w:t>or</w:t>
            </w:r>
            <w:r w:rsidRPr="00D45947">
              <w:rPr>
                <w:spacing w:val="-5"/>
                <w:sz w:val="20"/>
              </w:rPr>
              <w:t xml:space="preserve"> </w:t>
            </w:r>
            <w:r w:rsidRPr="00D45947">
              <w:rPr>
                <w:sz w:val="20"/>
              </w:rPr>
              <w:t>not</w:t>
            </w:r>
            <w:proofErr w:type="gramEnd"/>
            <w:r w:rsidRPr="00D45947">
              <w:rPr>
                <w:spacing w:val="-5"/>
                <w:sz w:val="20"/>
              </w:rPr>
              <w:t xml:space="preserve"> </w:t>
            </w:r>
            <w:r w:rsidRPr="00D45947">
              <w:rPr>
                <w:sz w:val="20"/>
              </w:rPr>
              <w:t>a</w:t>
            </w:r>
            <w:r w:rsidRPr="00D45947">
              <w:rPr>
                <w:spacing w:val="-4"/>
                <w:sz w:val="20"/>
              </w:rPr>
              <w:t xml:space="preserve"> </w:t>
            </w:r>
            <w:r w:rsidRPr="00D45947">
              <w:rPr>
                <w:sz w:val="20"/>
              </w:rPr>
              <w:t>regulated</w:t>
            </w:r>
            <w:r w:rsidRPr="00D45947">
              <w:rPr>
                <w:spacing w:val="-4"/>
                <w:sz w:val="20"/>
              </w:rPr>
              <w:t xml:space="preserve"> </w:t>
            </w:r>
            <w:r w:rsidRPr="00D45947">
              <w:rPr>
                <w:sz w:val="20"/>
              </w:rPr>
              <w:t>entity</w:t>
            </w:r>
            <w:r w:rsidRPr="00D45947">
              <w:rPr>
                <w:spacing w:val="-4"/>
                <w:sz w:val="20"/>
              </w:rPr>
              <w:t xml:space="preserve"> </w:t>
            </w:r>
            <w:r w:rsidRPr="00D45947">
              <w:rPr>
                <w:sz w:val="20"/>
              </w:rPr>
              <w:t>complies</w:t>
            </w:r>
            <w:r w:rsidRPr="00D45947">
              <w:rPr>
                <w:spacing w:val="-6"/>
                <w:sz w:val="20"/>
              </w:rPr>
              <w:t xml:space="preserve"> </w:t>
            </w:r>
            <w:r w:rsidRPr="00D45947">
              <w:rPr>
                <w:sz w:val="20"/>
              </w:rPr>
              <w:t>with the legislation and any conditions of the approval they hold.</w:t>
            </w:r>
          </w:p>
        </w:tc>
      </w:tr>
      <w:tr w:rsidR="00F22CC5" w14:paraId="695DCAD0" w14:textId="77777777" w:rsidTr="000D6C73">
        <w:trPr>
          <w:trHeight w:val="650"/>
        </w:trPr>
        <w:tc>
          <w:tcPr>
            <w:cnfStyle w:val="001000000000" w:firstRow="0" w:lastRow="0" w:firstColumn="1" w:lastColumn="0" w:oddVBand="0" w:evenVBand="0" w:oddHBand="0" w:evenHBand="0" w:firstRowFirstColumn="0" w:firstRowLastColumn="0" w:lastRowFirstColumn="0" w:lastRowLastColumn="0"/>
            <w:tcW w:w="2258" w:type="dxa"/>
          </w:tcPr>
          <w:p w14:paraId="1E2BCC53" w14:textId="29280F9E" w:rsidR="00F22CC5" w:rsidRPr="00386353" w:rsidRDefault="00F22CC5" w:rsidP="004E0C86">
            <w:pPr>
              <w:pStyle w:val="TableParagraph"/>
              <w:spacing w:before="83"/>
              <w:rPr>
                <w:b w:val="0"/>
                <w:bCs/>
                <w:spacing w:val="-2"/>
                <w:sz w:val="20"/>
              </w:rPr>
            </w:pPr>
            <w:r>
              <w:rPr>
                <w:b w:val="0"/>
                <w:spacing w:val="-2"/>
                <w:sz w:val="20"/>
              </w:rPr>
              <w:t>NVES</w:t>
            </w:r>
          </w:p>
        </w:tc>
        <w:tc>
          <w:tcPr>
            <w:tcW w:w="7620" w:type="dxa"/>
          </w:tcPr>
          <w:p w14:paraId="114A45A0" w14:textId="00FC72C1" w:rsidR="00F22CC5" w:rsidRPr="00386353" w:rsidRDefault="00F22CC5" w:rsidP="004E0C86">
            <w:pPr>
              <w:pStyle w:val="TableParagraph"/>
              <w:spacing w:before="83"/>
              <w:ind w:left="134" w:right="112"/>
              <w:cnfStyle w:val="000000000000" w:firstRow="0" w:lastRow="0" w:firstColumn="0" w:lastColumn="0" w:oddVBand="0" w:evenVBand="0" w:oddHBand="0" w:evenHBand="0" w:firstRowFirstColumn="0" w:firstRowLastColumn="0" w:lastRowFirstColumn="0" w:lastRowLastColumn="0"/>
              <w:rPr>
                <w:b/>
                <w:bCs/>
                <w:i/>
                <w:iCs/>
                <w:sz w:val="20"/>
              </w:rPr>
            </w:pPr>
            <w:r w:rsidRPr="00386353">
              <w:rPr>
                <w:i/>
                <w:iCs/>
                <w:sz w:val="20"/>
              </w:rPr>
              <w:t>New Vehicle Efficiency Standard Act 2024</w:t>
            </w:r>
          </w:p>
        </w:tc>
      </w:tr>
      <w:tr w:rsidR="00F22CC5" w14:paraId="0C6F55AA" w14:textId="77777777" w:rsidTr="000D6C73">
        <w:trPr>
          <w:cnfStyle w:val="000000010000" w:firstRow="0" w:lastRow="0" w:firstColumn="0" w:lastColumn="0" w:oddVBand="0" w:evenVBand="0" w:oddHBand="0" w:evenHBand="1"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258" w:type="dxa"/>
          </w:tcPr>
          <w:p w14:paraId="4E3A7689" w14:textId="77777777" w:rsidR="00F22CC5" w:rsidRPr="00D45947" w:rsidRDefault="00F22CC5" w:rsidP="004E0C86">
            <w:pPr>
              <w:pStyle w:val="TableParagraph"/>
              <w:rPr>
                <w:b w:val="0"/>
                <w:bCs/>
                <w:sz w:val="20"/>
              </w:rPr>
            </w:pPr>
            <w:r w:rsidRPr="00D45947">
              <w:rPr>
                <w:b w:val="0"/>
                <w:spacing w:val="-2"/>
                <w:sz w:val="20"/>
              </w:rPr>
              <w:lastRenderedPageBreak/>
              <w:t>RVS inspector</w:t>
            </w:r>
          </w:p>
        </w:tc>
        <w:tc>
          <w:tcPr>
            <w:tcW w:w="7620" w:type="dxa"/>
          </w:tcPr>
          <w:p w14:paraId="33E251F8" w14:textId="77777777" w:rsidR="00F22CC5" w:rsidRPr="00D45947" w:rsidRDefault="00F22CC5" w:rsidP="004E0C86">
            <w:pPr>
              <w:pStyle w:val="TableParagraph"/>
              <w:cnfStyle w:val="000000010000" w:firstRow="0" w:lastRow="0" w:firstColumn="0" w:lastColumn="0" w:oddVBand="0" w:evenVBand="0" w:oddHBand="0" w:evenHBand="1" w:firstRowFirstColumn="0" w:firstRowLastColumn="0" w:lastRowFirstColumn="0" w:lastRowLastColumn="0"/>
              <w:rPr>
                <w:b/>
                <w:bCs/>
                <w:sz w:val="20"/>
              </w:rPr>
            </w:pPr>
            <w:r w:rsidRPr="00D45947">
              <w:rPr>
                <w:spacing w:val="-5"/>
                <w:sz w:val="20"/>
              </w:rPr>
              <w:t xml:space="preserve">A </w:t>
            </w:r>
            <w:r w:rsidRPr="00D45947">
              <w:rPr>
                <w:sz w:val="20"/>
              </w:rPr>
              <w:t>person</w:t>
            </w:r>
            <w:r w:rsidRPr="00D45947">
              <w:rPr>
                <w:spacing w:val="-4"/>
                <w:sz w:val="20"/>
              </w:rPr>
              <w:t xml:space="preserve"> </w:t>
            </w:r>
            <w:r w:rsidRPr="00D45947">
              <w:rPr>
                <w:sz w:val="20"/>
              </w:rPr>
              <w:t>appointed</w:t>
            </w:r>
            <w:r w:rsidRPr="00D45947">
              <w:rPr>
                <w:spacing w:val="-5"/>
                <w:sz w:val="20"/>
              </w:rPr>
              <w:t xml:space="preserve"> </w:t>
            </w:r>
            <w:r w:rsidRPr="00D45947">
              <w:rPr>
                <w:sz w:val="20"/>
              </w:rPr>
              <w:t>as</w:t>
            </w:r>
            <w:r w:rsidRPr="00D45947">
              <w:rPr>
                <w:spacing w:val="-5"/>
                <w:sz w:val="20"/>
              </w:rPr>
              <w:t xml:space="preserve"> </w:t>
            </w:r>
            <w:r w:rsidRPr="00D45947">
              <w:rPr>
                <w:sz w:val="20"/>
              </w:rPr>
              <w:t>an</w:t>
            </w:r>
            <w:r w:rsidRPr="00D45947">
              <w:rPr>
                <w:spacing w:val="-5"/>
                <w:sz w:val="20"/>
              </w:rPr>
              <w:t xml:space="preserve"> </w:t>
            </w:r>
            <w:r w:rsidRPr="00D45947">
              <w:rPr>
                <w:sz w:val="20"/>
              </w:rPr>
              <w:t>inspector</w:t>
            </w:r>
            <w:r w:rsidRPr="00D45947">
              <w:rPr>
                <w:spacing w:val="-5"/>
                <w:sz w:val="20"/>
              </w:rPr>
              <w:t xml:space="preserve"> </w:t>
            </w:r>
            <w:r w:rsidRPr="00D45947">
              <w:rPr>
                <w:sz w:val="20"/>
              </w:rPr>
              <w:t>under</w:t>
            </w:r>
            <w:r w:rsidRPr="00D45947">
              <w:rPr>
                <w:spacing w:val="-6"/>
                <w:sz w:val="20"/>
              </w:rPr>
              <w:t xml:space="preserve"> </w:t>
            </w:r>
            <w:r w:rsidRPr="00D45947">
              <w:rPr>
                <w:sz w:val="20"/>
              </w:rPr>
              <w:t>s.49</w:t>
            </w:r>
            <w:r w:rsidRPr="00D45947">
              <w:rPr>
                <w:spacing w:val="-5"/>
                <w:sz w:val="20"/>
              </w:rPr>
              <w:t xml:space="preserve"> </w:t>
            </w:r>
            <w:r w:rsidRPr="00D45947">
              <w:rPr>
                <w:sz w:val="20"/>
              </w:rPr>
              <w:t>of</w:t>
            </w:r>
            <w:r w:rsidRPr="00D45947">
              <w:rPr>
                <w:spacing w:val="-7"/>
                <w:sz w:val="20"/>
              </w:rPr>
              <w:t xml:space="preserve"> </w:t>
            </w:r>
            <w:r w:rsidRPr="00D45947">
              <w:rPr>
                <w:sz w:val="20"/>
              </w:rPr>
              <w:t>the</w:t>
            </w:r>
            <w:r w:rsidRPr="00D45947">
              <w:rPr>
                <w:spacing w:val="-4"/>
                <w:sz w:val="20"/>
              </w:rPr>
              <w:t xml:space="preserve"> RVSA</w:t>
            </w:r>
          </w:p>
        </w:tc>
      </w:tr>
      <w:tr w:rsidR="00F22CC5" w14:paraId="3D101E76" w14:textId="77777777" w:rsidTr="000D6C73">
        <w:trPr>
          <w:trHeight w:val="813"/>
        </w:trPr>
        <w:tc>
          <w:tcPr>
            <w:cnfStyle w:val="001000000000" w:firstRow="0" w:lastRow="0" w:firstColumn="1" w:lastColumn="0" w:oddVBand="0" w:evenVBand="0" w:oddHBand="0" w:evenHBand="0" w:firstRowFirstColumn="0" w:firstRowLastColumn="0" w:lastRowFirstColumn="0" w:lastRowLastColumn="0"/>
            <w:tcW w:w="2258" w:type="dxa"/>
          </w:tcPr>
          <w:p w14:paraId="26360193" w14:textId="77777777" w:rsidR="00F22CC5" w:rsidRPr="00D45947" w:rsidRDefault="00F22CC5" w:rsidP="004E0C86">
            <w:pPr>
              <w:pStyle w:val="TableParagraph"/>
              <w:rPr>
                <w:b w:val="0"/>
                <w:bCs/>
                <w:sz w:val="20"/>
              </w:rPr>
            </w:pPr>
            <w:r w:rsidRPr="00D45947">
              <w:rPr>
                <w:b w:val="0"/>
                <w:spacing w:val="-2"/>
                <w:sz w:val="20"/>
              </w:rPr>
              <w:t>Register</w:t>
            </w:r>
            <w:r w:rsidRPr="00D45947">
              <w:rPr>
                <w:b w:val="0"/>
                <w:spacing w:val="-10"/>
                <w:sz w:val="20"/>
              </w:rPr>
              <w:t xml:space="preserve"> </w:t>
            </w:r>
            <w:r w:rsidRPr="00D45947">
              <w:rPr>
                <w:b w:val="0"/>
                <w:spacing w:val="-2"/>
                <w:sz w:val="20"/>
              </w:rPr>
              <w:t>of</w:t>
            </w:r>
            <w:r w:rsidRPr="00D45947">
              <w:rPr>
                <w:b w:val="0"/>
                <w:spacing w:val="-9"/>
                <w:sz w:val="20"/>
              </w:rPr>
              <w:t xml:space="preserve"> </w:t>
            </w:r>
            <w:r w:rsidRPr="00D45947">
              <w:rPr>
                <w:b w:val="0"/>
                <w:spacing w:val="-2"/>
                <w:sz w:val="20"/>
              </w:rPr>
              <w:t xml:space="preserve">Approved </w:t>
            </w:r>
            <w:r w:rsidRPr="00D45947">
              <w:rPr>
                <w:b w:val="0"/>
                <w:sz w:val="20"/>
              </w:rPr>
              <w:t>Vehicles (RAV)</w:t>
            </w:r>
          </w:p>
        </w:tc>
        <w:tc>
          <w:tcPr>
            <w:tcW w:w="7620" w:type="dxa"/>
          </w:tcPr>
          <w:p w14:paraId="00E71B54" w14:textId="77777777" w:rsidR="00F22CC5" w:rsidRPr="00D45947" w:rsidRDefault="00F22CC5" w:rsidP="004E0C86">
            <w:pPr>
              <w:pStyle w:val="TableParagraph"/>
              <w:spacing w:before="61" w:line="244" w:lineRule="exact"/>
              <w:ind w:left="134"/>
              <w:cnfStyle w:val="000000000000" w:firstRow="0" w:lastRow="0" w:firstColumn="0" w:lastColumn="0" w:oddVBand="0" w:evenVBand="0" w:oddHBand="0" w:evenHBand="0" w:firstRowFirstColumn="0" w:firstRowLastColumn="0" w:lastRowFirstColumn="0" w:lastRowLastColumn="0"/>
              <w:rPr>
                <w:b/>
                <w:bCs/>
                <w:sz w:val="20"/>
              </w:rPr>
            </w:pPr>
            <w:r w:rsidRPr="00D45947">
              <w:rPr>
                <w:sz w:val="20"/>
              </w:rPr>
              <w:t>A</w:t>
            </w:r>
            <w:r w:rsidRPr="00D45947">
              <w:rPr>
                <w:spacing w:val="-5"/>
                <w:sz w:val="20"/>
              </w:rPr>
              <w:t xml:space="preserve"> </w:t>
            </w:r>
            <w:r w:rsidRPr="00D45947">
              <w:rPr>
                <w:sz w:val="20"/>
              </w:rPr>
              <w:t>publicly</w:t>
            </w:r>
            <w:r w:rsidRPr="00D45947">
              <w:rPr>
                <w:spacing w:val="-4"/>
                <w:sz w:val="20"/>
              </w:rPr>
              <w:t xml:space="preserve"> </w:t>
            </w:r>
            <w:r w:rsidRPr="00D45947">
              <w:rPr>
                <w:sz w:val="20"/>
              </w:rPr>
              <w:t>accessible</w:t>
            </w:r>
            <w:r w:rsidRPr="00D45947">
              <w:rPr>
                <w:spacing w:val="-6"/>
                <w:sz w:val="20"/>
              </w:rPr>
              <w:t xml:space="preserve"> </w:t>
            </w:r>
            <w:r w:rsidRPr="00D45947">
              <w:rPr>
                <w:sz w:val="20"/>
              </w:rPr>
              <w:t>online</w:t>
            </w:r>
            <w:r w:rsidRPr="00D45947">
              <w:rPr>
                <w:spacing w:val="-6"/>
                <w:sz w:val="20"/>
              </w:rPr>
              <w:t xml:space="preserve"> </w:t>
            </w:r>
            <w:r w:rsidRPr="00D45947">
              <w:rPr>
                <w:sz w:val="20"/>
              </w:rPr>
              <w:t>database</w:t>
            </w:r>
            <w:r w:rsidRPr="00D45947">
              <w:rPr>
                <w:spacing w:val="-6"/>
                <w:sz w:val="20"/>
              </w:rPr>
              <w:t xml:space="preserve"> </w:t>
            </w:r>
            <w:r w:rsidRPr="00D45947">
              <w:rPr>
                <w:sz w:val="20"/>
              </w:rPr>
              <w:t>of</w:t>
            </w:r>
            <w:r w:rsidRPr="00D45947">
              <w:rPr>
                <w:spacing w:val="-6"/>
                <w:sz w:val="20"/>
              </w:rPr>
              <w:t xml:space="preserve"> </w:t>
            </w:r>
            <w:r w:rsidRPr="00D45947">
              <w:rPr>
                <w:sz w:val="20"/>
              </w:rPr>
              <w:t>vehicles</w:t>
            </w:r>
            <w:r w:rsidRPr="00D45947">
              <w:rPr>
                <w:spacing w:val="-6"/>
                <w:sz w:val="20"/>
              </w:rPr>
              <w:t xml:space="preserve"> </w:t>
            </w:r>
            <w:r w:rsidRPr="00D45947">
              <w:rPr>
                <w:sz w:val="20"/>
              </w:rPr>
              <w:t>that</w:t>
            </w:r>
            <w:r w:rsidRPr="00D45947">
              <w:rPr>
                <w:spacing w:val="-5"/>
                <w:sz w:val="20"/>
              </w:rPr>
              <w:t xml:space="preserve"> </w:t>
            </w:r>
            <w:r w:rsidRPr="00D45947">
              <w:rPr>
                <w:sz w:val="20"/>
              </w:rPr>
              <w:t>comply</w:t>
            </w:r>
            <w:r w:rsidRPr="00D45947">
              <w:rPr>
                <w:spacing w:val="-4"/>
                <w:sz w:val="20"/>
              </w:rPr>
              <w:t xml:space="preserve"> </w:t>
            </w:r>
            <w:r w:rsidRPr="00D45947">
              <w:rPr>
                <w:sz w:val="20"/>
              </w:rPr>
              <w:t>(or</w:t>
            </w:r>
            <w:r w:rsidRPr="00D45947">
              <w:rPr>
                <w:spacing w:val="-5"/>
                <w:sz w:val="20"/>
              </w:rPr>
              <w:t xml:space="preserve"> </w:t>
            </w:r>
            <w:r w:rsidRPr="00D45947">
              <w:rPr>
                <w:sz w:val="20"/>
              </w:rPr>
              <w:t>substantially</w:t>
            </w:r>
            <w:r w:rsidRPr="00D45947">
              <w:rPr>
                <w:spacing w:val="-4"/>
                <w:sz w:val="20"/>
              </w:rPr>
              <w:t xml:space="preserve"> </w:t>
            </w:r>
            <w:r w:rsidRPr="00D45947">
              <w:rPr>
                <w:sz w:val="20"/>
              </w:rPr>
              <w:t>comply)</w:t>
            </w:r>
            <w:r w:rsidRPr="00D45947">
              <w:rPr>
                <w:spacing w:val="-6"/>
                <w:sz w:val="20"/>
              </w:rPr>
              <w:t xml:space="preserve"> </w:t>
            </w:r>
            <w:r w:rsidRPr="00D45947">
              <w:rPr>
                <w:sz w:val="20"/>
              </w:rPr>
              <w:t xml:space="preserve">with applicable </w:t>
            </w:r>
            <w:hyperlink r:id="rId14" w:anchor="National">
              <w:r w:rsidRPr="00D45947">
                <w:rPr>
                  <w:sz w:val="20"/>
                </w:rPr>
                <w:t>national road vehicle standards</w:t>
              </w:r>
            </w:hyperlink>
            <w:r w:rsidRPr="00D45947">
              <w:rPr>
                <w:sz w:val="20"/>
              </w:rPr>
              <w:t xml:space="preserve"> or are otherwise permitted for use on public roads</w:t>
            </w:r>
            <w:r w:rsidRPr="00D45947">
              <w:rPr>
                <w:spacing w:val="-7"/>
                <w:sz w:val="20"/>
              </w:rPr>
              <w:t xml:space="preserve"> </w:t>
            </w:r>
            <w:r w:rsidRPr="00D45947">
              <w:rPr>
                <w:sz w:val="20"/>
              </w:rPr>
              <w:t>under</w:t>
            </w:r>
            <w:r w:rsidRPr="00D45947">
              <w:rPr>
                <w:spacing w:val="-6"/>
                <w:sz w:val="20"/>
              </w:rPr>
              <w:t xml:space="preserve"> </w:t>
            </w:r>
            <w:r w:rsidRPr="00D45947">
              <w:rPr>
                <w:sz w:val="20"/>
              </w:rPr>
              <w:t>a</w:t>
            </w:r>
            <w:r w:rsidRPr="00D45947">
              <w:rPr>
                <w:spacing w:val="-6"/>
                <w:sz w:val="20"/>
              </w:rPr>
              <w:t xml:space="preserve"> </w:t>
            </w:r>
            <w:r w:rsidRPr="00D45947">
              <w:rPr>
                <w:sz w:val="20"/>
              </w:rPr>
              <w:t>concessional</w:t>
            </w:r>
            <w:r w:rsidRPr="00D45947">
              <w:rPr>
                <w:spacing w:val="-6"/>
                <w:sz w:val="20"/>
              </w:rPr>
              <w:t xml:space="preserve"> </w:t>
            </w:r>
            <w:r w:rsidRPr="00D45947">
              <w:rPr>
                <w:sz w:val="20"/>
              </w:rPr>
              <w:t>scheme.</w:t>
            </w:r>
            <w:r w:rsidRPr="00D45947">
              <w:rPr>
                <w:spacing w:val="-5"/>
                <w:sz w:val="20"/>
              </w:rPr>
              <w:t xml:space="preserve"> </w:t>
            </w:r>
            <w:r w:rsidRPr="00D45947">
              <w:rPr>
                <w:sz w:val="20"/>
              </w:rPr>
              <w:t>Generally,</w:t>
            </w:r>
            <w:r w:rsidRPr="00D45947">
              <w:rPr>
                <w:spacing w:val="-6"/>
                <w:sz w:val="20"/>
              </w:rPr>
              <w:t xml:space="preserve"> </w:t>
            </w:r>
            <w:r w:rsidRPr="00D45947">
              <w:rPr>
                <w:sz w:val="20"/>
              </w:rPr>
              <w:t>vehicles</w:t>
            </w:r>
            <w:r w:rsidRPr="00D45947">
              <w:rPr>
                <w:spacing w:val="-7"/>
                <w:sz w:val="20"/>
              </w:rPr>
              <w:t xml:space="preserve"> </w:t>
            </w:r>
            <w:r w:rsidRPr="00D45947">
              <w:rPr>
                <w:sz w:val="20"/>
              </w:rPr>
              <w:t>must</w:t>
            </w:r>
            <w:r w:rsidRPr="00D45947">
              <w:rPr>
                <w:spacing w:val="-6"/>
                <w:sz w:val="20"/>
              </w:rPr>
              <w:t xml:space="preserve"> </w:t>
            </w:r>
            <w:r w:rsidRPr="00D45947">
              <w:rPr>
                <w:sz w:val="20"/>
              </w:rPr>
              <w:t>be</w:t>
            </w:r>
            <w:r w:rsidRPr="00D45947">
              <w:rPr>
                <w:spacing w:val="-7"/>
                <w:sz w:val="20"/>
              </w:rPr>
              <w:t xml:space="preserve"> </w:t>
            </w:r>
            <w:r w:rsidRPr="00D45947">
              <w:rPr>
                <w:sz w:val="20"/>
              </w:rPr>
              <w:t>entered</w:t>
            </w:r>
            <w:r w:rsidRPr="00D45947">
              <w:rPr>
                <w:spacing w:val="-6"/>
                <w:sz w:val="20"/>
              </w:rPr>
              <w:t xml:space="preserve"> </w:t>
            </w:r>
            <w:r w:rsidRPr="00D45947">
              <w:rPr>
                <w:sz w:val="20"/>
              </w:rPr>
              <w:t>on</w:t>
            </w:r>
            <w:r w:rsidRPr="00D45947">
              <w:rPr>
                <w:spacing w:val="-6"/>
                <w:sz w:val="20"/>
              </w:rPr>
              <w:t xml:space="preserve"> </w:t>
            </w:r>
            <w:r w:rsidRPr="00D45947">
              <w:rPr>
                <w:sz w:val="20"/>
              </w:rPr>
              <w:t>the</w:t>
            </w:r>
            <w:r w:rsidRPr="00D45947">
              <w:rPr>
                <w:spacing w:val="-7"/>
                <w:sz w:val="20"/>
              </w:rPr>
              <w:t xml:space="preserve"> </w:t>
            </w:r>
            <w:r w:rsidRPr="00D45947">
              <w:rPr>
                <w:sz w:val="20"/>
              </w:rPr>
              <w:t>RAV</w:t>
            </w:r>
            <w:r w:rsidRPr="00D45947">
              <w:rPr>
                <w:spacing w:val="-6"/>
                <w:sz w:val="20"/>
              </w:rPr>
              <w:t xml:space="preserve"> </w:t>
            </w:r>
            <w:r w:rsidRPr="00D45947">
              <w:rPr>
                <w:sz w:val="20"/>
              </w:rPr>
              <w:t>with</w:t>
            </w:r>
            <w:r w:rsidRPr="00D45947">
              <w:rPr>
                <w:spacing w:val="-4"/>
                <w:sz w:val="20"/>
              </w:rPr>
              <w:t xml:space="preserve"> </w:t>
            </w:r>
            <w:r w:rsidRPr="00D45947">
              <w:rPr>
                <w:sz w:val="20"/>
              </w:rPr>
              <w:t xml:space="preserve">a </w:t>
            </w:r>
            <w:hyperlink r:id="rId15" w:anchor="VTA">
              <w:r w:rsidRPr="00D45947">
                <w:rPr>
                  <w:sz w:val="20"/>
                </w:rPr>
                <w:t>vehicle</w:t>
              </w:r>
              <w:r w:rsidRPr="00D45947">
                <w:rPr>
                  <w:spacing w:val="-8"/>
                  <w:sz w:val="20"/>
                </w:rPr>
                <w:t xml:space="preserve"> </w:t>
              </w:r>
              <w:r w:rsidRPr="00D45947">
                <w:rPr>
                  <w:sz w:val="20"/>
                </w:rPr>
                <w:t>type</w:t>
              </w:r>
              <w:r w:rsidRPr="00D45947">
                <w:rPr>
                  <w:spacing w:val="-8"/>
                  <w:sz w:val="20"/>
                </w:rPr>
                <w:t xml:space="preserve"> </w:t>
              </w:r>
              <w:r w:rsidRPr="00D45947">
                <w:rPr>
                  <w:sz w:val="20"/>
                </w:rPr>
                <w:t>approval</w:t>
              </w:r>
            </w:hyperlink>
            <w:r w:rsidRPr="00D45947">
              <w:rPr>
                <w:spacing w:val="-7"/>
                <w:sz w:val="20"/>
              </w:rPr>
              <w:t xml:space="preserve"> </w:t>
            </w:r>
            <w:r w:rsidRPr="00D45947">
              <w:rPr>
                <w:sz w:val="20"/>
              </w:rPr>
              <w:t>or</w:t>
            </w:r>
            <w:r w:rsidRPr="00D45947">
              <w:rPr>
                <w:spacing w:val="-7"/>
                <w:sz w:val="20"/>
              </w:rPr>
              <w:t xml:space="preserve"> </w:t>
            </w:r>
            <w:hyperlink r:id="rId16" w:anchor="Concessional">
              <w:r w:rsidRPr="00D45947">
                <w:rPr>
                  <w:sz w:val="20"/>
                </w:rPr>
                <w:t>concessional</w:t>
              </w:r>
              <w:r w:rsidRPr="00D45947">
                <w:rPr>
                  <w:spacing w:val="-7"/>
                  <w:sz w:val="20"/>
                </w:rPr>
                <w:t xml:space="preserve"> </w:t>
              </w:r>
              <w:r w:rsidRPr="00D45947">
                <w:rPr>
                  <w:sz w:val="20"/>
                </w:rPr>
                <w:t>RAV</w:t>
              </w:r>
              <w:r w:rsidRPr="00D45947">
                <w:rPr>
                  <w:spacing w:val="-7"/>
                  <w:sz w:val="20"/>
                </w:rPr>
                <w:t xml:space="preserve"> </w:t>
              </w:r>
              <w:r w:rsidRPr="00D45947">
                <w:rPr>
                  <w:sz w:val="20"/>
                </w:rPr>
                <w:t>entry</w:t>
              </w:r>
              <w:r w:rsidRPr="00D45947">
                <w:rPr>
                  <w:spacing w:val="-6"/>
                  <w:sz w:val="20"/>
                </w:rPr>
                <w:t xml:space="preserve"> </w:t>
              </w:r>
              <w:r w:rsidRPr="00D45947">
                <w:rPr>
                  <w:sz w:val="20"/>
                </w:rPr>
                <w:t>approval</w:t>
              </w:r>
            </w:hyperlink>
            <w:r w:rsidRPr="00D45947">
              <w:rPr>
                <w:spacing w:val="-8"/>
                <w:sz w:val="20"/>
              </w:rPr>
              <w:t xml:space="preserve"> </w:t>
            </w:r>
            <w:r w:rsidRPr="00D45947">
              <w:rPr>
                <w:sz w:val="20"/>
              </w:rPr>
              <w:t>before</w:t>
            </w:r>
            <w:r w:rsidRPr="00D45947">
              <w:rPr>
                <w:spacing w:val="-8"/>
                <w:sz w:val="20"/>
              </w:rPr>
              <w:t xml:space="preserve"> </w:t>
            </w:r>
            <w:r w:rsidRPr="00D45947">
              <w:rPr>
                <w:sz w:val="20"/>
              </w:rPr>
              <w:t>they</w:t>
            </w:r>
            <w:r w:rsidRPr="00D45947">
              <w:rPr>
                <w:spacing w:val="-6"/>
                <w:sz w:val="20"/>
              </w:rPr>
              <w:t xml:space="preserve"> </w:t>
            </w:r>
            <w:r w:rsidRPr="00D45947">
              <w:rPr>
                <w:sz w:val="20"/>
              </w:rPr>
              <w:t>are</w:t>
            </w:r>
            <w:r w:rsidRPr="00D45947">
              <w:rPr>
                <w:spacing w:val="-8"/>
                <w:sz w:val="20"/>
              </w:rPr>
              <w:t xml:space="preserve"> </w:t>
            </w:r>
            <w:r w:rsidRPr="00D45947">
              <w:rPr>
                <w:sz w:val="20"/>
              </w:rPr>
              <w:t>provided</w:t>
            </w:r>
            <w:r w:rsidRPr="00D45947">
              <w:rPr>
                <w:spacing w:val="-6"/>
                <w:sz w:val="20"/>
              </w:rPr>
              <w:t xml:space="preserve"> </w:t>
            </w:r>
            <w:r w:rsidRPr="00D45947">
              <w:rPr>
                <w:sz w:val="20"/>
              </w:rPr>
              <w:t>to</w:t>
            </w:r>
            <w:r w:rsidRPr="00D45947">
              <w:rPr>
                <w:spacing w:val="-7"/>
                <w:sz w:val="20"/>
              </w:rPr>
              <w:t xml:space="preserve"> </w:t>
            </w:r>
            <w:r w:rsidRPr="00D45947">
              <w:rPr>
                <w:sz w:val="20"/>
              </w:rPr>
              <w:t>the Australian market.</w:t>
            </w:r>
          </w:p>
        </w:tc>
      </w:tr>
      <w:tr w:rsidR="00F22CC5" w14:paraId="0ED8D394" w14:textId="77777777" w:rsidTr="000D6C73">
        <w:trPr>
          <w:cnfStyle w:val="000000010000" w:firstRow="0" w:lastRow="0" w:firstColumn="0" w:lastColumn="0" w:oddVBand="0" w:evenVBand="0" w:oddHBand="0" w:evenHBand="1"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2258" w:type="dxa"/>
          </w:tcPr>
          <w:p w14:paraId="2E6D7082" w14:textId="77777777" w:rsidR="00F22CC5" w:rsidRPr="00D45947" w:rsidRDefault="00F22CC5" w:rsidP="004E0C86">
            <w:pPr>
              <w:pStyle w:val="TableParagraph"/>
              <w:rPr>
                <w:b w:val="0"/>
                <w:bCs/>
                <w:spacing w:val="-2"/>
                <w:sz w:val="20"/>
              </w:rPr>
            </w:pPr>
            <w:r w:rsidRPr="00D45947">
              <w:rPr>
                <w:b w:val="0"/>
                <w:spacing w:val="-2"/>
                <w:sz w:val="20"/>
              </w:rPr>
              <w:t>Regulated</w:t>
            </w:r>
            <w:r w:rsidRPr="00D45947">
              <w:rPr>
                <w:b w:val="0"/>
                <w:sz w:val="20"/>
              </w:rPr>
              <w:t xml:space="preserve"> </w:t>
            </w:r>
            <w:r w:rsidRPr="00D45947">
              <w:rPr>
                <w:b w:val="0"/>
                <w:spacing w:val="-2"/>
                <w:sz w:val="20"/>
              </w:rPr>
              <w:t>entity</w:t>
            </w:r>
          </w:p>
        </w:tc>
        <w:tc>
          <w:tcPr>
            <w:tcW w:w="7620" w:type="dxa"/>
          </w:tcPr>
          <w:p w14:paraId="3781EFC9" w14:textId="2274391E" w:rsidR="00F22CC5" w:rsidRPr="00D45947" w:rsidRDefault="00F22CC5" w:rsidP="004E0C86">
            <w:pPr>
              <w:pStyle w:val="TableParagraph"/>
              <w:spacing w:before="61" w:line="244" w:lineRule="exact"/>
              <w:ind w:left="134"/>
              <w:cnfStyle w:val="000000010000" w:firstRow="0" w:lastRow="0" w:firstColumn="0" w:lastColumn="0" w:oddVBand="0" w:evenVBand="0" w:oddHBand="0" w:evenHBand="1" w:firstRowFirstColumn="0" w:firstRowLastColumn="0" w:lastRowFirstColumn="0" w:lastRowLastColumn="0"/>
              <w:rPr>
                <w:b/>
                <w:bCs/>
                <w:sz w:val="20"/>
              </w:rPr>
            </w:pPr>
            <w:r w:rsidRPr="00D45947">
              <w:rPr>
                <w:sz w:val="20"/>
              </w:rPr>
              <w:t>An individual or organisation engaged in the provision of road vehicles or components to the</w:t>
            </w:r>
            <w:r w:rsidRPr="00D45947">
              <w:rPr>
                <w:spacing w:val="-8"/>
                <w:sz w:val="20"/>
              </w:rPr>
              <w:t xml:space="preserve"> </w:t>
            </w:r>
            <w:r w:rsidRPr="00D45947">
              <w:rPr>
                <w:sz w:val="20"/>
              </w:rPr>
              <w:t>Australian</w:t>
            </w:r>
            <w:r w:rsidRPr="00D45947">
              <w:rPr>
                <w:spacing w:val="-6"/>
                <w:sz w:val="20"/>
              </w:rPr>
              <w:t xml:space="preserve"> </w:t>
            </w:r>
            <w:r w:rsidRPr="00D45947">
              <w:rPr>
                <w:sz w:val="20"/>
              </w:rPr>
              <w:t>market,</w:t>
            </w:r>
            <w:r w:rsidRPr="00D45947">
              <w:rPr>
                <w:spacing w:val="-6"/>
                <w:sz w:val="20"/>
              </w:rPr>
              <w:t xml:space="preserve"> </w:t>
            </w:r>
            <w:r w:rsidRPr="00D45947">
              <w:rPr>
                <w:sz w:val="20"/>
              </w:rPr>
              <w:t>as</w:t>
            </w:r>
            <w:r w:rsidRPr="00D45947">
              <w:rPr>
                <w:spacing w:val="-8"/>
                <w:sz w:val="20"/>
              </w:rPr>
              <w:t xml:space="preserve"> </w:t>
            </w:r>
            <w:r w:rsidRPr="00D45947">
              <w:rPr>
                <w:sz w:val="20"/>
              </w:rPr>
              <w:t>authorised</w:t>
            </w:r>
            <w:r w:rsidRPr="00D45947">
              <w:rPr>
                <w:spacing w:val="-6"/>
                <w:sz w:val="20"/>
              </w:rPr>
              <w:t xml:space="preserve"> </w:t>
            </w:r>
            <w:r w:rsidRPr="00D45947">
              <w:rPr>
                <w:sz w:val="20"/>
              </w:rPr>
              <w:t>through</w:t>
            </w:r>
            <w:r w:rsidRPr="00D45947">
              <w:rPr>
                <w:spacing w:val="-6"/>
                <w:sz w:val="20"/>
              </w:rPr>
              <w:t xml:space="preserve"> </w:t>
            </w:r>
            <w:r w:rsidRPr="00D45947">
              <w:rPr>
                <w:sz w:val="20"/>
              </w:rPr>
              <w:t>a</w:t>
            </w:r>
            <w:r w:rsidRPr="00D45947">
              <w:rPr>
                <w:spacing w:val="-6"/>
                <w:sz w:val="20"/>
              </w:rPr>
              <w:t xml:space="preserve"> </w:t>
            </w:r>
            <w:r w:rsidRPr="00D45947">
              <w:rPr>
                <w:sz w:val="20"/>
              </w:rPr>
              <w:t>Licence/Approval</w:t>
            </w:r>
            <w:r w:rsidRPr="00D45947">
              <w:rPr>
                <w:spacing w:val="-7"/>
                <w:sz w:val="20"/>
              </w:rPr>
              <w:t xml:space="preserve"> </w:t>
            </w:r>
            <w:r w:rsidRPr="00D45947">
              <w:rPr>
                <w:sz w:val="20"/>
              </w:rPr>
              <w:t>issued</w:t>
            </w:r>
            <w:r w:rsidRPr="00D45947">
              <w:rPr>
                <w:spacing w:val="-6"/>
                <w:sz w:val="20"/>
              </w:rPr>
              <w:t xml:space="preserve"> </w:t>
            </w:r>
            <w:r w:rsidRPr="00D45947">
              <w:rPr>
                <w:sz w:val="20"/>
              </w:rPr>
              <w:t>by</w:t>
            </w:r>
            <w:r w:rsidRPr="00D45947">
              <w:rPr>
                <w:spacing w:val="-6"/>
                <w:sz w:val="20"/>
              </w:rPr>
              <w:t xml:space="preserve"> </w:t>
            </w:r>
            <w:r w:rsidRPr="00D45947">
              <w:rPr>
                <w:sz w:val="20"/>
              </w:rPr>
              <w:t>the</w:t>
            </w:r>
            <w:r w:rsidRPr="00D45947">
              <w:rPr>
                <w:spacing w:val="-8"/>
                <w:sz w:val="20"/>
              </w:rPr>
              <w:t xml:space="preserve"> </w:t>
            </w:r>
            <w:r w:rsidR="000E6A71">
              <w:rPr>
                <w:sz w:val="20"/>
              </w:rPr>
              <w:t>D</w:t>
            </w:r>
            <w:r w:rsidR="000E6A71" w:rsidRPr="00D45947">
              <w:rPr>
                <w:sz w:val="20"/>
              </w:rPr>
              <w:t xml:space="preserve">epartment </w:t>
            </w:r>
            <w:r w:rsidRPr="00D45947">
              <w:rPr>
                <w:sz w:val="20"/>
              </w:rPr>
              <w:t>of Infrastructure, Transport, Regional Development Communications,</w:t>
            </w:r>
            <w:r w:rsidR="000E6A71">
              <w:rPr>
                <w:sz w:val="20"/>
              </w:rPr>
              <w:t xml:space="preserve"> Sport and the Arts</w:t>
            </w:r>
            <w:r w:rsidRPr="00D45947">
              <w:rPr>
                <w:sz w:val="20"/>
              </w:rPr>
              <w:t xml:space="preserve"> in accordance with the legislation.</w:t>
            </w:r>
          </w:p>
        </w:tc>
      </w:tr>
      <w:tr w:rsidR="00F22CC5" w14:paraId="29B55BC9" w14:textId="77777777" w:rsidTr="000D6C73">
        <w:trPr>
          <w:trHeight w:val="338"/>
        </w:trPr>
        <w:tc>
          <w:tcPr>
            <w:cnfStyle w:val="001000000000" w:firstRow="0" w:lastRow="0" w:firstColumn="1" w:lastColumn="0" w:oddVBand="0" w:evenVBand="0" w:oddHBand="0" w:evenHBand="0" w:firstRowFirstColumn="0" w:firstRowLastColumn="0" w:lastRowFirstColumn="0" w:lastRowLastColumn="0"/>
            <w:tcW w:w="2258" w:type="dxa"/>
          </w:tcPr>
          <w:p w14:paraId="2F399B46" w14:textId="5F71841D" w:rsidR="00F22CC5" w:rsidRPr="00D45947" w:rsidRDefault="00F22CC5" w:rsidP="004E0C86">
            <w:pPr>
              <w:pStyle w:val="TableParagraph"/>
              <w:rPr>
                <w:b w:val="0"/>
                <w:bCs/>
                <w:spacing w:val="-2"/>
                <w:sz w:val="20"/>
              </w:rPr>
            </w:pPr>
            <w:r w:rsidRPr="00D45947">
              <w:rPr>
                <w:b w:val="0"/>
                <w:spacing w:val="-5"/>
                <w:sz w:val="20"/>
              </w:rPr>
              <w:t>RPA</w:t>
            </w:r>
          </w:p>
        </w:tc>
        <w:tc>
          <w:tcPr>
            <w:tcW w:w="7620" w:type="dxa"/>
          </w:tcPr>
          <w:p w14:paraId="5006A359" w14:textId="0B330B7A" w:rsidR="00F22CC5" w:rsidRPr="00D45947" w:rsidRDefault="00F22CC5" w:rsidP="004E0C86">
            <w:pPr>
              <w:pStyle w:val="TableParagraph"/>
              <w:spacing w:before="61" w:line="244" w:lineRule="exact"/>
              <w:ind w:left="134"/>
              <w:cnfStyle w:val="000000000000" w:firstRow="0" w:lastRow="0" w:firstColumn="0" w:lastColumn="0" w:oddVBand="0" w:evenVBand="0" w:oddHBand="0" w:evenHBand="0" w:firstRowFirstColumn="0" w:firstRowLastColumn="0" w:lastRowFirstColumn="0" w:lastRowLastColumn="0"/>
              <w:rPr>
                <w:b/>
                <w:bCs/>
                <w:i/>
                <w:iCs/>
                <w:sz w:val="20"/>
              </w:rPr>
            </w:pPr>
            <w:r w:rsidRPr="00D45947">
              <w:rPr>
                <w:i/>
                <w:iCs/>
                <w:spacing w:val="-2"/>
                <w:sz w:val="20"/>
              </w:rPr>
              <w:t>Regulatory</w:t>
            </w:r>
            <w:r w:rsidRPr="00D45947">
              <w:rPr>
                <w:i/>
                <w:iCs/>
                <w:spacing w:val="3"/>
                <w:sz w:val="20"/>
              </w:rPr>
              <w:t xml:space="preserve"> </w:t>
            </w:r>
            <w:r w:rsidRPr="00D45947">
              <w:rPr>
                <w:i/>
                <w:iCs/>
                <w:spacing w:val="-2"/>
                <w:sz w:val="20"/>
              </w:rPr>
              <w:t>Powers</w:t>
            </w:r>
            <w:r w:rsidRPr="00D45947">
              <w:rPr>
                <w:i/>
                <w:iCs/>
                <w:spacing w:val="2"/>
                <w:sz w:val="20"/>
              </w:rPr>
              <w:t xml:space="preserve"> </w:t>
            </w:r>
            <w:r w:rsidRPr="00D45947">
              <w:rPr>
                <w:i/>
                <w:iCs/>
                <w:spacing w:val="-2"/>
                <w:sz w:val="20"/>
              </w:rPr>
              <w:t>(Standard</w:t>
            </w:r>
            <w:r w:rsidRPr="00D45947">
              <w:rPr>
                <w:i/>
                <w:iCs/>
                <w:spacing w:val="1"/>
                <w:sz w:val="20"/>
              </w:rPr>
              <w:t xml:space="preserve"> </w:t>
            </w:r>
            <w:r w:rsidRPr="00D45947">
              <w:rPr>
                <w:i/>
                <w:iCs/>
                <w:spacing w:val="-2"/>
                <w:sz w:val="20"/>
              </w:rPr>
              <w:t>Provisions)</w:t>
            </w:r>
            <w:r w:rsidRPr="00D45947">
              <w:rPr>
                <w:i/>
                <w:iCs/>
                <w:spacing w:val="1"/>
                <w:sz w:val="20"/>
              </w:rPr>
              <w:t xml:space="preserve"> </w:t>
            </w:r>
            <w:r w:rsidRPr="00D45947">
              <w:rPr>
                <w:i/>
                <w:iCs/>
                <w:spacing w:val="-2"/>
                <w:sz w:val="20"/>
              </w:rPr>
              <w:t>Act</w:t>
            </w:r>
            <w:r w:rsidRPr="00D45947">
              <w:rPr>
                <w:i/>
                <w:iCs/>
                <w:spacing w:val="4"/>
                <w:sz w:val="20"/>
              </w:rPr>
              <w:t xml:space="preserve"> </w:t>
            </w:r>
            <w:r w:rsidRPr="00D45947">
              <w:rPr>
                <w:i/>
                <w:iCs/>
                <w:spacing w:val="-4"/>
                <w:sz w:val="20"/>
              </w:rPr>
              <w:t>2014</w:t>
            </w:r>
          </w:p>
        </w:tc>
      </w:tr>
      <w:tr w:rsidR="00F22CC5" w14:paraId="034700A5" w14:textId="77777777" w:rsidTr="00E77C9C">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258" w:type="dxa"/>
          </w:tcPr>
          <w:p w14:paraId="2D8EE851" w14:textId="77777777" w:rsidR="00F22CC5" w:rsidRPr="00D45947" w:rsidRDefault="00F22CC5" w:rsidP="004E0C86">
            <w:pPr>
              <w:pStyle w:val="TableParagraph"/>
              <w:rPr>
                <w:b w:val="0"/>
                <w:bCs/>
                <w:spacing w:val="-2"/>
                <w:sz w:val="20"/>
              </w:rPr>
            </w:pPr>
            <w:r w:rsidRPr="00D45947">
              <w:rPr>
                <w:b w:val="0"/>
                <w:sz w:val="20"/>
              </w:rPr>
              <w:t>The</w:t>
            </w:r>
            <w:r w:rsidRPr="00D45947">
              <w:rPr>
                <w:b w:val="0"/>
                <w:spacing w:val="-6"/>
                <w:sz w:val="20"/>
              </w:rPr>
              <w:t xml:space="preserve"> </w:t>
            </w:r>
            <w:r w:rsidRPr="00D45947">
              <w:rPr>
                <w:b w:val="0"/>
                <w:spacing w:val="-2"/>
                <w:sz w:val="20"/>
              </w:rPr>
              <w:t>department</w:t>
            </w:r>
          </w:p>
        </w:tc>
        <w:tc>
          <w:tcPr>
            <w:tcW w:w="7620" w:type="dxa"/>
          </w:tcPr>
          <w:p w14:paraId="5E732B0A" w14:textId="77777777" w:rsidR="00F22CC5" w:rsidRPr="00D45947" w:rsidRDefault="00F22CC5" w:rsidP="004E0C86">
            <w:pPr>
              <w:pStyle w:val="TableParagraph"/>
              <w:spacing w:before="61" w:line="244" w:lineRule="exact"/>
              <w:ind w:left="134"/>
              <w:cnfStyle w:val="000000010000" w:firstRow="0" w:lastRow="0" w:firstColumn="0" w:lastColumn="0" w:oddVBand="0" w:evenVBand="0" w:oddHBand="0" w:evenHBand="1" w:firstRowFirstColumn="0" w:firstRowLastColumn="0" w:lastRowFirstColumn="0" w:lastRowLastColumn="0"/>
              <w:rPr>
                <w:b/>
                <w:bCs/>
                <w:sz w:val="20"/>
              </w:rPr>
            </w:pPr>
            <w:r w:rsidRPr="00D45947">
              <w:rPr>
                <w:spacing w:val="-2"/>
                <w:sz w:val="20"/>
              </w:rPr>
              <w:t>Department</w:t>
            </w:r>
            <w:r w:rsidRPr="00D45947">
              <w:rPr>
                <w:spacing w:val="2"/>
                <w:sz w:val="20"/>
              </w:rPr>
              <w:t xml:space="preserve"> </w:t>
            </w:r>
            <w:r w:rsidRPr="00D45947">
              <w:rPr>
                <w:spacing w:val="-2"/>
                <w:sz w:val="20"/>
              </w:rPr>
              <w:t>of</w:t>
            </w:r>
            <w:r w:rsidRPr="00D45947">
              <w:rPr>
                <w:sz w:val="20"/>
              </w:rPr>
              <w:t xml:space="preserve"> </w:t>
            </w:r>
            <w:r w:rsidRPr="00D45947">
              <w:rPr>
                <w:spacing w:val="-2"/>
                <w:sz w:val="20"/>
              </w:rPr>
              <w:t>Infrastructure,</w:t>
            </w:r>
            <w:r w:rsidRPr="00D45947">
              <w:rPr>
                <w:spacing w:val="6"/>
                <w:sz w:val="20"/>
              </w:rPr>
              <w:t xml:space="preserve"> </w:t>
            </w:r>
            <w:r w:rsidRPr="00D45947">
              <w:rPr>
                <w:spacing w:val="-2"/>
                <w:sz w:val="20"/>
              </w:rPr>
              <w:t>Transport,</w:t>
            </w:r>
            <w:r w:rsidRPr="00D45947">
              <w:rPr>
                <w:spacing w:val="3"/>
                <w:sz w:val="20"/>
              </w:rPr>
              <w:t xml:space="preserve"> </w:t>
            </w:r>
            <w:r w:rsidRPr="00D45947">
              <w:rPr>
                <w:spacing w:val="-2"/>
                <w:sz w:val="20"/>
              </w:rPr>
              <w:t>Regional</w:t>
            </w:r>
            <w:r w:rsidRPr="00D45947">
              <w:rPr>
                <w:spacing w:val="2"/>
                <w:sz w:val="20"/>
              </w:rPr>
              <w:t xml:space="preserve"> </w:t>
            </w:r>
            <w:r w:rsidRPr="00D45947">
              <w:rPr>
                <w:spacing w:val="-2"/>
                <w:sz w:val="20"/>
              </w:rPr>
              <w:t>Development</w:t>
            </w:r>
            <w:r w:rsidRPr="00D45947">
              <w:rPr>
                <w:spacing w:val="2"/>
                <w:sz w:val="20"/>
              </w:rPr>
              <w:t>, Communications, Sport and the Arts</w:t>
            </w:r>
          </w:p>
        </w:tc>
      </w:tr>
      <w:tr w:rsidR="00F22CC5" w14:paraId="37E7DB12" w14:textId="77777777" w:rsidTr="00E77C9C">
        <w:trPr>
          <w:trHeight w:val="813"/>
        </w:trPr>
        <w:tc>
          <w:tcPr>
            <w:cnfStyle w:val="001000000000" w:firstRow="0" w:lastRow="0" w:firstColumn="1" w:lastColumn="0" w:oddVBand="0" w:evenVBand="0" w:oddHBand="0" w:evenHBand="0" w:firstRowFirstColumn="0" w:firstRowLastColumn="0" w:lastRowFirstColumn="0" w:lastRowLastColumn="0"/>
            <w:tcW w:w="2258" w:type="dxa"/>
          </w:tcPr>
          <w:p w14:paraId="55F05D88" w14:textId="77777777" w:rsidR="00F22CC5" w:rsidRPr="00D45947" w:rsidRDefault="00F22CC5" w:rsidP="004E0C86">
            <w:pPr>
              <w:pStyle w:val="TableParagraph"/>
              <w:rPr>
                <w:b w:val="0"/>
                <w:bCs/>
                <w:spacing w:val="-2"/>
                <w:sz w:val="20"/>
              </w:rPr>
            </w:pPr>
            <w:r w:rsidRPr="00D45947">
              <w:rPr>
                <w:b w:val="0"/>
                <w:spacing w:val="-2"/>
                <w:sz w:val="20"/>
              </w:rPr>
              <w:t>Warrant</w:t>
            </w:r>
          </w:p>
        </w:tc>
        <w:tc>
          <w:tcPr>
            <w:tcW w:w="7620" w:type="dxa"/>
          </w:tcPr>
          <w:p w14:paraId="01410EF7" w14:textId="77777777" w:rsidR="00F22CC5" w:rsidRPr="00D45947" w:rsidRDefault="00F22CC5" w:rsidP="004E0C86">
            <w:pPr>
              <w:pStyle w:val="TableParagraph"/>
              <w:spacing w:before="61" w:line="244" w:lineRule="exact"/>
              <w:ind w:left="134"/>
              <w:cnfStyle w:val="000000000000" w:firstRow="0" w:lastRow="0" w:firstColumn="0" w:lastColumn="0" w:oddVBand="0" w:evenVBand="0" w:oddHBand="0" w:evenHBand="0" w:firstRowFirstColumn="0" w:firstRowLastColumn="0" w:lastRowFirstColumn="0" w:lastRowLastColumn="0"/>
              <w:rPr>
                <w:b/>
                <w:bCs/>
                <w:sz w:val="20"/>
              </w:rPr>
            </w:pPr>
            <w:r w:rsidRPr="00D45947">
              <w:rPr>
                <w:sz w:val="20"/>
              </w:rPr>
              <w:t>Court-issued</w:t>
            </w:r>
            <w:r w:rsidRPr="00D45947">
              <w:rPr>
                <w:spacing w:val="-6"/>
                <w:sz w:val="20"/>
              </w:rPr>
              <w:t xml:space="preserve"> </w:t>
            </w:r>
            <w:r w:rsidRPr="00D45947">
              <w:rPr>
                <w:sz w:val="20"/>
              </w:rPr>
              <w:t>document</w:t>
            </w:r>
            <w:r w:rsidRPr="00D45947">
              <w:rPr>
                <w:spacing w:val="-7"/>
                <w:sz w:val="20"/>
              </w:rPr>
              <w:t xml:space="preserve"> </w:t>
            </w:r>
            <w:r w:rsidRPr="00D45947">
              <w:rPr>
                <w:sz w:val="20"/>
              </w:rPr>
              <w:t>authorising</w:t>
            </w:r>
            <w:r w:rsidRPr="00D45947">
              <w:rPr>
                <w:spacing w:val="-7"/>
                <w:sz w:val="20"/>
              </w:rPr>
              <w:t xml:space="preserve"> </w:t>
            </w:r>
            <w:r w:rsidRPr="00D45947">
              <w:rPr>
                <w:sz w:val="20"/>
              </w:rPr>
              <w:t>an</w:t>
            </w:r>
            <w:r w:rsidRPr="00D45947">
              <w:rPr>
                <w:spacing w:val="-6"/>
                <w:sz w:val="20"/>
              </w:rPr>
              <w:t xml:space="preserve"> </w:t>
            </w:r>
            <w:r w:rsidRPr="00D45947">
              <w:rPr>
                <w:sz w:val="20"/>
              </w:rPr>
              <w:t>inspector</w:t>
            </w:r>
            <w:r w:rsidRPr="00D45947">
              <w:rPr>
                <w:spacing w:val="-5"/>
                <w:sz w:val="20"/>
              </w:rPr>
              <w:t xml:space="preserve"> </w:t>
            </w:r>
            <w:r w:rsidRPr="00D45947">
              <w:rPr>
                <w:sz w:val="20"/>
              </w:rPr>
              <w:t>(‘authorised</w:t>
            </w:r>
            <w:r w:rsidRPr="00D45947">
              <w:rPr>
                <w:spacing w:val="-6"/>
                <w:sz w:val="20"/>
              </w:rPr>
              <w:t xml:space="preserve"> </w:t>
            </w:r>
            <w:r w:rsidRPr="00D45947">
              <w:rPr>
                <w:sz w:val="20"/>
              </w:rPr>
              <w:t>person’),</w:t>
            </w:r>
            <w:r w:rsidRPr="00D45947">
              <w:rPr>
                <w:spacing w:val="-7"/>
                <w:sz w:val="20"/>
              </w:rPr>
              <w:t xml:space="preserve"> </w:t>
            </w:r>
            <w:r w:rsidRPr="00D45947">
              <w:rPr>
                <w:sz w:val="20"/>
              </w:rPr>
              <w:t>entry</w:t>
            </w:r>
            <w:r w:rsidRPr="00D45947">
              <w:rPr>
                <w:spacing w:val="-6"/>
                <w:sz w:val="20"/>
              </w:rPr>
              <w:t xml:space="preserve"> </w:t>
            </w:r>
            <w:r w:rsidRPr="00D45947">
              <w:rPr>
                <w:sz w:val="20"/>
              </w:rPr>
              <w:t>to</w:t>
            </w:r>
            <w:r w:rsidRPr="00D45947">
              <w:rPr>
                <w:spacing w:val="-6"/>
                <w:sz w:val="20"/>
              </w:rPr>
              <w:t xml:space="preserve"> </w:t>
            </w:r>
            <w:r w:rsidRPr="00D45947">
              <w:rPr>
                <w:sz w:val="20"/>
              </w:rPr>
              <w:t>a</w:t>
            </w:r>
            <w:r w:rsidRPr="00D45947">
              <w:rPr>
                <w:spacing w:val="-7"/>
                <w:sz w:val="20"/>
              </w:rPr>
              <w:t xml:space="preserve"> </w:t>
            </w:r>
            <w:r w:rsidRPr="00D45947">
              <w:rPr>
                <w:sz w:val="20"/>
              </w:rPr>
              <w:t>premises and the</w:t>
            </w:r>
            <w:r w:rsidRPr="00D45947">
              <w:rPr>
                <w:spacing w:val="-1"/>
                <w:sz w:val="20"/>
              </w:rPr>
              <w:t xml:space="preserve"> </w:t>
            </w:r>
            <w:r w:rsidRPr="00D45947">
              <w:rPr>
                <w:sz w:val="20"/>
              </w:rPr>
              <w:t>seizure</w:t>
            </w:r>
            <w:r w:rsidRPr="00D45947">
              <w:rPr>
                <w:spacing w:val="-1"/>
                <w:sz w:val="20"/>
              </w:rPr>
              <w:t xml:space="preserve"> </w:t>
            </w:r>
            <w:r w:rsidRPr="00D45947">
              <w:rPr>
                <w:sz w:val="20"/>
              </w:rPr>
              <w:t>of</w:t>
            </w:r>
            <w:r w:rsidRPr="00D45947">
              <w:rPr>
                <w:spacing w:val="-1"/>
                <w:sz w:val="20"/>
              </w:rPr>
              <w:t xml:space="preserve"> </w:t>
            </w:r>
            <w:r w:rsidRPr="00D45947">
              <w:rPr>
                <w:sz w:val="20"/>
              </w:rPr>
              <w:t>things</w:t>
            </w:r>
            <w:r w:rsidRPr="00D45947">
              <w:rPr>
                <w:spacing w:val="-1"/>
                <w:sz w:val="20"/>
              </w:rPr>
              <w:t xml:space="preserve"> </w:t>
            </w:r>
            <w:r w:rsidRPr="00D45947">
              <w:rPr>
                <w:sz w:val="20"/>
              </w:rPr>
              <w:t>relevant to the</w:t>
            </w:r>
            <w:r w:rsidRPr="00D45947">
              <w:rPr>
                <w:spacing w:val="-1"/>
                <w:sz w:val="20"/>
              </w:rPr>
              <w:t xml:space="preserve"> </w:t>
            </w:r>
            <w:r w:rsidRPr="00D45947">
              <w:rPr>
                <w:sz w:val="20"/>
              </w:rPr>
              <w:t>purpose</w:t>
            </w:r>
            <w:r w:rsidRPr="00D45947">
              <w:rPr>
                <w:spacing w:val="-1"/>
                <w:sz w:val="20"/>
              </w:rPr>
              <w:t xml:space="preserve"> </w:t>
            </w:r>
            <w:r w:rsidRPr="00D45947">
              <w:rPr>
                <w:sz w:val="20"/>
              </w:rPr>
              <w:t>of</w:t>
            </w:r>
            <w:r w:rsidRPr="00D45947">
              <w:rPr>
                <w:spacing w:val="-1"/>
                <w:sz w:val="20"/>
              </w:rPr>
              <w:t xml:space="preserve"> </w:t>
            </w:r>
            <w:r w:rsidRPr="00D45947">
              <w:rPr>
                <w:sz w:val="20"/>
              </w:rPr>
              <w:t>the</w:t>
            </w:r>
            <w:r w:rsidRPr="00D45947">
              <w:rPr>
                <w:spacing w:val="-1"/>
                <w:sz w:val="20"/>
              </w:rPr>
              <w:t xml:space="preserve"> </w:t>
            </w:r>
            <w:r w:rsidRPr="00D45947">
              <w:rPr>
                <w:sz w:val="20"/>
              </w:rPr>
              <w:t>warrant. A warrant may be</w:t>
            </w:r>
            <w:r w:rsidRPr="00D45947">
              <w:rPr>
                <w:spacing w:val="-1"/>
                <w:sz w:val="20"/>
              </w:rPr>
              <w:t xml:space="preserve"> </w:t>
            </w:r>
            <w:r w:rsidRPr="00D45947">
              <w:rPr>
                <w:sz w:val="20"/>
              </w:rPr>
              <w:t>issued for monitoring or investigative purposes.</w:t>
            </w:r>
          </w:p>
        </w:tc>
      </w:tr>
      <w:bookmarkEnd w:id="0"/>
    </w:tbl>
    <w:p w14:paraId="041DC4DC" w14:textId="7C04DC3D" w:rsidR="00430511" w:rsidRDefault="00430511" w:rsidP="000E6A71"/>
    <w:sectPr w:rsidR="00430511" w:rsidSect="00D2335F">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021" w:right="1021" w:bottom="1021"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35623" w14:textId="77777777" w:rsidR="00D117F7" w:rsidRDefault="00D117F7" w:rsidP="008456D5">
      <w:pPr>
        <w:spacing w:before="0" w:after="0"/>
      </w:pPr>
      <w:r>
        <w:separator/>
      </w:r>
    </w:p>
  </w:endnote>
  <w:endnote w:type="continuationSeparator" w:id="0">
    <w:p w14:paraId="5C7BE422" w14:textId="77777777" w:rsidR="00D117F7" w:rsidRDefault="00D117F7"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D44B" w14:textId="4BFD099D" w:rsidR="00180B5B" w:rsidRDefault="00F165AB" w:rsidP="00180B5B">
    <w:pPr>
      <w:pStyle w:val="Footer"/>
      <w:spacing w:before="720"/>
      <w:jc w:val="right"/>
    </w:pPr>
    <w:r>
      <w:rPr>
        <w:noProof/>
        <w:lang w:eastAsia="en-AU"/>
      </w:rPr>
      <mc:AlternateContent>
        <mc:Choice Requires="wps">
          <w:drawing>
            <wp:anchor distT="0" distB="0" distL="0" distR="0" simplePos="0" relativeHeight="251662336" behindDoc="0" locked="0" layoutInCell="1" allowOverlap="1" wp14:anchorId="73C69637" wp14:editId="6D27AD2D">
              <wp:simplePos x="635" y="635"/>
              <wp:positionH relativeFrom="page">
                <wp:align>center</wp:align>
              </wp:positionH>
              <wp:positionV relativeFrom="page">
                <wp:align>bottom</wp:align>
              </wp:positionV>
              <wp:extent cx="643255" cy="509270"/>
              <wp:effectExtent l="0" t="0" r="4445" b="0"/>
              <wp:wrapNone/>
              <wp:docPr id="16775262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1DC7213E"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C69637" id="_x0000_t202" coordsize="21600,21600" o:spt="202" path="m,l,21600r21600,l21600,xe">
              <v:stroke joinstyle="miter"/>
              <v:path gradientshapeok="t" o:connecttype="rect"/>
            </v:shapetype>
            <v:shape id="Text Box 5" o:spid="_x0000_s1028" type="#_x0000_t202" alt="OFFICIAL" style="position:absolute;left:0;text-align:left;margin-left:0;margin-top:0;width:50.65pt;height:40.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" filled="f" stroked="f">
              <v:textbox style="mso-fit-shape-to-text:t" inset="0,0,0,15pt">
                <w:txbxContent>
                  <w:p w14:paraId="1DC7213E"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r w:rsidR="00180B5B">
      <w:rPr>
        <w:noProof/>
        <w:lang w:eastAsia="en-AU"/>
      </w:rPr>
      <mc:AlternateContent>
        <mc:Choice Requires="wps">
          <w:drawing>
            <wp:inline distT="0" distB="0" distL="0" distR="0" wp14:anchorId="1B66FFC1" wp14:editId="596E4DD4">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38C7886F"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 w14:anchorId="1B66FFC1" id="Text Box 16" o:spid="_x0000_s1029" type="#_x0000_t202" alt="&quot;&quot;"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" filled="f" stroked="f" strokeweight=".5pt">
              <v:textbox inset="18mm,0,0,10mm">
                <w:txbxContent>
                  <w:p w14:paraId="38C7886F"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43950009" w14:textId="77777777" w:rsidR="00C15F0D" w:rsidRDefault="00C15F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BC9F" w14:textId="11688156" w:rsidR="00AB3238" w:rsidRPr="003C67CE" w:rsidRDefault="00F165AB" w:rsidP="00AB3238">
    <w:pPr>
      <w:pStyle w:val="SecurityMarker"/>
    </w:pPr>
    <w:r>
      <w:rPr>
        <w:noProof/>
        <w:shd w:val="clear" w:color="auto" w:fill="auto"/>
      </w:rPr>
      <mc:AlternateContent>
        <mc:Choice Requires="wps">
          <w:drawing>
            <wp:anchor distT="0" distB="0" distL="0" distR="0" simplePos="0" relativeHeight="251663360" behindDoc="0" locked="0" layoutInCell="1" allowOverlap="1" wp14:anchorId="014B2350" wp14:editId="13F4BFBC">
              <wp:simplePos x="647700" y="9874250"/>
              <wp:positionH relativeFrom="page">
                <wp:align>center</wp:align>
              </wp:positionH>
              <wp:positionV relativeFrom="page">
                <wp:align>bottom</wp:align>
              </wp:positionV>
              <wp:extent cx="643255" cy="509270"/>
              <wp:effectExtent l="0" t="0" r="4445" b="0"/>
              <wp:wrapNone/>
              <wp:docPr id="50406303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2E07162D"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4B2350" id="_x0000_t202" coordsize="21600,21600" o:spt="202" path="m,l,21600r21600,l21600,xe">
              <v:stroke joinstyle="miter"/>
              <v:path gradientshapeok="t" o:connecttype="rect"/>
            </v:shapetype>
            <v:shape id="Text Box 6" o:spid="_x0000_s1030" type="#_x0000_t202" alt="OFFICIAL" style="position:absolute;left:0;text-align:left;margin-left:0;margin-top:0;width:50.65pt;height:40.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" filled="f" stroked="f">
              <v:textbox style="mso-fit-shape-to-text:t" inset="0,0,0,15pt">
                <w:txbxContent>
                  <w:p w14:paraId="2E07162D"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r w:rsidRPr="003C67CE">
      <w:t xml:space="preserve"> </w:t>
    </w:r>
  </w:p>
  <w:p w14:paraId="59C4D9D4" w14:textId="77777777" w:rsidR="00AB3238" w:rsidRDefault="00AB3238" w:rsidP="00AB3238">
    <w:pPr>
      <w:framePr w:w="11907" w:h="284" w:hSpace="181" w:wrap="around" w:vAnchor="page" w:hAnchor="page" w:yAlign="bottom"/>
      <w:spacing w:before="0" w:after="0"/>
    </w:pPr>
    <w:r>
      <w:rPr>
        <w:noProof/>
      </w:rPr>
      <w:drawing>
        <wp:inline distT="0" distB="0" distL="0" distR="0" wp14:anchorId="77AC9920" wp14:editId="337B5C08">
          <wp:extent cx="7562850" cy="179922"/>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6FE59173" w14:textId="51099C49" w:rsidR="006851B3" w:rsidRPr="00654E6E" w:rsidRDefault="00000000" w:rsidP="00F165AB">
    <w:pPr>
      <w:pStyle w:val="Footer"/>
      <w:tabs>
        <w:tab w:val="clear" w:pos="4513"/>
        <w:tab w:val="clear" w:pos="9026"/>
        <w:tab w:val="center" w:pos="4820"/>
        <w:tab w:val="right" w:pos="14742"/>
      </w:tabs>
      <w:spacing w:after="240"/>
      <w:rPr>
        <w:color w:val="auto"/>
      </w:rPr>
    </w:pPr>
    <w:sdt>
      <w:sdtPr>
        <w:rPr>
          <w:color w:val="auto"/>
          <w:sz w:val="18"/>
          <w:szCs w:val="18"/>
          <w:lang w:val="en-US"/>
        </w:rPr>
        <w:alias w:val="Title"/>
        <w:tag w:val=""/>
        <w:id w:val="-2006425229"/>
        <w:dataBinding w:prefixMappings="xmlns:ns0='http://purl.org/dc/elements/1.1/' xmlns:ns1='http://schemas.openxmlformats.org/package/2006/metadata/core-properties' " w:xpath="/ns1:coreProperties[1]/ns0:title[1]" w:storeItemID="{6C3C8BC8-F283-45AE-878A-BAB7291924A1}"/>
        <w:text/>
      </w:sdtPr>
      <w:sdtContent>
        <w:r w:rsidR="00B9192C">
          <w:rPr>
            <w:color w:val="auto"/>
            <w:sz w:val="18"/>
            <w:szCs w:val="18"/>
            <w:lang w:val="en-US"/>
          </w:rPr>
          <w:t>Road vehicle regulatory approach</w:t>
        </w:r>
      </w:sdtContent>
    </w:sdt>
    <w:r w:rsidR="006851B3" w:rsidRPr="00654E6E">
      <w:rPr>
        <w:color w:val="auto"/>
        <w:sz w:val="18"/>
        <w:szCs w:val="18"/>
        <w:lang w:val="en-US"/>
      </w:rPr>
      <w:tab/>
    </w:r>
    <w:r w:rsidR="006851B3" w:rsidRPr="00654E6E">
      <w:rPr>
        <w:b/>
        <w:color w:val="auto"/>
        <w:sz w:val="18"/>
        <w:szCs w:val="18"/>
        <w:lang w:val="en-US"/>
      </w:rPr>
      <w:t>Release date:</w:t>
    </w:r>
    <w:r w:rsidR="006851B3" w:rsidRPr="00654E6E">
      <w:rPr>
        <w:color w:val="auto"/>
        <w:sz w:val="18"/>
        <w:szCs w:val="18"/>
        <w:lang w:val="en-US"/>
      </w:rPr>
      <w:t xml:space="preserve"> </w:t>
    </w:r>
    <w:sdt>
      <w:sdtPr>
        <w:rPr>
          <w:color w:val="auto"/>
          <w:sz w:val="18"/>
          <w:szCs w:val="18"/>
          <w:lang w:val="en-US"/>
        </w:rPr>
        <w:alias w:val="Category"/>
        <w:id w:val="-708417275"/>
        <w:dataBinding w:prefixMappings="xmlns:ns0='http://purl.org/dc/elements/1.1/' xmlns:ns1='http://schemas.openxmlformats.org/package/2006/metadata/core-properties' " w:xpath="/ns1:coreProperties[1]/ns1:category[1]" w:storeItemID="{6C3C8BC8-F283-45AE-878A-BAB7291924A1}"/>
        <w:text/>
      </w:sdtPr>
      <w:sdtContent>
        <w:r w:rsidR="00B9192C">
          <w:rPr>
            <w:color w:val="auto"/>
            <w:sz w:val="18"/>
            <w:szCs w:val="18"/>
            <w:lang w:val="en-US"/>
          </w:rPr>
          <w:t>June 2026</w:t>
        </w:r>
      </w:sdtContent>
    </w:sdt>
    <w:r w:rsidR="006851B3" w:rsidRPr="00654E6E">
      <w:rPr>
        <w:color w:val="auto"/>
        <w:sz w:val="18"/>
        <w:szCs w:val="18"/>
        <w:lang w:val="en-US"/>
      </w:rPr>
      <w:t xml:space="preserve"> | </w:t>
    </w:r>
    <w:r w:rsidR="006851B3" w:rsidRPr="00654E6E">
      <w:rPr>
        <w:b/>
        <w:color w:val="auto"/>
        <w:sz w:val="18"/>
        <w:szCs w:val="18"/>
        <w:lang w:val="en-US"/>
      </w:rPr>
      <w:t>Version</w:t>
    </w:r>
    <w:r w:rsidR="006851B3" w:rsidRPr="00654E6E">
      <w:rPr>
        <w:color w:val="auto"/>
        <w:sz w:val="18"/>
        <w:szCs w:val="18"/>
        <w:lang w:val="en-US"/>
      </w:rPr>
      <w:t xml:space="preserve">: </w:t>
    </w:r>
    <w:sdt>
      <w:sdtPr>
        <w:rPr>
          <w:color w:val="auto"/>
          <w:sz w:val="18"/>
          <w:szCs w:val="18"/>
          <w:lang w:val="en-US"/>
        </w:rPr>
        <w:alias w:val="Keywords"/>
        <w:id w:val="1276135825"/>
        <w:dataBinding w:prefixMappings="xmlns:ns0='http://purl.org/dc/elements/1.1/' xmlns:ns1='http://schemas.openxmlformats.org/package/2006/metadata/core-properties' " w:xpath="/ns1:coreProperties[1]/ns1:keywords[1]" w:storeItemID="{6C3C8BC8-F283-45AE-878A-BAB7291924A1}"/>
        <w:text/>
      </w:sdtPr>
      <w:sdtContent>
        <w:r w:rsidR="00B9192C">
          <w:rPr>
            <w:color w:val="auto"/>
            <w:sz w:val="18"/>
            <w:szCs w:val="18"/>
            <w:lang w:val="en-US"/>
          </w:rPr>
          <w:t>1.0</w:t>
        </w:r>
      </w:sdtContent>
    </w:sdt>
    <w:r w:rsidR="006851B3" w:rsidRPr="00654E6E">
      <w:rPr>
        <w:color w:val="auto"/>
        <w:sz w:val="18"/>
        <w:szCs w:val="18"/>
        <w:lang w:val="en-US"/>
      </w:rPr>
      <w:t xml:space="preserve"> </w:t>
    </w:r>
    <w:r w:rsidR="006851B3" w:rsidRPr="00654E6E">
      <w:rPr>
        <w:color w:val="auto"/>
        <w:sz w:val="18"/>
        <w:szCs w:val="18"/>
        <w:lang w:val="en-US"/>
      </w:rPr>
      <w:tab/>
      <w:t xml:space="preserve">Page </w:t>
    </w:r>
    <w:r w:rsidR="006851B3" w:rsidRPr="00654E6E">
      <w:rPr>
        <w:color w:val="auto"/>
        <w:sz w:val="18"/>
        <w:szCs w:val="18"/>
        <w:lang w:val="en-US"/>
      </w:rPr>
      <w:fldChar w:fldCharType="begin"/>
    </w:r>
    <w:r w:rsidR="006851B3" w:rsidRPr="00654E6E">
      <w:rPr>
        <w:color w:val="auto"/>
        <w:sz w:val="18"/>
        <w:szCs w:val="18"/>
        <w:lang w:val="en-US"/>
      </w:rPr>
      <w:instrText xml:space="preserve"> PAGE   \* MERGEFORMAT </w:instrText>
    </w:r>
    <w:r w:rsidR="006851B3" w:rsidRPr="00654E6E">
      <w:rPr>
        <w:color w:val="auto"/>
        <w:sz w:val="18"/>
        <w:szCs w:val="18"/>
        <w:lang w:val="en-US"/>
      </w:rPr>
      <w:fldChar w:fldCharType="separate"/>
    </w:r>
    <w:r w:rsidR="006851B3">
      <w:rPr>
        <w:color w:val="auto"/>
        <w:sz w:val="18"/>
        <w:szCs w:val="18"/>
        <w:lang w:val="en-US"/>
      </w:rPr>
      <w:t>3</w:t>
    </w:r>
    <w:r w:rsidR="006851B3" w:rsidRPr="00654E6E">
      <w:rPr>
        <w:noProof/>
        <w:color w:val="auto"/>
        <w:sz w:val="18"/>
        <w:szCs w:val="18"/>
        <w:lang w:val="en-US"/>
      </w:rPr>
      <w:fldChar w:fldCharType="end"/>
    </w:r>
    <w:r w:rsidR="006851B3" w:rsidRPr="00654E6E">
      <w:rPr>
        <w:noProof/>
        <w:color w:val="auto"/>
        <w:sz w:val="18"/>
        <w:szCs w:val="18"/>
        <w:lang w:val="en-US"/>
      </w:rPr>
      <w:t xml:space="preserve"> of </w:t>
    </w:r>
    <w:r w:rsidR="006851B3" w:rsidRPr="00654E6E">
      <w:rPr>
        <w:noProof/>
        <w:color w:val="auto"/>
        <w:sz w:val="18"/>
        <w:szCs w:val="18"/>
        <w:lang w:val="en-US"/>
      </w:rPr>
      <w:fldChar w:fldCharType="begin"/>
    </w:r>
    <w:r w:rsidR="006851B3" w:rsidRPr="00654E6E">
      <w:rPr>
        <w:noProof/>
        <w:color w:val="auto"/>
        <w:sz w:val="18"/>
        <w:szCs w:val="18"/>
        <w:lang w:val="en-US"/>
      </w:rPr>
      <w:instrText xml:space="preserve"> NUMPAGES   \* MERGEFORMAT </w:instrText>
    </w:r>
    <w:r w:rsidR="006851B3" w:rsidRPr="00654E6E">
      <w:rPr>
        <w:noProof/>
        <w:color w:val="auto"/>
        <w:sz w:val="18"/>
        <w:szCs w:val="18"/>
        <w:lang w:val="en-US"/>
      </w:rPr>
      <w:fldChar w:fldCharType="separate"/>
    </w:r>
    <w:r w:rsidR="006851B3">
      <w:rPr>
        <w:noProof/>
        <w:color w:val="auto"/>
        <w:sz w:val="18"/>
        <w:szCs w:val="18"/>
        <w:lang w:val="en-US"/>
      </w:rPr>
      <w:t>9</w:t>
    </w:r>
    <w:r w:rsidR="006851B3" w:rsidRPr="00654E6E">
      <w:rPr>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9D03" w14:textId="2F75C325" w:rsidR="001D659E" w:rsidRPr="003C67CE" w:rsidRDefault="00F165AB" w:rsidP="00F165AB">
    <w:pPr>
      <w:pStyle w:val="SecurityMarker"/>
      <w:jc w:val="left"/>
    </w:pPr>
    <w:r>
      <w:rPr>
        <w:noProof/>
        <w:shd w:val="clear" w:color="auto" w:fill="auto"/>
      </w:rPr>
      <mc:AlternateContent>
        <mc:Choice Requires="wps">
          <w:drawing>
            <wp:anchor distT="0" distB="0" distL="0" distR="0" simplePos="0" relativeHeight="251661312" behindDoc="0" locked="0" layoutInCell="1" allowOverlap="1" wp14:anchorId="4F399FC5" wp14:editId="7EF79805">
              <wp:simplePos x="647700" y="9874250"/>
              <wp:positionH relativeFrom="page">
                <wp:align>center</wp:align>
              </wp:positionH>
              <wp:positionV relativeFrom="page">
                <wp:align>bottom</wp:align>
              </wp:positionV>
              <wp:extent cx="643255" cy="509270"/>
              <wp:effectExtent l="0" t="0" r="4445" b="0"/>
              <wp:wrapNone/>
              <wp:docPr id="3808046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0C53C2D6"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399FC5" id="_x0000_t202" coordsize="21600,21600" o:spt="202" path="m,l,21600r21600,l21600,xe">
              <v:stroke joinstyle="miter"/>
              <v:path gradientshapeok="t" o:connecttype="rect"/>
            </v:shapetype>
            <v:shape id="Text Box 4" o:spid="_x0000_s1032" type="#_x0000_t202" alt="OFFICIAL" style="position:absolute;margin-left:0;margin-top:0;width:50.65pt;height:40.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" filled="f" stroked="f">
              <v:textbox style="mso-fit-shape-to-text:t" inset="0,0,0,15pt">
                <w:txbxContent>
                  <w:p w14:paraId="0C53C2D6"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p>
  <w:p w14:paraId="709956E6" w14:textId="77777777" w:rsidR="001D659E" w:rsidRDefault="009E7E52" w:rsidP="006B1647">
    <w:pPr>
      <w:framePr w:w="11907" w:h="284" w:hSpace="181" w:wrap="around" w:vAnchor="page" w:hAnchor="page" w:yAlign="bottom"/>
      <w:spacing w:before="0" w:after="0"/>
    </w:pPr>
    <w:r>
      <w:rPr>
        <w:noProof/>
      </w:rPr>
      <w:drawing>
        <wp:inline distT="0" distB="0" distL="0" distR="0" wp14:anchorId="32D866A1" wp14:editId="32E5F5F9">
          <wp:extent cx="7562850" cy="179922"/>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45A7BB74" w14:textId="445899CA" w:rsidR="006851B3" w:rsidRPr="00654E6E" w:rsidRDefault="00000000" w:rsidP="00F165AB">
    <w:pPr>
      <w:pStyle w:val="Footer"/>
      <w:tabs>
        <w:tab w:val="clear" w:pos="4513"/>
        <w:tab w:val="clear" w:pos="9026"/>
        <w:tab w:val="center" w:pos="4820"/>
        <w:tab w:val="right" w:pos="14742"/>
      </w:tabs>
      <w:spacing w:after="240"/>
      <w:rPr>
        <w:color w:val="auto"/>
      </w:rPr>
    </w:pPr>
    <w:sdt>
      <w:sdtPr>
        <w:rPr>
          <w:color w:val="auto"/>
          <w:sz w:val="18"/>
          <w:szCs w:val="18"/>
          <w:lang w:val="en-US"/>
        </w:rPr>
        <w:alias w:val="Title"/>
        <w:tag w:val=""/>
        <w:id w:val="874962478"/>
        <w:dataBinding w:prefixMappings="xmlns:ns0='http://purl.org/dc/elements/1.1/' xmlns:ns1='http://schemas.openxmlformats.org/package/2006/metadata/core-properties' " w:xpath="/ns1:coreProperties[1]/ns0:title[1]" w:storeItemID="{6C3C8BC8-F283-45AE-878A-BAB7291924A1}"/>
        <w:text/>
      </w:sdtPr>
      <w:sdtContent>
        <w:r w:rsidR="00B9192C">
          <w:rPr>
            <w:color w:val="auto"/>
            <w:sz w:val="18"/>
            <w:szCs w:val="18"/>
            <w:lang w:val="en-US"/>
          </w:rPr>
          <w:t>Road vehicle regulatory approach</w:t>
        </w:r>
      </w:sdtContent>
    </w:sdt>
    <w:r w:rsidR="006851B3" w:rsidRPr="00654E6E">
      <w:rPr>
        <w:color w:val="auto"/>
        <w:sz w:val="18"/>
        <w:szCs w:val="18"/>
        <w:lang w:val="en-US"/>
      </w:rPr>
      <w:tab/>
    </w:r>
    <w:r w:rsidR="006851B3" w:rsidRPr="00654E6E">
      <w:rPr>
        <w:b/>
        <w:color w:val="auto"/>
        <w:sz w:val="18"/>
        <w:szCs w:val="18"/>
        <w:lang w:val="en-US"/>
      </w:rPr>
      <w:t>Release date:</w:t>
    </w:r>
    <w:r w:rsidR="006851B3" w:rsidRPr="00654E6E">
      <w:rPr>
        <w:color w:val="auto"/>
        <w:sz w:val="18"/>
        <w:szCs w:val="18"/>
        <w:lang w:val="en-US"/>
      </w:rPr>
      <w:t xml:space="preserve"> </w:t>
    </w:r>
    <w:sdt>
      <w:sdtPr>
        <w:rPr>
          <w:color w:val="auto"/>
          <w:sz w:val="18"/>
          <w:szCs w:val="18"/>
          <w:lang w:val="en-US"/>
        </w:rPr>
        <w:alias w:val="Category"/>
        <w:id w:val="1232892812"/>
        <w:dataBinding w:prefixMappings="xmlns:ns0='http://purl.org/dc/elements/1.1/' xmlns:ns1='http://schemas.openxmlformats.org/package/2006/metadata/core-properties' " w:xpath="/ns1:coreProperties[1]/ns1:category[1]" w:storeItemID="{6C3C8BC8-F283-45AE-878A-BAB7291924A1}"/>
        <w:text/>
      </w:sdtPr>
      <w:sdtContent>
        <w:r w:rsidR="00B9192C">
          <w:rPr>
            <w:color w:val="auto"/>
            <w:sz w:val="18"/>
            <w:szCs w:val="18"/>
            <w:lang w:val="en-US"/>
          </w:rPr>
          <w:t>June 2026</w:t>
        </w:r>
      </w:sdtContent>
    </w:sdt>
    <w:r w:rsidR="006851B3" w:rsidRPr="00654E6E">
      <w:rPr>
        <w:color w:val="auto"/>
        <w:sz w:val="18"/>
        <w:szCs w:val="18"/>
        <w:lang w:val="en-US"/>
      </w:rPr>
      <w:t xml:space="preserve"> | </w:t>
    </w:r>
    <w:r w:rsidR="006851B3" w:rsidRPr="00654E6E">
      <w:rPr>
        <w:b/>
        <w:color w:val="auto"/>
        <w:sz w:val="18"/>
        <w:szCs w:val="18"/>
        <w:lang w:val="en-US"/>
      </w:rPr>
      <w:t>Version</w:t>
    </w:r>
    <w:r w:rsidR="006851B3" w:rsidRPr="00654E6E">
      <w:rPr>
        <w:color w:val="auto"/>
        <w:sz w:val="18"/>
        <w:szCs w:val="18"/>
        <w:lang w:val="en-US"/>
      </w:rPr>
      <w:t xml:space="preserve">: </w:t>
    </w:r>
    <w:sdt>
      <w:sdtPr>
        <w:rPr>
          <w:color w:val="auto"/>
          <w:sz w:val="18"/>
          <w:szCs w:val="18"/>
          <w:lang w:val="en-US"/>
        </w:rPr>
        <w:alias w:val="Keywords"/>
        <w:id w:val="-1400442376"/>
        <w:dataBinding w:prefixMappings="xmlns:ns0='http://purl.org/dc/elements/1.1/' xmlns:ns1='http://schemas.openxmlformats.org/package/2006/metadata/core-properties' " w:xpath="/ns1:coreProperties[1]/ns1:keywords[1]" w:storeItemID="{6C3C8BC8-F283-45AE-878A-BAB7291924A1}"/>
        <w:text/>
      </w:sdtPr>
      <w:sdtContent>
        <w:r w:rsidR="00B9192C">
          <w:rPr>
            <w:color w:val="auto"/>
            <w:sz w:val="18"/>
            <w:szCs w:val="18"/>
            <w:lang w:val="en-US"/>
          </w:rPr>
          <w:t>1.0</w:t>
        </w:r>
      </w:sdtContent>
    </w:sdt>
    <w:r w:rsidR="006851B3" w:rsidRPr="00654E6E">
      <w:rPr>
        <w:color w:val="auto"/>
        <w:sz w:val="18"/>
        <w:szCs w:val="18"/>
        <w:lang w:val="en-US"/>
      </w:rPr>
      <w:t xml:space="preserve"> </w:t>
    </w:r>
    <w:r w:rsidR="006851B3" w:rsidRPr="00654E6E">
      <w:rPr>
        <w:color w:val="auto"/>
        <w:sz w:val="18"/>
        <w:szCs w:val="18"/>
        <w:lang w:val="en-US"/>
      </w:rPr>
      <w:tab/>
      <w:t xml:space="preserve">Page </w:t>
    </w:r>
    <w:r w:rsidR="006851B3" w:rsidRPr="00654E6E">
      <w:rPr>
        <w:color w:val="auto"/>
        <w:sz w:val="18"/>
        <w:szCs w:val="18"/>
        <w:lang w:val="en-US"/>
      </w:rPr>
      <w:fldChar w:fldCharType="begin"/>
    </w:r>
    <w:r w:rsidR="006851B3" w:rsidRPr="00654E6E">
      <w:rPr>
        <w:color w:val="auto"/>
        <w:sz w:val="18"/>
        <w:szCs w:val="18"/>
        <w:lang w:val="en-US"/>
      </w:rPr>
      <w:instrText xml:space="preserve"> PAGE   \* MERGEFORMAT </w:instrText>
    </w:r>
    <w:r w:rsidR="006851B3" w:rsidRPr="00654E6E">
      <w:rPr>
        <w:color w:val="auto"/>
        <w:sz w:val="18"/>
        <w:szCs w:val="18"/>
        <w:lang w:val="en-US"/>
      </w:rPr>
      <w:fldChar w:fldCharType="separate"/>
    </w:r>
    <w:r w:rsidR="006851B3">
      <w:rPr>
        <w:color w:val="auto"/>
        <w:sz w:val="18"/>
        <w:szCs w:val="18"/>
        <w:lang w:val="en-US"/>
      </w:rPr>
      <w:t>3</w:t>
    </w:r>
    <w:r w:rsidR="006851B3" w:rsidRPr="00654E6E">
      <w:rPr>
        <w:noProof/>
        <w:color w:val="auto"/>
        <w:sz w:val="18"/>
        <w:szCs w:val="18"/>
        <w:lang w:val="en-US"/>
      </w:rPr>
      <w:fldChar w:fldCharType="end"/>
    </w:r>
    <w:r w:rsidR="006851B3" w:rsidRPr="00654E6E">
      <w:rPr>
        <w:noProof/>
        <w:color w:val="auto"/>
        <w:sz w:val="18"/>
        <w:szCs w:val="18"/>
        <w:lang w:val="en-US"/>
      </w:rPr>
      <w:t xml:space="preserve"> of </w:t>
    </w:r>
    <w:r w:rsidR="006851B3" w:rsidRPr="00654E6E">
      <w:rPr>
        <w:noProof/>
        <w:color w:val="auto"/>
        <w:sz w:val="18"/>
        <w:szCs w:val="18"/>
        <w:lang w:val="en-US"/>
      </w:rPr>
      <w:fldChar w:fldCharType="begin"/>
    </w:r>
    <w:r w:rsidR="006851B3" w:rsidRPr="00654E6E">
      <w:rPr>
        <w:noProof/>
        <w:color w:val="auto"/>
        <w:sz w:val="18"/>
        <w:szCs w:val="18"/>
        <w:lang w:val="en-US"/>
      </w:rPr>
      <w:instrText xml:space="preserve"> NUMPAGES   \* MERGEFORMAT </w:instrText>
    </w:r>
    <w:r w:rsidR="006851B3" w:rsidRPr="00654E6E">
      <w:rPr>
        <w:noProof/>
        <w:color w:val="auto"/>
        <w:sz w:val="18"/>
        <w:szCs w:val="18"/>
        <w:lang w:val="en-US"/>
      </w:rPr>
      <w:fldChar w:fldCharType="separate"/>
    </w:r>
    <w:r w:rsidR="006851B3">
      <w:rPr>
        <w:noProof/>
        <w:color w:val="auto"/>
        <w:sz w:val="18"/>
        <w:szCs w:val="18"/>
        <w:lang w:val="en-US"/>
      </w:rPr>
      <w:t>9</w:t>
    </w:r>
    <w:r w:rsidR="006851B3"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8F5F6" w14:textId="77777777" w:rsidR="00D117F7" w:rsidRPr="00EF7FF3" w:rsidRDefault="00D117F7" w:rsidP="005912BE">
      <w:pPr>
        <w:spacing w:before="300"/>
        <w:rPr>
          <w:color w:val="081E3E" w:themeColor="text2"/>
        </w:rPr>
      </w:pPr>
      <w:r w:rsidRPr="00EF7FF3">
        <w:rPr>
          <w:color w:val="081E3E" w:themeColor="text2"/>
        </w:rPr>
        <w:t>----------</w:t>
      </w:r>
    </w:p>
  </w:footnote>
  <w:footnote w:type="continuationSeparator" w:id="0">
    <w:p w14:paraId="33D8CFC0" w14:textId="77777777" w:rsidR="00D117F7" w:rsidRDefault="00D117F7" w:rsidP="008456D5">
      <w:pPr>
        <w:spacing w:before="0" w:after="0"/>
      </w:pPr>
      <w:r>
        <w:continuationSeparator/>
      </w:r>
    </w:p>
  </w:footnote>
  <w:footnote w:type="continuationNotice" w:id="1">
    <w:p w14:paraId="59CACBFD" w14:textId="77777777" w:rsidR="00D117F7" w:rsidRDefault="00D117F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32E6" w14:textId="50347152" w:rsidR="00180B5B" w:rsidRDefault="00F165AB" w:rsidP="00180B5B">
    <w:pPr>
      <w:pStyle w:val="Header"/>
      <w:spacing w:after="1320"/>
      <w:jc w:val="left"/>
    </w:pPr>
    <w:r>
      <w:rPr>
        <w:noProof/>
      </w:rPr>
      <mc:AlternateContent>
        <mc:Choice Requires="wps">
          <w:drawing>
            <wp:anchor distT="0" distB="0" distL="0" distR="0" simplePos="0" relativeHeight="251659264" behindDoc="0" locked="0" layoutInCell="1" allowOverlap="1" wp14:anchorId="5FA3B702" wp14:editId="2D0CA5E7">
              <wp:simplePos x="635" y="635"/>
              <wp:positionH relativeFrom="page">
                <wp:align>center</wp:align>
              </wp:positionH>
              <wp:positionV relativeFrom="page">
                <wp:align>top</wp:align>
              </wp:positionV>
              <wp:extent cx="643255" cy="509270"/>
              <wp:effectExtent l="0" t="0" r="4445" b="5080"/>
              <wp:wrapNone/>
              <wp:docPr id="5564638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53F545BC"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A3B702" id="_x0000_t202" coordsize="21600,21600" o:spt="202" path="m,l,21600r21600,l21600,xe">
              <v:stroke joinstyle="miter"/>
              <v:path gradientshapeok="t" o:connecttype="rect"/>
            </v:shapetype>
            <v:shape id="Text Box 2" o:spid="_x0000_s1026" type="#_x0000_t202" alt="OFFICIAL" style="position:absolute;margin-left:0;margin-top:0;width:50.65pt;height:40.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" filled="f" stroked="f">
              <v:textbox style="mso-fit-shape-to-text:t" inset="0,15pt,0,0">
                <w:txbxContent>
                  <w:p w14:paraId="53F545BC"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r w:rsidR="00BE198C">
      <w:fldChar w:fldCharType="begin"/>
    </w:r>
    <w:r w:rsidR="00BE198C">
      <w:instrText xml:space="preserve"> STYLEREF  "Heading 1" \l  \* MERGEFORMAT </w:instrText>
    </w:r>
    <w:r w:rsidR="00BE198C">
      <w:fldChar w:fldCharType="separate"/>
    </w:r>
    <w:r w:rsidR="00B9192C">
      <w:rPr>
        <w:noProof/>
      </w:rPr>
      <w:t>Heading 1</w:t>
    </w:r>
    <w:r w:rsidR="00BE198C">
      <w:rPr>
        <w:noProof/>
      </w:rPr>
      <w:fldChar w:fldCharType="end"/>
    </w:r>
  </w:p>
  <w:p w14:paraId="4351862F" w14:textId="77777777" w:rsidR="00C15F0D" w:rsidRDefault="00C15F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906E" w14:textId="22025C95" w:rsidR="002229F7" w:rsidRDefault="00F165AB" w:rsidP="001D659E">
    <w:pPr>
      <w:pStyle w:val="SecurityMarker"/>
    </w:pPr>
    <w:r>
      <w:rPr>
        <w:noProof/>
        <w:shd w:val="clear" w:color="auto" w:fill="auto"/>
      </w:rPr>
      <mc:AlternateContent>
        <mc:Choice Requires="wps">
          <w:drawing>
            <wp:anchor distT="0" distB="0" distL="0" distR="0" simplePos="0" relativeHeight="251660288" behindDoc="0" locked="0" layoutInCell="1" allowOverlap="1" wp14:anchorId="7D593377" wp14:editId="7FAC8301">
              <wp:simplePos x="647700" y="215900"/>
              <wp:positionH relativeFrom="page">
                <wp:align>center</wp:align>
              </wp:positionH>
              <wp:positionV relativeFrom="page">
                <wp:align>top</wp:align>
              </wp:positionV>
              <wp:extent cx="643255" cy="509270"/>
              <wp:effectExtent l="0" t="0" r="4445" b="5080"/>
              <wp:wrapNone/>
              <wp:docPr id="184677159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0BD15AD6"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593377"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40.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" filled="f" stroked="f">
              <v:textbox style="mso-fit-shape-to-text:t" inset="0,15pt,0,0">
                <w:txbxContent>
                  <w:p w14:paraId="0BD15AD6"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95B5" w14:textId="19499305" w:rsidR="00D2335F" w:rsidRDefault="00F165AB" w:rsidP="00D2335F">
    <w:pPr>
      <w:framePr w:w="11907" w:h="3062" w:wrap="around" w:vAnchor="page" w:hAnchor="page" w:x="12" w:yAlign="top" w:anchorLock="1"/>
      <w:spacing w:before="0" w:after="400"/>
    </w:pPr>
    <w:bookmarkStart w:id="23" w:name="_Hlk148680551"/>
    <w:bookmarkStart w:id="24" w:name="_Hlk168414111"/>
    <w:bookmarkStart w:id="25" w:name="_Hlk168414112"/>
    <w:r>
      <w:rPr>
        <w:noProof/>
      </w:rPr>
      <mc:AlternateContent>
        <mc:Choice Requires="wps">
          <w:drawing>
            <wp:anchor distT="0" distB="0" distL="0" distR="0" simplePos="0" relativeHeight="251658240" behindDoc="0" locked="0" layoutInCell="1" allowOverlap="1" wp14:anchorId="3398D7E5" wp14:editId="41043A7A">
              <wp:simplePos x="6350" y="0"/>
              <wp:positionH relativeFrom="page">
                <wp:align>center</wp:align>
              </wp:positionH>
              <wp:positionV relativeFrom="page">
                <wp:align>top</wp:align>
              </wp:positionV>
              <wp:extent cx="643255" cy="509270"/>
              <wp:effectExtent l="0" t="0" r="4445" b="5080"/>
              <wp:wrapNone/>
              <wp:docPr id="8348372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22234607"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98D7E5" id="_x0000_t202" coordsize="21600,21600" o:spt="202" path="m,l,21600r21600,l21600,xe">
              <v:stroke joinstyle="miter"/>
              <v:path gradientshapeok="t" o:connecttype="rect"/>
            </v:shapetype>
            <v:shape id="Text Box 1" o:spid="_x0000_s1031" type="#_x0000_t202" alt="OFFICIAL" style="position:absolute;margin-left:0;margin-top:0;width:50.65pt;height:40.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1VKDgIAABw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" filled="f" stroked="f">
              <v:textbox style="mso-fit-shape-to-text:t" inset="0,15pt,0,0">
                <w:txbxContent>
                  <w:p w14:paraId="22234607" w14:textId="77777777" w:rsidR="00F165AB" w:rsidRPr="00F165AB" w:rsidRDefault="00F165AB" w:rsidP="00F165AB">
                    <w:pPr>
                      <w:spacing w:after="0"/>
                      <w:rPr>
                        <w:rFonts w:ascii="Calibri" w:eastAsia="Calibri" w:hAnsi="Calibri" w:cs="Calibri"/>
                        <w:noProof/>
                        <w:color w:val="FF0000"/>
                        <w:sz w:val="28"/>
                        <w:szCs w:val="28"/>
                      </w:rPr>
                    </w:pPr>
                    <w:r w:rsidRPr="00F165AB">
                      <w:rPr>
                        <w:rFonts w:ascii="Calibri" w:eastAsia="Calibri" w:hAnsi="Calibri" w:cs="Calibri"/>
                        <w:noProof/>
                        <w:color w:val="FF0000"/>
                        <w:sz w:val="28"/>
                        <w:szCs w:val="28"/>
                      </w:rPr>
                      <w:t>OFFICIAL</w:t>
                    </w:r>
                  </w:p>
                </w:txbxContent>
              </v:textbox>
              <w10:wrap anchorx="page" anchory="page"/>
            </v:shape>
          </w:pict>
        </mc:Fallback>
      </mc:AlternateContent>
    </w:r>
    <w:r w:rsidR="00D2335F">
      <w:rPr>
        <w:noProof/>
      </w:rPr>
      <w:drawing>
        <wp:inline distT="0" distB="0" distL="0" distR="0" wp14:anchorId="617FF0D6" wp14:editId="0447306A">
          <wp:extent cx="7553115" cy="19431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3115" cy="1943100"/>
                  </a:xfrm>
                  <a:prstGeom prst="rect">
                    <a:avLst/>
                  </a:prstGeom>
                  <a:noFill/>
                  <a:ln>
                    <a:noFill/>
                  </a:ln>
                </pic:spPr>
              </pic:pic>
            </a:graphicData>
          </a:graphic>
        </wp:inline>
      </w:drawing>
    </w:r>
  </w:p>
  <w:bookmarkEnd w:id="23"/>
  <w:bookmarkEnd w:id="24"/>
  <w:bookmarkEnd w:id="25"/>
  <w:p w14:paraId="206F36D8" w14:textId="77777777" w:rsidR="008E5BFD" w:rsidRDefault="008E5BFD" w:rsidP="008E5BFD">
    <w:pPr>
      <w:framePr w:w="6521" w:h="1134" w:hSpace="181" w:wrap="around" w:vAnchor="page" w:hAnchor="page" w:x="1022" w:y="852" w:anchorLock="1"/>
      <w:spacing w:after="0"/>
      <w:rPr>
        <w:noProof/>
      </w:rPr>
    </w:pPr>
    <w:r>
      <w:rPr>
        <w:noProof/>
      </w:rPr>
      <w:drawing>
        <wp:inline distT="0" distB="0" distL="0" distR="0" wp14:anchorId="3F3D1AED" wp14:editId="263EC047">
          <wp:extent cx="4068000" cy="669600"/>
          <wp:effectExtent l="0" t="0" r="0" b="0"/>
          <wp:docPr id="5" name="Picture 5"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068000" cy="669600"/>
                  </a:xfrm>
                  <a:prstGeom prst="rect">
                    <a:avLst/>
                  </a:prstGeom>
                  <a:noFill/>
                  <a:ln>
                    <a:noFill/>
                  </a:ln>
                </pic:spPr>
              </pic:pic>
            </a:graphicData>
          </a:graphic>
        </wp:inline>
      </w:drawing>
    </w:r>
  </w:p>
  <w:p w14:paraId="6597BA22" w14:textId="77777777" w:rsidR="00D2335F" w:rsidRPr="0069753D" w:rsidRDefault="00D2335F"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A51938"/>
    <w:multiLevelType w:val="multilevel"/>
    <w:tmpl w:val="298C34E4"/>
    <w:numStyleLink w:val="AppendixNumbers"/>
  </w:abstractNum>
  <w:abstractNum w:abstractNumId="14"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450436246">
    <w:abstractNumId w:val="9"/>
  </w:num>
  <w:num w:numId="2" w16cid:durableId="2078165653">
    <w:abstractNumId w:val="7"/>
  </w:num>
  <w:num w:numId="3" w16cid:durableId="800878982">
    <w:abstractNumId w:val="6"/>
  </w:num>
  <w:num w:numId="4" w16cid:durableId="644822072">
    <w:abstractNumId w:val="5"/>
  </w:num>
  <w:num w:numId="5" w16cid:durableId="288897540">
    <w:abstractNumId w:val="4"/>
  </w:num>
  <w:num w:numId="6" w16cid:durableId="947926379">
    <w:abstractNumId w:val="8"/>
  </w:num>
  <w:num w:numId="7" w16cid:durableId="267391186">
    <w:abstractNumId w:val="3"/>
  </w:num>
  <w:num w:numId="8" w16cid:durableId="1993634140">
    <w:abstractNumId w:val="2"/>
  </w:num>
  <w:num w:numId="9" w16cid:durableId="1407266416">
    <w:abstractNumId w:val="1"/>
  </w:num>
  <w:num w:numId="10" w16cid:durableId="1380284240">
    <w:abstractNumId w:val="0"/>
  </w:num>
  <w:num w:numId="11" w16cid:durableId="2066877615">
    <w:abstractNumId w:val="15"/>
  </w:num>
  <w:num w:numId="12" w16cid:durableId="20425903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3994709">
    <w:abstractNumId w:val="19"/>
  </w:num>
  <w:num w:numId="14" w16cid:durableId="9620824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7099767">
    <w:abstractNumId w:val="10"/>
  </w:num>
  <w:num w:numId="16" w16cid:durableId="2369429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684581">
    <w:abstractNumId w:val="14"/>
  </w:num>
  <w:num w:numId="18" w16cid:durableId="1760252099">
    <w:abstractNumId w:val="11"/>
  </w:num>
  <w:num w:numId="19" w16cid:durableId="1302153699">
    <w:abstractNumId w:val="12"/>
  </w:num>
  <w:num w:numId="20" w16cid:durableId="1238440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2112062">
    <w:abstractNumId w:val="13"/>
  </w:num>
  <w:num w:numId="22" w16cid:durableId="1068919232">
    <w:abstractNumId w:val="17"/>
  </w:num>
  <w:num w:numId="23" w16cid:durableId="6528768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9161918">
    <w:abstractNumId w:val="18"/>
  </w:num>
  <w:num w:numId="25" w16cid:durableId="1721705235">
    <w:abstractNumId w:val="18"/>
  </w:num>
  <w:num w:numId="26" w16cid:durableId="431438350">
    <w:abstractNumId w:val="18"/>
  </w:num>
  <w:num w:numId="27" w16cid:durableId="1056465425">
    <w:abstractNumId w:val="18"/>
  </w:num>
  <w:num w:numId="28" w16cid:durableId="1452671370">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98602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2C"/>
    <w:rsid w:val="0001430B"/>
    <w:rsid w:val="00024E97"/>
    <w:rsid w:val="000341E0"/>
    <w:rsid w:val="00060354"/>
    <w:rsid w:val="00062740"/>
    <w:rsid w:val="00067445"/>
    <w:rsid w:val="00072740"/>
    <w:rsid w:val="0009564F"/>
    <w:rsid w:val="000B08D1"/>
    <w:rsid w:val="000D6C73"/>
    <w:rsid w:val="000E24BA"/>
    <w:rsid w:val="000E5674"/>
    <w:rsid w:val="000E6A71"/>
    <w:rsid w:val="000E7E9F"/>
    <w:rsid w:val="0010321D"/>
    <w:rsid w:val="001109C3"/>
    <w:rsid w:val="001349C6"/>
    <w:rsid w:val="00140888"/>
    <w:rsid w:val="001606C9"/>
    <w:rsid w:val="001653B4"/>
    <w:rsid w:val="00171CE1"/>
    <w:rsid w:val="00180B5B"/>
    <w:rsid w:val="001D659E"/>
    <w:rsid w:val="001E1D59"/>
    <w:rsid w:val="00203702"/>
    <w:rsid w:val="002179CC"/>
    <w:rsid w:val="00222611"/>
    <w:rsid w:val="002229F7"/>
    <w:rsid w:val="00224BE3"/>
    <w:rsid w:val="002254D5"/>
    <w:rsid w:val="0022611D"/>
    <w:rsid w:val="00234E65"/>
    <w:rsid w:val="0026422D"/>
    <w:rsid w:val="00266955"/>
    <w:rsid w:val="002773D1"/>
    <w:rsid w:val="00284164"/>
    <w:rsid w:val="002959FB"/>
    <w:rsid w:val="002B3569"/>
    <w:rsid w:val="002B7197"/>
    <w:rsid w:val="002D233D"/>
    <w:rsid w:val="002E1ADA"/>
    <w:rsid w:val="002F7111"/>
    <w:rsid w:val="0036295D"/>
    <w:rsid w:val="003720E9"/>
    <w:rsid w:val="00372DCC"/>
    <w:rsid w:val="0038444F"/>
    <w:rsid w:val="003C625A"/>
    <w:rsid w:val="003E16B6"/>
    <w:rsid w:val="003F1371"/>
    <w:rsid w:val="003F775D"/>
    <w:rsid w:val="0041732F"/>
    <w:rsid w:val="00420F04"/>
    <w:rsid w:val="00427326"/>
    <w:rsid w:val="00430511"/>
    <w:rsid w:val="00436294"/>
    <w:rsid w:val="00450D0E"/>
    <w:rsid w:val="00454FED"/>
    <w:rsid w:val="00477E77"/>
    <w:rsid w:val="0048292A"/>
    <w:rsid w:val="00483596"/>
    <w:rsid w:val="0049153B"/>
    <w:rsid w:val="004A4EB9"/>
    <w:rsid w:val="004C3600"/>
    <w:rsid w:val="004E1EB0"/>
    <w:rsid w:val="004F77AA"/>
    <w:rsid w:val="00526674"/>
    <w:rsid w:val="00526CD7"/>
    <w:rsid w:val="00541213"/>
    <w:rsid w:val="00546218"/>
    <w:rsid w:val="005653A9"/>
    <w:rsid w:val="0057419C"/>
    <w:rsid w:val="00580E6C"/>
    <w:rsid w:val="00582A04"/>
    <w:rsid w:val="005853B3"/>
    <w:rsid w:val="005874E7"/>
    <w:rsid w:val="005912BE"/>
    <w:rsid w:val="005B25B3"/>
    <w:rsid w:val="005D50BC"/>
    <w:rsid w:val="005F794B"/>
    <w:rsid w:val="00611CC1"/>
    <w:rsid w:val="006335BA"/>
    <w:rsid w:val="006851B3"/>
    <w:rsid w:val="00686A7B"/>
    <w:rsid w:val="006A0F8A"/>
    <w:rsid w:val="006A266A"/>
    <w:rsid w:val="006B1647"/>
    <w:rsid w:val="006E1ECA"/>
    <w:rsid w:val="006E2A0E"/>
    <w:rsid w:val="006F42E5"/>
    <w:rsid w:val="007A05BE"/>
    <w:rsid w:val="007A0CD1"/>
    <w:rsid w:val="007D7CD4"/>
    <w:rsid w:val="007E40AE"/>
    <w:rsid w:val="0080482C"/>
    <w:rsid w:val="008067A1"/>
    <w:rsid w:val="00823E03"/>
    <w:rsid w:val="00833543"/>
    <w:rsid w:val="00835773"/>
    <w:rsid w:val="00840953"/>
    <w:rsid w:val="008456D5"/>
    <w:rsid w:val="0084634B"/>
    <w:rsid w:val="008500E4"/>
    <w:rsid w:val="00884E68"/>
    <w:rsid w:val="008A1887"/>
    <w:rsid w:val="008A3E38"/>
    <w:rsid w:val="008B3901"/>
    <w:rsid w:val="008B6A81"/>
    <w:rsid w:val="008E2A0D"/>
    <w:rsid w:val="008E5BFD"/>
    <w:rsid w:val="00901ABB"/>
    <w:rsid w:val="00924CF8"/>
    <w:rsid w:val="00946BCD"/>
    <w:rsid w:val="00981F9A"/>
    <w:rsid w:val="009909EC"/>
    <w:rsid w:val="0099647D"/>
    <w:rsid w:val="00996B8C"/>
    <w:rsid w:val="009B00F2"/>
    <w:rsid w:val="009D6C76"/>
    <w:rsid w:val="009E7E52"/>
    <w:rsid w:val="00A070A2"/>
    <w:rsid w:val="00A103B6"/>
    <w:rsid w:val="00A146EE"/>
    <w:rsid w:val="00A55479"/>
    <w:rsid w:val="00A70111"/>
    <w:rsid w:val="00A84ADF"/>
    <w:rsid w:val="00A95970"/>
    <w:rsid w:val="00AB3238"/>
    <w:rsid w:val="00AB7ECE"/>
    <w:rsid w:val="00AC4537"/>
    <w:rsid w:val="00AD4EF7"/>
    <w:rsid w:val="00AD7703"/>
    <w:rsid w:val="00AE1A3E"/>
    <w:rsid w:val="00AE4F99"/>
    <w:rsid w:val="00B0484D"/>
    <w:rsid w:val="00B42AC2"/>
    <w:rsid w:val="00B666D4"/>
    <w:rsid w:val="00B800E2"/>
    <w:rsid w:val="00B9192C"/>
    <w:rsid w:val="00B9430D"/>
    <w:rsid w:val="00BB266D"/>
    <w:rsid w:val="00BB3AAC"/>
    <w:rsid w:val="00BB68A9"/>
    <w:rsid w:val="00BE1394"/>
    <w:rsid w:val="00BE198C"/>
    <w:rsid w:val="00BE3AD8"/>
    <w:rsid w:val="00BE5DEC"/>
    <w:rsid w:val="00BF19D6"/>
    <w:rsid w:val="00C0455C"/>
    <w:rsid w:val="00C10346"/>
    <w:rsid w:val="00C15F0D"/>
    <w:rsid w:val="00C27C02"/>
    <w:rsid w:val="00C5653D"/>
    <w:rsid w:val="00C57766"/>
    <w:rsid w:val="00C60146"/>
    <w:rsid w:val="00C76D5B"/>
    <w:rsid w:val="00CD233E"/>
    <w:rsid w:val="00CD6739"/>
    <w:rsid w:val="00CF6CFD"/>
    <w:rsid w:val="00CF763F"/>
    <w:rsid w:val="00CF78A5"/>
    <w:rsid w:val="00D02062"/>
    <w:rsid w:val="00D117F7"/>
    <w:rsid w:val="00D23311"/>
    <w:rsid w:val="00D2335F"/>
    <w:rsid w:val="00D26896"/>
    <w:rsid w:val="00D3125C"/>
    <w:rsid w:val="00D56075"/>
    <w:rsid w:val="00D5655E"/>
    <w:rsid w:val="00D566F0"/>
    <w:rsid w:val="00D62C1B"/>
    <w:rsid w:val="00D67DEB"/>
    <w:rsid w:val="00D71E3A"/>
    <w:rsid w:val="00D93AEC"/>
    <w:rsid w:val="00D96BC0"/>
    <w:rsid w:val="00DA6576"/>
    <w:rsid w:val="00DD09C2"/>
    <w:rsid w:val="00DD73BD"/>
    <w:rsid w:val="00DE4362"/>
    <w:rsid w:val="00DE4FE2"/>
    <w:rsid w:val="00DF2CB0"/>
    <w:rsid w:val="00E00CD9"/>
    <w:rsid w:val="00E04908"/>
    <w:rsid w:val="00E16D1E"/>
    <w:rsid w:val="00E2218A"/>
    <w:rsid w:val="00E26A00"/>
    <w:rsid w:val="00E30EB4"/>
    <w:rsid w:val="00E365ED"/>
    <w:rsid w:val="00E446F7"/>
    <w:rsid w:val="00E51F03"/>
    <w:rsid w:val="00E5444D"/>
    <w:rsid w:val="00E55BB2"/>
    <w:rsid w:val="00E70F26"/>
    <w:rsid w:val="00E77C9C"/>
    <w:rsid w:val="00E800D9"/>
    <w:rsid w:val="00E94FDD"/>
    <w:rsid w:val="00E95BA5"/>
    <w:rsid w:val="00EF7FF3"/>
    <w:rsid w:val="00F11869"/>
    <w:rsid w:val="00F1428D"/>
    <w:rsid w:val="00F165AB"/>
    <w:rsid w:val="00F22CC5"/>
    <w:rsid w:val="00F472C5"/>
    <w:rsid w:val="00F67CDB"/>
    <w:rsid w:val="00FB5D36"/>
    <w:rsid w:val="00FC32B2"/>
    <w:rsid w:val="00FC3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5D00C"/>
  <w15:chartTrackingRefBased/>
  <w15:docId w15:val="{60B993BA-E9F1-4F1D-9CF9-89B5BF17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2773D1"/>
    <w:pPr>
      <w:keepNext/>
      <w:keepLines/>
      <w:spacing w:before="480" w:after="160"/>
      <w:contextualSpacing/>
      <w:outlineLvl w:val="0"/>
    </w:pPr>
    <w:rPr>
      <w:rFonts w:asciiTheme="majorHAnsi" w:eastAsiaTheme="majorEastAsia" w:hAnsiTheme="majorHAnsi" w:cstheme="majorBidi"/>
      <w:color w:val="081E3F"/>
      <w:sz w:val="44"/>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2773D1"/>
    <w:rPr>
      <w:rFonts w:asciiTheme="majorHAnsi" w:eastAsiaTheme="majorEastAsia" w:hAnsiTheme="majorHAnsi" w:cstheme="majorBidi"/>
      <w:color w:val="081E3F"/>
      <w:sz w:val="44"/>
      <w:szCs w:val="32"/>
    </w:rPr>
  </w:style>
  <w:style w:type="character" w:customStyle="1" w:styleId="Heading2Char">
    <w:name w:val="Heading 2 Char"/>
    <w:basedOn w:val="DefaultParagraphFont"/>
    <w:link w:val="Heading2"/>
    <w:uiPriority w:val="9"/>
    <w:rsid w:val="002773D1"/>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9"/>
    <w:qFormat/>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unhideWhenUsed/>
    <w:rsid w:val="00140888"/>
    <w:rPr>
      <w:sz w:val="20"/>
      <w:szCs w:val="20"/>
    </w:rPr>
  </w:style>
  <w:style w:type="character" w:customStyle="1" w:styleId="CommentTextChar">
    <w:name w:val="Comment Text Char"/>
    <w:basedOn w:val="DefaultParagraphFont"/>
    <w:link w:val="CommentText"/>
    <w:uiPriority w:val="99"/>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basedOn w:val="Normal"/>
    <w:uiPriority w:val="99"/>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 w:type="paragraph" w:styleId="Revision">
    <w:name w:val="Revision"/>
    <w:hidden/>
    <w:uiPriority w:val="99"/>
    <w:semiHidden/>
    <w:rsid w:val="00B9192C"/>
    <w:pPr>
      <w:spacing w:before="0" w:after="0"/>
    </w:pPr>
  </w:style>
  <w:style w:type="paragraph" w:styleId="BodyText">
    <w:name w:val="Body Text"/>
    <w:basedOn w:val="Normal"/>
    <w:link w:val="BodyTextChar"/>
    <w:uiPriority w:val="1"/>
    <w:qFormat/>
    <w:rsid w:val="00F22CC5"/>
    <w:pPr>
      <w:suppressAutoHyphens w:val="0"/>
      <w:ind w:left="169"/>
    </w:pPr>
    <w:rPr>
      <w:rFonts w:ascii="Calibri" w:eastAsia="Calibri" w:hAnsi="Calibri" w:cs="Calibri"/>
      <w:color w:val="auto"/>
      <w:sz w:val="20"/>
      <w:szCs w:val="20"/>
    </w:rPr>
  </w:style>
  <w:style w:type="character" w:customStyle="1" w:styleId="BodyTextChar">
    <w:name w:val="Body Text Char"/>
    <w:basedOn w:val="DefaultParagraphFont"/>
    <w:link w:val="BodyText"/>
    <w:uiPriority w:val="1"/>
    <w:rsid w:val="00F22CC5"/>
    <w:rPr>
      <w:rFonts w:ascii="Calibri" w:eastAsia="Calibri" w:hAnsi="Calibri" w:cs="Calibri"/>
      <w:color w:val="auto"/>
      <w:sz w:val="20"/>
      <w:szCs w:val="20"/>
    </w:rPr>
  </w:style>
  <w:style w:type="paragraph" w:customStyle="1" w:styleId="TableParagraph">
    <w:name w:val="Table Paragraph"/>
    <w:basedOn w:val="Normal"/>
    <w:uiPriority w:val="1"/>
    <w:qFormat/>
    <w:rsid w:val="00F22CC5"/>
    <w:pPr>
      <w:suppressAutoHyphens w:val="0"/>
      <w:spacing w:before="80"/>
      <w:ind w:left="122"/>
    </w:pPr>
    <w:rPr>
      <w:rFonts w:ascii="Calibri" w:eastAsia="Calibri" w:hAnsi="Calibri" w:cs="Calibri"/>
      <w:color w:val="auto"/>
    </w:rPr>
  </w:style>
  <w:style w:type="table" w:styleId="GridTable4-Accent1">
    <w:name w:val="Grid Table 4 Accent 1"/>
    <w:basedOn w:val="TableNormal"/>
    <w:uiPriority w:val="49"/>
    <w:rsid w:val="00F22CC5"/>
    <w:rPr>
      <w:color w:val="auto"/>
      <w:lang w:val="en-US"/>
    </w:rPr>
    <w:tblPr>
      <w:tblStyleRowBandSize w:val="1"/>
      <w:tblStyleColBandSize w:val="1"/>
      <w:tblBorders>
        <w:top w:val="single" w:sz="4" w:space="0" w:color="1C68D9" w:themeColor="accent1" w:themeTint="99"/>
        <w:left w:val="single" w:sz="4" w:space="0" w:color="1C68D9" w:themeColor="accent1" w:themeTint="99"/>
        <w:bottom w:val="single" w:sz="4" w:space="0" w:color="1C68D9" w:themeColor="accent1" w:themeTint="99"/>
        <w:right w:val="single" w:sz="4" w:space="0" w:color="1C68D9" w:themeColor="accent1" w:themeTint="99"/>
        <w:insideH w:val="single" w:sz="4" w:space="0" w:color="1C68D9" w:themeColor="accent1" w:themeTint="99"/>
        <w:insideV w:val="single" w:sz="4" w:space="0" w:color="1C68D9" w:themeColor="accent1" w:themeTint="99"/>
      </w:tblBorders>
    </w:tblPr>
    <w:tblStylePr w:type="firstRow">
      <w:rPr>
        <w:b/>
        <w:bCs/>
        <w:color w:val="FFFFFF" w:themeColor="background1"/>
      </w:rPr>
      <w:tblPr/>
      <w:tcPr>
        <w:tcBorders>
          <w:top w:val="single" w:sz="4" w:space="0" w:color="081E3E" w:themeColor="accent1"/>
          <w:left w:val="single" w:sz="4" w:space="0" w:color="081E3E" w:themeColor="accent1"/>
          <w:bottom w:val="single" w:sz="4" w:space="0" w:color="081E3E" w:themeColor="accent1"/>
          <w:right w:val="single" w:sz="4" w:space="0" w:color="081E3E" w:themeColor="accent1"/>
          <w:insideH w:val="nil"/>
          <w:insideV w:val="nil"/>
        </w:tcBorders>
        <w:shd w:val="clear" w:color="auto" w:fill="081E3E" w:themeFill="accent1"/>
      </w:tcPr>
    </w:tblStylePr>
    <w:tblStylePr w:type="lastRow">
      <w:rPr>
        <w:b/>
        <w:bCs/>
      </w:rPr>
      <w:tblPr/>
      <w:tcPr>
        <w:tcBorders>
          <w:top w:val="double" w:sz="4" w:space="0" w:color="081E3E" w:themeColor="accent1"/>
        </w:tcBorders>
      </w:tcPr>
    </w:tblStylePr>
    <w:tblStylePr w:type="firstCol">
      <w:rPr>
        <w:b/>
        <w:bCs/>
      </w:rPr>
    </w:tblStylePr>
    <w:tblStylePr w:type="lastCol">
      <w:rPr>
        <w:b/>
        <w:bCs/>
      </w:rPr>
    </w:tblStylePr>
    <w:tblStylePr w:type="band1Vert">
      <w:tblPr/>
      <w:tcPr>
        <w:shd w:val="clear" w:color="auto" w:fill="B1CCF5" w:themeFill="accent1" w:themeFillTint="33"/>
      </w:tcPr>
    </w:tblStylePr>
    <w:tblStylePr w:type="band1Horz">
      <w:tblPr/>
      <w:tcPr>
        <w:shd w:val="clear" w:color="auto" w:fill="B1CCF5" w:themeFill="accent1" w:themeFillTint="33"/>
      </w:tcPr>
    </w:tblStylePr>
  </w:style>
  <w:style w:type="character" w:styleId="FollowedHyperlink">
    <w:name w:val="FollowedHyperlink"/>
    <w:basedOn w:val="DefaultParagraphFont"/>
    <w:uiPriority w:val="99"/>
    <w:semiHidden/>
    <w:unhideWhenUsed/>
    <w:rsid w:val="00AB7ECE"/>
    <w:rPr>
      <w:color w:val="0046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nfrastructure.gov.au/infrastructure-transport-vehicles/vehicles/road-vehicle-standards-laws/guides-and-resources/rvs-legislation-glossary-ter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frastructure.gov.au/vehicles/rvs/rvs_glossary_of_term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infrastructure.gov.au/vehicles/rvs/rvs_glossary_of_terms.asp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nfrastructure.gov.au/vehicles/rvs/rvs_glossary_of_terms.aspx"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infrastructure.sharepoint.com/sites/SiteProvisioningHub/OfficeTemplates/Standard%20Templates/Standard%20portrait%20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503D445A0A435AB3ABE10FD9599121"/>
        <w:category>
          <w:name w:val="General"/>
          <w:gallery w:val="placeholder"/>
        </w:category>
        <w:types>
          <w:type w:val="bbPlcHdr"/>
        </w:types>
        <w:behaviors>
          <w:behavior w:val="content"/>
        </w:behaviors>
        <w:guid w:val="{E3EB54A2-0AB9-45A4-995A-8DB3452D556D}"/>
      </w:docPartPr>
      <w:docPartBody>
        <w:p w:rsidR="00000000" w:rsidRDefault="00000000">
          <w:pPr>
            <w:pStyle w:val="D3503D445A0A435AB3ABE10FD9599121"/>
          </w:pPr>
          <w:r w:rsidRPr="00EC51DD">
            <w:rPr>
              <w:rStyle w:val="PlaceholderText"/>
            </w:rPr>
            <w:t>[Title]</w:t>
          </w:r>
        </w:p>
      </w:docPartBody>
    </w:docPart>
    <w:docPart>
      <w:docPartPr>
        <w:name w:val="BB9CA3FBA3244F68A4297D96CDFF633C"/>
        <w:category>
          <w:name w:val="General"/>
          <w:gallery w:val="placeholder"/>
        </w:category>
        <w:types>
          <w:type w:val="bbPlcHdr"/>
        </w:types>
        <w:behaviors>
          <w:behavior w:val="content"/>
        </w:behaviors>
        <w:guid w:val="{ED0F0053-81D3-4A9C-88E2-B04196696B15}"/>
      </w:docPartPr>
      <w:docPartBody>
        <w:p w:rsidR="00000000" w:rsidRDefault="00000000">
          <w:pPr>
            <w:pStyle w:val="BB9CA3FBA3244F68A4297D96CDFF633C"/>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68"/>
    <w:rsid w:val="005874E7"/>
    <w:rsid w:val="00FF7C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503D445A0A435AB3ABE10FD9599121">
    <w:name w:val="D3503D445A0A435AB3ABE10FD9599121"/>
  </w:style>
  <w:style w:type="paragraph" w:customStyle="1" w:styleId="BB9CA3FBA3244F68A4297D96CDFF633C">
    <w:name w:val="BB9CA3FBA3244F68A4297D96CDFF6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2026-06-15T00:00:00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178BB23CE0D479AE3579596D187BC" ma:contentTypeVersion="3" ma:contentTypeDescription="Create a new document." ma:contentTypeScope="" ma:versionID="12fa38767850f959d4d0b153b027612a">
  <xsd:schema xmlns:xsd="http://www.w3.org/2001/XMLSchema" xmlns:xs="http://www.w3.org/2001/XMLSchema" xmlns:p="http://schemas.microsoft.com/office/2006/metadata/properties" xmlns:ns2="1f55c1b0-4536-4b56-92e3-f3188c9812f4" targetNamespace="http://schemas.microsoft.com/office/2006/metadata/properties" ma:root="true" ma:fieldsID="7a7cbf191d42e022e0a3729aaa415fbb" ns2:_="">
    <xsd:import namespace="1f55c1b0-4536-4b56-92e3-f3188c9812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5c1b0-4536-4b56-92e3-f3188c981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821D3B-E0E4-44C1-AD70-03812F2CF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5c1b0-4536-4b56-92e3-f3188c981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34073-C99B-40D0-8069-4F167C17FF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667960-4BDF-4423-9CB0-6F55EE6B127A}">
  <ds:schemaRefs>
    <ds:schemaRef ds:uri="http://schemas.openxmlformats.org/officeDocument/2006/bibliography"/>
  </ds:schemaRefs>
</ds:datastoreItem>
</file>

<file path=customXml/itemProps5.xml><?xml version="1.0" encoding="utf-8"?>
<ds:datastoreItem xmlns:ds="http://schemas.openxmlformats.org/officeDocument/2006/customXml" ds:itemID="{4EE72961-E5FF-4F43-9532-FD7B95D4870F}">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Standard%20portrait%20A4.dotx</Template>
  <TotalTime>198</TotalTime>
  <Pages>8</Pages>
  <Words>3076</Words>
  <Characters>16461</Characters>
  <Application>Microsoft Office Word</Application>
  <DocSecurity>0</DocSecurity>
  <Lines>382</Lines>
  <Paragraphs>320</Paragraphs>
  <ScaleCrop>false</ScaleCrop>
  <HeadingPairs>
    <vt:vector size="2" baseType="variant">
      <vt:variant>
        <vt:lpstr>Title</vt:lpstr>
      </vt:variant>
      <vt:variant>
        <vt:i4>1</vt:i4>
      </vt:variant>
    </vt:vector>
  </HeadingPairs>
  <TitlesOfParts>
    <vt:vector size="1" baseType="lpstr">
      <vt:lpstr>Road vehicle regulatory approach</vt:lpstr>
    </vt:vector>
  </TitlesOfParts>
  <Company>Department of Infrastructure &amp; Regional Development</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vehicle regulatory approach</dc:title>
  <dc:subject/>
  <dc:creator/>
  <cp:keywords>1.0</cp:keywords>
  <dc:description/>
  <cp:lastModifiedBy>White, Lindsey</cp:lastModifiedBy>
  <cp:revision>7</cp:revision>
  <dcterms:created xsi:type="dcterms:W3CDTF">2026-06-15T01:25:00Z</dcterms:created>
  <dcterms:modified xsi:type="dcterms:W3CDTF">2026-06-15T04:51:00Z</dcterms:modified>
  <cp:category>June 2026</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0x010100BB9178BB23CE0D479AE3579596D187BC</vt:lpwstr>
  </property>
  <property fmtid="{D5CDD505-2E9C-101B-9397-08002B2CF9AE}" pid="3" name="ClassificationContentMarkingHeaderShapeIds">
    <vt:lpwstr>31c29b13,212af70f,6e137f8b</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ClassificationContentMarkingFooterShapeIds">
    <vt:lpwstr>16b29e1e,63fd04e8,1e0b643e</vt:lpwstr>
  </property>
  <property fmtid="{D5CDD505-2E9C-101B-9397-08002B2CF9AE}" pid="7" name="ClassificationContentMarkingFooterFontProps">
    <vt:lpwstr>#ff0000,14,Calibri</vt:lpwstr>
  </property>
  <property fmtid="{D5CDD505-2E9C-101B-9397-08002B2CF9AE}" pid="8" name="ClassificationContentMarkingFooterText">
    <vt:lpwstr>OFFICIAL</vt:lpwstr>
  </property>
</Properties>
</file>