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B031B" w14:textId="77777777" w:rsidR="00D731F0" w:rsidRPr="000D61D6" w:rsidRDefault="00183465" w:rsidP="00D731F0">
      <w:pPr>
        <w:jc w:val="center"/>
      </w:pPr>
      <w:bookmarkStart w:id="0" w:name="_GoBack"/>
      <w:bookmarkEnd w:id="0"/>
      <w:r w:rsidRPr="000D61D6">
        <w:rPr>
          <w:noProof/>
          <w:lang w:eastAsia="en-AU"/>
        </w:rPr>
        <w:drawing>
          <wp:inline distT="0" distB="0" distL="0" distR="0" wp14:anchorId="1833F7DE" wp14:editId="1CB8BCB8">
            <wp:extent cx="2333625" cy="1297459"/>
            <wp:effectExtent l="0" t="0" r="0" b="0"/>
            <wp:docPr id="1" name="Picture 1" descr="Logo: 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ustralian Government Crest"/>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343549" cy="1302977"/>
                    </a:xfrm>
                    <a:prstGeom prst="rect">
                      <a:avLst/>
                    </a:prstGeom>
                    <a:noFill/>
                    <a:ln>
                      <a:noFill/>
                    </a:ln>
                  </pic:spPr>
                </pic:pic>
              </a:graphicData>
            </a:graphic>
          </wp:inline>
        </w:drawing>
      </w:r>
    </w:p>
    <w:p w14:paraId="7D43240E" w14:textId="5C8F71E2" w:rsidR="00D731F0" w:rsidRPr="000D61D6" w:rsidRDefault="00183465" w:rsidP="5D7F67FF">
      <w:pPr>
        <w:pStyle w:val="reporttitle"/>
        <w:spacing w:before="3000" w:after="1080"/>
        <w:rPr>
          <w:sz w:val="48"/>
          <w:szCs w:val="48"/>
        </w:rPr>
      </w:pPr>
      <w:r w:rsidRPr="000D61D6">
        <w:rPr>
          <w:sz w:val="48"/>
          <w:szCs w:val="48"/>
        </w:rPr>
        <w:t xml:space="preserve">Australian Government response to the </w:t>
      </w:r>
      <w:r w:rsidR="0076765A" w:rsidRPr="000D61D6">
        <w:br/>
      </w:r>
      <w:r w:rsidRPr="000D61D6">
        <w:rPr>
          <w:sz w:val="48"/>
          <w:szCs w:val="48"/>
        </w:rPr>
        <w:t>2021 Regional Telecommunications Independent Committee report</w:t>
      </w:r>
    </w:p>
    <w:p w14:paraId="13CB3A07" w14:textId="77777777" w:rsidR="003B4C32" w:rsidRDefault="00183465" w:rsidP="004645CA">
      <w:pPr>
        <w:pStyle w:val="reporttitle"/>
        <w:spacing w:after="480"/>
      </w:pPr>
      <w:r w:rsidRPr="000D61D6">
        <w:t>2021 Regional Telecommunications Review: A step change in demand</w:t>
      </w:r>
    </w:p>
    <w:p w14:paraId="767DEBA4" w14:textId="77777777" w:rsidR="004645CA" w:rsidRDefault="004645CA" w:rsidP="004645CA">
      <w:pPr>
        <w:pStyle w:val="reporttitle"/>
        <w:spacing w:after="240"/>
      </w:pPr>
    </w:p>
    <w:p w14:paraId="57C5EF42" w14:textId="043B26BC" w:rsidR="004645CA" w:rsidRPr="000D61D6" w:rsidRDefault="000A4FCC" w:rsidP="004645CA">
      <w:pPr>
        <w:pStyle w:val="reporttitle"/>
        <w:spacing w:after="240"/>
      </w:pPr>
      <w:r w:rsidRPr="00400D8A">
        <w:t>30</w:t>
      </w:r>
      <w:r w:rsidR="005E6490">
        <w:t xml:space="preserve"> March</w:t>
      </w:r>
      <w:r w:rsidR="00183465">
        <w:t xml:space="preserve"> 2022</w:t>
      </w:r>
    </w:p>
    <w:p w14:paraId="5F789A68" w14:textId="77777777" w:rsidR="003B4C32" w:rsidRPr="000D61D6" w:rsidRDefault="00183465" w:rsidP="00D731F0">
      <w:pPr>
        <w:spacing w:after="160"/>
        <w:jc w:val="center"/>
      </w:pPr>
      <w:r w:rsidRPr="000D61D6">
        <w:br w:type="page"/>
      </w:r>
      <w:r w:rsidR="5D7F67FF" w:rsidRPr="000D61D6">
        <w:lastRenderedPageBreak/>
        <w:t>(This page is left intentionally blank.)</w:t>
      </w:r>
    </w:p>
    <w:p w14:paraId="30C8630C" w14:textId="77777777" w:rsidR="00F46081" w:rsidRPr="000D61D6" w:rsidRDefault="00183465" w:rsidP="00231145">
      <w:pPr>
        <w:spacing w:after="160"/>
      </w:pPr>
      <w:r w:rsidRPr="000D61D6">
        <w:br w:type="page"/>
      </w:r>
    </w:p>
    <w:sdt>
      <w:sdtPr>
        <w:rPr>
          <w:rFonts w:asciiTheme="minorHAnsi" w:eastAsiaTheme="minorEastAsia" w:hAnsiTheme="minorHAnsi" w:cstheme="minorBidi"/>
          <w:color w:val="auto"/>
          <w:sz w:val="22"/>
          <w:szCs w:val="22"/>
          <w:lang w:val="en-AU" w:eastAsia="zh-TW"/>
        </w:rPr>
        <w:id w:val="-941380264"/>
        <w:docPartObj>
          <w:docPartGallery w:val="Table of Contents"/>
          <w:docPartUnique/>
        </w:docPartObj>
      </w:sdtPr>
      <w:sdtEndPr>
        <w:rPr>
          <w:b/>
          <w:bCs/>
          <w:noProof/>
        </w:rPr>
      </w:sdtEndPr>
      <w:sdtContent>
        <w:p w14:paraId="128C7FFB" w14:textId="77777777" w:rsidR="00C57D14" w:rsidRPr="000D61D6" w:rsidRDefault="00183465" w:rsidP="00231145">
          <w:pPr>
            <w:pStyle w:val="TOCHeading"/>
            <w:spacing w:line="240" w:lineRule="auto"/>
          </w:pPr>
          <w:r w:rsidRPr="000D61D6">
            <w:t>Contents</w:t>
          </w:r>
        </w:p>
        <w:p w14:paraId="3BFA48D8" w14:textId="7DECE9B6" w:rsidR="00A43BB8" w:rsidRDefault="00183465">
          <w:pPr>
            <w:pStyle w:val="TOC2"/>
            <w:tabs>
              <w:tab w:val="right" w:leader="dot" w:pos="9016"/>
            </w:tabs>
            <w:rPr>
              <w:noProof/>
              <w:lang w:eastAsia="en-AU"/>
            </w:rPr>
          </w:pPr>
          <w:r w:rsidRPr="000D61D6">
            <w:fldChar w:fldCharType="begin"/>
          </w:r>
          <w:r w:rsidRPr="000D61D6">
            <w:instrText xml:space="preserve"> TOC \o "1-3" \h \z \u </w:instrText>
          </w:r>
          <w:r w:rsidRPr="000D61D6">
            <w:fldChar w:fldCharType="separate"/>
          </w:r>
          <w:hyperlink w:anchor="_Toc98519187" w:history="1">
            <w:r w:rsidR="00A43BB8" w:rsidRPr="006C5BD3">
              <w:rPr>
                <w:rStyle w:val="Hyperlink"/>
                <w:noProof/>
              </w:rPr>
              <w:t>Message from Minister McKenzie</w:t>
            </w:r>
            <w:r w:rsidR="00A43BB8">
              <w:rPr>
                <w:noProof/>
                <w:webHidden/>
              </w:rPr>
              <w:tab/>
            </w:r>
            <w:r w:rsidR="00A43BB8">
              <w:rPr>
                <w:noProof/>
                <w:webHidden/>
              </w:rPr>
              <w:fldChar w:fldCharType="begin"/>
            </w:r>
            <w:r w:rsidR="00A43BB8">
              <w:rPr>
                <w:noProof/>
                <w:webHidden/>
              </w:rPr>
              <w:instrText xml:space="preserve"> PAGEREF _Toc98519187 \h </w:instrText>
            </w:r>
            <w:r w:rsidR="00A43BB8">
              <w:rPr>
                <w:noProof/>
                <w:webHidden/>
              </w:rPr>
            </w:r>
            <w:r w:rsidR="00A43BB8">
              <w:rPr>
                <w:noProof/>
                <w:webHidden/>
              </w:rPr>
              <w:fldChar w:fldCharType="separate"/>
            </w:r>
            <w:r w:rsidR="005B535D">
              <w:rPr>
                <w:noProof/>
                <w:webHidden/>
              </w:rPr>
              <w:t>4</w:t>
            </w:r>
            <w:r w:rsidR="00A43BB8">
              <w:rPr>
                <w:noProof/>
                <w:webHidden/>
              </w:rPr>
              <w:fldChar w:fldCharType="end"/>
            </w:r>
          </w:hyperlink>
        </w:p>
        <w:p w14:paraId="0BC96A6D" w14:textId="04CEF24B" w:rsidR="00A43BB8" w:rsidRDefault="00027BDB">
          <w:pPr>
            <w:pStyle w:val="TOC2"/>
            <w:tabs>
              <w:tab w:val="right" w:leader="dot" w:pos="9016"/>
            </w:tabs>
            <w:rPr>
              <w:noProof/>
              <w:lang w:eastAsia="en-AU"/>
            </w:rPr>
          </w:pPr>
          <w:hyperlink w:anchor="_Toc98519188" w:history="1">
            <w:r w:rsidR="00A43BB8" w:rsidRPr="006C5BD3">
              <w:rPr>
                <w:rStyle w:val="Hyperlink"/>
                <w:noProof/>
              </w:rPr>
              <w:t>Overview of the 2021 Hartsuyker Review</w:t>
            </w:r>
            <w:r w:rsidR="00A43BB8">
              <w:rPr>
                <w:noProof/>
                <w:webHidden/>
              </w:rPr>
              <w:tab/>
            </w:r>
            <w:r w:rsidR="00A43BB8">
              <w:rPr>
                <w:noProof/>
                <w:webHidden/>
              </w:rPr>
              <w:fldChar w:fldCharType="begin"/>
            </w:r>
            <w:r w:rsidR="00A43BB8">
              <w:rPr>
                <w:noProof/>
                <w:webHidden/>
              </w:rPr>
              <w:instrText xml:space="preserve"> PAGEREF _Toc98519188 \h </w:instrText>
            </w:r>
            <w:r w:rsidR="00A43BB8">
              <w:rPr>
                <w:noProof/>
                <w:webHidden/>
              </w:rPr>
            </w:r>
            <w:r w:rsidR="00A43BB8">
              <w:rPr>
                <w:noProof/>
                <w:webHidden/>
              </w:rPr>
              <w:fldChar w:fldCharType="separate"/>
            </w:r>
            <w:r w:rsidR="005B535D">
              <w:rPr>
                <w:noProof/>
                <w:webHidden/>
              </w:rPr>
              <w:t>5</w:t>
            </w:r>
            <w:r w:rsidR="00A43BB8">
              <w:rPr>
                <w:noProof/>
                <w:webHidden/>
              </w:rPr>
              <w:fldChar w:fldCharType="end"/>
            </w:r>
          </w:hyperlink>
        </w:p>
        <w:p w14:paraId="490496E9" w14:textId="1231CE70" w:rsidR="00A43BB8" w:rsidRDefault="00027BDB">
          <w:pPr>
            <w:pStyle w:val="TOC2"/>
            <w:tabs>
              <w:tab w:val="right" w:leader="dot" w:pos="9016"/>
            </w:tabs>
            <w:rPr>
              <w:noProof/>
              <w:lang w:eastAsia="en-AU"/>
            </w:rPr>
          </w:pPr>
          <w:hyperlink w:anchor="_Toc98519189" w:history="1">
            <w:r w:rsidR="00A43BB8" w:rsidRPr="006C5BD3">
              <w:rPr>
                <w:rStyle w:val="Hyperlink"/>
                <w:noProof/>
              </w:rPr>
              <w:t>Australian Government response</w:t>
            </w:r>
            <w:r w:rsidR="00A43BB8">
              <w:rPr>
                <w:noProof/>
                <w:webHidden/>
              </w:rPr>
              <w:tab/>
            </w:r>
            <w:r w:rsidR="00A43BB8">
              <w:rPr>
                <w:noProof/>
                <w:webHidden/>
              </w:rPr>
              <w:fldChar w:fldCharType="begin"/>
            </w:r>
            <w:r w:rsidR="00A43BB8">
              <w:rPr>
                <w:noProof/>
                <w:webHidden/>
              </w:rPr>
              <w:instrText xml:space="preserve"> PAGEREF _Toc98519189 \h </w:instrText>
            </w:r>
            <w:r w:rsidR="00A43BB8">
              <w:rPr>
                <w:noProof/>
                <w:webHidden/>
              </w:rPr>
            </w:r>
            <w:r w:rsidR="00A43BB8">
              <w:rPr>
                <w:noProof/>
                <w:webHidden/>
              </w:rPr>
              <w:fldChar w:fldCharType="separate"/>
            </w:r>
            <w:r w:rsidR="005B535D">
              <w:rPr>
                <w:noProof/>
                <w:webHidden/>
              </w:rPr>
              <w:t>6</w:t>
            </w:r>
            <w:r w:rsidR="00A43BB8">
              <w:rPr>
                <w:noProof/>
                <w:webHidden/>
              </w:rPr>
              <w:fldChar w:fldCharType="end"/>
            </w:r>
          </w:hyperlink>
        </w:p>
        <w:p w14:paraId="501E5524" w14:textId="155F0710" w:rsidR="00A43BB8" w:rsidRDefault="00027BDB">
          <w:pPr>
            <w:pStyle w:val="TOC3"/>
            <w:rPr>
              <w:noProof/>
              <w:lang w:eastAsia="en-AU"/>
            </w:rPr>
          </w:pPr>
          <w:hyperlink w:anchor="_Toc98519190" w:history="1">
            <w:r w:rsidR="00A43BB8" w:rsidRPr="006C5BD3">
              <w:rPr>
                <w:rStyle w:val="Hyperlink"/>
                <w:noProof/>
              </w:rPr>
              <w:t>Recommendation 1 - Longer term approach to regional communications infrastructure and digital skills:</w:t>
            </w:r>
            <w:r w:rsidR="00A43BB8">
              <w:rPr>
                <w:noProof/>
                <w:webHidden/>
              </w:rPr>
              <w:tab/>
            </w:r>
            <w:r w:rsidR="00A43BB8">
              <w:rPr>
                <w:noProof/>
                <w:webHidden/>
              </w:rPr>
              <w:fldChar w:fldCharType="begin"/>
            </w:r>
            <w:r w:rsidR="00A43BB8">
              <w:rPr>
                <w:noProof/>
                <w:webHidden/>
              </w:rPr>
              <w:instrText xml:space="preserve"> PAGEREF _Toc98519190 \h </w:instrText>
            </w:r>
            <w:r w:rsidR="00A43BB8">
              <w:rPr>
                <w:noProof/>
                <w:webHidden/>
              </w:rPr>
            </w:r>
            <w:r w:rsidR="00A43BB8">
              <w:rPr>
                <w:noProof/>
                <w:webHidden/>
              </w:rPr>
              <w:fldChar w:fldCharType="separate"/>
            </w:r>
            <w:r w:rsidR="005B535D">
              <w:rPr>
                <w:noProof/>
                <w:webHidden/>
              </w:rPr>
              <w:t>8</w:t>
            </w:r>
            <w:r w:rsidR="00A43BB8">
              <w:rPr>
                <w:noProof/>
                <w:webHidden/>
              </w:rPr>
              <w:fldChar w:fldCharType="end"/>
            </w:r>
          </w:hyperlink>
        </w:p>
        <w:p w14:paraId="36B52084" w14:textId="569E5637" w:rsidR="00A43BB8" w:rsidRDefault="00027BDB">
          <w:pPr>
            <w:pStyle w:val="TOC3"/>
            <w:rPr>
              <w:noProof/>
              <w:lang w:eastAsia="en-AU"/>
            </w:rPr>
          </w:pPr>
          <w:hyperlink w:anchor="_Toc98519191" w:history="1">
            <w:r w:rsidR="00A43BB8" w:rsidRPr="006C5BD3">
              <w:rPr>
                <w:rStyle w:val="Hyperlink"/>
                <w:noProof/>
              </w:rPr>
              <w:t>Recommendation 2 - Enhanced connectivity investments:</w:t>
            </w:r>
            <w:r w:rsidR="00A43BB8">
              <w:rPr>
                <w:noProof/>
                <w:webHidden/>
              </w:rPr>
              <w:tab/>
            </w:r>
            <w:r w:rsidR="00A43BB8">
              <w:rPr>
                <w:noProof/>
                <w:webHidden/>
              </w:rPr>
              <w:fldChar w:fldCharType="begin"/>
            </w:r>
            <w:r w:rsidR="00A43BB8">
              <w:rPr>
                <w:noProof/>
                <w:webHidden/>
              </w:rPr>
              <w:instrText xml:space="preserve"> PAGEREF _Toc98519191 \h </w:instrText>
            </w:r>
            <w:r w:rsidR="00A43BB8">
              <w:rPr>
                <w:noProof/>
                <w:webHidden/>
              </w:rPr>
            </w:r>
            <w:r w:rsidR="00A43BB8">
              <w:rPr>
                <w:noProof/>
                <w:webHidden/>
              </w:rPr>
              <w:fldChar w:fldCharType="separate"/>
            </w:r>
            <w:r w:rsidR="005B535D">
              <w:rPr>
                <w:noProof/>
                <w:webHidden/>
              </w:rPr>
              <w:t>9</w:t>
            </w:r>
            <w:r w:rsidR="00A43BB8">
              <w:rPr>
                <w:noProof/>
                <w:webHidden/>
              </w:rPr>
              <w:fldChar w:fldCharType="end"/>
            </w:r>
          </w:hyperlink>
        </w:p>
        <w:p w14:paraId="5DAD4B02" w14:textId="293C7ADA" w:rsidR="00A43BB8" w:rsidRDefault="00027BDB">
          <w:pPr>
            <w:pStyle w:val="TOC3"/>
            <w:rPr>
              <w:noProof/>
              <w:lang w:eastAsia="en-AU"/>
            </w:rPr>
          </w:pPr>
          <w:hyperlink w:anchor="_Toc98519192" w:history="1">
            <w:r w:rsidR="00A43BB8" w:rsidRPr="006C5BD3">
              <w:rPr>
                <w:rStyle w:val="Hyperlink"/>
                <w:noProof/>
              </w:rPr>
              <w:t>Recommendation 3 - Regional telecommunications resilience:</w:t>
            </w:r>
            <w:r w:rsidR="00A43BB8">
              <w:rPr>
                <w:noProof/>
                <w:webHidden/>
              </w:rPr>
              <w:tab/>
            </w:r>
            <w:r w:rsidR="00A43BB8">
              <w:rPr>
                <w:noProof/>
                <w:webHidden/>
              </w:rPr>
              <w:fldChar w:fldCharType="begin"/>
            </w:r>
            <w:r w:rsidR="00A43BB8">
              <w:rPr>
                <w:noProof/>
                <w:webHidden/>
              </w:rPr>
              <w:instrText xml:space="preserve"> PAGEREF _Toc98519192 \h </w:instrText>
            </w:r>
            <w:r w:rsidR="00A43BB8">
              <w:rPr>
                <w:noProof/>
                <w:webHidden/>
              </w:rPr>
            </w:r>
            <w:r w:rsidR="00A43BB8">
              <w:rPr>
                <w:noProof/>
                <w:webHidden/>
              </w:rPr>
              <w:fldChar w:fldCharType="separate"/>
            </w:r>
            <w:r w:rsidR="005B535D">
              <w:rPr>
                <w:noProof/>
                <w:webHidden/>
              </w:rPr>
              <w:t>10</w:t>
            </w:r>
            <w:r w:rsidR="00A43BB8">
              <w:rPr>
                <w:noProof/>
                <w:webHidden/>
              </w:rPr>
              <w:fldChar w:fldCharType="end"/>
            </w:r>
          </w:hyperlink>
        </w:p>
        <w:p w14:paraId="5C236A82" w14:textId="490B8421" w:rsidR="00A43BB8" w:rsidRDefault="00027BDB">
          <w:pPr>
            <w:pStyle w:val="TOC3"/>
            <w:rPr>
              <w:noProof/>
              <w:lang w:eastAsia="en-AU"/>
            </w:rPr>
          </w:pPr>
          <w:hyperlink w:anchor="_Toc98519193" w:history="1">
            <w:r w:rsidR="00A43BB8" w:rsidRPr="006C5BD3">
              <w:rPr>
                <w:rStyle w:val="Hyperlink"/>
                <w:noProof/>
              </w:rPr>
              <w:t>Recommendation 4 - Emerging technology trial:</w:t>
            </w:r>
            <w:r w:rsidR="00A43BB8">
              <w:rPr>
                <w:noProof/>
                <w:webHidden/>
              </w:rPr>
              <w:tab/>
            </w:r>
            <w:r w:rsidR="00A43BB8">
              <w:rPr>
                <w:noProof/>
                <w:webHidden/>
              </w:rPr>
              <w:fldChar w:fldCharType="begin"/>
            </w:r>
            <w:r w:rsidR="00A43BB8">
              <w:rPr>
                <w:noProof/>
                <w:webHidden/>
              </w:rPr>
              <w:instrText xml:space="preserve"> PAGEREF _Toc98519193 \h </w:instrText>
            </w:r>
            <w:r w:rsidR="00A43BB8">
              <w:rPr>
                <w:noProof/>
                <w:webHidden/>
              </w:rPr>
            </w:r>
            <w:r w:rsidR="00A43BB8">
              <w:rPr>
                <w:noProof/>
                <w:webHidden/>
              </w:rPr>
              <w:fldChar w:fldCharType="separate"/>
            </w:r>
            <w:r w:rsidR="005B535D">
              <w:rPr>
                <w:noProof/>
                <w:webHidden/>
              </w:rPr>
              <w:t>10</w:t>
            </w:r>
            <w:r w:rsidR="00A43BB8">
              <w:rPr>
                <w:noProof/>
                <w:webHidden/>
              </w:rPr>
              <w:fldChar w:fldCharType="end"/>
            </w:r>
          </w:hyperlink>
        </w:p>
        <w:p w14:paraId="55B9F4D0" w14:textId="6E0CD99D" w:rsidR="00A43BB8" w:rsidRDefault="00027BDB">
          <w:pPr>
            <w:pStyle w:val="TOC3"/>
            <w:rPr>
              <w:noProof/>
              <w:lang w:eastAsia="en-AU"/>
            </w:rPr>
          </w:pPr>
          <w:hyperlink w:anchor="_Toc98519194" w:history="1">
            <w:r w:rsidR="00A43BB8" w:rsidRPr="006C5BD3">
              <w:rPr>
                <w:rStyle w:val="Hyperlink"/>
                <w:noProof/>
              </w:rPr>
              <w:t>Recommendation 5 - Connectivity literacy:</w:t>
            </w:r>
            <w:r w:rsidR="00A43BB8">
              <w:rPr>
                <w:noProof/>
                <w:webHidden/>
              </w:rPr>
              <w:tab/>
            </w:r>
            <w:r w:rsidR="00A43BB8">
              <w:rPr>
                <w:noProof/>
                <w:webHidden/>
              </w:rPr>
              <w:fldChar w:fldCharType="begin"/>
            </w:r>
            <w:r w:rsidR="00A43BB8">
              <w:rPr>
                <w:noProof/>
                <w:webHidden/>
              </w:rPr>
              <w:instrText xml:space="preserve"> PAGEREF _Toc98519194 \h </w:instrText>
            </w:r>
            <w:r w:rsidR="00A43BB8">
              <w:rPr>
                <w:noProof/>
                <w:webHidden/>
              </w:rPr>
            </w:r>
            <w:r w:rsidR="00A43BB8">
              <w:rPr>
                <w:noProof/>
                <w:webHidden/>
              </w:rPr>
              <w:fldChar w:fldCharType="separate"/>
            </w:r>
            <w:r w:rsidR="005B535D">
              <w:rPr>
                <w:noProof/>
                <w:webHidden/>
              </w:rPr>
              <w:t>11</w:t>
            </w:r>
            <w:r w:rsidR="00A43BB8">
              <w:rPr>
                <w:noProof/>
                <w:webHidden/>
              </w:rPr>
              <w:fldChar w:fldCharType="end"/>
            </w:r>
          </w:hyperlink>
        </w:p>
        <w:p w14:paraId="59F1A581" w14:textId="2AF04D1A" w:rsidR="00A43BB8" w:rsidRDefault="00027BDB">
          <w:pPr>
            <w:pStyle w:val="TOC3"/>
            <w:rPr>
              <w:noProof/>
              <w:lang w:eastAsia="en-AU"/>
            </w:rPr>
          </w:pPr>
          <w:hyperlink w:anchor="_Toc98519195" w:history="1">
            <w:r w:rsidR="00A43BB8" w:rsidRPr="006C5BD3">
              <w:rPr>
                <w:rStyle w:val="Hyperlink"/>
                <w:noProof/>
              </w:rPr>
              <w:t>Recommendation 6 - NBN Co regional delivery:</w:t>
            </w:r>
            <w:r w:rsidR="00A43BB8">
              <w:rPr>
                <w:noProof/>
                <w:webHidden/>
              </w:rPr>
              <w:tab/>
            </w:r>
            <w:r w:rsidR="00A43BB8">
              <w:rPr>
                <w:noProof/>
                <w:webHidden/>
              </w:rPr>
              <w:fldChar w:fldCharType="begin"/>
            </w:r>
            <w:r w:rsidR="00A43BB8">
              <w:rPr>
                <w:noProof/>
                <w:webHidden/>
              </w:rPr>
              <w:instrText xml:space="preserve"> PAGEREF _Toc98519195 \h </w:instrText>
            </w:r>
            <w:r w:rsidR="00A43BB8">
              <w:rPr>
                <w:noProof/>
                <w:webHidden/>
              </w:rPr>
            </w:r>
            <w:r w:rsidR="00A43BB8">
              <w:rPr>
                <w:noProof/>
                <w:webHidden/>
              </w:rPr>
              <w:fldChar w:fldCharType="separate"/>
            </w:r>
            <w:r w:rsidR="005B535D">
              <w:rPr>
                <w:noProof/>
                <w:webHidden/>
              </w:rPr>
              <w:t>12</w:t>
            </w:r>
            <w:r w:rsidR="00A43BB8">
              <w:rPr>
                <w:noProof/>
                <w:webHidden/>
              </w:rPr>
              <w:fldChar w:fldCharType="end"/>
            </w:r>
          </w:hyperlink>
        </w:p>
        <w:p w14:paraId="26672CD1" w14:textId="7F5756D3" w:rsidR="00A43BB8" w:rsidRDefault="00027BDB">
          <w:pPr>
            <w:pStyle w:val="TOC3"/>
            <w:rPr>
              <w:noProof/>
              <w:lang w:eastAsia="en-AU"/>
            </w:rPr>
          </w:pPr>
          <w:hyperlink w:anchor="_Toc98519196" w:history="1">
            <w:r w:rsidR="00A43BB8" w:rsidRPr="006C5BD3">
              <w:rPr>
                <w:rStyle w:val="Hyperlink"/>
                <w:noProof/>
              </w:rPr>
              <w:t>Recommendation 7 - Network performance and reliability:</w:t>
            </w:r>
            <w:r w:rsidR="00A43BB8">
              <w:rPr>
                <w:noProof/>
                <w:webHidden/>
              </w:rPr>
              <w:tab/>
            </w:r>
            <w:r w:rsidR="00A43BB8">
              <w:rPr>
                <w:noProof/>
                <w:webHidden/>
              </w:rPr>
              <w:fldChar w:fldCharType="begin"/>
            </w:r>
            <w:r w:rsidR="00A43BB8">
              <w:rPr>
                <w:noProof/>
                <w:webHidden/>
              </w:rPr>
              <w:instrText xml:space="preserve"> PAGEREF _Toc98519196 \h </w:instrText>
            </w:r>
            <w:r w:rsidR="00A43BB8">
              <w:rPr>
                <w:noProof/>
                <w:webHidden/>
              </w:rPr>
            </w:r>
            <w:r w:rsidR="00A43BB8">
              <w:rPr>
                <w:noProof/>
                <w:webHidden/>
              </w:rPr>
              <w:fldChar w:fldCharType="separate"/>
            </w:r>
            <w:r w:rsidR="005B535D">
              <w:rPr>
                <w:noProof/>
                <w:webHidden/>
              </w:rPr>
              <w:t>13</w:t>
            </w:r>
            <w:r w:rsidR="00A43BB8">
              <w:rPr>
                <w:noProof/>
                <w:webHidden/>
              </w:rPr>
              <w:fldChar w:fldCharType="end"/>
            </w:r>
          </w:hyperlink>
        </w:p>
        <w:p w14:paraId="5F2F176E" w14:textId="3B070260" w:rsidR="00A43BB8" w:rsidRDefault="00027BDB">
          <w:pPr>
            <w:pStyle w:val="TOC3"/>
            <w:rPr>
              <w:noProof/>
              <w:lang w:eastAsia="en-AU"/>
            </w:rPr>
          </w:pPr>
          <w:hyperlink w:anchor="_Toc98519197" w:history="1">
            <w:r w:rsidR="00A43BB8" w:rsidRPr="006C5BD3">
              <w:rPr>
                <w:rStyle w:val="Hyperlink"/>
                <w:noProof/>
              </w:rPr>
              <w:t>Recommendation 8 - Adequacy of USO/USG:</w:t>
            </w:r>
            <w:r w:rsidR="00A43BB8">
              <w:rPr>
                <w:noProof/>
                <w:webHidden/>
              </w:rPr>
              <w:tab/>
            </w:r>
            <w:r w:rsidR="00A43BB8">
              <w:rPr>
                <w:noProof/>
                <w:webHidden/>
              </w:rPr>
              <w:fldChar w:fldCharType="begin"/>
            </w:r>
            <w:r w:rsidR="00A43BB8">
              <w:rPr>
                <w:noProof/>
                <w:webHidden/>
              </w:rPr>
              <w:instrText xml:space="preserve"> PAGEREF _Toc98519197 \h </w:instrText>
            </w:r>
            <w:r w:rsidR="00A43BB8">
              <w:rPr>
                <w:noProof/>
                <w:webHidden/>
              </w:rPr>
            </w:r>
            <w:r w:rsidR="00A43BB8">
              <w:rPr>
                <w:noProof/>
                <w:webHidden/>
              </w:rPr>
              <w:fldChar w:fldCharType="separate"/>
            </w:r>
            <w:r w:rsidR="005B535D">
              <w:rPr>
                <w:noProof/>
                <w:webHidden/>
              </w:rPr>
              <w:t>13</w:t>
            </w:r>
            <w:r w:rsidR="00A43BB8">
              <w:rPr>
                <w:noProof/>
                <w:webHidden/>
              </w:rPr>
              <w:fldChar w:fldCharType="end"/>
            </w:r>
          </w:hyperlink>
        </w:p>
        <w:p w14:paraId="2CA2B812" w14:textId="7EA5620B" w:rsidR="00A43BB8" w:rsidRDefault="00027BDB">
          <w:pPr>
            <w:pStyle w:val="TOC3"/>
            <w:rPr>
              <w:noProof/>
              <w:lang w:eastAsia="en-AU"/>
            </w:rPr>
          </w:pPr>
          <w:hyperlink w:anchor="_Toc98519198" w:history="1">
            <w:r w:rsidR="00A43BB8" w:rsidRPr="006C5BD3">
              <w:rPr>
                <w:rStyle w:val="Hyperlink"/>
                <w:noProof/>
              </w:rPr>
              <w:t>Recommendation 9 - Mobile services:</w:t>
            </w:r>
            <w:r w:rsidR="00A43BB8">
              <w:rPr>
                <w:noProof/>
                <w:webHidden/>
              </w:rPr>
              <w:tab/>
            </w:r>
            <w:r w:rsidR="00A43BB8">
              <w:rPr>
                <w:noProof/>
                <w:webHidden/>
              </w:rPr>
              <w:fldChar w:fldCharType="begin"/>
            </w:r>
            <w:r w:rsidR="00A43BB8">
              <w:rPr>
                <w:noProof/>
                <w:webHidden/>
              </w:rPr>
              <w:instrText xml:space="preserve"> PAGEREF _Toc98519198 \h </w:instrText>
            </w:r>
            <w:r w:rsidR="00A43BB8">
              <w:rPr>
                <w:noProof/>
                <w:webHidden/>
              </w:rPr>
            </w:r>
            <w:r w:rsidR="00A43BB8">
              <w:rPr>
                <w:noProof/>
                <w:webHidden/>
              </w:rPr>
              <w:fldChar w:fldCharType="separate"/>
            </w:r>
            <w:r w:rsidR="005B535D">
              <w:rPr>
                <w:noProof/>
                <w:webHidden/>
              </w:rPr>
              <w:t>14</w:t>
            </w:r>
            <w:r w:rsidR="00A43BB8">
              <w:rPr>
                <w:noProof/>
                <w:webHidden/>
              </w:rPr>
              <w:fldChar w:fldCharType="end"/>
            </w:r>
          </w:hyperlink>
        </w:p>
        <w:p w14:paraId="797C4D99" w14:textId="402839C4" w:rsidR="00A43BB8" w:rsidRDefault="00027BDB">
          <w:pPr>
            <w:pStyle w:val="TOC3"/>
            <w:rPr>
              <w:noProof/>
              <w:lang w:eastAsia="en-AU"/>
            </w:rPr>
          </w:pPr>
          <w:hyperlink w:anchor="_Toc98519199" w:history="1">
            <w:r w:rsidR="00A43BB8" w:rsidRPr="006C5BD3">
              <w:rPr>
                <w:rStyle w:val="Hyperlink"/>
                <w:noProof/>
              </w:rPr>
              <w:t>Recommendation 10 - Shared network access:</w:t>
            </w:r>
            <w:r w:rsidR="00A43BB8">
              <w:rPr>
                <w:noProof/>
                <w:webHidden/>
              </w:rPr>
              <w:tab/>
            </w:r>
            <w:r w:rsidR="00A43BB8">
              <w:rPr>
                <w:noProof/>
                <w:webHidden/>
              </w:rPr>
              <w:fldChar w:fldCharType="begin"/>
            </w:r>
            <w:r w:rsidR="00A43BB8">
              <w:rPr>
                <w:noProof/>
                <w:webHidden/>
              </w:rPr>
              <w:instrText xml:space="preserve"> PAGEREF _Toc98519199 \h </w:instrText>
            </w:r>
            <w:r w:rsidR="00A43BB8">
              <w:rPr>
                <w:noProof/>
                <w:webHidden/>
              </w:rPr>
            </w:r>
            <w:r w:rsidR="00A43BB8">
              <w:rPr>
                <w:noProof/>
                <w:webHidden/>
              </w:rPr>
              <w:fldChar w:fldCharType="separate"/>
            </w:r>
            <w:r w:rsidR="005B535D">
              <w:rPr>
                <w:noProof/>
                <w:webHidden/>
              </w:rPr>
              <w:t>15</w:t>
            </w:r>
            <w:r w:rsidR="00A43BB8">
              <w:rPr>
                <w:noProof/>
                <w:webHidden/>
              </w:rPr>
              <w:fldChar w:fldCharType="end"/>
            </w:r>
          </w:hyperlink>
        </w:p>
        <w:p w14:paraId="30B9D63A" w14:textId="53D02CD6" w:rsidR="00A43BB8" w:rsidRDefault="00027BDB">
          <w:pPr>
            <w:pStyle w:val="TOC3"/>
            <w:rPr>
              <w:noProof/>
              <w:lang w:eastAsia="en-AU"/>
            </w:rPr>
          </w:pPr>
          <w:hyperlink w:anchor="_Toc98519200" w:history="1">
            <w:r w:rsidR="00A43BB8" w:rsidRPr="006C5BD3">
              <w:rPr>
                <w:rStyle w:val="Hyperlink"/>
                <w:noProof/>
              </w:rPr>
              <w:t>Recommendation 11 - Indigenous communities:</w:t>
            </w:r>
            <w:r w:rsidR="00A43BB8">
              <w:rPr>
                <w:noProof/>
                <w:webHidden/>
              </w:rPr>
              <w:tab/>
            </w:r>
            <w:r w:rsidR="00A43BB8">
              <w:rPr>
                <w:noProof/>
                <w:webHidden/>
              </w:rPr>
              <w:fldChar w:fldCharType="begin"/>
            </w:r>
            <w:r w:rsidR="00A43BB8">
              <w:rPr>
                <w:noProof/>
                <w:webHidden/>
              </w:rPr>
              <w:instrText xml:space="preserve"> PAGEREF _Toc98519200 \h </w:instrText>
            </w:r>
            <w:r w:rsidR="00A43BB8">
              <w:rPr>
                <w:noProof/>
                <w:webHidden/>
              </w:rPr>
            </w:r>
            <w:r w:rsidR="00A43BB8">
              <w:rPr>
                <w:noProof/>
                <w:webHidden/>
              </w:rPr>
              <w:fldChar w:fldCharType="separate"/>
            </w:r>
            <w:r w:rsidR="005B535D">
              <w:rPr>
                <w:noProof/>
                <w:webHidden/>
              </w:rPr>
              <w:t>16</w:t>
            </w:r>
            <w:r w:rsidR="00A43BB8">
              <w:rPr>
                <w:noProof/>
                <w:webHidden/>
              </w:rPr>
              <w:fldChar w:fldCharType="end"/>
            </w:r>
          </w:hyperlink>
        </w:p>
        <w:p w14:paraId="645C3B6C" w14:textId="778FF8F2" w:rsidR="00A43BB8" w:rsidRDefault="00027BDB">
          <w:pPr>
            <w:pStyle w:val="TOC3"/>
            <w:rPr>
              <w:noProof/>
              <w:lang w:eastAsia="en-AU"/>
            </w:rPr>
          </w:pPr>
          <w:hyperlink w:anchor="_Toc98519201" w:history="1">
            <w:r w:rsidR="00A43BB8" w:rsidRPr="006C5BD3">
              <w:rPr>
                <w:rStyle w:val="Hyperlink"/>
                <w:noProof/>
              </w:rPr>
              <w:t>Recommendation 12 – Affordability:</w:t>
            </w:r>
            <w:r w:rsidR="00A43BB8">
              <w:rPr>
                <w:noProof/>
                <w:webHidden/>
              </w:rPr>
              <w:tab/>
            </w:r>
            <w:r w:rsidR="00A43BB8">
              <w:rPr>
                <w:noProof/>
                <w:webHidden/>
              </w:rPr>
              <w:fldChar w:fldCharType="begin"/>
            </w:r>
            <w:r w:rsidR="00A43BB8">
              <w:rPr>
                <w:noProof/>
                <w:webHidden/>
              </w:rPr>
              <w:instrText xml:space="preserve"> PAGEREF _Toc98519201 \h </w:instrText>
            </w:r>
            <w:r w:rsidR="00A43BB8">
              <w:rPr>
                <w:noProof/>
                <w:webHidden/>
              </w:rPr>
            </w:r>
            <w:r w:rsidR="00A43BB8">
              <w:rPr>
                <w:noProof/>
                <w:webHidden/>
              </w:rPr>
              <w:fldChar w:fldCharType="separate"/>
            </w:r>
            <w:r w:rsidR="005B535D">
              <w:rPr>
                <w:noProof/>
                <w:webHidden/>
              </w:rPr>
              <w:t>16</w:t>
            </w:r>
            <w:r w:rsidR="00A43BB8">
              <w:rPr>
                <w:noProof/>
                <w:webHidden/>
              </w:rPr>
              <w:fldChar w:fldCharType="end"/>
            </w:r>
          </w:hyperlink>
        </w:p>
        <w:p w14:paraId="3252ACBA" w14:textId="30C6F9AD" w:rsidR="00C57D14" w:rsidRPr="000D61D6" w:rsidRDefault="00183465" w:rsidP="00231145">
          <w:r w:rsidRPr="000D61D6">
            <w:rPr>
              <w:b/>
              <w:bCs/>
              <w:noProof/>
            </w:rPr>
            <w:fldChar w:fldCharType="end"/>
          </w:r>
        </w:p>
      </w:sdtContent>
    </w:sdt>
    <w:p w14:paraId="28B92706" w14:textId="77777777" w:rsidR="001118A9" w:rsidRPr="000D61D6" w:rsidRDefault="001118A9" w:rsidP="00231145">
      <w:pPr>
        <w:sectPr w:rsidR="001118A9" w:rsidRPr="000D61D6" w:rsidSect="007825B6">
          <w:headerReference w:type="default" r:id="rId12"/>
          <w:footerReference w:type="default" r:id="rId13"/>
          <w:pgSz w:w="11906" w:h="16838"/>
          <w:pgMar w:top="1440" w:right="1440" w:bottom="1440" w:left="1440" w:header="708" w:footer="240" w:gutter="0"/>
          <w:cols w:space="708"/>
          <w:titlePg/>
          <w:docGrid w:linePitch="360"/>
        </w:sectPr>
      </w:pPr>
    </w:p>
    <w:p w14:paraId="621AE7A5" w14:textId="77777777" w:rsidR="00EA01C3" w:rsidRPr="000D61D6" w:rsidRDefault="00183465" w:rsidP="00EA01C3">
      <w:pPr>
        <w:pStyle w:val="Heading2"/>
      </w:pPr>
      <w:bookmarkStart w:id="1" w:name="_Toc98519187"/>
      <w:r w:rsidRPr="000D61D6">
        <w:lastRenderedPageBreak/>
        <w:t>Message from Minister McKenzie</w:t>
      </w:r>
      <w:bookmarkEnd w:id="1"/>
    </w:p>
    <w:p w14:paraId="3D35964F" w14:textId="77777777" w:rsidR="00EA01C3" w:rsidRPr="000D61D6" w:rsidRDefault="00183465" w:rsidP="00CB5F9B">
      <w:pPr>
        <w:spacing w:after="120"/>
      </w:pPr>
      <w:r w:rsidRPr="000D61D6">
        <w:t xml:space="preserve">In the three years since the last Regional Telecommunications Review, those of us who live, work and study in regional Australia have seen our use of – and reliance on – telecommunications services continue to transform profoundly. </w:t>
      </w:r>
    </w:p>
    <w:p w14:paraId="4BD427B8" w14:textId="77777777" w:rsidR="00EA01C3" w:rsidRPr="000D61D6" w:rsidRDefault="00183465" w:rsidP="00CB5F9B">
      <w:pPr>
        <w:spacing w:after="120"/>
      </w:pPr>
      <w:r w:rsidRPr="000D61D6">
        <w:t>Over this period, regional Australia</w:t>
      </w:r>
      <w:r w:rsidR="0076765A" w:rsidRPr="000D61D6">
        <w:t>ns, including those living in peri</w:t>
      </w:r>
      <w:r w:rsidR="3D1D746B" w:rsidRPr="000D61D6">
        <w:t>-</w:t>
      </w:r>
      <w:r w:rsidR="0076765A" w:rsidRPr="000D61D6">
        <w:t>urban areas</w:t>
      </w:r>
      <w:r w:rsidR="00030C13" w:rsidRPr="000D61D6">
        <w:t>,</w:t>
      </w:r>
      <w:r w:rsidRPr="000D61D6">
        <w:t xml:space="preserve"> ha</w:t>
      </w:r>
      <w:r w:rsidR="0076765A" w:rsidRPr="000D61D6">
        <w:t>ve</w:t>
      </w:r>
      <w:r w:rsidRPr="000D61D6">
        <w:t xml:space="preserve"> faced a range of challenges – from bushfires to floods to COVID-19. In each instance, digital connectivity has supported regional communities and industries to remain resilient and to rise to the opportunity to rebuild stronger than before. </w:t>
      </w:r>
    </w:p>
    <w:p w14:paraId="2504A193" w14:textId="77777777" w:rsidR="00EA01C3" w:rsidRPr="000D61D6" w:rsidRDefault="00183465" w:rsidP="00CB5F9B">
      <w:pPr>
        <w:spacing w:after="120"/>
      </w:pPr>
      <w:r w:rsidRPr="000D61D6">
        <w:t>Improved digital connectivity is also opening up the regions to new opportunities in both key sectors like agriculture, mining, manufacturing and tourism, but also in the knowledge and creative economies. Workers in these industries are now able to take their jobs with them to new places, where there is good internet bandwidth and a decent mobile signal.</w:t>
      </w:r>
    </w:p>
    <w:p w14:paraId="3DB7552D" w14:textId="77777777" w:rsidR="00EA01C3" w:rsidRPr="000D61D6" w:rsidRDefault="00183465" w:rsidP="00CB5F9B">
      <w:pPr>
        <w:spacing w:after="120"/>
      </w:pPr>
      <w:r w:rsidRPr="000D61D6">
        <w:t>As Minister for Regionalisation, Regional Communications and Regional Education, as well as Emergency Management and National Recovery and Resilience, I am focused on the enabling impact telecommunications has on the liveability of the regions</w:t>
      </w:r>
      <w:r w:rsidR="0076765A" w:rsidRPr="000D61D6">
        <w:t xml:space="preserve"> and peri-urban areas</w:t>
      </w:r>
      <w:r w:rsidRPr="000D61D6">
        <w:t>. As our regional cities continue to transform in coming years, the demand for high-speed connectivity to underpin innovation, competition, wellbeing and growth will only increase.</w:t>
      </w:r>
    </w:p>
    <w:p w14:paraId="3D4B71D8" w14:textId="666DE469" w:rsidR="00EA01C3" w:rsidRPr="000D61D6" w:rsidRDefault="00183465" w:rsidP="00CB5F9B">
      <w:pPr>
        <w:spacing w:after="120"/>
      </w:pPr>
      <w:r w:rsidRPr="000D61D6">
        <w:t xml:space="preserve">Since 2013, the Liberal </w:t>
      </w:r>
      <w:r w:rsidR="00FA200A">
        <w:t xml:space="preserve">and </w:t>
      </w:r>
      <w:r w:rsidRPr="000D61D6">
        <w:t>Nationals Government has backed digital connectivity in regional Australia. We have delivered on our promise to complete the National Broadband Network (NBN), established a new Universal Service Guarantee</w:t>
      </w:r>
      <w:r w:rsidR="00CB5F9B">
        <w:t xml:space="preserve"> (USG)</w:t>
      </w:r>
      <w:r w:rsidRPr="000D61D6">
        <w:t xml:space="preserve">, and have made the most significant government investment in mobile coverage in Australian history through the Mobile Black Spot Program (MBSP). Most recently, we have empowered regional communities and businesses to meet their unique digital needs through the Regional Connectivity Program (RCP). </w:t>
      </w:r>
    </w:p>
    <w:p w14:paraId="125B44C9" w14:textId="77777777" w:rsidR="00EA01C3" w:rsidRPr="000D61D6" w:rsidRDefault="00183465" w:rsidP="00CB5F9B">
      <w:pPr>
        <w:spacing w:after="120"/>
      </w:pPr>
      <w:r w:rsidRPr="000D61D6">
        <w:t>Much of this regional telecommunications agenda has been informed by the work of the Regional Telecommunications Independent Review Committee (the Committee). The Committee’s triennial independent review gives regional Australians the opportunity to speak frankly about the role that digital connectivity plays in their lives and what the Government can do to ensure that all Australians have access to the benefits and opportunities of the digital economy.</w:t>
      </w:r>
    </w:p>
    <w:p w14:paraId="526A9A47" w14:textId="13DA3756" w:rsidR="00EA01C3" w:rsidRPr="000D61D6" w:rsidRDefault="00183465" w:rsidP="00CB5F9B">
      <w:pPr>
        <w:spacing w:after="120"/>
      </w:pPr>
      <w:r w:rsidRPr="000D61D6">
        <w:t xml:space="preserve">The 2021 Regional Telecommunications Review (the 2021 Hartsuyker Review) forms a critical part of refreshing </w:t>
      </w:r>
      <w:r w:rsidR="00FA200A">
        <w:t>the Liberal and Nationals Government</w:t>
      </w:r>
      <w:r w:rsidRPr="000D61D6">
        <w:t>’s ongoing commitment to regional connectivity. The 2021 Committee, chaired by the Hon Luke Hartsuyker, has worked tirelessly to deliver a comprehensive ‘report card’ which highlights the ongoing demand for connectivity in the regions</w:t>
      </w:r>
      <w:r w:rsidR="0076765A" w:rsidRPr="000D61D6">
        <w:t xml:space="preserve"> and peri-urban areas</w:t>
      </w:r>
      <w:r w:rsidRPr="000D61D6">
        <w:t>, and the need for Government telecommunications investment to be targeted, coordinated and strategic in its approach.</w:t>
      </w:r>
    </w:p>
    <w:p w14:paraId="5EAD65AA" w14:textId="77777777" w:rsidR="00EA01C3" w:rsidRPr="000D61D6" w:rsidRDefault="00183465" w:rsidP="00CB5F9B">
      <w:pPr>
        <w:spacing w:after="120"/>
      </w:pPr>
      <w:r w:rsidRPr="000D61D6">
        <w:t>Despite the impacts of COVID-19 travel restrictions, the Committee’s efforts have seen a record engagement with the public. The Committee held 24 online consultations targeted at various regions across Australia, and received over 650 written submissions from regional stakeholders. Thank you to all the people who contributed to the review. You have spoken and we are listening.</w:t>
      </w:r>
    </w:p>
    <w:p w14:paraId="3D221CB9" w14:textId="77777777" w:rsidR="00EA01C3" w:rsidRPr="000D61D6" w:rsidRDefault="00183465" w:rsidP="00CB5F9B">
      <w:pPr>
        <w:spacing w:after="120"/>
      </w:pPr>
      <w:r w:rsidRPr="000D61D6">
        <w:t>My sincere thanks also go to Mr Hartsuyker and the rest of the Committee: Ms Kristy Sparrow, Ms Sue Middleton, Professor Hugh Bradlow and Mr Michael Cosgrave. Your dedication to improving the state of regional telecommunications is evident in the report you have provided to Government.</w:t>
      </w:r>
    </w:p>
    <w:p w14:paraId="60B4C99C" w14:textId="7D56E718" w:rsidR="00EA01C3" w:rsidRPr="000D61D6" w:rsidRDefault="00183465" w:rsidP="00FA200A">
      <w:pPr>
        <w:spacing w:after="120"/>
        <w:ind w:right="-613"/>
      </w:pPr>
      <w:r w:rsidRPr="000D61D6">
        <w:t xml:space="preserve">On behalf of the </w:t>
      </w:r>
      <w:r w:rsidR="00FA200A">
        <w:t>Liberal and Nationals Government</w:t>
      </w:r>
      <w:r w:rsidRPr="000D61D6">
        <w:t>, I am proud to present our response to the 2021 Hartsuyker Review. This response builds on our commitments to regional Australia across a number of critical areas, and will deliver measures to meet the step change in demand for connectivity in the regions.</w:t>
      </w:r>
    </w:p>
    <w:p w14:paraId="12A74ECD" w14:textId="77777777" w:rsidR="00EA01C3" w:rsidRPr="000D61D6" w:rsidRDefault="00183465" w:rsidP="00EA01C3">
      <w:pPr>
        <w:spacing w:after="0"/>
      </w:pPr>
      <w:r w:rsidRPr="000D61D6">
        <w:t>SENATOR THE HON BRIDGET MCKENZIE</w:t>
      </w:r>
    </w:p>
    <w:p w14:paraId="3786BBE1" w14:textId="77777777" w:rsidR="00EA01C3" w:rsidRPr="000D61D6" w:rsidRDefault="00183465" w:rsidP="00EA01C3">
      <w:pPr>
        <w:spacing w:after="0"/>
      </w:pPr>
      <w:r w:rsidRPr="000D61D6">
        <w:t>MINISTER FOR EMERGENCY MANAGEMENT AND NATIONAL RECOVERY AND RESILIENCE</w:t>
      </w:r>
    </w:p>
    <w:p w14:paraId="46E2836D" w14:textId="77777777" w:rsidR="00EA01C3" w:rsidRPr="000D61D6" w:rsidRDefault="00183465" w:rsidP="00EA01C3">
      <w:pPr>
        <w:spacing w:after="0"/>
      </w:pPr>
      <w:r w:rsidRPr="000D61D6">
        <w:t>MINISTER FOR REGIONALISATION, REGIONAL COMMUNICATIONS AND REGIONAL EDUCATION</w:t>
      </w:r>
      <w:r w:rsidR="0008703F">
        <w:t xml:space="preserve"> </w:t>
      </w:r>
      <w:r w:rsidR="0076765A" w:rsidRPr="000D61D6">
        <w:br w:type="page"/>
      </w:r>
    </w:p>
    <w:p w14:paraId="7AD8BA85" w14:textId="77777777" w:rsidR="00EA01C3" w:rsidRPr="000D61D6" w:rsidRDefault="00183465" w:rsidP="00EA01C3">
      <w:pPr>
        <w:pStyle w:val="Heading2"/>
      </w:pPr>
      <w:bookmarkStart w:id="2" w:name="_Toc98519188"/>
      <w:r w:rsidRPr="000D61D6">
        <w:lastRenderedPageBreak/>
        <w:t>Overview of the 2021 Hartsuyker Review</w:t>
      </w:r>
      <w:bookmarkEnd w:id="2"/>
    </w:p>
    <w:p w14:paraId="67787CEC" w14:textId="77777777" w:rsidR="00EA01C3" w:rsidRPr="000D61D6" w:rsidRDefault="00183465" w:rsidP="00EA01C3">
      <w:r w:rsidRPr="000D61D6">
        <w:t>The 2021 Hartsuyker Review examined the adequacy of telecommunications in regional, rural and remote parts of Australia, including peri-urban areas. Under its Terms of Reference, the 2021 Regional Telecommunications Independent Review Committee (the Committee) also considered the following themes:</w:t>
      </w:r>
    </w:p>
    <w:p w14:paraId="145D4646" w14:textId="77777777" w:rsidR="00EA01C3" w:rsidRPr="000D61D6" w:rsidRDefault="00183465" w:rsidP="00EA01C3">
      <w:pPr>
        <w:pStyle w:val="ListParagraph"/>
        <w:numPr>
          <w:ilvl w:val="0"/>
          <w:numId w:val="18"/>
        </w:numPr>
        <w:spacing w:line="240" w:lineRule="auto"/>
      </w:pPr>
      <w:r w:rsidRPr="000D61D6">
        <w:t>The impact of Australian Government policies and programs for improving connectivity, competition and digital literacy in regional Australia;</w:t>
      </w:r>
    </w:p>
    <w:p w14:paraId="595DAB6B" w14:textId="77777777" w:rsidR="00EA01C3" w:rsidRPr="000D61D6" w:rsidRDefault="00183465" w:rsidP="00EA01C3">
      <w:pPr>
        <w:pStyle w:val="ListParagraph"/>
        <w:numPr>
          <w:ilvl w:val="0"/>
          <w:numId w:val="18"/>
        </w:numPr>
        <w:spacing w:line="240" w:lineRule="auto"/>
      </w:pPr>
      <w:r w:rsidRPr="000D61D6">
        <w:t>Insights from COVID-19 on consumer access to and usage of broadband and mobile services;</w:t>
      </w:r>
    </w:p>
    <w:p w14:paraId="7986065A" w14:textId="77777777" w:rsidR="00EA01C3" w:rsidRPr="000D61D6" w:rsidRDefault="00183465" w:rsidP="00EA01C3">
      <w:pPr>
        <w:pStyle w:val="ListParagraph"/>
        <w:numPr>
          <w:ilvl w:val="0"/>
          <w:numId w:val="18"/>
        </w:numPr>
        <w:spacing w:line="240" w:lineRule="auto"/>
      </w:pPr>
      <w:r w:rsidRPr="000D61D6">
        <w:t>The potential of emerging technologies in changing the delivery of telecommunications services;</w:t>
      </w:r>
    </w:p>
    <w:p w14:paraId="25AEACC6" w14:textId="77777777" w:rsidR="00EA01C3" w:rsidRPr="000D61D6" w:rsidRDefault="00183465" w:rsidP="00EA01C3">
      <w:pPr>
        <w:pStyle w:val="ListParagraph"/>
        <w:numPr>
          <w:ilvl w:val="0"/>
          <w:numId w:val="18"/>
        </w:numPr>
        <w:spacing w:line="240" w:lineRule="auto"/>
      </w:pPr>
      <w:r w:rsidRPr="000D61D6">
        <w:t>The impacts of service reliability issues on regional communities;</w:t>
      </w:r>
    </w:p>
    <w:p w14:paraId="3926E7FE" w14:textId="77777777" w:rsidR="00EA01C3" w:rsidRPr="000D61D6" w:rsidRDefault="00183465" w:rsidP="00EA01C3">
      <w:pPr>
        <w:pStyle w:val="ListParagraph"/>
        <w:numPr>
          <w:ilvl w:val="0"/>
          <w:numId w:val="18"/>
        </w:numPr>
        <w:spacing w:line="240" w:lineRule="auto"/>
      </w:pPr>
      <w:r w:rsidRPr="000D61D6">
        <w:t>Ways to support more rapid rollout of, and investment in, new telecommunications technologies;</w:t>
      </w:r>
    </w:p>
    <w:p w14:paraId="249EE0BA" w14:textId="77777777" w:rsidR="00EA01C3" w:rsidRPr="000D61D6" w:rsidRDefault="00183465" w:rsidP="00EA01C3">
      <w:pPr>
        <w:pStyle w:val="ListParagraph"/>
        <w:numPr>
          <w:ilvl w:val="0"/>
          <w:numId w:val="18"/>
        </w:numPr>
        <w:spacing w:line="240" w:lineRule="auto"/>
      </w:pPr>
      <w:r w:rsidRPr="000D61D6">
        <w:t>The role of digital connectivity in supporting broader regional development priorities;</w:t>
      </w:r>
    </w:p>
    <w:p w14:paraId="7E201728" w14:textId="77777777" w:rsidR="00EA01C3" w:rsidRPr="000D61D6" w:rsidRDefault="00183465" w:rsidP="00EA01C3">
      <w:pPr>
        <w:pStyle w:val="ListParagraph"/>
        <w:numPr>
          <w:ilvl w:val="0"/>
          <w:numId w:val="18"/>
        </w:numPr>
        <w:spacing w:line="240" w:lineRule="auto"/>
      </w:pPr>
      <w:r w:rsidRPr="000D61D6">
        <w:t>Ways to improve coordination between Australian, state and territory governments on regional connectivity investment.</w:t>
      </w:r>
    </w:p>
    <w:p w14:paraId="302566B3" w14:textId="77777777" w:rsidR="00EA01C3" w:rsidRPr="000D61D6" w:rsidRDefault="00183465" w:rsidP="00EA01C3">
      <w:r w:rsidRPr="000D61D6">
        <w:t>In addition to these themes, the Committee also included consideration of connectivity literacy and digital inclusion issues, including in regard to Indigenous Australians, as part of its Review.</w:t>
      </w:r>
    </w:p>
    <w:p w14:paraId="25E19C99" w14:textId="77777777" w:rsidR="00EA01C3" w:rsidRPr="000D61D6" w:rsidRDefault="00183465" w:rsidP="5D7F67FF">
      <w:pPr>
        <w:rPr>
          <w:lang w:eastAsia="en-US"/>
        </w:rPr>
      </w:pPr>
      <w:r w:rsidRPr="000D61D6">
        <w:t xml:space="preserve">The Committee was comprised of the </w:t>
      </w:r>
      <w:r w:rsidRPr="000D61D6">
        <w:rPr>
          <w:lang w:eastAsia="en-US"/>
        </w:rPr>
        <w:t>Hon Luke Hartsuyker (Chair), Ms Kristy Sparrow (Deputy Chair), Ms Sue Middleton, Professor Hugh Bradlow and Mr Michael Cosgrave.</w:t>
      </w:r>
    </w:p>
    <w:p w14:paraId="5B415C91" w14:textId="77777777" w:rsidR="00EA01C3" w:rsidRPr="000D61D6" w:rsidRDefault="00183465" w:rsidP="5D7F67FF">
      <w:pPr>
        <w:rPr>
          <w:lang w:eastAsia="en-US"/>
        </w:rPr>
      </w:pPr>
      <w:r w:rsidRPr="000D61D6">
        <w:rPr>
          <w:lang w:eastAsia="en-US"/>
        </w:rPr>
        <w:t>The Committee received a record response to its consultation efforts, including over 650 submissions from individuals, businesses, industry and other key regional stakeholders in response to its Issues Paper. Due to COVID-19 travel restrictions, the Committee was unable to undertake planned face-to-face consultations across Australia. However, it hosted 24 public consultations over Microsoft Teams, attended by almost 500 people.</w:t>
      </w:r>
    </w:p>
    <w:p w14:paraId="75890F59" w14:textId="09EC7A7C" w:rsidR="00EA01C3" w:rsidRPr="000D61D6" w:rsidRDefault="00183465" w:rsidP="00FA200A">
      <w:pPr>
        <w:ind w:right="-613"/>
        <w:rPr>
          <w:lang w:eastAsia="en-US"/>
        </w:rPr>
      </w:pPr>
      <w:r w:rsidRPr="000D61D6">
        <w:rPr>
          <w:lang w:eastAsia="en-US"/>
        </w:rPr>
        <w:t xml:space="preserve">The Committee delivered its report, </w:t>
      </w:r>
      <w:r w:rsidRPr="000D61D6">
        <w:rPr>
          <w:i/>
          <w:iCs/>
          <w:lang w:eastAsia="en-US"/>
        </w:rPr>
        <w:t>2021 Regional Telecommunications Review: A step change in demand</w:t>
      </w:r>
      <w:r w:rsidRPr="000D61D6">
        <w:rPr>
          <w:lang w:eastAsia="en-US"/>
        </w:rPr>
        <w:t xml:space="preserve">, to </w:t>
      </w:r>
      <w:r w:rsidR="00FA200A">
        <w:rPr>
          <w:lang w:eastAsia="en-US"/>
        </w:rPr>
        <w:t>the Liberal and Nationals Government</w:t>
      </w:r>
      <w:r w:rsidRPr="000D61D6">
        <w:rPr>
          <w:lang w:eastAsia="en-US"/>
        </w:rPr>
        <w:t xml:space="preserve"> on 13 December 2021. </w:t>
      </w:r>
      <w:r w:rsidR="005E6490">
        <w:rPr>
          <w:lang w:eastAsia="en-US"/>
        </w:rPr>
        <w:t xml:space="preserve">The report was tabled in </w:t>
      </w:r>
      <w:r w:rsidR="00C80D36">
        <w:rPr>
          <w:lang w:eastAsia="en-US"/>
        </w:rPr>
        <w:t>P</w:t>
      </w:r>
      <w:r w:rsidR="005E6490">
        <w:rPr>
          <w:lang w:eastAsia="en-US"/>
        </w:rPr>
        <w:t xml:space="preserve">arliament and subsequently published on 14 February 2022. </w:t>
      </w:r>
      <w:r w:rsidRPr="000D61D6">
        <w:rPr>
          <w:lang w:eastAsia="en-US"/>
        </w:rPr>
        <w:t>The report sets out 16 key findings in relation to Australian, state, territory and local government coordination and investment in digital connectivity, the reliability and resilience of regional networks, the ongoing ‘step change’ increase in regional data consumption, and the accessibility and affordability of regional telecommunications services.</w:t>
      </w:r>
    </w:p>
    <w:p w14:paraId="261EC005" w14:textId="77777777" w:rsidR="00EA01C3" w:rsidRPr="000D61D6" w:rsidRDefault="00183465" w:rsidP="5D7F67FF">
      <w:pPr>
        <w:rPr>
          <w:lang w:eastAsia="en-US"/>
        </w:rPr>
      </w:pPr>
      <w:r w:rsidRPr="000D61D6">
        <w:rPr>
          <w:lang w:eastAsia="en-US"/>
        </w:rPr>
        <w:t>The report also puts forward 12 recommendations for the future direction of regional telecommunications policy, summarised as follows:</w:t>
      </w:r>
    </w:p>
    <w:tbl>
      <w:tblPr>
        <w:tblStyle w:val="GridTable1Light-Accent1"/>
        <w:tblW w:w="0" w:type="auto"/>
        <w:tblLook w:val="0600" w:firstRow="0" w:lastRow="0" w:firstColumn="0" w:lastColumn="0" w:noHBand="1" w:noVBand="1"/>
      </w:tblPr>
      <w:tblGrid>
        <w:gridCol w:w="709"/>
        <w:gridCol w:w="3799"/>
        <w:gridCol w:w="732"/>
        <w:gridCol w:w="3776"/>
      </w:tblGrid>
      <w:tr w:rsidR="009F04A7" w14:paraId="1D3FF3B9" w14:textId="77777777" w:rsidTr="009F04A7">
        <w:trPr>
          <w:trHeight w:val="732"/>
        </w:trPr>
        <w:tc>
          <w:tcPr>
            <w:tcW w:w="709" w:type="dxa"/>
          </w:tcPr>
          <w:p w14:paraId="04B94EDF" w14:textId="77777777" w:rsidR="00EA01C3" w:rsidRPr="000D61D6" w:rsidRDefault="00183465" w:rsidP="5D7F67FF">
            <w:pPr>
              <w:spacing w:after="0"/>
              <w:rPr>
                <w:rFonts w:cs="Arial"/>
              </w:rPr>
            </w:pPr>
            <w:r w:rsidRPr="000D61D6">
              <w:rPr>
                <w:rFonts w:cs="Arial"/>
              </w:rPr>
              <w:t>1</w:t>
            </w:r>
          </w:p>
        </w:tc>
        <w:tc>
          <w:tcPr>
            <w:tcW w:w="3799" w:type="dxa"/>
          </w:tcPr>
          <w:p w14:paraId="54136653" w14:textId="77777777" w:rsidR="00EA01C3" w:rsidRPr="000D61D6" w:rsidRDefault="00183465" w:rsidP="5D7F67FF">
            <w:pPr>
              <w:spacing w:after="0"/>
              <w:rPr>
                <w:rFonts w:cs="Arial"/>
              </w:rPr>
            </w:pPr>
            <w:r w:rsidRPr="000D61D6">
              <w:rPr>
                <w:rFonts w:cs="Arial"/>
              </w:rPr>
              <w:t>Adopt a longer term strategic approach to regional digital infrastructure and skills</w:t>
            </w:r>
          </w:p>
        </w:tc>
        <w:tc>
          <w:tcPr>
            <w:tcW w:w="732" w:type="dxa"/>
          </w:tcPr>
          <w:p w14:paraId="07496987" w14:textId="77777777" w:rsidR="00EA01C3" w:rsidRPr="000D61D6" w:rsidRDefault="00183465" w:rsidP="5D7F67FF">
            <w:pPr>
              <w:spacing w:after="0"/>
              <w:rPr>
                <w:rFonts w:cs="Arial"/>
              </w:rPr>
            </w:pPr>
            <w:r w:rsidRPr="000D61D6">
              <w:rPr>
                <w:rFonts w:cs="Arial"/>
              </w:rPr>
              <w:t>7</w:t>
            </w:r>
          </w:p>
        </w:tc>
        <w:tc>
          <w:tcPr>
            <w:tcW w:w="3776" w:type="dxa"/>
          </w:tcPr>
          <w:p w14:paraId="26621EAF" w14:textId="77777777" w:rsidR="00EA01C3" w:rsidRPr="000D61D6" w:rsidRDefault="00183465" w:rsidP="5D7F67FF">
            <w:pPr>
              <w:spacing w:after="0"/>
              <w:rPr>
                <w:rFonts w:cs="Arial"/>
              </w:rPr>
            </w:pPr>
            <w:r w:rsidRPr="000D61D6">
              <w:rPr>
                <w:rFonts w:cs="Arial"/>
              </w:rPr>
              <w:t>Implement and enforce network performance and reliability standards across all wholesale and retail services</w:t>
            </w:r>
          </w:p>
        </w:tc>
      </w:tr>
      <w:tr w:rsidR="009F04A7" w14:paraId="5E6FD752" w14:textId="77777777" w:rsidTr="009F04A7">
        <w:tc>
          <w:tcPr>
            <w:tcW w:w="709" w:type="dxa"/>
          </w:tcPr>
          <w:p w14:paraId="3975B302" w14:textId="77777777" w:rsidR="00EA01C3" w:rsidRPr="000D61D6" w:rsidRDefault="00183465" w:rsidP="5D7F67FF">
            <w:pPr>
              <w:spacing w:after="0"/>
              <w:rPr>
                <w:rFonts w:cs="Arial"/>
              </w:rPr>
            </w:pPr>
            <w:r w:rsidRPr="000D61D6">
              <w:rPr>
                <w:rFonts w:cs="Arial"/>
              </w:rPr>
              <w:t>2</w:t>
            </w:r>
          </w:p>
        </w:tc>
        <w:tc>
          <w:tcPr>
            <w:tcW w:w="3799" w:type="dxa"/>
          </w:tcPr>
          <w:p w14:paraId="73613368" w14:textId="77777777" w:rsidR="00EA01C3" w:rsidRPr="000D61D6" w:rsidRDefault="00183465" w:rsidP="5D7F67FF">
            <w:pPr>
              <w:spacing w:after="0"/>
              <w:rPr>
                <w:rFonts w:cs="Arial"/>
              </w:rPr>
            </w:pPr>
            <w:r w:rsidRPr="000D61D6">
              <w:rPr>
                <w:rFonts w:cs="Arial"/>
              </w:rPr>
              <w:t>Enhance the scale of Government investment in regional connectivity</w:t>
            </w:r>
          </w:p>
        </w:tc>
        <w:tc>
          <w:tcPr>
            <w:tcW w:w="732" w:type="dxa"/>
          </w:tcPr>
          <w:p w14:paraId="72FE1B42" w14:textId="77777777" w:rsidR="00EA01C3" w:rsidRPr="000D61D6" w:rsidRDefault="00183465" w:rsidP="5D7F67FF">
            <w:pPr>
              <w:spacing w:after="0"/>
              <w:rPr>
                <w:rFonts w:cs="Arial"/>
              </w:rPr>
            </w:pPr>
            <w:r w:rsidRPr="000D61D6">
              <w:rPr>
                <w:rFonts w:cs="Arial"/>
              </w:rPr>
              <w:t>8</w:t>
            </w:r>
          </w:p>
        </w:tc>
        <w:tc>
          <w:tcPr>
            <w:tcW w:w="3776" w:type="dxa"/>
          </w:tcPr>
          <w:p w14:paraId="1968A432" w14:textId="77777777" w:rsidR="00EA01C3" w:rsidRPr="000D61D6" w:rsidRDefault="00183465" w:rsidP="5D7F67FF">
            <w:pPr>
              <w:spacing w:after="0"/>
              <w:rPr>
                <w:rFonts w:cs="Arial"/>
              </w:rPr>
            </w:pPr>
            <w:r w:rsidRPr="000D61D6">
              <w:rPr>
                <w:rFonts w:cs="Arial"/>
              </w:rPr>
              <w:t>Continue and reform existing Universal Service arrangements for the future</w:t>
            </w:r>
          </w:p>
        </w:tc>
      </w:tr>
      <w:tr w:rsidR="009F04A7" w14:paraId="17B80BC1" w14:textId="77777777" w:rsidTr="009F04A7">
        <w:tc>
          <w:tcPr>
            <w:tcW w:w="709" w:type="dxa"/>
          </w:tcPr>
          <w:p w14:paraId="03A457BC" w14:textId="77777777" w:rsidR="00EA01C3" w:rsidRPr="000D61D6" w:rsidRDefault="00183465" w:rsidP="5D7F67FF">
            <w:pPr>
              <w:spacing w:after="0"/>
              <w:rPr>
                <w:rFonts w:cs="Arial"/>
              </w:rPr>
            </w:pPr>
            <w:r w:rsidRPr="000D61D6">
              <w:rPr>
                <w:rFonts w:cs="Arial"/>
              </w:rPr>
              <w:t>3</w:t>
            </w:r>
          </w:p>
        </w:tc>
        <w:tc>
          <w:tcPr>
            <w:tcW w:w="3799" w:type="dxa"/>
          </w:tcPr>
          <w:p w14:paraId="52C66CD6" w14:textId="77777777" w:rsidR="00EA01C3" w:rsidRPr="000D61D6" w:rsidRDefault="00183465" w:rsidP="5D7F67FF">
            <w:pPr>
              <w:spacing w:after="0"/>
              <w:rPr>
                <w:rFonts w:cs="Arial"/>
              </w:rPr>
            </w:pPr>
            <w:r w:rsidRPr="000D61D6">
              <w:rPr>
                <w:rFonts w:cs="Arial"/>
              </w:rPr>
              <w:t>Implement a regional telecommunications resilience fund</w:t>
            </w:r>
          </w:p>
        </w:tc>
        <w:tc>
          <w:tcPr>
            <w:tcW w:w="732" w:type="dxa"/>
          </w:tcPr>
          <w:p w14:paraId="214A27A9" w14:textId="77777777" w:rsidR="00EA01C3" w:rsidRPr="000D61D6" w:rsidRDefault="00183465" w:rsidP="5D7F67FF">
            <w:pPr>
              <w:spacing w:after="0"/>
              <w:rPr>
                <w:rFonts w:cs="Arial"/>
              </w:rPr>
            </w:pPr>
            <w:r w:rsidRPr="000D61D6">
              <w:rPr>
                <w:rFonts w:cs="Arial"/>
              </w:rPr>
              <w:t>9</w:t>
            </w:r>
          </w:p>
        </w:tc>
        <w:tc>
          <w:tcPr>
            <w:tcW w:w="3776" w:type="dxa"/>
          </w:tcPr>
          <w:p w14:paraId="34E030AC" w14:textId="77777777" w:rsidR="00EA01C3" w:rsidRPr="000D61D6" w:rsidRDefault="00183465" w:rsidP="5D7F67FF">
            <w:pPr>
              <w:spacing w:after="0"/>
              <w:rPr>
                <w:rFonts w:cs="Arial"/>
              </w:rPr>
            </w:pPr>
            <w:r w:rsidRPr="000D61D6">
              <w:rPr>
                <w:rFonts w:cs="Arial"/>
              </w:rPr>
              <w:t>Improve the information available to consumers about mobile services</w:t>
            </w:r>
          </w:p>
        </w:tc>
      </w:tr>
      <w:tr w:rsidR="009F04A7" w14:paraId="69CC148D" w14:textId="77777777" w:rsidTr="009F04A7">
        <w:tc>
          <w:tcPr>
            <w:tcW w:w="709" w:type="dxa"/>
          </w:tcPr>
          <w:p w14:paraId="0AA7B9B7" w14:textId="77777777" w:rsidR="00EA01C3" w:rsidRPr="000D61D6" w:rsidRDefault="00183465" w:rsidP="5D7F67FF">
            <w:pPr>
              <w:spacing w:after="0"/>
              <w:rPr>
                <w:rFonts w:cs="Arial"/>
              </w:rPr>
            </w:pPr>
            <w:r w:rsidRPr="000D61D6">
              <w:rPr>
                <w:rFonts w:cs="Arial"/>
              </w:rPr>
              <w:t>4</w:t>
            </w:r>
          </w:p>
        </w:tc>
        <w:tc>
          <w:tcPr>
            <w:tcW w:w="3799" w:type="dxa"/>
          </w:tcPr>
          <w:p w14:paraId="5F8C69B6" w14:textId="77777777" w:rsidR="00EA01C3" w:rsidRPr="000D61D6" w:rsidRDefault="00183465" w:rsidP="5D7F67FF">
            <w:pPr>
              <w:spacing w:after="0"/>
              <w:rPr>
                <w:rFonts w:cs="Arial"/>
              </w:rPr>
            </w:pPr>
            <w:r w:rsidRPr="000D61D6">
              <w:rPr>
                <w:rFonts w:cs="Arial"/>
              </w:rPr>
              <w:t>Conduct trials of emerging connectivity technologies and services</w:t>
            </w:r>
          </w:p>
        </w:tc>
        <w:tc>
          <w:tcPr>
            <w:tcW w:w="732" w:type="dxa"/>
          </w:tcPr>
          <w:p w14:paraId="28C048DB" w14:textId="77777777" w:rsidR="00EA01C3" w:rsidRPr="000D61D6" w:rsidRDefault="00183465" w:rsidP="5D7F67FF">
            <w:pPr>
              <w:spacing w:after="0"/>
              <w:rPr>
                <w:rFonts w:cs="Arial"/>
              </w:rPr>
            </w:pPr>
            <w:r w:rsidRPr="000D61D6">
              <w:rPr>
                <w:rFonts w:cs="Arial"/>
              </w:rPr>
              <w:t>10</w:t>
            </w:r>
          </w:p>
        </w:tc>
        <w:tc>
          <w:tcPr>
            <w:tcW w:w="3776" w:type="dxa"/>
          </w:tcPr>
          <w:p w14:paraId="73B7B5F3" w14:textId="77777777" w:rsidR="00EA01C3" w:rsidRPr="000D61D6" w:rsidRDefault="00183465" w:rsidP="5D7F67FF">
            <w:pPr>
              <w:spacing w:after="0"/>
              <w:rPr>
                <w:rFonts w:cs="Arial"/>
              </w:rPr>
            </w:pPr>
            <w:r w:rsidRPr="000D61D6">
              <w:rPr>
                <w:rFonts w:cs="Arial"/>
              </w:rPr>
              <w:t>Encourage shared network access and innovative funding for regional mobile</w:t>
            </w:r>
          </w:p>
        </w:tc>
      </w:tr>
      <w:tr w:rsidR="009F04A7" w14:paraId="044D67E1" w14:textId="77777777" w:rsidTr="009F04A7">
        <w:tc>
          <w:tcPr>
            <w:tcW w:w="709" w:type="dxa"/>
          </w:tcPr>
          <w:p w14:paraId="553D4701" w14:textId="77777777" w:rsidR="00EA01C3" w:rsidRPr="000D61D6" w:rsidRDefault="00183465" w:rsidP="5D7F67FF">
            <w:pPr>
              <w:spacing w:after="0"/>
              <w:rPr>
                <w:rFonts w:cs="Arial"/>
              </w:rPr>
            </w:pPr>
            <w:r w:rsidRPr="000D61D6">
              <w:rPr>
                <w:rFonts w:cs="Arial"/>
              </w:rPr>
              <w:t>5</w:t>
            </w:r>
          </w:p>
        </w:tc>
        <w:tc>
          <w:tcPr>
            <w:tcW w:w="3799" w:type="dxa"/>
          </w:tcPr>
          <w:p w14:paraId="2AD9CCC7" w14:textId="77777777" w:rsidR="00EA01C3" w:rsidRPr="000D61D6" w:rsidRDefault="00183465" w:rsidP="5D7F67FF">
            <w:pPr>
              <w:spacing w:after="0"/>
              <w:rPr>
                <w:rFonts w:cs="Arial"/>
              </w:rPr>
            </w:pPr>
            <w:r w:rsidRPr="000D61D6">
              <w:rPr>
                <w:rFonts w:cs="Arial"/>
              </w:rPr>
              <w:t>Build connectivity literacy and digital capability among regional users</w:t>
            </w:r>
          </w:p>
        </w:tc>
        <w:tc>
          <w:tcPr>
            <w:tcW w:w="732" w:type="dxa"/>
          </w:tcPr>
          <w:p w14:paraId="0091B8DA" w14:textId="77777777" w:rsidR="00EA01C3" w:rsidRPr="000D61D6" w:rsidRDefault="00183465" w:rsidP="5D7F67FF">
            <w:pPr>
              <w:spacing w:after="0"/>
              <w:rPr>
                <w:rFonts w:cs="Arial"/>
              </w:rPr>
            </w:pPr>
            <w:r w:rsidRPr="000D61D6">
              <w:rPr>
                <w:rFonts w:cs="Arial"/>
              </w:rPr>
              <w:t>11</w:t>
            </w:r>
          </w:p>
        </w:tc>
        <w:tc>
          <w:tcPr>
            <w:tcW w:w="3776" w:type="dxa"/>
          </w:tcPr>
          <w:p w14:paraId="716D2C67" w14:textId="77777777" w:rsidR="00EA01C3" w:rsidRPr="000D61D6" w:rsidRDefault="00183465" w:rsidP="5D7F67FF">
            <w:pPr>
              <w:spacing w:after="0"/>
              <w:rPr>
                <w:rFonts w:cs="Arial"/>
              </w:rPr>
            </w:pPr>
            <w:r w:rsidRPr="000D61D6">
              <w:rPr>
                <w:rFonts w:cs="Arial"/>
              </w:rPr>
              <w:t>Place continued focus on the digital needs of Indigenous communities</w:t>
            </w:r>
          </w:p>
        </w:tc>
      </w:tr>
      <w:tr w:rsidR="009F04A7" w14:paraId="188CB014" w14:textId="77777777" w:rsidTr="009F04A7">
        <w:tc>
          <w:tcPr>
            <w:tcW w:w="709" w:type="dxa"/>
          </w:tcPr>
          <w:p w14:paraId="2896D684" w14:textId="77777777" w:rsidR="00EA01C3" w:rsidRPr="000D61D6" w:rsidRDefault="00183465" w:rsidP="5D7F67FF">
            <w:pPr>
              <w:spacing w:after="0"/>
              <w:rPr>
                <w:rFonts w:cs="Arial"/>
              </w:rPr>
            </w:pPr>
            <w:r w:rsidRPr="000D61D6">
              <w:rPr>
                <w:rFonts w:cs="Arial"/>
              </w:rPr>
              <w:t>6</w:t>
            </w:r>
          </w:p>
        </w:tc>
        <w:tc>
          <w:tcPr>
            <w:tcW w:w="3799" w:type="dxa"/>
          </w:tcPr>
          <w:p w14:paraId="3DB04D23" w14:textId="77777777" w:rsidR="00EA01C3" w:rsidRPr="000D61D6" w:rsidRDefault="00183465" w:rsidP="5D7F67FF">
            <w:pPr>
              <w:spacing w:after="0"/>
              <w:rPr>
                <w:rFonts w:cs="Arial"/>
              </w:rPr>
            </w:pPr>
            <w:r w:rsidRPr="000D61D6">
              <w:rPr>
                <w:rFonts w:cs="Arial"/>
              </w:rPr>
              <w:t>Expand and enhance the NBN Co regional fixed wireless network</w:t>
            </w:r>
          </w:p>
        </w:tc>
        <w:tc>
          <w:tcPr>
            <w:tcW w:w="732" w:type="dxa"/>
          </w:tcPr>
          <w:p w14:paraId="2F8C009F" w14:textId="77777777" w:rsidR="00EA01C3" w:rsidRPr="000D61D6" w:rsidRDefault="00183465" w:rsidP="5D7F67FF">
            <w:pPr>
              <w:spacing w:after="0"/>
              <w:rPr>
                <w:rFonts w:cs="Arial"/>
              </w:rPr>
            </w:pPr>
            <w:r w:rsidRPr="000D61D6">
              <w:rPr>
                <w:rFonts w:cs="Arial"/>
              </w:rPr>
              <w:t>12</w:t>
            </w:r>
          </w:p>
        </w:tc>
        <w:tc>
          <w:tcPr>
            <w:tcW w:w="3776" w:type="dxa"/>
          </w:tcPr>
          <w:p w14:paraId="2900A37D" w14:textId="77777777" w:rsidR="00EA01C3" w:rsidRPr="000D61D6" w:rsidRDefault="00183465" w:rsidP="5D7F67FF">
            <w:pPr>
              <w:spacing w:after="0"/>
              <w:rPr>
                <w:rFonts w:cs="Arial"/>
              </w:rPr>
            </w:pPr>
            <w:r w:rsidRPr="000D61D6">
              <w:rPr>
                <w:rFonts w:cs="Arial"/>
              </w:rPr>
              <w:t>Improve communications affordability for vulnerable groups in regional areas</w:t>
            </w:r>
          </w:p>
        </w:tc>
      </w:tr>
    </w:tbl>
    <w:p w14:paraId="684BB58C" w14:textId="55BA43BC" w:rsidR="00EA01C3" w:rsidRPr="000D61D6" w:rsidRDefault="00183465" w:rsidP="00EA01C3">
      <w:pPr>
        <w:pStyle w:val="Heading2"/>
      </w:pPr>
      <w:bookmarkStart w:id="3" w:name="_Toc98519189"/>
      <w:r w:rsidRPr="000D61D6">
        <w:lastRenderedPageBreak/>
        <w:t>Australian Government response</w:t>
      </w:r>
      <w:bookmarkEnd w:id="3"/>
    </w:p>
    <w:p w14:paraId="3B80A43C" w14:textId="502396C7" w:rsidR="00EA01C3" w:rsidRPr="000D61D6" w:rsidRDefault="00183465" w:rsidP="00EA01C3">
      <w:r w:rsidRPr="000D61D6">
        <w:t xml:space="preserve">The Liberal </w:t>
      </w:r>
      <w:r w:rsidR="00FA200A">
        <w:t xml:space="preserve">and </w:t>
      </w:r>
      <w:r w:rsidRPr="000D61D6">
        <w:t xml:space="preserve">Nationals Government is continuing to deliver on its strong track record of telecommunications investment in regional, rural and remote Australia. </w:t>
      </w:r>
      <w:r w:rsidR="0076765A" w:rsidRPr="000D61D6">
        <w:t xml:space="preserve">The </w:t>
      </w:r>
      <w:r w:rsidR="00FA200A">
        <w:t>Liberal and Nationals Government</w:t>
      </w:r>
      <w:r w:rsidR="0076765A" w:rsidRPr="000D61D6">
        <w:t xml:space="preserve"> also recognises that the peri-urban fringe experiences many of the same issues.</w:t>
      </w:r>
    </w:p>
    <w:p w14:paraId="51296C9C" w14:textId="69171F8D" w:rsidR="00FC43E4" w:rsidRPr="000D61D6" w:rsidRDefault="00183465" w:rsidP="00EA01C3">
      <w:r w:rsidRPr="000D61D6">
        <w:t xml:space="preserve">In December 2018 the </w:t>
      </w:r>
      <w:r w:rsidR="00FA200A">
        <w:t>Liberal and Nationals Government</w:t>
      </w:r>
      <w:r w:rsidRPr="000D61D6">
        <w:t xml:space="preserve"> announced a new Universal Service Guarantee</w:t>
      </w:r>
      <w:r w:rsidR="00CB5F9B">
        <w:t xml:space="preserve"> (USG)</w:t>
      </w:r>
      <w:r w:rsidRPr="000D61D6">
        <w:t xml:space="preserve"> to provide people across Australia with access to broadband as well as the telephone and payphone services to which access was previously provided. This was given legislated backing from 1 July 2020 through the </w:t>
      </w:r>
      <w:r w:rsidR="00FA200A">
        <w:t>Liberal and Nationals Government</w:t>
      </w:r>
      <w:r w:rsidRPr="000D61D6">
        <w:t>’s new statutory infrastructure provider laws. The USG</w:t>
      </w:r>
      <w:r w:rsidR="00CB5F9B">
        <w:t xml:space="preserve"> </w:t>
      </w:r>
      <w:r w:rsidRPr="000D61D6">
        <w:t>leverages the NBN and the historical Universal Service Obligation (USO).</w:t>
      </w:r>
    </w:p>
    <w:p w14:paraId="3D387C35" w14:textId="592A484E" w:rsidR="00EA01C3" w:rsidRPr="000D61D6" w:rsidRDefault="00183465" w:rsidP="00EA01C3">
      <w:r w:rsidRPr="000D61D6">
        <w:t>In December 2020, the Minister for Communications, Urban Infrastructure, Cities and the Arts, the Hon Paul Fletcher MP, declared that the volume rollout of the NBN ha</w:t>
      </w:r>
      <w:r w:rsidR="00D448B5">
        <w:t xml:space="preserve">d </w:t>
      </w:r>
      <w:r w:rsidRPr="000D61D6">
        <w:t>been completed. With the NBN now considered built and fully operational, NBN Co Limited (NBN Co) is focused on the evolution of the network to meet the changing needs of all Australians, including regional, rural and remote areas.</w:t>
      </w:r>
    </w:p>
    <w:p w14:paraId="3B01C76F" w14:textId="77777777" w:rsidR="00EA01C3" w:rsidRPr="000D61D6" w:rsidRDefault="00183465" w:rsidP="00EA01C3">
      <w:r w:rsidRPr="000D61D6">
        <w:t>NBN Co has embarked on an extensive $4.5 billion investment plan to upgrade the network in anticipation of growing demand. This includes $3.5 billion in funding to extend fibre deeper into the existing fibre to the node footprint and upgrade capacity on other fixed line technologies, allowing up to 75 per cent of premises and businesses in the fixed line footprint on-demand access to NBN Co’s highest wholesale speed plans (up to 1 Gbps) by 2023. These upgrades are forecast to benefit around 950,000 households and 455,000 businesses in regional Australia, as well as resulting in a $1.5 billion uplift to regional GDP.</w:t>
      </w:r>
    </w:p>
    <w:p w14:paraId="4E4CC06B" w14:textId="37224615" w:rsidR="00EA01C3" w:rsidRPr="000D61D6" w:rsidRDefault="00183465" w:rsidP="00EA01C3">
      <w:r w:rsidRPr="000D61D6">
        <w:t xml:space="preserve">While the NBN represents the backbone of the </w:t>
      </w:r>
      <w:r w:rsidR="00FA200A">
        <w:t>Liberal and Nationals Government</w:t>
      </w:r>
      <w:r w:rsidRPr="000D61D6">
        <w:t xml:space="preserve">’s investment in connectivity infrastructure across Australia, the Government also continues to recognise and support opportunities to deliver targeted uplifts to digital connectivity in areas of economic and social significance outside of the NBN fixed line footprint. </w:t>
      </w:r>
    </w:p>
    <w:p w14:paraId="717EB391" w14:textId="38E75E09" w:rsidR="00EA01C3" w:rsidRPr="000D61D6" w:rsidRDefault="00183465" w:rsidP="00EA01C3">
      <w:r w:rsidRPr="000D61D6">
        <w:t xml:space="preserve">In response to the 2018 Edwards Review, the </w:t>
      </w:r>
      <w:r w:rsidR="00FA200A">
        <w:t>Liberal and Nationals Government</w:t>
      </w:r>
      <w:r w:rsidRPr="000D61D6">
        <w:t xml:space="preserve"> has allocated approximately $229 million (GST inclusive) to date to the Regional Connectivity Program (RCP), funding the delivery of 'place-based' regional telecommunications infrastructure projects. The 81 funded projects under the $117 million first round of the RCP provide new and improved mobile voice and data coverage, fixed wireless and fibre broadband services, and improved microwave and fibre backhaul capacity to locations across regional, rural and remote Australia.</w:t>
      </w:r>
    </w:p>
    <w:p w14:paraId="24BBB4B1" w14:textId="2739E29E" w:rsidR="00EA01C3" w:rsidRPr="000D61D6" w:rsidRDefault="00183465" w:rsidP="3D1D746B">
      <w:r w:rsidRPr="000D61D6">
        <w:t xml:space="preserve">The </w:t>
      </w:r>
      <w:r w:rsidR="00FA200A">
        <w:t>Liberal and Nationals Government</w:t>
      </w:r>
      <w:r w:rsidRPr="000D61D6">
        <w:t xml:space="preserve"> has also committed $380 million to the Mobile Black Spot Program (MBSP) to invest in telecommunications infrastructure to improve mobile coverage and competition across Australia. Under the MBSP to date, the </w:t>
      </w:r>
      <w:r w:rsidR="00FA200A">
        <w:t>Liberal and Nationals Government</w:t>
      </w:r>
      <w:r w:rsidRPr="000D61D6">
        <w:t>'s commitment has generated a total investment of more than $875 million to deliver more than 1,270 new mobile base stations across Australia.</w:t>
      </w:r>
    </w:p>
    <w:p w14:paraId="500FBD3F" w14:textId="72B7952C" w:rsidR="0076765A" w:rsidRPr="000D61D6" w:rsidRDefault="00183465" w:rsidP="5D7F67FF">
      <w:r w:rsidRPr="000D61D6">
        <w:t xml:space="preserve">In 2021, the </w:t>
      </w:r>
      <w:r w:rsidR="00FA200A">
        <w:t>Liberal and Nationals Government</w:t>
      </w:r>
      <w:r w:rsidRPr="000D61D6">
        <w:t xml:space="preserve"> introduced the Peri-Urban Mobile Program (PUMP), a $16.4 million grants program that provides funding to improve mobile connectivity in bushfire priority areas along the edges of Australia’s major cities.</w:t>
      </w:r>
    </w:p>
    <w:p w14:paraId="06DBF6A7" w14:textId="77777777" w:rsidR="00EA01C3" w:rsidRPr="000D61D6" w:rsidRDefault="00183465" w:rsidP="00291ADD">
      <w:pPr>
        <w:ind w:right="-46"/>
      </w:pPr>
      <w:r w:rsidRPr="000D61D6">
        <w:t>The Committee’s report recognises that there is a lot of good being achieved through these investments in regional, rural</w:t>
      </w:r>
      <w:r w:rsidR="0076765A" w:rsidRPr="000D61D6">
        <w:t>,</w:t>
      </w:r>
      <w:r w:rsidRPr="000D61D6">
        <w:t xml:space="preserve"> remote </w:t>
      </w:r>
      <w:r w:rsidR="0076765A" w:rsidRPr="000D61D6">
        <w:t xml:space="preserve">and peri-urban </w:t>
      </w:r>
      <w:r w:rsidRPr="000D61D6">
        <w:t xml:space="preserve">Australia. At the same time, however, it provides recommendations to refine our approach in order to deliver even greater outcomes for regional, rural and remote communities and to meet the demands of an increasingly digital economy. </w:t>
      </w:r>
    </w:p>
    <w:p w14:paraId="3F921333" w14:textId="77777777" w:rsidR="00EA01C3" w:rsidRPr="000D61D6" w:rsidRDefault="00183465" w:rsidP="00EA01C3">
      <w:r w:rsidRPr="000D61D6">
        <w:lastRenderedPageBreak/>
        <w:t>We accept the Committee’s findings that there is value in a more strategic and long-term approach to targeted connectivity investments, one that uses the best of cooperative federalism to align interests and processes across all levels of government in order to maximise the reach of available funds, support broader regional development priorities and bring everyone along.</w:t>
      </w:r>
    </w:p>
    <w:p w14:paraId="61F75DA6" w14:textId="77777777" w:rsidR="00EA01C3" w:rsidRPr="000D61D6" w:rsidRDefault="00183465" w:rsidP="00EA01C3">
      <w:r w:rsidRPr="000D61D6">
        <w:t xml:space="preserve">We also agree with the Committee that telecommunications infrastructure is increasingly critical to the safety and wellbeing of regional communities, particularly in times of disaster and stress. We have a longstanding and ongoing commitment to universal voice and broadband access, and are investing in network resilience in disaster-prone areas and expanded mobile coverage across Australia. We will continue to review, reform and expand these measures to ensure that regional Australians </w:t>
      </w:r>
      <w:r w:rsidR="0076765A" w:rsidRPr="000D61D6">
        <w:t xml:space="preserve">and those living in peri-urban areas, </w:t>
      </w:r>
      <w:r w:rsidRPr="000D61D6">
        <w:t>have reliable access to communications services when they are most needed.</w:t>
      </w:r>
    </w:p>
    <w:p w14:paraId="69D08623" w14:textId="07E2A7A8" w:rsidR="00EA01C3" w:rsidRPr="000D61D6" w:rsidRDefault="00183465" w:rsidP="00EA01C3">
      <w:r w:rsidRPr="000D61D6">
        <w:t xml:space="preserve">We also recognise, as identified in the report, that the increasing demand for data in recent years is not tied to COVID-19. As new digital tools for work, study, commerce and recreation emerge, it will be critical to ensure that our connectivity infrastructure – both mobile and fixed, public and private – is delivering the bandwidth necessary to fully leverage these services on an ongoing basis. The </w:t>
      </w:r>
      <w:r w:rsidR="00FA200A">
        <w:t>Liberal and Nationals Government</w:t>
      </w:r>
      <w:r w:rsidRPr="000D61D6">
        <w:t xml:space="preserve"> will continue to work with industry, through co-investment and appropriate regulation, to ensure that </w:t>
      </w:r>
      <w:r w:rsidR="0076765A" w:rsidRPr="000D61D6">
        <w:t xml:space="preserve">all </w:t>
      </w:r>
      <w:r w:rsidRPr="000D61D6">
        <w:t>Australians access the benefits of the digital economy.</w:t>
      </w:r>
    </w:p>
    <w:p w14:paraId="7FB6EEF0" w14:textId="38067905" w:rsidR="00EA01C3" w:rsidRPr="000D61D6" w:rsidRDefault="00183465" w:rsidP="00EA01C3">
      <w:r w:rsidRPr="000D61D6">
        <w:t>Finally, th</w:t>
      </w:r>
      <w:r w:rsidR="00FA200A">
        <w:t>e</w:t>
      </w:r>
      <w:r w:rsidRPr="000D61D6">
        <w:t xml:space="preserve"> </w:t>
      </w:r>
      <w:r w:rsidR="00FA200A">
        <w:t>Liberal and Nationals Government</w:t>
      </w:r>
      <w:r w:rsidRPr="000D61D6">
        <w:t xml:space="preserve"> has demonstrated a commitment to supporting regional, rural and remote consumers to access independent advice and information about the most appropriate connectivity options for their needs. In line with the Committee’s recommendations, we will continue to build on existing connectivity literacy measures, particularly through the Regional Tech Hub, to empower regional users in getting and staying connected. We will also work to make sure that telecommunications services are affordable and accessible for vulnerable regional cohorts.</w:t>
      </w:r>
    </w:p>
    <w:p w14:paraId="27F9618E" w14:textId="6B5D73FB" w:rsidR="00EA01C3" w:rsidRPr="000D61D6" w:rsidRDefault="00183465" w:rsidP="00EA01C3">
      <w:r w:rsidRPr="000D61D6">
        <w:t xml:space="preserve">The </w:t>
      </w:r>
      <w:r w:rsidR="00FA200A">
        <w:t>Liberal and Nationals Government</w:t>
      </w:r>
      <w:r w:rsidRPr="000D61D6">
        <w:t xml:space="preserve"> is committed to meeting the challenge laid out in the report – we will deliver a ‘step change’ in policies and programs to meet the step change in demand in regional Australia. </w:t>
      </w:r>
    </w:p>
    <w:p w14:paraId="25203B83" w14:textId="77777777" w:rsidR="00615C9F" w:rsidRDefault="00183465" w:rsidP="00EA01C3">
      <w:r w:rsidRPr="000D61D6">
        <w:t xml:space="preserve">Our response to each of the recommendations is detailed below. </w:t>
      </w:r>
    </w:p>
    <w:p w14:paraId="6097C989" w14:textId="7B3742BD" w:rsidR="00615C9F" w:rsidRPr="00400D8A" w:rsidRDefault="00A26952" w:rsidP="00EA01C3">
      <w:pPr>
        <w:rPr>
          <w:color w:val="000000"/>
        </w:rPr>
      </w:pPr>
      <w:r>
        <w:rPr>
          <w:color w:val="000000"/>
        </w:rPr>
        <w:t xml:space="preserve">The </w:t>
      </w:r>
      <w:r w:rsidR="00FA200A">
        <w:rPr>
          <w:color w:val="000000"/>
        </w:rPr>
        <w:t>Liberal and Nationals Government</w:t>
      </w:r>
      <w:r>
        <w:rPr>
          <w:color w:val="000000"/>
        </w:rPr>
        <w:t>’s total investment includes</w:t>
      </w:r>
      <w:r w:rsidRPr="00E131C7">
        <w:rPr>
          <w:color w:val="000000"/>
        </w:rPr>
        <w:t xml:space="preserve"> $</w:t>
      </w:r>
      <w:r>
        <w:rPr>
          <w:color w:val="000000"/>
        </w:rPr>
        <w:t>1.3</w:t>
      </w:r>
      <w:r w:rsidRPr="00E131C7">
        <w:rPr>
          <w:color w:val="000000"/>
        </w:rPr>
        <w:t xml:space="preserve"> billion in </w:t>
      </w:r>
      <w:r>
        <w:rPr>
          <w:color w:val="000000"/>
        </w:rPr>
        <w:t xml:space="preserve">funding for </w:t>
      </w:r>
      <w:r w:rsidRPr="00E131C7">
        <w:rPr>
          <w:color w:val="000000"/>
        </w:rPr>
        <w:t>regional telecommunications, incl</w:t>
      </w:r>
      <w:r>
        <w:rPr>
          <w:color w:val="000000"/>
        </w:rPr>
        <w:t>uding a</w:t>
      </w:r>
      <w:r w:rsidRPr="00E131C7">
        <w:rPr>
          <w:color w:val="000000"/>
        </w:rPr>
        <w:t xml:space="preserve"> </w:t>
      </w:r>
      <w:r w:rsidR="00615C9F">
        <w:rPr>
          <w:color w:val="000000"/>
        </w:rPr>
        <w:t xml:space="preserve">new </w:t>
      </w:r>
      <w:r w:rsidR="00502C56">
        <w:rPr>
          <w:color w:val="000000"/>
        </w:rPr>
        <w:t xml:space="preserve">Connecting </w:t>
      </w:r>
      <w:r w:rsidR="00615C9F">
        <w:rPr>
          <w:color w:val="000000"/>
        </w:rPr>
        <w:t xml:space="preserve">Regional </w:t>
      </w:r>
      <w:r w:rsidR="00502C56">
        <w:rPr>
          <w:color w:val="000000"/>
        </w:rPr>
        <w:t xml:space="preserve">Australia (CRA) initiative </w:t>
      </w:r>
      <w:r w:rsidR="00615C9F">
        <w:rPr>
          <w:color w:val="000000"/>
        </w:rPr>
        <w:t>of $</w:t>
      </w:r>
      <w:r w:rsidR="00520125">
        <w:rPr>
          <w:color w:val="000000"/>
        </w:rPr>
        <w:t>811</w:t>
      </w:r>
      <w:r w:rsidR="00EB5D15">
        <w:rPr>
          <w:color w:val="000000"/>
        </w:rPr>
        <w:t>.8</w:t>
      </w:r>
      <w:r w:rsidR="00615C9F">
        <w:rPr>
          <w:color w:val="000000"/>
        </w:rPr>
        <w:t xml:space="preserve"> million and </w:t>
      </w:r>
      <w:r w:rsidRPr="00E131C7">
        <w:rPr>
          <w:color w:val="000000"/>
        </w:rPr>
        <w:t>$</w:t>
      </w:r>
      <w:r>
        <w:rPr>
          <w:color w:val="000000"/>
        </w:rPr>
        <w:t>480 million</w:t>
      </w:r>
      <w:r w:rsidRPr="00E131C7">
        <w:rPr>
          <w:color w:val="000000"/>
        </w:rPr>
        <w:t xml:space="preserve"> </w:t>
      </w:r>
      <w:r w:rsidR="00615C9F" w:rsidRPr="00400D8A">
        <w:rPr>
          <w:color w:val="000000"/>
        </w:rPr>
        <w:t xml:space="preserve">towards an </w:t>
      </w:r>
      <w:r w:rsidRPr="00400D8A">
        <w:rPr>
          <w:color w:val="000000"/>
        </w:rPr>
        <w:t xml:space="preserve">uplift for the NBN Fixed Wireless network and associated Sky Muster service enhancements. </w:t>
      </w:r>
    </w:p>
    <w:p w14:paraId="42C05725" w14:textId="120855DB" w:rsidR="00B00275" w:rsidRPr="00400D8A" w:rsidRDefault="00B00275" w:rsidP="00B00275">
      <w:pPr>
        <w:rPr>
          <w:color w:val="000000"/>
        </w:rPr>
      </w:pPr>
      <w:r w:rsidRPr="00400D8A">
        <w:rPr>
          <w:color w:val="000000"/>
        </w:rPr>
        <w:t xml:space="preserve">When considered with expected co-investments by industry and state and territory governments, we anticipate the </w:t>
      </w:r>
      <w:r w:rsidR="00FA200A">
        <w:rPr>
          <w:color w:val="000000"/>
        </w:rPr>
        <w:t>Liberal and Nationals Government</w:t>
      </w:r>
      <w:r w:rsidRPr="00400D8A">
        <w:rPr>
          <w:color w:val="000000"/>
        </w:rPr>
        <w:t xml:space="preserve">’s investment of nearly $1.3 billion will deliver well over </w:t>
      </w:r>
      <w:r w:rsidRPr="00400D8A">
        <w:t xml:space="preserve">$2 billion </w:t>
      </w:r>
      <w:r w:rsidRPr="00400D8A">
        <w:rPr>
          <w:color w:val="000000"/>
        </w:rPr>
        <w:t xml:space="preserve">in total investment in telecommunications infrastructure in regional, rural, remote Australia in the coming years. </w:t>
      </w:r>
    </w:p>
    <w:p w14:paraId="13CC1692" w14:textId="5C966623" w:rsidR="00C377BD" w:rsidRDefault="00823C19" w:rsidP="005B535D">
      <w:pPr>
        <w:rPr>
          <w:color w:val="000000"/>
        </w:rPr>
      </w:pPr>
      <w:r w:rsidRPr="00400D8A">
        <w:t>In developing the response t</w:t>
      </w:r>
      <w:r w:rsidR="00183465" w:rsidRPr="00400D8A">
        <w:t xml:space="preserve">he Minister for Regionalisation, Regional Communications and Regional Education </w:t>
      </w:r>
      <w:r w:rsidR="00B00275" w:rsidRPr="00400D8A">
        <w:t xml:space="preserve">also </w:t>
      </w:r>
      <w:r w:rsidRPr="00400D8A">
        <w:t xml:space="preserve">wrote </w:t>
      </w:r>
      <w:r w:rsidR="00183465" w:rsidRPr="00400D8A">
        <w:t>to NBN Co</w:t>
      </w:r>
      <w:r w:rsidR="00745991" w:rsidRPr="00400D8A">
        <w:t>, Telstra, Optus, TPG</w:t>
      </w:r>
      <w:r w:rsidR="00183465" w:rsidRPr="00400D8A">
        <w:t xml:space="preserve"> </w:t>
      </w:r>
      <w:r w:rsidR="00B31F24" w:rsidRPr="00400D8A">
        <w:t>and others in</w:t>
      </w:r>
      <w:r w:rsidR="00183465" w:rsidRPr="00400D8A">
        <w:t xml:space="preserve"> the telecommunications industry to draw attention to specific recommendations in the report which are primarily or partially directed</w:t>
      </w:r>
      <w:r w:rsidR="00183465" w:rsidRPr="000D61D6">
        <w:t xml:space="preserve"> at these parties.</w:t>
      </w:r>
      <w:r>
        <w:t xml:space="preserve"> </w:t>
      </w:r>
      <w:r w:rsidR="00162F13">
        <w:t>Their responses identified a number of commercial initiatives, many substantive</w:t>
      </w:r>
      <w:r w:rsidR="00745991">
        <w:t xml:space="preserve"> and </w:t>
      </w:r>
      <w:r w:rsidR="00162F13">
        <w:t>already in the public domain</w:t>
      </w:r>
      <w:r w:rsidR="00745991">
        <w:t>,</w:t>
      </w:r>
      <w:r w:rsidR="00162F13">
        <w:t xml:space="preserve"> that will further improve service outcomes in regional, rural and remote Australia, and reinforce the Government’s response.</w:t>
      </w:r>
      <w:r w:rsidR="00EF10D9">
        <w:t xml:space="preserve"> These and other private sector investments include continuing expansion of 4G and 5G mobile, new transmission capacity, new access networks, new satellite solutions, and new international connectivity.</w:t>
      </w:r>
      <w:r w:rsidR="00C377BD">
        <w:rPr>
          <w:color w:val="000000"/>
        </w:rPr>
        <w:br w:type="page"/>
      </w:r>
    </w:p>
    <w:p w14:paraId="44DCD156" w14:textId="46C891E9" w:rsidR="00EA01C3" w:rsidRPr="000D61D6" w:rsidRDefault="00183465" w:rsidP="5D7F67FF">
      <w:pPr>
        <w:pBdr>
          <w:top w:val="single" w:sz="4" w:space="1" w:color="auto"/>
          <w:left w:val="single" w:sz="4" w:space="4" w:color="auto"/>
          <w:bottom w:val="single" w:sz="4" w:space="1" w:color="auto"/>
          <w:right w:val="single" w:sz="4" w:space="4" w:color="auto"/>
        </w:pBdr>
        <w:shd w:val="clear" w:color="auto" w:fill="DEEAF6" w:themeFill="accent1" w:themeFillTint="33"/>
        <w:rPr>
          <w:rStyle w:val="normaltextrun"/>
          <w:b/>
          <w:bCs/>
        </w:rPr>
      </w:pPr>
      <w:bookmarkStart w:id="4" w:name="_Toc98519190"/>
      <w:bookmarkStart w:id="5" w:name="_Toc89339088"/>
      <w:bookmarkStart w:id="6" w:name="_Toc89345014"/>
      <w:bookmarkStart w:id="7" w:name="_Toc89346167"/>
      <w:bookmarkStart w:id="8" w:name="_Toc89355909"/>
      <w:bookmarkStart w:id="9" w:name="_Toc89355972"/>
      <w:bookmarkStart w:id="10" w:name="_Toc89356897"/>
      <w:bookmarkStart w:id="11" w:name="_Toc89786608"/>
      <w:r w:rsidRPr="000D61D6">
        <w:rPr>
          <w:rStyle w:val="Heading3Char"/>
        </w:rPr>
        <w:lastRenderedPageBreak/>
        <w:t>Recommendation 1 - Longer term approach to regional communications infrastructure and digital skills:</w:t>
      </w:r>
      <w:bookmarkEnd w:id="4"/>
      <w:r w:rsidRPr="000D61D6">
        <w:rPr>
          <w:b/>
          <w:bCs/>
        </w:rPr>
        <w:t xml:space="preserve"> </w:t>
      </w:r>
      <w:r w:rsidRPr="000D61D6">
        <w:rPr>
          <w:rStyle w:val="normaltextrun"/>
          <w:rFonts w:ascii="Calibri" w:eastAsiaTheme="majorEastAsia" w:hAnsi="Calibri"/>
          <w:lang w:val="en-US"/>
        </w:rPr>
        <w:t>The</w:t>
      </w:r>
      <w:r w:rsidRPr="000D61D6">
        <w:rPr>
          <w:rStyle w:val="normaltextrun"/>
          <w:rFonts w:ascii="Calibri" w:eastAsiaTheme="majorEastAsia" w:hAnsi="Calibri" w:cs="Calibri"/>
          <w:lang w:val="en-US"/>
        </w:rPr>
        <w:t> </w:t>
      </w:r>
      <w:r w:rsidRPr="000D61D6">
        <w:rPr>
          <w:rStyle w:val="normaltextrun"/>
          <w:rFonts w:ascii="Calibri" w:eastAsiaTheme="majorEastAsia" w:hAnsi="Calibri"/>
          <w:lang w:val="en-US"/>
        </w:rPr>
        <w:t>Committee</w:t>
      </w:r>
      <w:r w:rsidRPr="000D61D6">
        <w:rPr>
          <w:rStyle w:val="normaltextrun"/>
          <w:rFonts w:ascii="Calibri" w:eastAsiaTheme="majorEastAsia" w:hAnsi="Calibri" w:cs="Calibri"/>
          <w:lang w:val="en-US"/>
        </w:rPr>
        <w:t> </w:t>
      </w:r>
      <w:r w:rsidRPr="000D61D6">
        <w:rPr>
          <w:rStyle w:val="normaltextrun"/>
          <w:rFonts w:ascii="Calibri" w:eastAsiaTheme="majorEastAsia" w:hAnsi="Calibri"/>
          <w:lang w:val="en-US"/>
        </w:rPr>
        <w:t>recommends the development of a long term investment and planning framework for digital infrastructure and regional digital capability. This includes increased coordination and investment between the Australian, state and territory governments and other relevant sectors to address connectivity in the regions.</w:t>
      </w:r>
      <w:bookmarkEnd w:id="5"/>
      <w:bookmarkEnd w:id="6"/>
      <w:bookmarkEnd w:id="7"/>
      <w:bookmarkEnd w:id="8"/>
      <w:bookmarkEnd w:id="9"/>
      <w:bookmarkEnd w:id="10"/>
      <w:bookmarkEnd w:id="11"/>
    </w:p>
    <w:p w14:paraId="6657B22C" w14:textId="301F803B" w:rsidR="00EA01C3" w:rsidRPr="000D61D6" w:rsidRDefault="00183465" w:rsidP="000D61D6">
      <w:pPr>
        <w:pStyle w:val="paragraph"/>
        <w:spacing w:before="0" w:beforeAutospacing="0" w:after="240" w:afterAutospacing="0"/>
        <w:textAlignment w:val="baseline"/>
        <w:rPr>
          <w:rStyle w:val="normaltextrun"/>
          <w:rFonts w:ascii="Calibri" w:eastAsiaTheme="majorEastAsia" w:hAnsi="Calibri"/>
          <w:sz w:val="22"/>
          <w:szCs w:val="22"/>
          <w:lang w:val="en-US"/>
        </w:rPr>
      </w:pPr>
      <w:r w:rsidRPr="000D61D6">
        <w:rPr>
          <w:rStyle w:val="normaltextrun"/>
          <w:rFonts w:ascii="Calibri" w:eastAsiaTheme="majorEastAsia" w:hAnsi="Calibri"/>
          <w:sz w:val="22"/>
          <w:szCs w:val="22"/>
          <w:lang w:val="en-US"/>
        </w:rPr>
        <w:t xml:space="preserve">The </w:t>
      </w:r>
      <w:r w:rsidR="00FA200A">
        <w:rPr>
          <w:rStyle w:val="normaltextrun"/>
          <w:rFonts w:ascii="Calibri" w:eastAsiaTheme="majorEastAsia" w:hAnsi="Calibri"/>
          <w:sz w:val="22"/>
          <w:szCs w:val="22"/>
          <w:lang w:val="en-US"/>
        </w:rPr>
        <w:t>Liberal and Nationals Government</w:t>
      </w:r>
      <w:r w:rsidRPr="000D61D6">
        <w:rPr>
          <w:rStyle w:val="normaltextrun"/>
          <w:rFonts w:ascii="Calibri" w:eastAsiaTheme="majorEastAsia" w:hAnsi="Calibri"/>
          <w:sz w:val="22"/>
          <w:szCs w:val="22"/>
          <w:lang w:val="en-US"/>
        </w:rPr>
        <w:t xml:space="preserve"> ag</w:t>
      </w:r>
      <w:r w:rsidRPr="000D61D6">
        <w:rPr>
          <w:rStyle w:val="normaltextrun"/>
          <w:rFonts w:asciiTheme="minorHAnsi" w:eastAsiaTheme="minorEastAsia" w:hAnsiTheme="minorHAnsi" w:cstheme="minorBidi"/>
          <w:sz w:val="22"/>
          <w:szCs w:val="22"/>
          <w:lang w:val="en-US"/>
        </w:rPr>
        <w:t>rees</w:t>
      </w:r>
      <w:r w:rsidRPr="000D61D6">
        <w:rPr>
          <w:rFonts w:asciiTheme="minorHAnsi" w:eastAsiaTheme="minorEastAsia" w:hAnsiTheme="minorHAnsi" w:cstheme="minorBidi"/>
        </w:rPr>
        <w:t xml:space="preserve"> to </w:t>
      </w:r>
      <w:r w:rsidRPr="000D61D6">
        <w:rPr>
          <w:rStyle w:val="normaltextrun"/>
          <w:rFonts w:asciiTheme="minorHAnsi" w:eastAsiaTheme="minorEastAsia" w:hAnsiTheme="minorHAnsi" w:cstheme="minorBidi"/>
          <w:sz w:val="22"/>
          <w:szCs w:val="22"/>
          <w:lang w:val="en-US"/>
        </w:rPr>
        <w:t xml:space="preserve">a </w:t>
      </w:r>
      <w:r w:rsidRPr="000D61D6">
        <w:rPr>
          <w:rStyle w:val="normaltextrun"/>
          <w:rFonts w:ascii="Calibri" w:eastAsiaTheme="majorEastAsia" w:hAnsi="Calibri"/>
          <w:sz w:val="22"/>
          <w:szCs w:val="22"/>
          <w:lang w:val="en-US"/>
        </w:rPr>
        <w:t xml:space="preserve">more coordinated strategic approach to regional communications. </w:t>
      </w:r>
    </w:p>
    <w:p w14:paraId="4D5B2B55" w14:textId="023EF002" w:rsidR="00EA01C3" w:rsidRPr="000D61D6" w:rsidRDefault="00183465" w:rsidP="000D61D6">
      <w:pPr>
        <w:pStyle w:val="paragraph"/>
        <w:spacing w:before="0" w:beforeAutospacing="0" w:after="240" w:afterAutospacing="0"/>
        <w:textAlignment w:val="baseline"/>
        <w:rPr>
          <w:rStyle w:val="normaltextrun"/>
          <w:rFonts w:ascii="Calibri" w:eastAsiaTheme="majorEastAsia" w:hAnsi="Calibri"/>
          <w:sz w:val="22"/>
          <w:szCs w:val="22"/>
          <w:lang w:val="en-US"/>
        </w:rPr>
      </w:pPr>
      <w:r w:rsidRPr="000D61D6">
        <w:rPr>
          <w:rStyle w:val="normaltextrun"/>
          <w:rFonts w:ascii="Calibri" w:eastAsiaTheme="majorEastAsia" w:hAnsi="Calibri"/>
          <w:sz w:val="22"/>
          <w:szCs w:val="22"/>
          <w:lang w:val="en-US"/>
        </w:rPr>
        <w:t xml:space="preserve">We note that the NBN represents an unprecedented strategic investment in digital connectivity infrastructure across Australia, including regional, rural and remote areas. Outside of the fixed line footprint, more than $4 billion has been invested in the rollout of the NBN fixed wireless and satellite networks, accessible to around one million farms, homes and businesses. The rollout of baseline services through the NBN has been guided by Government policy under the Statement of Expectations issued to NBN Co by its shareholder ministers, as well as the USG and related legislation. </w:t>
      </w:r>
    </w:p>
    <w:p w14:paraId="3D9A448E" w14:textId="43872E20" w:rsidR="00EA01C3" w:rsidRPr="000D61D6" w:rsidRDefault="00183465" w:rsidP="000D61D6">
      <w:pPr>
        <w:pStyle w:val="paragraph"/>
        <w:spacing w:before="0" w:beforeAutospacing="0" w:after="240" w:afterAutospacing="0"/>
        <w:textAlignment w:val="baseline"/>
        <w:rPr>
          <w:rStyle w:val="normaltextrun"/>
          <w:rFonts w:ascii="Calibri" w:eastAsiaTheme="majorEastAsia" w:hAnsi="Calibri"/>
          <w:sz w:val="22"/>
          <w:szCs w:val="22"/>
          <w:lang w:val="en-US"/>
        </w:rPr>
      </w:pPr>
      <w:r w:rsidRPr="000D61D6">
        <w:rPr>
          <w:rStyle w:val="normaltextrun"/>
          <w:rFonts w:ascii="Calibri" w:eastAsiaTheme="majorEastAsia" w:hAnsi="Calibri"/>
          <w:sz w:val="22"/>
          <w:szCs w:val="22"/>
          <w:lang w:val="en-US"/>
        </w:rPr>
        <w:t xml:space="preserve">The </w:t>
      </w:r>
      <w:r w:rsidR="00FA200A">
        <w:rPr>
          <w:rStyle w:val="normaltextrun"/>
          <w:rFonts w:ascii="Calibri" w:eastAsiaTheme="majorEastAsia" w:hAnsi="Calibri"/>
          <w:sz w:val="22"/>
          <w:szCs w:val="22"/>
          <w:lang w:val="en-US"/>
        </w:rPr>
        <w:t>Liberal and Nationals Government</w:t>
      </w:r>
      <w:r w:rsidRPr="000D61D6">
        <w:rPr>
          <w:rStyle w:val="normaltextrun"/>
          <w:rFonts w:ascii="Calibri" w:eastAsiaTheme="majorEastAsia" w:hAnsi="Calibri"/>
          <w:sz w:val="22"/>
          <w:szCs w:val="22"/>
          <w:lang w:val="en-US"/>
        </w:rPr>
        <w:t xml:space="preserve"> has also supplemented baseline connectivity through the MBSP and in areas of economic and social significance outside the NBN fixed line footprint through the RCP. </w:t>
      </w:r>
      <w:r w:rsidR="00E2728A">
        <w:rPr>
          <w:rStyle w:val="normaltextrun"/>
          <w:rFonts w:ascii="Calibri" w:eastAsiaTheme="majorEastAsia" w:hAnsi="Calibri"/>
          <w:sz w:val="22"/>
          <w:szCs w:val="22"/>
          <w:lang w:val="en-US"/>
        </w:rPr>
        <w:t>The RCP utilis</w:t>
      </w:r>
      <w:r w:rsidRPr="000D61D6">
        <w:rPr>
          <w:rStyle w:val="normaltextrun"/>
          <w:rFonts w:ascii="Calibri" w:eastAsiaTheme="majorEastAsia" w:hAnsi="Calibri"/>
          <w:sz w:val="22"/>
          <w:szCs w:val="22"/>
          <w:lang w:val="en-US"/>
        </w:rPr>
        <w:t>es a ‘place-based’ approach to investment which is informed by community needs, and seeks to work with other governments and stakeholders to deliver improved connectivity to specific areas.</w:t>
      </w:r>
    </w:p>
    <w:p w14:paraId="6244CBE8" w14:textId="34078B6E" w:rsidR="00EA01C3" w:rsidRPr="000D61D6" w:rsidRDefault="00183465" w:rsidP="000D61D6">
      <w:pPr>
        <w:pStyle w:val="paragraph"/>
        <w:spacing w:before="0" w:beforeAutospacing="0" w:after="240" w:afterAutospacing="0"/>
        <w:textAlignment w:val="baseline"/>
        <w:rPr>
          <w:rStyle w:val="normaltextrun"/>
          <w:rFonts w:ascii="Calibri" w:hAnsi="Calibri" w:cs="Calibri"/>
          <w:sz w:val="22"/>
          <w:szCs w:val="22"/>
          <w:lang w:val="en-US"/>
        </w:rPr>
      </w:pPr>
      <w:r w:rsidRPr="000D61D6">
        <w:rPr>
          <w:rStyle w:val="normaltextrun"/>
          <w:rFonts w:ascii="Calibri" w:hAnsi="Calibri" w:cs="Calibri"/>
          <w:sz w:val="22"/>
          <w:szCs w:val="22"/>
          <w:lang w:val="en-US"/>
        </w:rPr>
        <w:t xml:space="preserve">However, the </w:t>
      </w:r>
      <w:r w:rsidR="00FA200A">
        <w:rPr>
          <w:rStyle w:val="normaltextrun"/>
          <w:rFonts w:ascii="Calibri" w:hAnsi="Calibri" w:cs="Calibri"/>
          <w:sz w:val="22"/>
          <w:szCs w:val="22"/>
          <w:lang w:val="en-US"/>
        </w:rPr>
        <w:t>Liberal and Nationals Government</w:t>
      </w:r>
      <w:r w:rsidRPr="000D61D6">
        <w:rPr>
          <w:rStyle w:val="normaltextrun"/>
          <w:rFonts w:ascii="Calibri" w:hAnsi="Calibri" w:cs="Calibri"/>
          <w:sz w:val="22"/>
          <w:szCs w:val="22"/>
          <w:lang w:val="en-US"/>
        </w:rPr>
        <w:t xml:space="preserve"> recogni</w:t>
      </w:r>
      <w:r w:rsidR="00E2728A">
        <w:rPr>
          <w:rStyle w:val="normaltextrun"/>
          <w:rFonts w:ascii="Calibri" w:hAnsi="Calibri" w:cs="Calibri"/>
          <w:sz w:val="22"/>
          <w:szCs w:val="22"/>
          <w:lang w:val="en-US"/>
        </w:rPr>
        <w:t>s</w:t>
      </w:r>
      <w:r w:rsidRPr="000D61D6">
        <w:rPr>
          <w:rStyle w:val="normaltextrun"/>
          <w:rFonts w:ascii="Calibri" w:hAnsi="Calibri" w:cs="Calibri"/>
          <w:sz w:val="22"/>
          <w:szCs w:val="22"/>
          <w:lang w:val="en-US"/>
        </w:rPr>
        <w:t xml:space="preserve">es there is scope to improve regional telecommunications policy delivery and coordination with other parties across government, industry and the community. </w:t>
      </w:r>
      <w:r w:rsidR="00E2728A" w:rsidRPr="00E2728A">
        <w:rPr>
          <w:rStyle w:val="normaltextrun"/>
          <w:rFonts w:ascii="Calibri" w:hAnsi="Calibri" w:cs="Calibri"/>
          <w:sz w:val="22"/>
          <w:szCs w:val="22"/>
          <w:lang w:val="en-US"/>
        </w:rPr>
        <w:t>We agree with the Committee that Government investment could raise the level of service generally across regional communities by supporting wider objectives like social and economic advancement, regional recovery and regionalisation on a targeted basis. While raising some communities up, we need to avoid leaving others far behind.</w:t>
      </w:r>
    </w:p>
    <w:p w14:paraId="4E35B0B4" w14:textId="207CB974" w:rsidR="00B00275" w:rsidRDefault="00183465" w:rsidP="000D61D6">
      <w:pPr>
        <w:pStyle w:val="paragraph"/>
        <w:spacing w:before="0" w:beforeAutospacing="0" w:after="240" w:afterAutospacing="0"/>
        <w:textAlignment w:val="baseline"/>
        <w:rPr>
          <w:rStyle w:val="normaltextrun"/>
          <w:rFonts w:ascii="Calibri" w:hAnsi="Calibri" w:cs="Calibri"/>
          <w:sz w:val="22"/>
          <w:szCs w:val="22"/>
          <w:lang w:val="en-US"/>
        </w:rPr>
      </w:pPr>
      <w:r w:rsidRPr="00E70540">
        <w:rPr>
          <w:rStyle w:val="normaltextrun"/>
          <w:rFonts w:ascii="Calibri" w:hAnsi="Calibri" w:cs="Calibri"/>
          <w:sz w:val="22"/>
          <w:szCs w:val="22"/>
          <w:lang w:val="en-US"/>
        </w:rPr>
        <w:t xml:space="preserve">The </w:t>
      </w:r>
      <w:r w:rsidR="00FA200A">
        <w:rPr>
          <w:rStyle w:val="normaltextrun"/>
          <w:rFonts w:ascii="Calibri" w:hAnsi="Calibri" w:cs="Calibri"/>
          <w:sz w:val="22"/>
          <w:szCs w:val="22"/>
          <w:lang w:val="en-US"/>
        </w:rPr>
        <w:t>Liberal and Nationals Government</w:t>
      </w:r>
      <w:r w:rsidRPr="00E70540">
        <w:rPr>
          <w:rStyle w:val="normaltextrun"/>
          <w:rFonts w:ascii="Calibri" w:hAnsi="Calibri" w:cs="Calibri"/>
          <w:sz w:val="22"/>
          <w:szCs w:val="22"/>
          <w:lang w:val="en-US"/>
        </w:rPr>
        <w:t xml:space="preserve"> is preparing draft principles to this effect. The principles will place communications in the context of our other strategic initiatives, including our regionalisation agenda, the Digital Economy Strategy and Closing the Gap targets. </w:t>
      </w:r>
      <w:r w:rsidR="00E70540">
        <w:rPr>
          <w:rFonts w:asciiTheme="minorHAnsi" w:hAnsiTheme="minorHAnsi" w:cstheme="minorBidi"/>
          <w:sz w:val="22"/>
          <w:szCs w:val="22"/>
        </w:rPr>
        <w:t>This will recognise the key role robust, quality telecommunications play in our lives, including supporting key activities like agriculture, business, banking and finance, health, education, government service delivery, transport, tourism, public safety, emergency management and disaster recovery.</w:t>
      </w:r>
      <w:r w:rsidR="00AF73F7" w:rsidRPr="00E70540">
        <w:rPr>
          <w:rStyle w:val="normaltextrun"/>
          <w:rFonts w:ascii="Calibri" w:hAnsi="Calibri" w:cs="Calibri"/>
          <w:sz w:val="22"/>
          <w:szCs w:val="22"/>
          <w:lang w:val="en-US"/>
        </w:rPr>
        <w:t xml:space="preserve">  </w:t>
      </w:r>
    </w:p>
    <w:p w14:paraId="044F78B3" w14:textId="6BE35D59" w:rsidR="00EA01C3" w:rsidRPr="00E70540" w:rsidRDefault="00183465" w:rsidP="000D61D6">
      <w:pPr>
        <w:pStyle w:val="paragraph"/>
        <w:spacing w:before="0" w:beforeAutospacing="0" w:after="240" w:afterAutospacing="0"/>
        <w:textAlignment w:val="baseline"/>
        <w:rPr>
          <w:rStyle w:val="normaltextrun"/>
          <w:rFonts w:ascii="Calibri" w:hAnsi="Calibri" w:cs="Calibri"/>
          <w:sz w:val="22"/>
          <w:szCs w:val="22"/>
          <w:lang w:val="en-US"/>
        </w:rPr>
      </w:pPr>
      <w:r w:rsidRPr="00E70540">
        <w:rPr>
          <w:rStyle w:val="normaltextrun"/>
          <w:rFonts w:ascii="Calibri" w:hAnsi="Calibri" w:cs="Calibri"/>
          <w:sz w:val="22"/>
          <w:szCs w:val="22"/>
          <w:lang w:val="en-US"/>
        </w:rPr>
        <w:t>The draft principles will deal with long term objectives, targeting investment priorities and streamlining investment processes between governments to maximi</w:t>
      </w:r>
      <w:r w:rsidR="00E2728A">
        <w:rPr>
          <w:rStyle w:val="normaltextrun"/>
          <w:rFonts w:ascii="Calibri" w:hAnsi="Calibri" w:cs="Calibri"/>
          <w:sz w:val="22"/>
          <w:szCs w:val="22"/>
          <w:lang w:val="en-US"/>
        </w:rPr>
        <w:t>s</w:t>
      </w:r>
      <w:r w:rsidRPr="00E70540">
        <w:rPr>
          <w:rStyle w:val="normaltextrun"/>
          <w:rFonts w:ascii="Calibri" w:hAnsi="Calibri" w:cs="Calibri"/>
          <w:sz w:val="22"/>
          <w:szCs w:val="22"/>
          <w:lang w:val="en-US"/>
        </w:rPr>
        <w:t xml:space="preserve">e outcomes most efficiently while also acknowledging the role of regulatory safeguards in ensuring the provision of quality baseline services to all Australians. The </w:t>
      </w:r>
      <w:r w:rsidR="00FA200A">
        <w:rPr>
          <w:rStyle w:val="normaltextrun"/>
          <w:rFonts w:ascii="Calibri" w:hAnsi="Calibri" w:cs="Calibri"/>
          <w:sz w:val="22"/>
          <w:szCs w:val="22"/>
          <w:lang w:val="en-US"/>
        </w:rPr>
        <w:t>Liberal and Nationals Government</w:t>
      </w:r>
      <w:r w:rsidRPr="00E70540">
        <w:rPr>
          <w:rStyle w:val="normaltextrun"/>
          <w:rFonts w:ascii="Calibri" w:hAnsi="Calibri" w:cs="Calibri"/>
          <w:sz w:val="22"/>
          <w:szCs w:val="22"/>
          <w:lang w:val="en-US"/>
        </w:rPr>
        <w:t xml:space="preserve"> will consult key stakeholders, including state and territory governments, on these principles to ensure they are appropriate and effective.</w:t>
      </w:r>
    </w:p>
    <w:p w14:paraId="77D61057" w14:textId="0C8100BE" w:rsidR="00EA01C3" w:rsidRDefault="00183465" w:rsidP="000D61D6">
      <w:pPr>
        <w:pStyle w:val="paragraph"/>
        <w:spacing w:before="0" w:beforeAutospacing="0" w:after="240" w:afterAutospacing="0"/>
        <w:textAlignment w:val="baseline"/>
        <w:rPr>
          <w:rStyle w:val="normaltextrun"/>
          <w:rFonts w:ascii="Calibri" w:hAnsi="Calibri" w:cs="Calibri"/>
          <w:sz w:val="22"/>
          <w:szCs w:val="22"/>
          <w:lang w:val="en-US"/>
        </w:rPr>
      </w:pPr>
      <w:r w:rsidRPr="000D61D6">
        <w:rPr>
          <w:rStyle w:val="normaltextrun"/>
          <w:rFonts w:ascii="Calibri" w:hAnsi="Calibri" w:cs="Calibri"/>
          <w:sz w:val="22"/>
          <w:szCs w:val="22"/>
          <w:lang w:val="en-US"/>
        </w:rPr>
        <w:t xml:space="preserve">The Committee’s report also highlights a need for ‘living’ interactive mapping of telecommunications infrastructure, including fibre routes and their capacity, as part of the development of a strategic approach (p. 25). The </w:t>
      </w:r>
      <w:r w:rsidR="00FA200A">
        <w:rPr>
          <w:rStyle w:val="normaltextrun"/>
          <w:rFonts w:ascii="Calibri" w:hAnsi="Calibri" w:cs="Calibri"/>
          <w:sz w:val="22"/>
          <w:szCs w:val="22"/>
          <w:lang w:val="en-US"/>
        </w:rPr>
        <w:t>Liberal and Nationals Government</w:t>
      </w:r>
      <w:r w:rsidRPr="000D61D6">
        <w:rPr>
          <w:rStyle w:val="normaltextrun"/>
          <w:rFonts w:ascii="Calibri" w:hAnsi="Calibri" w:cs="Calibri"/>
          <w:sz w:val="22"/>
          <w:szCs w:val="22"/>
          <w:lang w:val="en-US"/>
        </w:rPr>
        <w:t xml:space="preserve"> agrees to this suggestion and will consider options to improve public information on regional telecommunications networks (see Recommendation 9).</w:t>
      </w:r>
    </w:p>
    <w:p w14:paraId="6424C767" w14:textId="107A351A" w:rsidR="00C377BD" w:rsidRDefault="00C377BD">
      <w:pPr>
        <w:spacing w:after="160" w:line="259" w:lineRule="auto"/>
        <w:rPr>
          <w:rStyle w:val="normaltextrun"/>
          <w:rFonts w:ascii="Calibri" w:eastAsia="Times New Roman" w:hAnsi="Calibri" w:cs="Calibri"/>
          <w:lang w:val="en-US" w:eastAsia="en-AU"/>
        </w:rPr>
      </w:pPr>
      <w:r>
        <w:rPr>
          <w:rStyle w:val="normaltextrun"/>
          <w:rFonts w:ascii="Calibri" w:hAnsi="Calibri" w:cs="Calibri"/>
          <w:lang w:val="en-US"/>
        </w:rPr>
        <w:br w:type="page"/>
      </w:r>
    </w:p>
    <w:p w14:paraId="6A3DC4FA" w14:textId="29CD880D" w:rsidR="00EA01C3" w:rsidRPr="000D61D6" w:rsidRDefault="00183465" w:rsidP="00B47F87">
      <w:pPr>
        <w:pBdr>
          <w:top w:val="single" w:sz="4" w:space="1" w:color="auto"/>
          <w:left w:val="single" w:sz="4" w:space="6" w:color="auto"/>
          <w:bottom w:val="single" w:sz="4" w:space="1" w:color="auto"/>
          <w:right w:val="single" w:sz="4" w:space="4" w:color="auto"/>
        </w:pBdr>
        <w:shd w:val="clear" w:color="auto" w:fill="DEEAF6" w:themeFill="accent1" w:themeFillTint="33"/>
        <w:rPr>
          <w:rStyle w:val="normaltextrun"/>
          <w:rFonts w:ascii="Calibri" w:eastAsiaTheme="majorEastAsia" w:hAnsi="Calibri"/>
          <w:lang w:val="en-US"/>
        </w:rPr>
      </w:pPr>
      <w:bookmarkStart w:id="12" w:name="_Toc98519191"/>
      <w:bookmarkStart w:id="13" w:name="_Toc89339089"/>
      <w:bookmarkStart w:id="14" w:name="_Toc89345015"/>
      <w:bookmarkStart w:id="15" w:name="_Toc89346168"/>
      <w:bookmarkStart w:id="16" w:name="_Toc89355910"/>
      <w:bookmarkStart w:id="17" w:name="_Toc89355973"/>
      <w:bookmarkStart w:id="18" w:name="_Toc89356898"/>
      <w:bookmarkStart w:id="19" w:name="_Toc89786609"/>
      <w:r w:rsidRPr="000D61D6">
        <w:rPr>
          <w:rStyle w:val="Heading3Char"/>
        </w:rPr>
        <w:lastRenderedPageBreak/>
        <w:t>Recommendation 2 - Enhanced connectivity investments:</w:t>
      </w:r>
      <w:bookmarkEnd w:id="12"/>
      <w:r w:rsidRPr="000D61D6">
        <w:rPr>
          <w:b/>
          <w:bCs/>
        </w:rPr>
        <w:t xml:space="preserve"> </w:t>
      </w:r>
      <w:r w:rsidRPr="000D61D6">
        <w:rPr>
          <w:rStyle w:val="normaltextrun"/>
          <w:rFonts w:ascii="Calibri" w:eastAsiaTheme="majorEastAsia" w:hAnsi="Calibri"/>
          <w:lang w:val="en-US"/>
        </w:rPr>
        <w:t>The Committee recommends that the Government continues, but significantly strengthens and enhances</w:t>
      </w:r>
      <w:r w:rsidRPr="000D61D6">
        <w:rPr>
          <w:rStyle w:val="normaltextrun"/>
          <w:rFonts w:ascii="Calibri" w:eastAsiaTheme="majorEastAsia" w:hAnsi="Calibri" w:cs="Calibri"/>
          <w:lang w:val="en-US"/>
        </w:rPr>
        <w:t>,</w:t>
      </w:r>
      <w:r w:rsidRPr="000D61D6">
        <w:rPr>
          <w:rStyle w:val="normaltextrun"/>
          <w:rFonts w:ascii="Calibri" w:eastAsiaTheme="majorEastAsia" w:hAnsi="Calibri"/>
          <w:lang w:val="en-US"/>
        </w:rPr>
        <w:t xml:space="preserve"> its commitment to large-scale multi-year connectivity investments. This</w:t>
      </w:r>
      <w:r w:rsidRPr="000D61D6">
        <w:rPr>
          <w:rStyle w:val="normaltextrun"/>
          <w:rFonts w:ascii="Calibri" w:eastAsiaTheme="majorEastAsia" w:hAnsi="Calibri"/>
        </w:rPr>
        <w:t xml:space="preserve"> recognises</w:t>
      </w:r>
      <w:r w:rsidRPr="000D61D6">
        <w:rPr>
          <w:rStyle w:val="normaltextrun"/>
          <w:rFonts w:ascii="Calibri" w:eastAsiaTheme="majorEastAsia" w:hAnsi="Calibri"/>
          <w:lang w:val="en-US"/>
        </w:rPr>
        <w:t xml:space="preserve"> the increased importance of digital infrastructure as a critical foundation to grow the digital economy and support</w:t>
      </w:r>
      <w:r w:rsidRPr="000D61D6">
        <w:rPr>
          <w:rStyle w:val="normaltextrun"/>
          <w:rFonts w:ascii="Calibri" w:eastAsiaTheme="majorEastAsia" w:hAnsi="Calibri"/>
        </w:rPr>
        <w:t xml:space="preserve"> regionalisation</w:t>
      </w:r>
      <w:r w:rsidRPr="000D61D6">
        <w:rPr>
          <w:rStyle w:val="normaltextrun"/>
          <w:rFonts w:ascii="Calibri" w:eastAsiaTheme="majorEastAsia" w:hAnsi="Calibri"/>
          <w:lang w:val="en-US"/>
        </w:rPr>
        <w:t>.</w:t>
      </w:r>
      <w:bookmarkEnd w:id="13"/>
      <w:bookmarkEnd w:id="14"/>
      <w:bookmarkEnd w:id="15"/>
      <w:bookmarkEnd w:id="16"/>
      <w:bookmarkEnd w:id="17"/>
      <w:bookmarkEnd w:id="18"/>
      <w:bookmarkEnd w:id="19"/>
    </w:p>
    <w:p w14:paraId="5EBA8FE6" w14:textId="77777777" w:rsidR="00EA01C3" w:rsidRPr="000D61D6" w:rsidRDefault="00183465" w:rsidP="00B47F87">
      <w:pPr>
        <w:pBdr>
          <w:top w:val="single" w:sz="4" w:space="1" w:color="auto"/>
          <w:left w:val="single" w:sz="4" w:space="6" w:color="auto"/>
          <w:bottom w:val="single" w:sz="4" w:space="1" w:color="auto"/>
          <w:right w:val="single" w:sz="4" w:space="4" w:color="auto"/>
        </w:pBdr>
        <w:shd w:val="clear" w:color="auto" w:fill="DEEAF6" w:themeFill="accent1" w:themeFillTint="33"/>
        <w:rPr>
          <w:rStyle w:val="normaltextrun"/>
          <w:b/>
          <w:bCs/>
        </w:rPr>
      </w:pPr>
      <w:r w:rsidRPr="000D61D6">
        <w:rPr>
          <w:rStyle w:val="normaltextrun"/>
          <w:rFonts w:ascii="Calibri" w:eastAsiaTheme="majorEastAsia" w:hAnsi="Calibri"/>
          <w:lang w:val="en-US"/>
        </w:rPr>
        <w:t>The Committee further recommends that:</w:t>
      </w:r>
    </w:p>
    <w:p w14:paraId="362F45AB" w14:textId="77777777" w:rsidR="00EA01C3" w:rsidRPr="000D61D6" w:rsidRDefault="00183465" w:rsidP="00B47F87">
      <w:pPr>
        <w:pStyle w:val="paragraph"/>
        <w:numPr>
          <w:ilvl w:val="0"/>
          <w:numId w:val="5"/>
        </w:numPr>
        <w:pBdr>
          <w:top w:val="single" w:sz="4" w:space="1" w:color="auto"/>
          <w:left w:val="single" w:sz="4" w:space="6" w:color="auto"/>
          <w:bottom w:val="single" w:sz="4" w:space="1" w:color="auto"/>
          <w:right w:val="single" w:sz="4" w:space="4" w:color="auto"/>
        </w:pBdr>
        <w:shd w:val="clear" w:color="auto" w:fill="DEEAF6" w:themeFill="accent1" w:themeFillTint="33"/>
        <w:spacing w:before="0" w:beforeAutospacing="0" w:after="0" w:afterAutospacing="0"/>
        <w:ind w:left="426" w:hanging="426"/>
        <w:textAlignment w:val="baseline"/>
        <w:rPr>
          <w:rStyle w:val="normaltextrun"/>
          <w:rFonts w:ascii="Calibri" w:eastAsiaTheme="majorEastAsia" w:hAnsi="Calibri"/>
          <w:sz w:val="22"/>
          <w:szCs w:val="22"/>
          <w:lang w:val="en-US"/>
        </w:rPr>
      </w:pPr>
      <w:r w:rsidRPr="000D61D6">
        <w:rPr>
          <w:rStyle w:val="normaltextrun"/>
          <w:rFonts w:ascii="Calibri" w:eastAsiaTheme="majorEastAsia" w:hAnsi="Calibri"/>
          <w:sz w:val="22"/>
          <w:szCs w:val="22"/>
          <w:lang w:val="en-US"/>
        </w:rPr>
        <w:t>the Government continues to support provision of new mobile coverage</w:t>
      </w:r>
    </w:p>
    <w:p w14:paraId="4E90862A" w14:textId="77777777" w:rsidR="00EA01C3" w:rsidRPr="000D61D6" w:rsidRDefault="00183465" w:rsidP="00B47F87">
      <w:pPr>
        <w:pStyle w:val="paragraph"/>
        <w:numPr>
          <w:ilvl w:val="0"/>
          <w:numId w:val="5"/>
        </w:numPr>
        <w:pBdr>
          <w:top w:val="single" w:sz="4" w:space="1" w:color="auto"/>
          <w:left w:val="single" w:sz="4" w:space="6" w:color="auto"/>
          <w:bottom w:val="single" w:sz="4" w:space="1" w:color="auto"/>
          <w:right w:val="single" w:sz="4" w:space="4" w:color="auto"/>
        </w:pBdr>
        <w:shd w:val="clear" w:color="auto" w:fill="DEEAF6" w:themeFill="accent1" w:themeFillTint="33"/>
        <w:spacing w:before="0" w:beforeAutospacing="0" w:after="0" w:afterAutospacing="0"/>
        <w:ind w:left="426" w:hanging="426"/>
        <w:textAlignment w:val="baseline"/>
        <w:rPr>
          <w:rStyle w:val="normaltextrun"/>
          <w:rFonts w:ascii="Calibri" w:eastAsiaTheme="majorEastAsia" w:hAnsi="Calibri"/>
          <w:sz w:val="22"/>
          <w:szCs w:val="22"/>
          <w:lang w:val="en-US"/>
        </w:rPr>
      </w:pPr>
      <w:r w:rsidRPr="000D61D6">
        <w:rPr>
          <w:rStyle w:val="normaltextrun"/>
          <w:rFonts w:ascii="Calibri" w:eastAsiaTheme="majorEastAsia" w:hAnsi="Calibri"/>
          <w:sz w:val="22"/>
          <w:szCs w:val="22"/>
          <w:lang w:val="en-US"/>
        </w:rPr>
        <w:t>the Government continues to be guided in its investments by the approach taken in the Regional Connectivity Program, incorporating a strategic ‘place-based’ approach</w:t>
      </w:r>
    </w:p>
    <w:p w14:paraId="0832F960" w14:textId="77777777" w:rsidR="009624C6" w:rsidRDefault="00183465" w:rsidP="00B47F87">
      <w:pPr>
        <w:pStyle w:val="paragraph"/>
        <w:numPr>
          <w:ilvl w:val="0"/>
          <w:numId w:val="5"/>
        </w:numPr>
        <w:pBdr>
          <w:top w:val="single" w:sz="4" w:space="1" w:color="auto"/>
          <w:left w:val="single" w:sz="4" w:space="6" w:color="auto"/>
          <w:bottom w:val="single" w:sz="4" w:space="1" w:color="auto"/>
          <w:right w:val="single" w:sz="4" w:space="4" w:color="auto"/>
        </w:pBdr>
        <w:shd w:val="clear" w:color="auto" w:fill="DEEAF6" w:themeFill="accent1" w:themeFillTint="33"/>
        <w:spacing w:before="0" w:beforeAutospacing="0" w:after="0" w:afterAutospacing="0"/>
        <w:ind w:left="426" w:hanging="426"/>
        <w:textAlignment w:val="baseline"/>
        <w:rPr>
          <w:rStyle w:val="normaltextrun"/>
          <w:rFonts w:ascii="Calibri" w:eastAsiaTheme="majorEastAsia" w:hAnsi="Calibri"/>
          <w:sz w:val="22"/>
          <w:szCs w:val="22"/>
          <w:lang w:val="en-US"/>
        </w:rPr>
      </w:pPr>
      <w:r w:rsidRPr="000D61D6">
        <w:rPr>
          <w:rStyle w:val="normaltextrun"/>
          <w:rFonts w:ascii="Calibri" w:eastAsiaTheme="majorEastAsia" w:hAnsi="Calibri"/>
          <w:sz w:val="22"/>
          <w:szCs w:val="22"/>
          <w:lang w:val="en-US"/>
        </w:rPr>
        <w:t>the Government’s investments should also:</w:t>
      </w:r>
    </w:p>
    <w:p w14:paraId="02992633" w14:textId="77777777" w:rsidR="00B47F87" w:rsidRDefault="00B47F87" w:rsidP="00B47F87">
      <w:pPr>
        <w:pStyle w:val="paragraph"/>
        <w:pBdr>
          <w:top w:val="single" w:sz="4" w:space="1" w:color="auto"/>
          <w:left w:val="single" w:sz="4" w:space="6" w:color="auto"/>
          <w:bottom w:val="single" w:sz="4" w:space="1" w:color="auto"/>
          <w:right w:val="single" w:sz="4" w:space="4" w:color="auto"/>
        </w:pBdr>
        <w:shd w:val="clear" w:color="auto" w:fill="DEEAF6" w:themeFill="accent1" w:themeFillTint="33"/>
        <w:spacing w:before="0" w:beforeAutospacing="0" w:after="0" w:afterAutospacing="0"/>
        <w:ind w:firstLine="720"/>
        <w:textAlignment w:val="baseline"/>
        <w:rPr>
          <w:rStyle w:val="normaltextrun"/>
          <w:rFonts w:ascii="Calibri" w:eastAsiaTheme="majorEastAsia" w:hAnsi="Calibri"/>
          <w:sz w:val="22"/>
          <w:szCs w:val="22"/>
          <w:lang w:val="en-US"/>
        </w:rPr>
      </w:pPr>
      <w:r>
        <w:rPr>
          <w:rStyle w:val="normaltextrun"/>
          <w:rFonts w:ascii="Calibri" w:eastAsiaTheme="majorEastAsia" w:hAnsi="Calibri" w:cs="Calibri"/>
          <w:sz w:val="22"/>
          <w:szCs w:val="22"/>
          <w:lang w:val="en-US"/>
        </w:rPr>
        <w:t xml:space="preserve">- </w:t>
      </w:r>
      <w:r w:rsidR="00183465" w:rsidRPr="009624C6">
        <w:rPr>
          <w:rStyle w:val="normaltextrun"/>
          <w:rFonts w:ascii="Calibri" w:eastAsiaTheme="majorEastAsia" w:hAnsi="Calibri" w:cs="Calibri"/>
          <w:sz w:val="22"/>
          <w:szCs w:val="22"/>
          <w:lang w:val="en-US"/>
        </w:rPr>
        <w:t>encompass</w:t>
      </w:r>
      <w:r w:rsidR="00183465" w:rsidRPr="009624C6">
        <w:rPr>
          <w:rStyle w:val="normaltextrun"/>
          <w:rFonts w:ascii="Calibri" w:eastAsiaTheme="majorEastAsia" w:hAnsi="Calibri"/>
          <w:sz w:val="22"/>
          <w:szCs w:val="22"/>
          <w:lang w:val="en-US"/>
        </w:rPr>
        <w:t xml:space="preserve"> broader regional and industry sectoral outcomes</w:t>
      </w:r>
    </w:p>
    <w:p w14:paraId="09295DEC" w14:textId="77777777" w:rsidR="00B47F87" w:rsidRDefault="00B47F87" w:rsidP="00B47F87">
      <w:pPr>
        <w:pStyle w:val="paragraph"/>
        <w:pBdr>
          <w:top w:val="single" w:sz="4" w:space="1" w:color="auto"/>
          <w:left w:val="single" w:sz="4" w:space="6" w:color="auto"/>
          <w:bottom w:val="single" w:sz="4" w:space="1" w:color="auto"/>
          <w:right w:val="single" w:sz="4" w:space="4" w:color="auto"/>
        </w:pBdr>
        <w:shd w:val="clear" w:color="auto" w:fill="DEEAF6" w:themeFill="accent1" w:themeFillTint="33"/>
        <w:spacing w:before="0" w:beforeAutospacing="0" w:after="0" w:afterAutospacing="0"/>
        <w:ind w:firstLine="720"/>
        <w:textAlignment w:val="baseline"/>
        <w:rPr>
          <w:rStyle w:val="normaltextrun"/>
          <w:rFonts w:ascii="Calibri" w:eastAsiaTheme="majorEastAsia" w:hAnsi="Calibri"/>
          <w:sz w:val="22"/>
          <w:szCs w:val="22"/>
          <w:lang w:val="en-US"/>
        </w:rPr>
      </w:pPr>
      <w:r>
        <w:rPr>
          <w:rStyle w:val="normaltextrun"/>
          <w:rFonts w:ascii="Calibri" w:eastAsiaTheme="majorEastAsia" w:hAnsi="Calibri"/>
          <w:sz w:val="22"/>
          <w:szCs w:val="22"/>
          <w:lang w:val="en-US"/>
        </w:rPr>
        <w:t xml:space="preserve">- </w:t>
      </w:r>
      <w:r w:rsidR="00183465" w:rsidRPr="00B47F87">
        <w:rPr>
          <w:rStyle w:val="normaltextrun"/>
          <w:rFonts w:ascii="Calibri" w:eastAsiaTheme="majorEastAsia" w:hAnsi="Calibri"/>
          <w:sz w:val="22"/>
          <w:szCs w:val="22"/>
          <w:lang w:val="en-US"/>
        </w:rPr>
        <w:t>address capacity and competition issues by providing additional backbone solutions; an</w:t>
      </w:r>
      <w:r>
        <w:rPr>
          <w:rStyle w:val="normaltextrun"/>
          <w:rFonts w:ascii="Calibri" w:eastAsiaTheme="majorEastAsia" w:hAnsi="Calibri"/>
          <w:sz w:val="22"/>
          <w:szCs w:val="22"/>
          <w:lang w:val="en-US"/>
        </w:rPr>
        <w:t>d</w:t>
      </w:r>
    </w:p>
    <w:p w14:paraId="2DC8E3EB" w14:textId="3CB85557" w:rsidR="00EA01C3" w:rsidRPr="00B47F87" w:rsidRDefault="00B47F87" w:rsidP="00B47F87">
      <w:pPr>
        <w:pStyle w:val="paragraph"/>
        <w:pBdr>
          <w:top w:val="single" w:sz="4" w:space="1" w:color="auto"/>
          <w:left w:val="single" w:sz="4" w:space="6" w:color="auto"/>
          <w:bottom w:val="single" w:sz="4" w:space="1" w:color="auto"/>
          <w:right w:val="single" w:sz="4" w:space="4" w:color="auto"/>
        </w:pBdr>
        <w:shd w:val="clear" w:color="auto" w:fill="DEEAF6" w:themeFill="accent1" w:themeFillTint="33"/>
        <w:spacing w:before="0" w:beforeAutospacing="0" w:after="0" w:afterAutospacing="0"/>
        <w:ind w:firstLine="720"/>
        <w:textAlignment w:val="baseline"/>
        <w:rPr>
          <w:rStyle w:val="normaltextrun"/>
          <w:rFonts w:ascii="Calibri" w:eastAsiaTheme="majorEastAsia" w:hAnsi="Calibri"/>
          <w:sz w:val="22"/>
          <w:szCs w:val="22"/>
          <w:lang w:val="en-US"/>
        </w:rPr>
      </w:pPr>
      <w:r>
        <w:rPr>
          <w:rStyle w:val="normaltextrun"/>
          <w:rFonts w:ascii="Calibri" w:eastAsiaTheme="majorEastAsia" w:hAnsi="Calibri" w:cs="Calibri"/>
          <w:sz w:val="22"/>
          <w:szCs w:val="22"/>
          <w:lang w:val="en-US"/>
        </w:rPr>
        <w:t xml:space="preserve">- </w:t>
      </w:r>
      <w:r w:rsidR="00183465" w:rsidRPr="00B47F87">
        <w:rPr>
          <w:rStyle w:val="normaltextrun"/>
          <w:rFonts w:ascii="Calibri" w:eastAsiaTheme="majorEastAsia" w:hAnsi="Calibri" w:cs="Calibri"/>
          <w:sz w:val="22"/>
          <w:szCs w:val="22"/>
          <w:lang w:val="en-US"/>
        </w:rPr>
        <w:t>consider funding vehicles which leverage private sector co-investment.</w:t>
      </w:r>
    </w:p>
    <w:p w14:paraId="5DC964FF" w14:textId="77777777" w:rsidR="009F16A8" w:rsidRDefault="009F16A8" w:rsidP="000D61D6">
      <w:pPr>
        <w:pStyle w:val="paragraph"/>
        <w:spacing w:before="0" w:beforeAutospacing="0" w:after="240" w:afterAutospacing="0"/>
        <w:textAlignment w:val="baseline"/>
        <w:rPr>
          <w:rStyle w:val="normaltextrun"/>
          <w:rFonts w:ascii="Calibri" w:hAnsi="Calibri" w:cs="Calibri"/>
          <w:sz w:val="22"/>
          <w:szCs w:val="22"/>
          <w:lang w:val="en-US"/>
        </w:rPr>
      </w:pPr>
    </w:p>
    <w:p w14:paraId="0EDC88BD" w14:textId="4C063198" w:rsidR="00EA01C3" w:rsidRPr="000D61D6" w:rsidRDefault="00183465" w:rsidP="000D61D6">
      <w:pPr>
        <w:pStyle w:val="paragraph"/>
        <w:spacing w:before="0" w:beforeAutospacing="0" w:after="240" w:afterAutospacing="0"/>
        <w:textAlignment w:val="baseline"/>
        <w:rPr>
          <w:rStyle w:val="normaltextrun"/>
          <w:rFonts w:ascii="Calibri" w:hAnsi="Calibri" w:cs="Calibri"/>
          <w:sz w:val="22"/>
          <w:szCs w:val="22"/>
          <w:lang w:val="en-US"/>
        </w:rPr>
      </w:pPr>
      <w:r w:rsidRPr="000D61D6">
        <w:rPr>
          <w:rStyle w:val="normaltextrun"/>
          <w:rFonts w:ascii="Calibri" w:hAnsi="Calibri" w:cs="Calibri"/>
          <w:sz w:val="22"/>
          <w:szCs w:val="22"/>
          <w:lang w:val="en-US"/>
        </w:rPr>
        <w:t xml:space="preserve">The </w:t>
      </w:r>
      <w:r w:rsidR="00FA200A">
        <w:rPr>
          <w:rStyle w:val="normaltextrun"/>
          <w:rFonts w:ascii="Calibri" w:hAnsi="Calibri" w:cs="Calibri"/>
          <w:sz w:val="22"/>
          <w:szCs w:val="22"/>
          <w:lang w:val="en-US"/>
        </w:rPr>
        <w:t>Liberal and Nationals Government</w:t>
      </w:r>
      <w:r w:rsidRPr="000D61D6">
        <w:rPr>
          <w:rStyle w:val="normaltextrun"/>
          <w:rFonts w:ascii="Calibri" w:hAnsi="Calibri" w:cs="Calibri"/>
          <w:sz w:val="22"/>
          <w:szCs w:val="22"/>
          <w:lang w:val="en-US"/>
        </w:rPr>
        <w:t xml:space="preserve"> agrees to a further large-scale multi-year connectivity investment in digital infrastructure and skills. </w:t>
      </w:r>
    </w:p>
    <w:p w14:paraId="3D767062" w14:textId="24A97361" w:rsidR="00EA01C3" w:rsidRPr="000D61D6" w:rsidRDefault="00183465" w:rsidP="000D61D6">
      <w:pPr>
        <w:pStyle w:val="paragraph"/>
        <w:spacing w:before="0" w:beforeAutospacing="0" w:after="240" w:afterAutospacing="0"/>
        <w:textAlignment w:val="baseline"/>
        <w:rPr>
          <w:rStyle w:val="normaltextrun"/>
          <w:rFonts w:asciiTheme="minorHAnsi" w:eastAsiaTheme="minorEastAsia" w:hAnsiTheme="minorHAnsi" w:cstheme="minorBidi"/>
          <w:sz w:val="22"/>
          <w:szCs w:val="22"/>
          <w:lang w:val="en-US"/>
        </w:rPr>
      </w:pPr>
      <w:r w:rsidRPr="000D61D6">
        <w:rPr>
          <w:rStyle w:val="normaltextrun"/>
          <w:rFonts w:ascii="Calibri" w:hAnsi="Calibri" w:cs="Calibri"/>
          <w:sz w:val="22"/>
          <w:szCs w:val="22"/>
          <w:lang w:val="en-US"/>
        </w:rPr>
        <w:t xml:space="preserve">The </w:t>
      </w:r>
      <w:r w:rsidR="00FA200A">
        <w:rPr>
          <w:rStyle w:val="normaltextrun"/>
          <w:rFonts w:ascii="Calibri" w:hAnsi="Calibri" w:cs="Calibri"/>
          <w:sz w:val="22"/>
          <w:szCs w:val="22"/>
          <w:lang w:val="en-US"/>
        </w:rPr>
        <w:t>Liberal and Nationals Government</w:t>
      </w:r>
      <w:r w:rsidRPr="000D61D6">
        <w:rPr>
          <w:rStyle w:val="normaltextrun"/>
          <w:rFonts w:ascii="Calibri" w:hAnsi="Calibri" w:cs="Calibri"/>
          <w:sz w:val="22"/>
          <w:szCs w:val="22"/>
          <w:lang w:val="en-US"/>
        </w:rPr>
        <w:t xml:space="preserve"> proposes a new $</w:t>
      </w:r>
      <w:r w:rsidR="00BB115B">
        <w:rPr>
          <w:rStyle w:val="normaltextrun"/>
          <w:rFonts w:ascii="Calibri" w:hAnsi="Calibri" w:cs="Calibri"/>
          <w:sz w:val="22"/>
          <w:szCs w:val="22"/>
          <w:lang w:val="en-US"/>
        </w:rPr>
        <w:t>811</w:t>
      </w:r>
      <w:r w:rsidR="005E6490">
        <w:rPr>
          <w:rStyle w:val="normaltextrun"/>
          <w:rFonts w:ascii="Calibri" w:hAnsi="Calibri" w:cs="Calibri"/>
          <w:sz w:val="22"/>
          <w:szCs w:val="22"/>
          <w:lang w:val="en-US"/>
        </w:rPr>
        <w:t>.</w:t>
      </w:r>
      <w:r w:rsidR="00BB115B">
        <w:rPr>
          <w:rStyle w:val="normaltextrun"/>
          <w:rFonts w:ascii="Calibri" w:hAnsi="Calibri" w:cs="Calibri"/>
          <w:sz w:val="22"/>
          <w:szCs w:val="22"/>
          <w:lang w:val="en-US"/>
        </w:rPr>
        <w:t>8</w:t>
      </w:r>
      <w:r w:rsidRPr="000D61D6">
        <w:rPr>
          <w:rStyle w:val="normaltextrun"/>
          <w:rFonts w:ascii="Calibri" w:hAnsi="Calibri" w:cs="Calibri"/>
          <w:sz w:val="22"/>
          <w:szCs w:val="22"/>
          <w:lang w:val="en-US"/>
        </w:rPr>
        <w:t xml:space="preserve"> million </w:t>
      </w:r>
      <w:r w:rsidR="00502C56">
        <w:rPr>
          <w:rStyle w:val="normaltextrun"/>
          <w:rFonts w:ascii="Calibri" w:hAnsi="Calibri" w:cs="Calibri"/>
          <w:sz w:val="22"/>
          <w:szCs w:val="22"/>
          <w:lang w:val="en-US"/>
        </w:rPr>
        <w:t xml:space="preserve">Connecting Regional Australia </w:t>
      </w:r>
      <w:r w:rsidRPr="000D61D6">
        <w:rPr>
          <w:rStyle w:val="normaltextrun"/>
          <w:rFonts w:ascii="Calibri" w:hAnsi="Calibri" w:cs="Calibri"/>
          <w:sz w:val="22"/>
          <w:szCs w:val="22"/>
          <w:lang w:val="en-US"/>
        </w:rPr>
        <w:t>(</w:t>
      </w:r>
      <w:r w:rsidR="00502C56">
        <w:rPr>
          <w:rStyle w:val="normaltextrun"/>
          <w:rFonts w:ascii="Calibri" w:hAnsi="Calibri" w:cs="Calibri"/>
          <w:sz w:val="22"/>
          <w:szCs w:val="22"/>
          <w:lang w:val="en-US"/>
        </w:rPr>
        <w:t>CRA</w:t>
      </w:r>
      <w:r w:rsidRPr="000D61D6">
        <w:rPr>
          <w:rStyle w:val="normaltextrun"/>
          <w:rFonts w:ascii="Calibri" w:hAnsi="Calibri" w:cs="Calibri"/>
          <w:sz w:val="22"/>
          <w:szCs w:val="22"/>
          <w:lang w:val="en-US"/>
        </w:rPr>
        <w:t xml:space="preserve">) </w:t>
      </w:r>
      <w:r w:rsidR="00502C56">
        <w:rPr>
          <w:rStyle w:val="normaltextrun"/>
          <w:rFonts w:ascii="Calibri" w:hAnsi="Calibri" w:cs="Calibri"/>
          <w:sz w:val="22"/>
          <w:szCs w:val="22"/>
          <w:lang w:val="en-US"/>
        </w:rPr>
        <w:t xml:space="preserve">initiative </w:t>
      </w:r>
      <w:r w:rsidR="004230AE">
        <w:rPr>
          <w:rStyle w:val="normaltextrun"/>
          <w:rFonts w:ascii="Calibri" w:hAnsi="Calibri" w:cs="Calibri"/>
          <w:sz w:val="22"/>
          <w:szCs w:val="22"/>
          <w:lang w:val="en-US"/>
        </w:rPr>
        <w:t xml:space="preserve">that </w:t>
      </w:r>
      <w:r w:rsidR="00C85BE2">
        <w:rPr>
          <w:rStyle w:val="normaltextrun"/>
          <w:rFonts w:ascii="Calibri" w:hAnsi="Calibri" w:cs="Calibri"/>
          <w:sz w:val="22"/>
          <w:szCs w:val="22"/>
          <w:lang w:val="en-US"/>
        </w:rPr>
        <w:t xml:space="preserve">will </w:t>
      </w:r>
      <w:r w:rsidRPr="000D61D6">
        <w:rPr>
          <w:rStyle w:val="normaltextrun"/>
          <w:rFonts w:ascii="Calibri" w:hAnsi="Calibri" w:cs="Calibri"/>
          <w:sz w:val="22"/>
          <w:szCs w:val="22"/>
          <w:lang w:val="en-US"/>
        </w:rPr>
        <w:t>run over the next five financial years. The</w:t>
      </w:r>
      <w:r w:rsidR="00502C56">
        <w:rPr>
          <w:rStyle w:val="normaltextrun"/>
          <w:rFonts w:ascii="Calibri" w:hAnsi="Calibri" w:cs="Calibri"/>
          <w:sz w:val="22"/>
          <w:szCs w:val="22"/>
          <w:lang w:val="en-US"/>
        </w:rPr>
        <w:t xml:space="preserve"> CRA</w:t>
      </w:r>
      <w:r w:rsidR="00502C56" w:rsidRPr="000D61D6">
        <w:rPr>
          <w:rStyle w:val="normaltextrun"/>
          <w:rFonts w:ascii="Calibri" w:hAnsi="Calibri" w:cs="Calibri"/>
          <w:sz w:val="22"/>
          <w:szCs w:val="22"/>
          <w:lang w:val="en-US"/>
        </w:rPr>
        <w:t xml:space="preserve"> </w:t>
      </w:r>
      <w:r w:rsidRPr="000D61D6">
        <w:rPr>
          <w:rStyle w:val="normaltextrun"/>
          <w:rFonts w:ascii="Calibri" w:hAnsi="Calibri" w:cs="Calibri"/>
          <w:sz w:val="22"/>
          <w:szCs w:val="22"/>
          <w:lang w:val="en-US"/>
        </w:rPr>
        <w:t>will target six main streams, but will operate as a dynamic fund with the ability to redirect funds between streams to reflect priorities. The key streams are:</w:t>
      </w:r>
    </w:p>
    <w:p w14:paraId="03C24283" w14:textId="79AC7CC3" w:rsidR="00EA01C3" w:rsidRPr="000D61D6" w:rsidRDefault="00183465" w:rsidP="5D7F67FF">
      <w:pPr>
        <w:pStyle w:val="ListParagraph"/>
        <w:numPr>
          <w:ilvl w:val="2"/>
          <w:numId w:val="20"/>
        </w:numPr>
        <w:tabs>
          <w:tab w:val="left" w:pos="851"/>
        </w:tabs>
        <w:spacing w:before="120" w:after="120" w:line="240" w:lineRule="auto"/>
        <w:rPr>
          <w:rFonts w:cs="Arial"/>
        </w:rPr>
      </w:pPr>
      <w:r w:rsidRPr="000D61D6">
        <w:rPr>
          <w:rFonts w:eastAsiaTheme="minorEastAsia"/>
        </w:rPr>
        <w:t>expanding open access mobile coverage, including on major transport routes</w:t>
      </w:r>
      <w:r w:rsidR="000A4FCC">
        <w:rPr>
          <w:rFonts w:eastAsiaTheme="minorEastAsia"/>
        </w:rPr>
        <w:t xml:space="preserve"> and to</w:t>
      </w:r>
      <w:r w:rsidR="00B00275">
        <w:rPr>
          <w:rFonts w:eastAsiaTheme="minorEastAsia"/>
        </w:rPr>
        <w:t xml:space="preserve"> adjacent residences, businesses and tourist hotspots</w:t>
      </w:r>
    </w:p>
    <w:p w14:paraId="4E7E4613" w14:textId="37B13B00" w:rsidR="00EA01C3" w:rsidRPr="000D61D6" w:rsidRDefault="00183465" w:rsidP="5D7F67FF">
      <w:pPr>
        <w:pStyle w:val="ListParagraph"/>
        <w:numPr>
          <w:ilvl w:val="2"/>
          <w:numId w:val="20"/>
        </w:numPr>
        <w:tabs>
          <w:tab w:val="left" w:pos="851"/>
        </w:tabs>
        <w:spacing w:before="120" w:after="120" w:line="240" w:lineRule="auto"/>
        <w:rPr>
          <w:rFonts w:cs="Arial"/>
        </w:rPr>
      </w:pPr>
      <w:r w:rsidRPr="000D61D6">
        <w:rPr>
          <w:rFonts w:eastAsiaTheme="minorEastAsia"/>
        </w:rPr>
        <w:t>targeted investment to address specific needs, such as improving voice, broadband, mobile</w:t>
      </w:r>
      <w:r w:rsidR="00B00275">
        <w:rPr>
          <w:rFonts w:eastAsiaTheme="minorEastAsia"/>
        </w:rPr>
        <w:t>, business</w:t>
      </w:r>
      <w:r w:rsidRPr="000D61D6">
        <w:rPr>
          <w:rFonts w:eastAsiaTheme="minorEastAsia"/>
        </w:rPr>
        <w:t xml:space="preserve"> and backhaul services where required</w:t>
      </w:r>
    </w:p>
    <w:p w14:paraId="5D53205E" w14:textId="77777777" w:rsidR="00EA01C3" w:rsidRPr="000D61D6" w:rsidRDefault="00183465" w:rsidP="5D7F67FF">
      <w:pPr>
        <w:pStyle w:val="ListParagraph"/>
        <w:numPr>
          <w:ilvl w:val="2"/>
          <w:numId w:val="20"/>
        </w:numPr>
        <w:tabs>
          <w:tab w:val="left" w:pos="851"/>
        </w:tabs>
        <w:spacing w:before="120" w:after="120" w:line="240" w:lineRule="auto"/>
        <w:rPr>
          <w:rFonts w:cs="Arial"/>
        </w:rPr>
      </w:pPr>
      <w:r w:rsidRPr="000D61D6">
        <w:rPr>
          <w:rFonts w:eastAsiaTheme="minorEastAsia"/>
        </w:rPr>
        <w:t>improving the resilience of infrastructure</w:t>
      </w:r>
    </w:p>
    <w:p w14:paraId="590D8B57" w14:textId="77777777" w:rsidR="00EA01C3" w:rsidRPr="000D61D6" w:rsidRDefault="00183465" w:rsidP="5D7F67FF">
      <w:pPr>
        <w:pStyle w:val="ListParagraph"/>
        <w:numPr>
          <w:ilvl w:val="2"/>
          <w:numId w:val="20"/>
        </w:numPr>
        <w:tabs>
          <w:tab w:val="left" w:pos="851"/>
        </w:tabs>
        <w:spacing w:before="120" w:after="120" w:line="240" w:lineRule="auto"/>
        <w:rPr>
          <w:rFonts w:cs="Arial"/>
        </w:rPr>
      </w:pPr>
      <w:r w:rsidRPr="000D61D6">
        <w:rPr>
          <w:rFonts w:eastAsiaTheme="minorEastAsia"/>
        </w:rPr>
        <w:t>emerging technology trials</w:t>
      </w:r>
    </w:p>
    <w:p w14:paraId="77A77699" w14:textId="77777777" w:rsidR="00EA01C3" w:rsidRPr="000D61D6" w:rsidRDefault="00183465" w:rsidP="5D7F67FF">
      <w:pPr>
        <w:pStyle w:val="ListParagraph"/>
        <w:numPr>
          <w:ilvl w:val="2"/>
          <w:numId w:val="20"/>
        </w:numPr>
        <w:tabs>
          <w:tab w:val="left" w:pos="851"/>
        </w:tabs>
        <w:spacing w:before="120" w:after="120" w:line="240" w:lineRule="auto"/>
        <w:rPr>
          <w:rFonts w:cs="Arial"/>
        </w:rPr>
      </w:pPr>
      <w:r w:rsidRPr="000D61D6">
        <w:rPr>
          <w:rFonts w:eastAsiaTheme="minorEastAsia"/>
        </w:rPr>
        <w:t>improving Indigenous connectivity</w:t>
      </w:r>
    </w:p>
    <w:p w14:paraId="6E7DBE4B" w14:textId="551352F2" w:rsidR="00EA01C3" w:rsidRPr="000D61D6" w:rsidRDefault="00A539CE" w:rsidP="5D7F67FF">
      <w:pPr>
        <w:pStyle w:val="ListParagraph"/>
        <w:numPr>
          <w:ilvl w:val="2"/>
          <w:numId w:val="20"/>
        </w:numPr>
        <w:tabs>
          <w:tab w:val="left" w:pos="851"/>
        </w:tabs>
        <w:spacing w:before="120" w:after="120" w:line="240" w:lineRule="auto"/>
        <w:rPr>
          <w:rFonts w:cs="Arial"/>
        </w:rPr>
      </w:pPr>
      <w:r>
        <w:rPr>
          <w:rFonts w:eastAsiaTheme="minorEastAsia"/>
        </w:rPr>
        <w:t>improving</w:t>
      </w:r>
      <w:r w:rsidRPr="000D61D6">
        <w:rPr>
          <w:rFonts w:eastAsiaTheme="minorEastAsia"/>
        </w:rPr>
        <w:t xml:space="preserve"> </w:t>
      </w:r>
      <w:r w:rsidR="00183465" w:rsidRPr="000D61D6">
        <w:rPr>
          <w:rFonts w:eastAsiaTheme="minorEastAsia"/>
        </w:rPr>
        <w:t>affordability.</w:t>
      </w:r>
    </w:p>
    <w:p w14:paraId="64845E51" w14:textId="4BF4FC44" w:rsidR="00A72BB6" w:rsidRDefault="00183465" w:rsidP="000D61D6">
      <w:pPr>
        <w:pStyle w:val="paragraph"/>
        <w:spacing w:before="0" w:beforeAutospacing="0" w:after="240" w:afterAutospacing="0"/>
        <w:textAlignment w:val="baseline"/>
        <w:rPr>
          <w:rStyle w:val="normaltextrun"/>
          <w:rFonts w:ascii="Calibri" w:hAnsi="Calibri" w:cs="Calibri"/>
          <w:sz w:val="22"/>
          <w:szCs w:val="22"/>
          <w:lang w:val="en-US"/>
        </w:rPr>
      </w:pPr>
      <w:r w:rsidRPr="000D61D6">
        <w:rPr>
          <w:rStyle w:val="normaltextrun"/>
          <w:rFonts w:ascii="Calibri" w:hAnsi="Calibri" w:cs="Calibri"/>
          <w:sz w:val="22"/>
          <w:szCs w:val="22"/>
          <w:lang w:val="en-US"/>
        </w:rPr>
        <w:t xml:space="preserve">As with previous programs, the </w:t>
      </w:r>
      <w:r w:rsidR="00502C56">
        <w:rPr>
          <w:rStyle w:val="normaltextrun"/>
          <w:rFonts w:ascii="Calibri" w:hAnsi="Calibri" w:cs="Calibri"/>
          <w:sz w:val="22"/>
          <w:szCs w:val="22"/>
          <w:lang w:val="en-US"/>
        </w:rPr>
        <w:t xml:space="preserve">CRA </w:t>
      </w:r>
      <w:r w:rsidRPr="000D61D6">
        <w:rPr>
          <w:rStyle w:val="normaltextrun"/>
          <w:rFonts w:ascii="Calibri" w:hAnsi="Calibri" w:cs="Calibri"/>
          <w:sz w:val="22"/>
          <w:szCs w:val="22"/>
          <w:lang w:val="en-US"/>
        </w:rPr>
        <w:t xml:space="preserve">will leverage complementary co-investment from industry and state, territory and local governments to extend the reach and impact of program funding. </w:t>
      </w:r>
      <w:r w:rsidR="00A72BB6">
        <w:rPr>
          <w:rStyle w:val="normaltextrun"/>
          <w:rFonts w:ascii="Calibri" w:hAnsi="Calibri" w:cs="Calibri"/>
          <w:sz w:val="22"/>
          <w:szCs w:val="22"/>
          <w:lang w:val="en-US"/>
        </w:rPr>
        <w:t xml:space="preserve"> </w:t>
      </w:r>
    </w:p>
    <w:p w14:paraId="452323CA" w14:textId="3FFF584A" w:rsidR="00EA01C3" w:rsidRPr="000D61D6" w:rsidRDefault="00183465" w:rsidP="000D61D6">
      <w:pPr>
        <w:pStyle w:val="paragraph"/>
        <w:spacing w:before="0" w:beforeAutospacing="0" w:after="240" w:afterAutospacing="0"/>
        <w:textAlignment w:val="baseline"/>
        <w:rPr>
          <w:rStyle w:val="normaltextrun"/>
          <w:rFonts w:ascii="Calibri" w:hAnsi="Calibri" w:cs="Calibri"/>
          <w:sz w:val="22"/>
          <w:szCs w:val="22"/>
          <w:lang w:val="en-US"/>
        </w:rPr>
      </w:pPr>
      <w:r w:rsidRPr="000D61D6">
        <w:rPr>
          <w:rStyle w:val="normaltextrun"/>
          <w:rFonts w:ascii="Calibri" w:hAnsi="Calibri" w:cs="Calibri"/>
          <w:sz w:val="22"/>
          <w:szCs w:val="22"/>
          <w:lang w:val="en-US"/>
        </w:rPr>
        <w:t xml:space="preserve">The </w:t>
      </w:r>
      <w:r w:rsidR="00FA200A">
        <w:rPr>
          <w:rStyle w:val="normaltextrun"/>
          <w:rFonts w:ascii="Calibri" w:hAnsi="Calibri" w:cs="Calibri"/>
          <w:sz w:val="22"/>
          <w:szCs w:val="22"/>
          <w:lang w:val="en-US"/>
        </w:rPr>
        <w:t>Liberal and Nationals Government</w:t>
      </w:r>
      <w:r w:rsidRPr="000D61D6">
        <w:rPr>
          <w:rStyle w:val="normaltextrun"/>
          <w:rFonts w:ascii="Calibri" w:hAnsi="Calibri" w:cs="Calibri"/>
          <w:sz w:val="22"/>
          <w:szCs w:val="22"/>
          <w:lang w:val="en-US"/>
        </w:rPr>
        <w:t xml:space="preserve"> agrees to take a strategic place-based approach to </w:t>
      </w:r>
      <w:r w:rsidR="00502C56">
        <w:rPr>
          <w:rStyle w:val="normaltextrun"/>
          <w:rFonts w:ascii="Calibri" w:hAnsi="Calibri" w:cs="Calibri"/>
          <w:sz w:val="22"/>
          <w:szCs w:val="22"/>
          <w:lang w:val="en-US"/>
        </w:rPr>
        <w:t>CRA in</w:t>
      </w:r>
      <w:r w:rsidRPr="000D61D6">
        <w:rPr>
          <w:rStyle w:val="normaltextrun"/>
          <w:rFonts w:ascii="Calibri" w:hAnsi="Calibri" w:cs="Calibri"/>
          <w:sz w:val="22"/>
          <w:szCs w:val="22"/>
          <w:lang w:val="en-US"/>
        </w:rPr>
        <w:t xml:space="preserve">vestment, noting policy and program design work will be required to ensure targeted funding supports strategic outcomes as envisaged by the Committee, the Government and the community. As a first step, </w:t>
      </w:r>
      <w:r w:rsidR="00FA200A">
        <w:rPr>
          <w:rStyle w:val="normaltextrun"/>
          <w:rFonts w:ascii="Calibri" w:hAnsi="Calibri" w:cs="Calibri"/>
          <w:sz w:val="22"/>
          <w:szCs w:val="22"/>
          <w:lang w:val="en-US"/>
        </w:rPr>
        <w:t>a proportion</w:t>
      </w:r>
      <w:r w:rsidR="005E6490">
        <w:rPr>
          <w:rStyle w:val="normaltextrun"/>
          <w:rFonts w:ascii="Calibri" w:hAnsi="Calibri" w:cs="Calibri"/>
          <w:sz w:val="22"/>
          <w:szCs w:val="22"/>
          <w:lang w:val="en-US"/>
        </w:rPr>
        <w:t xml:space="preserve"> of </w:t>
      </w:r>
      <w:r w:rsidR="00502C56">
        <w:rPr>
          <w:rStyle w:val="normaltextrun"/>
          <w:rFonts w:ascii="Calibri" w:hAnsi="Calibri" w:cs="Calibri"/>
          <w:sz w:val="22"/>
          <w:szCs w:val="22"/>
          <w:lang w:val="en-US"/>
        </w:rPr>
        <w:t>CRA</w:t>
      </w:r>
      <w:r w:rsidRPr="000D61D6">
        <w:rPr>
          <w:rStyle w:val="normaltextrun"/>
          <w:rFonts w:ascii="Calibri" w:hAnsi="Calibri" w:cs="Calibri"/>
          <w:sz w:val="22"/>
          <w:szCs w:val="22"/>
          <w:lang w:val="en-US"/>
        </w:rPr>
        <w:t xml:space="preserve"> funds will be earmarked for projects in Northern Australia which support the objectives of the </w:t>
      </w:r>
      <w:r w:rsidRPr="000D61D6">
        <w:rPr>
          <w:rStyle w:val="normaltextrun"/>
          <w:rFonts w:ascii="Calibri" w:hAnsi="Calibri" w:cs="Calibri"/>
          <w:i/>
          <w:iCs/>
          <w:sz w:val="22"/>
          <w:szCs w:val="22"/>
          <w:lang w:val="en-US"/>
        </w:rPr>
        <w:t>Our North Our Future 2021-2026: Targeted Growth</w:t>
      </w:r>
      <w:r w:rsidRPr="000D61D6">
        <w:rPr>
          <w:rStyle w:val="normaltextrun"/>
          <w:rFonts w:ascii="Calibri" w:hAnsi="Calibri" w:cs="Calibri"/>
          <w:sz w:val="22"/>
          <w:szCs w:val="22"/>
          <w:lang w:val="en-US"/>
        </w:rPr>
        <w:t xml:space="preserve"> plan.</w:t>
      </w:r>
    </w:p>
    <w:p w14:paraId="7020D878" w14:textId="2E5742AE" w:rsidR="002C6A44" w:rsidRPr="000D61D6" w:rsidRDefault="00183465" w:rsidP="000D61D6">
      <w:pPr>
        <w:pStyle w:val="paragraph"/>
        <w:spacing w:before="0" w:beforeAutospacing="0" w:after="240" w:afterAutospacing="0"/>
        <w:textAlignment w:val="baseline"/>
        <w:rPr>
          <w:rStyle w:val="normaltextrun"/>
          <w:rFonts w:ascii="Calibri" w:hAnsi="Calibri" w:cs="Calibri"/>
          <w:sz w:val="22"/>
          <w:szCs w:val="22"/>
          <w:lang w:val="en-US"/>
        </w:rPr>
      </w:pPr>
      <w:r w:rsidRPr="000D61D6">
        <w:rPr>
          <w:rStyle w:val="normaltextrun"/>
          <w:rFonts w:ascii="Calibri" w:hAnsi="Calibri" w:cs="Calibri"/>
          <w:sz w:val="22"/>
          <w:szCs w:val="22"/>
          <w:lang w:val="en-US"/>
        </w:rPr>
        <w:t xml:space="preserve">Additionally, </w:t>
      </w:r>
      <w:r w:rsidR="007521F4">
        <w:rPr>
          <w:rStyle w:val="normaltextrun"/>
          <w:rFonts w:ascii="Calibri" w:hAnsi="Calibri" w:cs="Calibri"/>
          <w:sz w:val="22"/>
          <w:szCs w:val="22"/>
          <w:lang w:val="en-US"/>
        </w:rPr>
        <w:t>a proportion</w:t>
      </w:r>
      <w:r w:rsidRPr="000D61D6">
        <w:rPr>
          <w:rStyle w:val="normaltextrun"/>
          <w:rFonts w:ascii="Calibri" w:hAnsi="Calibri" w:cs="Calibri"/>
          <w:sz w:val="22"/>
          <w:szCs w:val="22"/>
          <w:lang w:val="en-US"/>
        </w:rPr>
        <w:t xml:space="preserve"> of </w:t>
      </w:r>
      <w:r w:rsidR="00502C56">
        <w:rPr>
          <w:rStyle w:val="normaltextrun"/>
          <w:rFonts w:ascii="Calibri" w:hAnsi="Calibri" w:cs="Calibri"/>
          <w:sz w:val="22"/>
          <w:szCs w:val="22"/>
          <w:lang w:val="en-US"/>
        </w:rPr>
        <w:t>CRA</w:t>
      </w:r>
      <w:r w:rsidR="0022702D">
        <w:rPr>
          <w:rStyle w:val="normaltextrun"/>
          <w:rFonts w:ascii="Calibri" w:hAnsi="Calibri" w:cs="Calibri"/>
          <w:sz w:val="22"/>
          <w:szCs w:val="22"/>
          <w:lang w:val="en-US"/>
        </w:rPr>
        <w:t xml:space="preserve"> </w:t>
      </w:r>
      <w:r w:rsidRPr="000D61D6">
        <w:rPr>
          <w:rStyle w:val="normaltextrun"/>
          <w:rFonts w:ascii="Calibri" w:hAnsi="Calibri" w:cs="Calibri"/>
          <w:sz w:val="22"/>
          <w:szCs w:val="22"/>
          <w:lang w:val="en-US"/>
        </w:rPr>
        <w:t>funds will be allocated towards projects within the peri-urban fringe. As highlighted through the Review, including the consultation process, those living in peri-urban areas often experience the same issues relating to telecommunications services</w:t>
      </w:r>
      <w:r w:rsidR="00E2728A">
        <w:rPr>
          <w:rStyle w:val="normaltextrun"/>
          <w:rFonts w:ascii="Calibri" w:hAnsi="Calibri" w:cs="Calibri"/>
          <w:sz w:val="22"/>
          <w:szCs w:val="22"/>
          <w:lang w:val="en-US"/>
        </w:rPr>
        <w:t xml:space="preserve"> as those in regional areas</w:t>
      </w:r>
      <w:r w:rsidRPr="000D61D6">
        <w:rPr>
          <w:rStyle w:val="normaltextrun"/>
          <w:rFonts w:ascii="Calibri" w:hAnsi="Calibri" w:cs="Calibri"/>
          <w:sz w:val="22"/>
          <w:szCs w:val="22"/>
          <w:lang w:val="en-US"/>
        </w:rPr>
        <w:t>.</w:t>
      </w:r>
      <w:r w:rsidRPr="000D61D6">
        <w:t xml:space="preserve"> </w:t>
      </w:r>
      <w:r w:rsidRPr="000D61D6">
        <w:rPr>
          <w:rStyle w:val="normaltextrun"/>
          <w:rFonts w:ascii="Calibri" w:hAnsi="Calibri" w:cs="Calibri"/>
          <w:sz w:val="22"/>
          <w:szCs w:val="22"/>
          <w:lang w:val="en-US"/>
        </w:rPr>
        <w:t>This will provide funding for what are effectively continuation</w:t>
      </w:r>
      <w:r w:rsidR="4E16FFCA" w:rsidRPr="000D61D6">
        <w:rPr>
          <w:rStyle w:val="normaltextrun"/>
          <w:rFonts w:ascii="Calibri" w:hAnsi="Calibri" w:cs="Calibri"/>
          <w:sz w:val="22"/>
          <w:szCs w:val="22"/>
          <w:lang w:val="en-US"/>
        </w:rPr>
        <w:t>s</w:t>
      </w:r>
      <w:r w:rsidRPr="000D61D6">
        <w:rPr>
          <w:rStyle w:val="normaltextrun"/>
          <w:rFonts w:ascii="Calibri" w:hAnsi="Calibri" w:cs="Calibri"/>
          <w:sz w:val="22"/>
          <w:szCs w:val="22"/>
          <w:lang w:val="en-US"/>
        </w:rPr>
        <w:t xml:space="preserve"> of the Regional Connectivity and Peri-Urban Mobile Programs for our growing urban fringes, where our cities meet </w:t>
      </w:r>
      <w:r w:rsidR="00C85BE2">
        <w:rPr>
          <w:rStyle w:val="normaltextrun"/>
          <w:rFonts w:ascii="Calibri" w:hAnsi="Calibri" w:cs="Calibri"/>
          <w:sz w:val="22"/>
          <w:szCs w:val="22"/>
          <w:lang w:val="en-US"/>
        </w:rPr>
        <w:t xml:space="preserve">the </w:t>
      </w:r>
      <w:r w:rsidRPr="000D61D6">
        <w:rPr>
          <w:rStyle w:val="normaltextrun"/>
          <w:rFonts w:ascii="Calibri" w:hAnsi="Calibri" w:cs="Calibri"/>
          <w:sz w:val="22"/>
          <w:szCs w:val="22"/>
          <w:lang w:val="en-US"/>
        </w:rPr>
        <w:t>regions.</w:t>
      </w:r>
    </w:p>
    <w:p w14:paraId="371D5680" w14:textId="64A5CB2D" w:rsidR="00EA01C3" w:rsidRPr="000D61D6" w:rsidRDefault="00183465" w:rsidP="000D61D6">
      <w:pPr>
        <w:pStyle w:val="paragraph"/>
        <w:spacing w:before="0" w:beforeAutospacing="0" w:after="240" w:afterAutospacing="0"/>
        <w:textAlignment w:val="baseline"/>
        <w:rPr>
          <w:rStyle w:val="normaltextrun"/>
          <w:rFonts w:ascii="Calibri" w:hAnsi="Calibri" w:cs="Calibri"/>
          <w:sz w:val="22"/>
          <w:szCs w:val="22"/>
          <w:lang w:val="en-US"/>
        </w:rPr>
      </w:pPr>
      <w:r w:rsidRPr="000D61D6">
        <w:rPr>
          <w:rStyle w:val="normaltextrun"/>
          <w:rFonts w:ascii="Calibri" w:hAnsi="Calibri" w:cs="Calibri"/>
          <w:sz w:val="22"/>
          <w:szCs w:val="22"/>
          <w:lang w:val="en-US"/>
        </w:rPr>
        <w:t xml:space="preserve">The </w:t>
      </w:r>
      <w:r w:rsidR="00FA200A">
        <w:rPr>
          <w:rStyle w:val="normaltextrun"/>
          <w:rFonts w:ascii="Calibri" w:hAnsi="Calibri" w:cs="Calibri"/>
          <w:sz w:val="22"/>
          <w:szCs w:val="22"/>
          <w:lang w:val="en-US"/>
        </w:rPr>
        <w:t>Liberal and Nationals Government</w:t>
      </w:r>
      <w:r w:rsidRPr="000D61D6">
        <w:rPr>
          <w:rStyle w:val="normaltextrun"/>
          <w:rFonts w:ascii="Calibri" w:hAnsi="Calibri" w:cs="Calibri"/>
          <w:sz w:val="22"/>
          <w:szCs w:val="22"/>
          <w:lang w:val="en-US"/>
        </w:rPr>
        <w:t xml:space="preserve"> supports the proposed objectives for targeted investment, and broader sectoral outcomes and private sector investment being (as they have been in the past) part of a revised strategic approach. </w:t>
      </w:r>
    </w:p>
    <w:p w14:paraId="7B8C3D58" w14:textId="07F03DD9" w:rsidR="00EA01C3" w:rsidRPr="005B535D" w:rsidRDefault="00183465" w:rsidP="000D61D6">
      <w:pPr>
        <w:pStyle w:val="paragraph"/>
        <w:spacing w:before="0" w:beforeAutospacing="0" w:after="240" w:afterAutospacing="0"/>
        <w:textAlignment w:val="baseline"/>
        <w:rPr>
          <w:rStyle w:val="normaltextrun"/>
          <w:rFonts w:ascii="Calibri" w:hAnsi="Calibri" w:cs="Calibri"/>
          <w:sz w:val="22"/>
          <w:szCs w:val="22"/>
          <w:lang w:val="en-US"/>
        </w:rPr>
      </w:pPr>
      <w:r w:rsidRPr="005B535D">
        <w:rPr>
          <w:rStyle w:val="normaltextrun"/>
          <w:rFonts w:ascii="Calibri" w:hAnsi="Calibri" w:cs="Calibri"/>
          <w:sz w:val="22"/>
          <w:szCs w:val="22"/>
          <w:lang w:val="en-US"/>
        </w:rPr>
        <w:lastRenderedPageBreak/>
        <w:t xml:space="preserve">Proposals for additional backbone infrastructure will be able to be funded under the </w:t>
      </w:r>
      <w:r w:rsidR="00502C56" w:rsidRPr="005B535D">
        <w:rPr>
          <w:rStyle w:val="normaltextrun"/>
          <w:rFonts w:ascii="Calibri" w:hAnsi="Calibri" w:cs="Calibri"/>
          <w:sz w:val="22"/>
          <w:szCs w:val="22"/>
          <w:lang w:val="en-US"/>
        </w:rPr>
        <w:t>CRA</w:t>
      </w:r>
      <w:r w:rsidRPr="005B535D">
        <w:rPr>
          <w:rStyle w:val="normaltextrun"/>
          <w:rFonts w:ascii="Calibri" w:hAnsi="Calibri" w:cs="Calibri"/>
          <w:sz w:val="22"/>
          <w:szCs w:val="22"/>
          <w:lang w:val="en-US"/>
        </w:rPr>
        <w:t>, consistent with the Government’s broader policy framework and program guidelines. This could include opportunities to deploy open-access fibre backbone as part of other Government-funded infrastructure investments in transport and energy networks on a case-by-case basis.</w:t>
      </w:r>
    </w:p>
    <w:p w14:paraId="4E1A58CC" w14:textId="7A1D49E4" w:rsidR="00E12267" w:rsidRPr="000D61D6" w:rsidRDefault="00183465" w:rsidP="000D61D6">
      <w:pPr>
        <w:pStyle w:val="paragraph"/>
        <w:spacing w:before="0" w:beforeAutospacing="0" w:after="240" w:afterAutospacing="0"/>
        <w:textAlignment w:val="baseline"/>
        <w:rPr>
          <w:rStyle w:val="normaltextrun"/>
          <w:rFonts w:ascii="Calibri" w:eastAsiaTheme="minorEastAsia" w:hAnsi="Calibri" w:cs="Calibri"/>
          <w:sz w:val="22"/>
          <w:szCs w:val="22"/>
          <w:lang w:val="en-US"/>
        </w:rPr>
      </w:pPr>
      <w:r w:rsidRPr="005B535D">
        <w:rPr>
          <w:rStyle w:val="eop"/>
          <w:rFonts w:ascii="Calibri" w:eastAsiaTheme="minorEastAsia" w:hAnsi="Calibri" w:cs="Calibri"/>
          <w:sz w:val="22"/>
          <w:szCs w:val="22"/>
          <w:lang w:val="en-US"/>
        </w:rPr>
        <w:t xml:space="preserve">$418 million of the </w:t>
      </w:r>
      <w:r w:rsidR="00502C56" w:rsidRPr="005B535D">
        <w:rPr>
          <w:rStyle w:val="normaltextrun"/>
          <w:rFonts w:ascii="Calibri" w:hAnsi="Calibri" w:cs="Calibri"/>
          <w:sz w:val="22"/>
          <w:szCs w:val="22"/>
          <w:lang w:val="en-US"/>
        </w:rPr>
        <w:t>CRA</w:t>
      </w:r>
      <w:r w:rsidR="00502C56" w:rsidRPr="005B535D">
        <w:rPr>
          <w:rStyle w:val="eop"/>
          <w:rFonts w:ascii="Calibri" w:eastAsiaTheme="minorEastAsia" w:hAnsi="Calibri" w:cs="Calibri"/>
          <w:sz w:val="22"/>
          <w:szCs w:val="22"/>
          <w:lang w:val="en-US"/>
        </w:rPr>
        <w:t xml:space="preserve"> </w:t>
      </w:r>
      <w:r w:rsidRPr="005B535D">
        <w:rPr>
          <w:rStyle w:val="eop"/>
          <w:rFonts w:ascii="Calibri" w:eastAsiaTheme="minorEastAsia" w:hAnsi="Calibri" w:cs="Calibri"/>
          <w:sz w:val="22"/>
          <w:szCs w:val="22"/>
          <w:lang w:val="en-US"/>
        </w:rPr>
        <w:t xml:space="preserve">funding </w:t>
      </w:r>
      <w:r w:rsidR="00697D4D" w:rsidRPr="005B535D">
        <w:rPr>
          <w:rStyle w:val="eop"/>
          <w:rFonts w:ascii="Calibri" w:eastAsiaTheme="minorEastAsia" w:hAnsi="Calibri" w:cs="Calibri"/>
          <w:sz w:val="22"/>
          <w:szCs w:val="22"/>
          <w:lang w:val="en-US"/>
        </w:rPr>
        <w:t>has been</w:t>
      </w:r>
      <w:r w:rsidRPr="005B535D">
        <w:rPr>
          <w:rStyle w:val="eop"/>
          <w:rFonts w:ascii="Calibri" w:eastAsiaTheme="minorEastAsia" w:hAnsi="Calibri" w:cs="Calibri"/>
          <w:sz w:val="22"/>
          <w:szCs w:val="22"/>
          <w:lang w:val="en-US"/>
        </w:rPr>
        <w:t xml:space="preserve"> earmarked for </w:t>
      </w:r>
      <w:r w:rsidR="0022702D" w:rsidRPr="005B535D">
        <w:rPr>
          <w:rStyle w:val="eop"/>
          <w:rFonts w:ascii="Calibri" w:eastAsiaTheme="minorEastAsia" w:hAnsi="Calibri" w:cs="Calibri"/>
          <w:sz w:val="22"/>
          <w:szCs w:val="22"/>
          <w:lang w:val="en-US"/>
        </w:rPr>
        <w:t>an estimated</w:t>
      </w:r>
      <w:r w:rsidR="00823C19" w:rsidRPr="005B535D">
        <w:rPr>
          <w:rStyle w:val="eop"/>
          <w:rFonts w:ascii="Calibri" w:eastAsiaTheme="minorEastAsia" w:hAnsi="Calibri" w:cs="Calibri"/>
          <w:sz w:val="22"/>
          <w:szCs w:val="22"/>
          <w:lang w:val="en-US"/>
        </w:rPr>
        <w:t xml:space="preserve"> 8,000 k</w:t>
      </w:r>
      <w:r w:rsidR="00E2728A" w:rsidRPr="005B535D">
        <w:rPr>
          <w:rStyle w:val="eop"/>
          <w:rFonts w:ascii="Calibri" w:eastAsiaTheme="minorEastAsia" w:hAnsi="Calibri" w:cs="Calibri"/>
          <w:sz w:val="22"/>
          <w:szCs w:val="22"/>
          <w:lang w:val="en-US"/>
        </w:rPr>
        <w:t>ilo</w:t>
      </w:r>
      <w:r w:rsidR="00823C19" w:rsidRPr="005B535D">
        <w:rPr>
          <w:rStyle w:val="eop"/>
          <w:rFonts w:ascii="Calibri" w:eastAsiaTheme="minorEastAsia" w:hAnsi="Calibri" w:cs="Calibri"/>
          <w:sz w:val="22"/>
          <w:szCs w:val="22"/>
          <w:lang w:val="en-US"/>
        </w:rPr>
        <w:t>m</w:t>
      </w:r>
      <w:r w:rsidR="00E2728A" w:rsidRPr="005B535D">
        <w:rPr>
          <w:rStyle w:val="eop"/>
          <w:rFonts w:ascii="Calibri" w:eastAsiaTheme="minorEastAsia" w:hAnsi="Calibri" w:cs="Calibri"/>
          <w:sz w:val="22"/>
          <w:szCs w:val="22"/>
          <w:lang w:val="en-US"/>
        </w:rPr>
        <w:t>etres</w:t>
      </w:r>
      <w:r w:rsidR="00823C19" w:rsidRPr="005B535D">
        <w:rPr>
          <w:rStyle w:val="eop"/>
          <w:rFonts w:ascii="Calibri" w:eastAsiaTheme="minorEastAsia" w:hAnsi="Calibri" w:cs="Calibri"/>
          <w:sz w:val="22"/>
          <w:szCs w:val="22"/>
          <w:lang w:val="en-US"/>
        </w:rPr>
        <w:t xml:space="preserve"> of new </w:t>
      </w:r>
      <w:r w:rsidR="00697D4D" w:rsidRPr="005B535D">
        <w:rPr>
          <w:rStyle w:val="eop"/>
          <w:rFonts w:ascii="Calibri" w:eastAsiaTheme="minorEastAsia" w:hAnsi="Calibri" w:cs="Calibri"/>
          <w:sz w:val="22"/>
          <w:szCs w:val="22"/>
          <w:lang w:val="en-US"/>
        </w:rPr>
        <w:t xml:space="preserve">open access </w:t>
      </w:r>
      <w:r w:rsidRPr="005B535D">
        <w:rPr>
          <w:rStyle w:val="eop"/>
          <w:rFonts w:ascii="Calibri" w:eastAsiaTheme="minorEastAsia" w:hAnsi="Calibri" w:cs="Calibri"/>
          <w:sz w:val="22"/>
          <w:szCs w:val="22"/>
          <w:lang w:val="en-US"/>
        </w:rPr>
        <w:t>mobile coverage and $</w:t>
      </w:r>
      <w:r w:rsidR="003658A9" w:rsidRPr="005B535D">
        <w:rPr>
          <w:rStyle w:val="eop"/>
          <w:rFonts w:ascii="Calibri" w:eastAsiaTheme="minorEastAsia" w:hAnsi="Calibri" w:cs="Calibri"/>
          <w:sz w:val="22"/>
          <w:szCs w:val="22"/>
          <w:lang w:val="en-US"/>
        </w:rPr>
        <w:t>196.</w:t>
      </w:r>
      <w:r w:rsidRPr="005B535D">
        <w:rPr>
          <w:rStyle w:val="eop"/>
          <w:rFonts w:ascii="Calibri" w:eastAsiaTheme="minorEastAsia" w:hAnsi="Calibri" w:cs="Calibri"/>
          <w:sz w:val="22"/>
          <w:szCs w:val="22"/>
          <w:lang w:val="en-US"/>
        </w:rPr>
        <w:t>4 million for other place-based and targeted projects.</w:t>
      </w:r>
      <w:r w:rsidR="003658A9" w:rsidRPr="005B535D" w:rsidDel="003658A9">
        <w:rPr>
          <w:rStyle w:val="eop"/>
          <w:rFonts w:ascii="Calibri" w:eastAsiaTheme="minorEastAsia" w:hAnsi="Calibri" w:cs="Calibri"/>
          <w:sz w:val="22"/>
          <w:szCs w:val="22"/>
          <w:lang w:val="en-US"/>
        </w:rPr>
        <w:t xml:space="preserve"> </w:t>
      </w:r>
    </w:p>
    <w:p w14:paraId="63CD5F73" w14:textId="77777777" w:rsidR="00EA01C3" w:rsidRPr="000D61D6" w:rsidRDefault="00183465">
      <w:pPr>
        <w:pBdr>
          <w:top w:val="single" w:sz="4" w:space="1" w:color="auto"/>
          <w:left w:val="single" w:sz="4" w:space="1" w:color="auto"/>
          <w:bottom w:val="single" w:sz="4" w:space="1" w:color="auto"/>
          <w:right w:val="single" w:sz="4" w:space="1" w:color="auto"/>
        </w:pBdr>
        <w:shd w:val="clear" w:color="auto" w:fill="DEEAF6" w:themeFill="accent1" w:themeFillTint="33"/>
        <w:rPr>
          <w:rStyle w:val="normaltextrun"/>
          <w:rFonts w:ascii="Calibri" w:eastAsiaTheme="majorEastAsia" w:hAnsi="Calibri"/>
          <w:lang w:val="en-US"/>
        </w:rPr>
      </w:pPr>
      <w:bookmarkStart w:id="20" w:name="_Toc98519192"/>
      <w:bookmarkStart w:id="21" w:name="_Toc89339090"/>
      <w:bookmarkStart w:id="22" w:name="_Toc89345016"/>
      <w:bookmarkStart w:id="23" w:name="_Toc89346169"/>
      <w:bookmarkStart w:id="24" w:name="_Toc89355911"/>
      <w:bookmarkStart w:id="25" w:name="_Toc89355974"/>
      <w:bookmarkStart w:id="26" w:name="_Toc89356899"/>
      <w:bookmarkStart w:id="27" w:name="_Toc89786610"/>
      <w:r w:rsidRPr="000D61D6">
        <w:rPr>
          <w:rStyle w:val="Heading3Char"/>
        </w:rPr>
        <w:t>Recommendation 3 - Regional telecommunications resilience:</w:t>
      </w:r>
      <w:bookmarkEnd w:id="20"/>
      <w:r w:rsidRPr="000D61D6">
        <w:rPr>
          <w:b/>
          <w:bCs/>
        </w:rPr>
        <w:t xml:space="preserve"> </w:t>
      </w:r>
      <w:r w:rsidRPr="000D61D6">
        <w:rPr>
          <w:rStyle w:val="normaltextrun"/>
          <w:rFonts w:ascii="Calibri" w:eastAsiaTheme="majorEastAsia" w:hAnsi="Calibri"/>
          <w:lang w:val="en-US"/>
        </w:rPr>
        <w:t>The Committee recommends that the Government commits to a substantial</w:t>
      </w:r>
      <w:r w:rsidRPr="000D61D6">
        <w:rPr>
          <w:rStyle w:val="normaltextrun"/>
          <w:rFonts w:ascii="Calibri" w:eastAsiaTheme="majorEastAsia" w:hAnsi="Calibri" w:cs="Calibri"/>
          <w:lang w:val="en-US"/>
        </w:rPr>
        <w:t> </w:t>
      </w:r>
      <w:r w:rsidRPr="000D61D6">
        <w:rPr>
          <w:rStyle w:val="normaltextrun"/>
          <w:rFonts w:ascii="Calibri" w:eastAsiaTheme="majorEastAsia" w:hAnsi="Calibri"/>
          <w:lang w:val="en-US"/>
        </w:rPr>
        <w:t>Regional Telecommunications Resilience Fund, targeted towards</w:t>
      </w:r>
      <w:r w:rsidRPr="000D61D6">
        <w:rPr>
          <w:rStyle w:val="normaltextrun"/>
          <w:rFonts w:ascii="Calibri" w:eastAsiaTheme="majorEastAsia" w:hAnsi="Calibri" w:cs="Calibri"/>
          <w:lang w:val="en-US"/>
        </w:rPr>
        <w:t> </w:t>
      </w:r>
      <w:r w:rsidRPr="000D61D6">
        <w:rPr>
          <w:rStyle w:val="normaltextrun"/>
          <w:rFonts w:ascii="Calibri" w:eastAsiaTheme="majorEastAsia" w:hAnsi="Calibri"/>
          <w:lang w:val="en-US"/>
        </w:rPr>
        <w:t xml:space="preserve">initiatives to improve emergency and network resilience across vulnerable communities, enhancing funding for the </w:t>
      </w:r>
      <w:r w:rsidRPr="000D61D6">
        <w:rPr>
          <w:rFonts w:ascii="Calibri" w:eastAsiaTheme="majorEastAsia" w:hAnsi="Calibri"/>
        </w:rPr>
        <w:t>Strengthening Telecommunications Against Natural Disasters</w:t>
      </w:r>
      <w:r w:rsidRPr="000D61D6">
        <w:rPr>
          <w:rStyle w:val="normaltextrun"/>
          <w:rFonts w:ascii="Calibri" w:eastAsiaTheme="majorEastAsia" w:hAnsi="Calibri"/>
          <w:lang w:val="en-US"/>
        </w:rPr>
        <w:t xml:space="preserve"> (STAND) package, including the Mobile Network Hardening Program.</w:t>
      </w:r>
      <w:bookmarkEnd w:id="21"/>
      <w:bookmarkEnd w:id="22"/>
      <w:bookmarkEnd w:id="23"/>
      <w:bookmarkEnd w:id="24"/>
      <w:bookmarkEnd w:id="25"/>
      <w:bookmarkEnd w:id="26"/>
      <w:bookmarkEnd w:id="27"/>
    </w:p>
    <w:p w14:paraId="58D3BAB5" w14:textId="77777777" w:rsidR="00EA01C3" w:rsidRPr="000D61D6" w:rsidRDefault="00183465" w:rsidP="5D7F67FF">
      <w:pPr>
        <w:pBdr>
          <w:top w:val="single" w:sz="4" w:space="1" w:color="auto"/>
          <w:left w:val="single" w:sz="4" w:space="1" w:color="auto"/>
          <w:bottom w:val="single" w:sz="4" w:space="1" w:color="auto"/>
          <w:right w:val="single" w:sz="4" w:space="1" w:color="auto"/>
        </w:pBdr>
        <w:shd w:val="clear" w:color="auto" w:fill="DEEAF6" w:themeFill="accent1" w:themeFillTint="33"/>
        <w:rPr>
          <w:rStyle w:val="normaltextrun"/>
          <w:b/>
          <w:bCs/>
        </w:rPr>
      </w:pPr>
      <w:r w:rsidRPr="000D61D6">
        <w:rPr>
          <w:rStyle w:val="normaltextrun"/>
          <w:rFonts w:ascii="Calibri" w:eastAsiaTheme="majorEastAsia" w:hAnsi="Calibri" w:cs="Calibri"/>
          <w:lang w:val="en-US"/>
        </w:rPr>
        <w:t>The Committee further recommends that</w:t>
      </w:r>
      <w:r w:rsidRPr="000D61D6">
        <w:rPr>
          <w:rStyle w:val="normaltextrun"/>
          <w:rFonts w:ascii="Calibri" w:eastAsiaTheme="majorEastAsia" w:hAnsi="Calibri"/>
          <w:lang w:val="en-US"/>
        </w:rPr>
        <w:t xml:space="preserve"> a focus be given to:</w:t>
      </w:r>
    </w:p>
    <w:p w14:paraId="4DAE9C3A" w14:textId="6AB0051D" w:rsidR="00EA01C3" w:rsidRPr="000D61D6" w:rsidRDefault="00183465" w:rsidP="000D61D6">
      <w:pPr>
        <w:pStyle w:val="paragraph"/>
        <w:numPr>
          <w:ilvl w:val="0"/>
          <w:numId w:val="5"/>
        </w:numPr>
        <w:pBdr>
          <w:top w:val="single" w:sz="4" w:space="1" w:color="auto"/>
          <w:left w:val="single" w:sz="4" w:space="1" w:color="auto"/>
          <w:bottom w:val="single" w:sz="4" w:space="1" w:color="auto"/>
          <w:right w:val="single" w:sz="4" w:space="1" w:color="auto"/>
        </w:pBdr>
        <w:shd w:val="clear" w:color="auto" w:fill="DEEAF6" w:themeFill="accent1" w:themeFillTint="33"/>
        <w:spacing w:before="0" w:beforeAutospacing="0" w:after="0" w:afterAutospacing="0"/>
        <w:ind w:left="426" w:hanging="426"/>
        <w:textAlignment w:val="baseline"/>
        <w:rPr>
          <w:rStyle w:val="normaltextrun"/>
          <w:rFonts w:ascii="Calibri" w:eastAsiaTheme="majorEastAsia" w:hAnsi="Calibri"/>
          <w:sz w:val="22"/>
          <w:szCs w:val="22"/>
          <w:lang w:val="en-US"/>
        </w:rPr>
      </w:pPr>
      <w:r w:rsidRPr="000D61D6">
        <w:rPr>
          <w:rStyle w:val="normaltextrun"/>
          <w:rFonts w:ascii="Calibri" w:eastAsiaTheme="majorEastAsia" w:hAnsi="Calibri"/>
          <w:sz w:val="22"/>
          <w:szCs w:val="22"/>
          <w:lang w:val="en-US"/>
        </w:rPr>
        <w:t>better coordination between the telecommunications industry, energy providers and emergency services</w:t>
      </w:r>
    </w:p>
    <w:p w14:paraId="3EAC3B2E" w14:textId="77777777" w:rsidR="00EA01C3" w:rsidRPr="000D61D6" w:rsidRDefault="00183465" w:rsidP="000D61D6">
      <w:pPr>
        <w:pStyle w:val="paragraph"/>
        <w:numPr>
          <w:ilvl w:val="0"/>
          <w:numId w:val="5"/>
        </w:numPr>
        <w:pBdr>
          <w:top w:val="single" w:sz="4" w:space="1" w:color="auto"/>
          <w:left w:val="single" w:sz="4" w:space="1" w:color="auto"/>
          <w:bottom w:val="single" w:sz="4" w:space="1" w:color="auto"/>
          <w:right w:val="single" w:sz="4" w:space="1" w:color="auto"/>
        </w:pBdr>
        <w:shd w:val="clear" w:color="auto" w:fill="DEEAF6" w:themeFill="accent1" w:themeFillTint="33"/>
        <w:spacing w:before="0" w:beforeAutospacing="0" w:after="240" w:afterAutospacing="0"/>
        <w:ind w:left="426" w:hanging="426"/>
        <w:textAlignment w:val="baseline"/>
        <w:rPr>
          <w:rStyle w:val="normaltextrun"/>
          <w:rFonts w:ascii="Calibri" w:eastAsiaTheme="majorEastAsia" w:hAnsi="Calibri"/>
          <w:sz w:val="22"/>
          <w:szCs w:val="22"/>
          <w:lang w:val="en-US"/>
        </w:rPr>
      </w:pPr>
      <w:r w:rsidRPr="000D61D6">
        <w:rPr>
          <w:rFonts w:ascii="Calibri" w:hAnsi="Calibri"/>
          <w:color w:val="000000"/>
          <w:sz w:val="22"/>
          <w:szCs w:val="22"/>
          <w:shd w:val="clear" w:color="auto" w:fill="DEEAF6" w:themeFill="accent1" w:themeFillTint="33"/>
        </w:rPr>
        <w:t>standards of maintenance</w:t>
      </w:r>
      <w:r w:rsidRPr="000D61D6">
        <w:rPr>
          <w:rStyle w:val="normaltextrun"/>
          <w:rFonts w:ascii="Calibri" w:eastAsiaTheme="majorEastAsia" w:hAnsi="Calibri" w:cs="Calibri"/>
          <w:sz w:val="22"/>
          <w:szCs w:val="22"/>
          <w:shd w:val="clear" w:color="auto" w:fill="DEEAF6" w:themeFill="accent1" w:themeFillTint="33"/>
          <w:lang w:val="en-US"/>
        </w:rPr>
        <w:t> </w:t>
      </w:r>
      <w:r w:rsidRPr="000D61D6">
        <w:rPr>
          <w:rStyle w:val="normaltextrun"/>
          <w:rFonts w:ascii="Calibri" w:eastAsiaTheme="majorEastAsia" w:hAnsi="Calibri"/>
          <w:sz w:val="22"/>
          <w:szCs w:val="22"/>
          <w:shd w:val="clear" w:color="auto" w:fill="DEEAF6" w:themeFill="accent1" w:themeFillTint="33"/>
          <w:lang w:val="en-US"/>
        </w:rPr>
        <w:t>and</w:t>
      </w:r>
      <w:r w:rsidRPr="000D61D6">
        <w:rPr>
          <w:rStyle w:val="normaltextrun"/>
          <w:rFonts w:ascii="Calibri" w:eastAsiaTheme="majorEastAsia" w:hAnsi="Calibri"/>
          <w:sz w:val="22"/>
          <w:szCs w:val="22"/>
          <w:lang w:val="en-US"/>
        </w:rPr>
        <w:t xml:space="preserve"> preparation for emergency events</w:t>
      </w:r>
      <w:r w:rsidRPr="000D61D6">
        <w:rPr>
          <w:rStyle w:val="normaltextrun"/>
          <w:rFonts w:ascii="Calibri" w:eastAsiaTheme="majorEastAsia" w:hAnsi="Calibri" w:cs="Calibri"/>
          <w:sz w:val="22"/>
          <w:szCs w:val="22"/>
          <w:lang w:val="en-US"/>
        </w:rPr>
        <w:t>.</w:t>
      </w:r>
    </w:p>
    <w:p w14:paraId="706732F1" w14:textId="3D0CAFC1" w:rsidR="00EA01C3" w:rsidRPr="000D61D6" w:rsidRDefault="00183465" w:rsidP="00FA200A">
      <w:pPr>
        <w:pStyle w:val="paragraph"/>
        <w:spacing w:before="0" w:beforeAutospacing="0" w:after="240" w:afterAutospacing="0"/>
        <w:ind w:right="-330"/>
        <w:textAlignment w:val="baseline"/>
        <w:rPr>
          <w:rStyle w:val="normaltextrun"/>
          <w:rFonts w:ascii="Calibri" w:hAnsi="Calibri" w:cs="Calibri"/>
          <w:sz w:val="22"/>
          <w:szCs w:val="22"/>
          <w:lang w:val="en-US"/>
        </w:rPr>
      </w:pPr>
      <w:r w:rsidRPr="005B535D">
        <w:rPr>
          <w:rStyle w:val="normaltextrun"/>
          <w:rFonts w:ascii="Calibri" w:hAnsi="Calibri" w:cs="Calibri"/>
          <w:sz w:val="22"/>
          <w:szCs w:val="22"/>
          <w:lang w:val="en-US"/>
        </w:rPr>
        <w:t xml:space="preserve">The </w:t>
      </w:r>
      <w:r w:rsidR="00FA200A" w:rsidRPr="005B535D">
        <w:rPr>
          <w:rStyle w:val="normaltextrun"/>
          <w:rFonts w:ascii="Calibri" w:hAnsi="Calibri" w:cs="Calibri"/>
          <w:sz w:val="22"/>
          <w:szCs w:val="22"/>
          <w:lang w:val="en-US"/>
        </w:rPr>
        <w:t>Liberal and Nationals Government</w:t>
      </w:r>
      <w:r w:rsidRPr="005B535D">
        <w:rPr>
          <w:rStyle w:val="normaltextrun"/>
          <w:rFonts w:ascii="Calibri" w:hAnsi="Calibri" w:cs="Calibri"/>
          <w:sz w:val="22"/>
          <w:szCs w:val="22"/>
          <w:lang w:val="en-US"/>
        </w:rPr>
        <w:t xml:space="preserve"> agrees to commit to investment in improving the resilience of telecommunications network infrastructure. The </w:t>
      </w:r>
      <w:r w:rsidR="00FA200A" w:rsidRPr="005B535D">
        <w:rPr>
          <w:rStyle w:val="normaltextrun"/>
          <w:rFonts w:ascii="Calibri" w:hAnsi="Calibri" w:cs="Calibri"/>
          <w:sz w:val="22"/>
          <w:szCs w:val="22"/>
          <w:lang w:val="en-US"/>
        </w:rPr>
        <w:t>Liberal and Nationals Government</w:t>
      </w:r>
      <w:r w:rsidRPr="005B535D">
        <w:rPr>
          <w:rStyle w:val="normaltextrun"/>
          <w:rFonts w:ascii="Calibri" w:hAnsi="Calibri" w:cs="Calibri"/>
          <w:sz w:val="22"/>
          <w:szCs w:val="22"/>
          <w:lang w:val="en-US"/>
        </w:rPr>
        <w:t xml:space="preserve"> has made significant investments to date in network resilience and agrees this is an ongoing priority. Proposals that will improve network resilience in vulnerable areas will be able to be funded under the </w:t>
      </w:r>
      <w:r w:rsidR="00502C56" w:rsidRPr="005B535D">
        <w:rPr>
          <w:rStyle w:val="normaltextrun"/>
          <w:rFonts w:ascii="Calibri" w:hAnsi="Calibri" w:cs="Calibri"/>
          <w:sz w:val="22"/>
          <w:szCs w:val="22"/>
          <w:lang w:val="en-US"/>
        </w:rPr>
        <w:t>CRA</w:t>
      </w:r>
      <w:r w:rsidRPr="005B535D">
        <w:rPr>
          <w:rStyle w:val="normaltextrun"/>
          <w:rFonts w:ascii="Calibri" w:hAnsi="Calibri" w:cs="Calibri"/>
          <w:sz w:val="22"/>
          <w:szCs w:val="22"/>
          <w:lang w:val="en-US"/>
        </w:rPr>
        <w:t xml:space="preserve"> as part of a dedicated resilience stream. $</w:t>
      </w:r>
      <w:r w:rsidR="00AC20AB" w:rsidRPr="005B535D">
        <w:rPr>
          <w:rStyle w:val="normaltextrun"/>
          <w:rFonts w:ascii="Calibri" w:hAnsi="Calibri" w:cs="Calibri"/>
          <w:sz w:val="22"/>
          <w:szCs w:val="22"/>
          <w:lang w:val="en-US"/>
        </w:rPr>
        <w:t xml:space="preserve">106 </w:t>
      </w:r>
      <w:r w:rsidRPr="005B535D">
        <w:rPr>
          <w:rStyle w:val="normaltextrun"/>
          <w:rFonts w:ascii="Calibri" w:hAnsi="Calibri" w:cs="Calibri"/>
          <w:sz w:val="22"/>
          <w:szCs w:val="22"/>
          <w:lang w:val="en-US"/>
        </w:rPr>
        <w:t xml:space="preserve">million of </w:t>
      </w:r>
      <w:r w:rsidR="00502C56" w:rsidRPr="005B535D">
        <w:rPr>
          <w:rStyle w:val="normaltextrun"/>
          <w:rFonts w:ascii="Calibri" w:hAnsi="Calibri" w:cs="Calibri"/>
          <w:sz w:val="22"/>
          <w:szCs w:val="22"/>
          <w:lang w:val="en-US"/>
        </w:rPr>
        <w:t>CRA</w:t>
      </w:r>
      <w:r w:rsidRPr="005B535D">
        <w:rPr>
          <w:rStyle w:val="normaltextrun"/>
          <w:rFonts w:ascii="Calibri" w:hAnsi="Calibri" w:cs="Calibri"/>
          <w:sz w:val="22"/>
          <w:szCs w:val="22"/>
          <w:lang w:val="en-US"/>
        </w:rPr>
        <w:t xml:space="preserve"> funding </w:t>
      </w:r>
      <w:r w:rsidR="00875AB9" w:rsidRPr="005B535D">
        <w:rPr>
          <w:rStyle w:val="normaltextrun"/>
          <w:rFonts w:ascii="Calibri" w:hAnsi="Calibri" w:cs="Calibri"/>
          <w:sz w:val="22"/>
          <w:szCs w:val="22"/>
          <w:lang w:val="en-US"/>
        </w:rPr>
        <w:t>has been</w:t>
      </w:r>
      <w:r w:rsidRPr="005B535D">
        <w:rPr>
          <w:rStyle w:val="normaltextrun"/>
          <w:rFonts w:ascii="Calibri" w:hAnsi="Calibri" w:cs="Calibri"/>
          <w:sz w:val="22"/>
          <w:szCs w:val="22"/>
          <w:lang w:val="en-US"/>
        </w:rPr>
        <w:t xml:space="preserve"> earmarked for this purpose.</w:t>
      </w:r>
    </w:p>
    <w:p w14:paraId="421A4295" w14:textId="2ABF5B6D" w:rsidR="00EA01C3" w:rsidRPr="000D61D6" w:rsidRDefault="00183465" w:rsidP="000D61D6">
      <w:pPr>
        <w:pStyle w:val="paragraph"/>
        <w:spacing w:before="0" w:beforeAutospacing="0" w:after="240" w:afterAutospacing="0"/>
        <w:textAlignment w:val="baseline"/>
        <w:rPr>
          <w:rStyle w:val="normaltextrun"/>
          <w:rFonts w:ascii="Calibri" w:hAnsi="Calibri" w:cs="Calibri"/>
          <w:sz w:val="22"/>
          <w:szCs w:val="22"/>
          <w:lang w:val="en-US"/>
        </w:rPr>
      </w:pPr>
      <w:r w:rsidRPr="000D61D6">
        <w:rPr>
          <w:rStyle w:val="normaltextrun"/>
          <w:rFonts w:ascii="Calibri" w:hAnsi="Calibri" w:cs="Calibri"/>
          <w:sz w:val="22"/>
          <w:szCs w:val="22"/>
          <w:lang w:val="en-US"/>
        </w:rPr>
        <w:t xml:space="preserve">The </w:t>
      </w:r>
      <w:r w:rsidR="00FA200A">
        <w:rPr>
          <w:rStyle w:val="normaltextrun"/>
          <w:rFonts w:ascii="Calibri" w:hAnsi="Calibri" w:cs="Calibri"/>
          <w:sz w:val="22"/>
          <w:szCs w:val="22"/>
          <w:lang w:val="en-US"/>
        </w:rPr>
        <w:t>Liberal and Nationals Government</w:t>
      </w:r>
      <w:r w:rsidRPr="000D61D6">
        <w:rPr>
          <w:rStyle w:val="normaltextrun"/>
          <w:rFonts w:ascii="Calibri" w:hAnsi="Calibri" w:cs="Calibri"/>
          <w:sz w:val="22"/>
          <w:szCs w:val="22"/>
          <w:lang w:val="en-US"/>
        </w:rPr>
        <w:t xml:space="preserve"> also agrees with improving cross-sector coordination between emergency services, energy providers and the telecommunications industry, as well as developing standards of maintenance and preparation for telecommunications assets. We note the Committee’s suggestions that coordination would be improved through the development of a consistent national disaster management framework and essential services definition. Further work will need to be done to determine how these objectives can be best achieved, including the relevant agency or organisation to take this work forward. </w:t>
      </w:r>
    </w:p>
    <w:p w14:paraId="047931DD" w14:textId="575AEF0E" w:rsidR="00EA01C3" w:rsidRPr="000D61D6" w:rsidRDefault="00183465" w:rsidP="000D61D6">
      <w:pPr>
        <w:pStyle w:val="paragraph"/>
        <w:spacing w:before="0" w:beforeAutospacing="0" w:after="240" w:afterAutospacing="0"/>
        <w:textAlignment w:val="baseline"/>
        <w:rPr>
          <w:rStyle w:val="normaltextrun"/>
          <w:rFonts w:ascii="Calibri" w:hAnsi="Calibri" w:cs="Calibri"/>
          <w:sz w:val="22"/>
          <w:szCs w:val="22"/>
          <w:lang w:val="en-US"/>
        </w:rPr>
      </w:pPr>
      <w:r w:rsidRPr="000D61D6">
        <w:rPr>
          <w:rStyle w:val="normaltextrun"/>
          <w:rFonts w:ascii="Calibri" w:hAnsi="Calibri" w:cs="Calibri"/>
          <w:sz w:val="22"/>
          <w:szCs w:val="22"/>
          <w:lang w:val="en-US"/>
        </w:rPr>
        <w:t xml:space="preserve">The </w:t>
      </w:r>
      <w:r w:rsidR="00FA200A">
        <w:rPr>
          <w:rStyle w:val="normaltextrun"/>
          <w:rFonts w:ascii="Calibri" w:hAnsi="Calibri" w:cs="Calibri"/>
          <w:sz w:val="22"/>
          <w:szCs w:val="22"/>
          <w:lang w:val="en-US"/>
        </w:rPr>
        <w:t>Liberal and Nationals Government</w:t>
      </w:r>
      <w:r w:rsidRPr="000D61D6">
        <w:rPr>
          <w:rStyle w:val="normaltextrun"/>
          <w:rFonts w:ascii="Calibri" w:hAnsi="Calibri" w:cs="Calibri"/>
          <w:sz w:val="22"/>
          <w:szCs w:val="22"/>
          <w:lang w:val="en-US"/>
        </w:rPr>
        <w:t xml:space="preserve"> also notes the Committee’s suggestion within the report that work on Public Safety Mobile Broadband</w:t>
      </w:r>
      <w:r w:rsidR="00F85A02">
        <w:rPr>
          <w:rStyle w:val="normaltextrun"/>
          <w:rFonts w:ascii="Calibri" w:hAnsi="Calibri" w:cs="Calibri"/>
          <w:sz w:val="22"/>
          <w:szCs w:val="22"/>
          <w:lang w:val="en-US"/>
        </w:rPr>
        <w:t xml:space="preserve"> (PSMB)</w:t>
      </w:r>
      <w:r w:rsidRPr="000D61D6">
        <w:rPr>
          <w:rStyle w:val="normaltextrun"/>
          <w:rFonts w:ascii="Calibri" w:hAnsi="Calibri" w:cs="Calibri"/>
          <w:sz w:val="22"/>
          <w:szCs w:val="22"/>
          <w:lang w:val="en-US"/>
        </w:rPr>
        <w:t xml:space="preserve"> and Emergency Cell Broadcasting be progressed by Government and the telecommunications industry. The </w:t>
      </w:r>
      <w:r w:rsidR="00FA200A">
        <w:rPr>
          <w:rStyle w:val="normaltextrun"/>
          <w:rFonts w:ascii="Calibri" w:hAnsi="Calibri" w:cs="Calibri"/>
          <w:sz w:val="22"/>
          <w:szCs w:val="22"/>
          <w:lang w:val="en-US"/>
        </w:rPr>
        <w:t>Liberal and Nationals Government</w:t>
      </w:r>
      <w:r w:rsidRPr="00875AB9">
        <w:rPr>
          <w:rStyle w:val="normaltextrun"/>
          <w:rFonts w:ascii="Calibri" w:hAnsi="Calibri" w:cs="Calibri"/>
          <w:sz w:val="22"/>
          <w:szCs w:val="22"/>
          <w:lang w:val="en-US"/>
        </w:rPr>
        <w:t xml:space="preserve"> has been evaluating options for a National Messaging System (Cell Broadcasting)</w:t>
      </w:r>
      <w:r w:rsidR="0026279F" w:rsidRPr="00875AB9">
        <w:rPr>
          <w:rStyle w:val="normaltextrun"/>
          <w:rFonts w:ascii="Calibri" w:hAnsi="Calibri" w:cs="Calibri"/>
          <w:sz w:val="22"/>
          <w:szCs w:val="22"/>
          <w:lang w:val="en-US"/>
        </w:rPr>
        <w:t xml:space="preserve"> and announced funding in the Budget context</w:t>
      </w:r>
      <w:r w:rsidRPr="00875AB9">
        <w:rPr>
          <w:rStyle w:val="normaltextrun"/>
          <w:rFonts w:ascii="Calibri" w:hAnsi="Calibri" w:cs="Calibri"/>
          <w:sz w:val="22"/>
          <w:szCs w:val="22"/>
          <w:lang w:val="en-US"/>
        </w:rPr>
        <w:t>. Work</w:t>
      </w:r>
      <w:r w:rsidRPr="000D61D6">
        <w:rPr>
          <w:rStyle w:val="normaltextrun"/>
          <w:rFonts w:ascii="Calibri" w:hAnsi="Calibri" w:cs="Calibri"/>
          <w:sz w:val="22"/>
          <w:szCs w:val="22"/>
          <w:lang w:val="en-US"/>
        </w:rPr>
        <w:t xml:space="preserve"> on a multi-operator national PSMB is also being progressed by the NSW Telco Authority on behalf of Australian, state and territory governments. The </w:t>
      </w:r>
      <w:r w:rsidR="00FA200A">
        <w:rPr>
          <w:rStyle w:val="normaltextrun"/>
          <w:rFonts w:ascii="Calibri" w:hAnsi="Calibri" w:cs="Calibri"/>
          <w:sz w:val="22"/>
          <w:szCs w:val="22"/>
          <w:lang w:val="en-US"/>
        </w:rPr>
        <w:t>Liberal and Nationals Government</w:t>
      </w:r>
      <w:r w:rsidRPr="000D61D6">
        <w:rPr>
          <w:rStyle w:val="normaltextrun"/>
          <w:rFonts w:ascii="Calibri" w:hAnsi="Calibri" w:cs="Calibri"/>
          <w:sz w:val="22"/>
          <w:szCs w:val="22"/>
          <w:lang w:val="en-US"/>
        </w:rPr>
        <w:t xml:space="preserve"> will continue to liaise with relevant stakeholders on these initiatives.</w:t>
      </w:r>
    </w:p>
    <w:p w14:paraId="387A95B2" w14:textId="77777777" w:rsidR="00EA01C3" w:rsidRPr="000D61D6" w:rsidRDefault="00183465" w:rsidP="5D7F67FF">
      <w:pPr>
        <w:pBdr>
          <w:top w:val="single" w:sz="4" w:space="1" w:color="auto"/>
          <w:left w:val="single" w:sz="4" w:space="4" w:color="auto"/>
          <w:bottom w:val="single" w:sz="4" w:space="1" w:color="auto"/>
          <w:right w:val="single" w:sz="4" w:space="4" w:color="auto"/>
        </w:pBdr>
        <w:shd w:val="clear" w:color="auto" w:fill="DEEAF6" w:themeFill="accent1" w:themeFillTint="33"/>
        <w:rPr>
          <w:rStyle w:val="normaltextrun"/>
          <w:b/>
          <w:bCs/>
        </w:rPr>
      </w:pPr>
      <w:bookmarkStart w:id="28" w:name="_Toc98519193"/>
      <w:bookmarkStart w:id="29" w:name="_Toc89339091"/>
      <w:bookmarkStart w:id="30" w:name="_Toc89345017"/>
      <w:bookmarkStart w:id="31" w:name="_Toc89346170"/>
      <w:bookmarkStart w:id="32" w:name="_Toc89355912"/>
      <w:bookmarkStart w:id="33" w:name="_Toc89355975"/>
      <w:bookmarkStart w:id="34" w:name="_Toc89356900"/>
      <w:bookmarkStart w:id="35" w:name="_Toc89786611"/>
      <w:r w:rsidRPr="000D61D6">
        <w:rPr>
          <w:rStyle w:val="Heading3Char"/>
        </w:rPr>
        <w:t>Recommendation 4 - Emerging technology trial:</w:t>
      </w:r>
      <w:bookmarkEnd w:id="28"/>
      <w:r w:rsidRPr="000D61D6">
        <w:rPr>
          <w:b/>
          <w:bCs/>
        </w:rPr>
        <w:t xml:space="preserve"> </w:t>
      </w:r>
      <w:r w:rsidRPr="000D61D6">
        <w:rPr>
          <w:rStyle w:val="normaltextrun"/>
          <w:rFonts w:ascii="Calibri" w:eastAsiaTheme="majorEastAsia" w:hAnsi="Calibri"/>
          <w:lang w:val="en-US"/>
        </w:rPr>
        <w:t>The Committee recommends that the Government</w:t>
      </w:r>
      <w:r w:rsidRPr="000D61D6">
        <w:rPr>
          <w:rStyle w:val="normaltextrun"/>
          <w:rFonts w:ascii="Calibri" w:eastAsiaTheme="majorEastAsia" w:hAnsi="Calibri" w:cs="Calibri"/>
          <w:lang w:val="en-US"/>
        </w:rPr>
        <w:t> </w:t>
      </w:r>
      <w:r w:rsidRPr="000D61D6">
        <w:rPr>
          <w:rStyle w:val="normaltextrun"/>
          <w:rFonts w:ascii="Calibri" w:eastAsiaTheme="majorEastAsia" w:hAnsi="Calibri"/>
          <w:lang w:val="en-US"/>
        </w:rPr>
        <w:t>fund innovation trials to validate the value and reliability of new technology solutions</w:t>
      </w:r>
      <w:r w:rsidRPr="000D61D6">
        <w:rPr>
          <w:rStyle w:val="normaltextrun"/>
          <w:rFonts w:ascii="Calibri" w:eastAsiaTheme="majorEastAsia" w:hAnsi="Calibri" w:cs="Calibri"/>
          <w:lang w:val="en-US"/>
        </w:rPr>
        <w:t> </w:t>
      </w:r>
      <w:r w:rsidRPr="000D61D6">
        <w:rPr>
          <w:rStyle w:val="normaltextrun"/>
          <w:rFonts w:ascii="Calibri" w:eastAsiaTheme="majorEastAsia" w:hAnsi="Calibri"/>
          <w:lang w:val="en-US"/>
        </w:rPr>
        <w:t xml:space="preserve">able to address broadband and mobile coverage across regional, rural and remote Australia. </w:t>
      </w:r>
      <w:bookmarkEnd w:id="29"/>
      <w:bookmarkEnd w:id="30"/>
      <w:bookmarkEnd w:id="31"/>
      <w:bookmarkEnd w:id="32"/>
      <w:bookmarkEnd w:id="33"/>
      <w:bookmarkEnd w:id="34"/>
      <w:bookmarkEnd w:id="35"/>
    </w:p>
    <w:p w14:paraId="51CDA029" w14:textId="77777777" w:rsidR="00EA01C3" w:rsidRPr="000D61D6" w:rsidRDefault="00183465" w:rsidP="000D61D6">
      <w:pPr>
        <w:pStyle w:val="paragraph"/>
        <w:pBdr>
          <w:top w:val="single" w:sz="4" w:space="1" w:color="auto"/>
          <w:left w:val="single" w:sz="4" w:space="4" w:color="auto"/>
          <w:bottom w:val="single" w:sz="4" w:space="1" w:color="auto"/>
          <w:right w:val="single" w:sz="4" w:space="4" w:color="auto"/>
        </w:pBdr>
        <w:shd w:val="clear" w:color="auto" w:fill="DEEAF6" w:themeFill="accent1" w:themeFillTint="33"/>
        <w:spacing w:before="0" w:beforeAutospacing="0" w:after="240" w:afterAutospacing="0"/>
        <w:textAlignment w:val="baseline"/>
        <w:rPr>
          <w:rStyle w:val="normaltextrun"/>
          <w:rFonts w:ascii="Calibri" w:eastAsiaTheme="majorEastAsia" w:hAnsi="Calibri"/>
          <w:sz w:val="22"/>
          <w:szCs w:val="22"/>
          <w:lang w:val="en-US"/>
        </w:rPr>
      </w:pPr>
      <w:r w:rsidRPr="000D61D6">
        <w:rPr>
          <w:rStyle w:val="normaltextrun"/>
          <w:rFonts w:ascii="Calibri" w:eastAsiaTheme="majorEastAsia" w:hAnsi="Calibri" w:cs="Calibri"/>
          <w:sz w:val="22"/>
          <w:szCs w:val="22"/>
          <w:lang w:val="en-US"/>
        </w:rPr>
        <w:t xml:space="preserve">The Committee further recommends that the </w:t>
      </w:r>
      <w:r w:rsidRPr="000D61D6">
        <w:rPr>
          <w:rStyle w:val="normaltextrun"/>
          <w:rFonts w:ascii="Calibri" w:eastAsiaTheme="majorEastAsia" w:hAnsi="Calibri"/>
          <w:sz w:val="22"/>
          <w:szCs w:val="22"/>
          <w:lang w:val="en-US"/>
        </w:rPr>
        <w:t>focus of the funding be targeted toward those technologies that have not yet been deployed commercially at scale or are not currently provided by existing commercial solutions.</w:t>
      </w:r>
    </w:p>
    <w:p w14:paraId="58861E35" w14:textId="5691DD14" w:rsidR="00EA01C3" w:rsidRPr="000D61D6" w:rsidRDefault="00183465" w:rsidP="5D7F67FF">
      <w:pPr>
        <w:rPr>
          <w:rStyle w:val="normaltextrun"/>
          <w:rFonts w:ascii="Calibri" w:hAnsi="Calibri" w:cs="Calibri"/>
          <w:lang w:val="en-US"/>
        </w:rPr>
      </w:pPr>
      <w:bookmarkStart w:id="36" w:name="_Toc89339092"/>
      <w:bookmarkStart w:id="37" w:name="_Toc89345018"/>
      <w:bookmarkStart w:id="38" w:name="_Toc89346171"/>
      <w:bookmarkStart w:id="39" w:name="_Toc89355913"/>
      <w:bookmarkStart w:id="40" w:name="_Toc89355976"/>
      <w:bookmarkStart w:id="41" w:name="_Toc89356901"/>
      <w:bookmarkStart w:id="42" w:name="_Toc89786612"/>
      <w:r w:rsidRPr="000D61D6">
        <w:rPr>
          <w:rStyle w:val="normaltextrun"/>
          <w:rFonts w:ascii="Calibri" w:hAnsi="Calibri" w:cs="Calibri"/>
          <w:lang w:val="en-US"/>
        </w:rPr>
        <w:t xml:space="preserve">The </w:t>
      </w:r>
      <w:r w:rsidR="00FA200A">
        <w:rPr>
          <w:rStyle w:val="normaltextrun"/>
          <w:rFonts w:ascii="Calibri" w:hAnsi="Calibri" w:cs="Calibri"/>
          <w:lang w:val="en-US"/>
        </w:rPr>
        <w:t>Liberal and Nationals Government</w:t>
      </w:r>
      <w:r w:rsidRPr="000D61D6">
        <w:rPr>
          <w:rStyle w:val="normaltextrun"/>
          <w:rFonts w:ascii="Calibri" w:hAnsi="Calibri" w:cs="Calibri"/>
          <w:lang w:val="en-US"/>
        </w:rPr>
        <w:t xml:space="preserve"> agrees with trialing emerging technology.</w:t>
      </w:r>
    </w:p>
    <w:p w14:paraId="2C41C4E0" w14:textId="34DB1ECF" w:rsidR="00EA01C3" w:rsidRPr="000D61D6" w:rsidRDefault="00183465" w:rsidP="5D7F67FF">
      <w:pPr>
        <w:rPr>
          <w:rStyle w:val="normaltextrun"/>
          <w:rFonts w:ascii="Calibri" w:hAnsi="Calibri" w:cs="Calibri"/>
          <w:lang w:val="en-US"/>
        </w:rPr>
      </w:pPr>
      <w:r w:rsidRPr="000D61D6">
        <w:rPr>
          <w:rStyle w:val="normaltextrun"/>
          <w:rFonts w:ascii="Calibri" w:hAnsi="Calibri" w:cs="Calibri"/>
          <w:lang w:val="en-US"/>
        </w:rPr>
        <w:lastRenderedPageBreak/>
        <w:t xml:space="preserve">The </w:t>
      </w:r>
      <w:r w:rsidR="00FA200A">
        <w:rPr>
          <w:rStyle w:val="normaltextrun"/>
          <w:rFonts w:ascii="Calibri" w:hAnsi="Calibri" w:cs="Calibri"/>
          <w:lang w:val="en-US"/>
        </w:rPr>
        <w:t>Liberal and Nationals Government</w:t>
      </w:r>
      <w:r w:rsidRPr="000D61D6">
        <w:rPr>
          <w:rStyle w:val="normaltextrun"/>
          <w:rFonts w:ascii="Calibri" w:hAnsi="Calibri" w:cs="Calibri"/>
          <w:lang w:val="en-US"/>
        </w:rPr>
        <w:t xml:space="preserve"> proposes to fund trials through the </w:t>
      </w:r>
      <w:r w:rsidR="00502C56">
        <w:rPr>
          <w:rStyle w:val="normaltextrun"/>
          <w:rFonts w:ascii="Calibri" w:hAnsi="Calibri" w:cs="Calibri"/>
          <w:lang w:val="en-US"/>
        </w:rPr>
        <w:t xml:space="preserve">CRA </w:t>
      </w:r>
      <w:r w:rsidRPr="000D61D6">
        <w:rPr>
          <w:rStyle w:val="normaltextrun"/>
          <w:rFonts w:ascii="Calibri" w:hAnsi="Calibri" w:cs="Calibri"/>
          <w:lang w:val="en-US"/>
        </w:rPr>
        <w:t>with the objectives of validating the performance of new technologies, raising awareness of these services, and/or assisting with their commerciali</w:t>
      </w:r>
      <w:r w:rsidR="00E2728A">
        <w:rPr>
          <w:rStyle w:val="normaltextrun"/>
          <w:rFonts w:ascii="Calibri" w:hAnsi="Calibri" w:cs="Calibri"/>
          <w:lang w:val="en-US"/>
        </w:rPr>
        <w:t>s</w:t>
      </w:r>
      <w:r w:rsidRPr="000D61D6">
        <w:rPr>
          <w:rStyle w:val="normaltextrun"/>
          <w:rFonts w:ascii="Calibri" w:hAnsi="Calibri" w:cs="Calibri"/>
          <w:lang w:val="en-US"/>
        </w:rPr>
        <w:t xml:space="preserve">ation. However, it will be important that a Government funded trial does not duplicate or replace trials or programs which are currently being or would likely be conducted by industry or Government and further scoping work in this regard will be required. </w:t>
      </w:r>
    </w:p>
    <w:p w14:paraId="722A953F" w14:textId="693B2CD7" w:rsidR="00BC1AF1" w:rsidRPr="000D61D6" w:rsidRDefault="00183465" w:rsidP="000D61D6">
      <w:pPr>
        <w:pStyle w:val="paragraph"/>
        <w:spacing w:before="0" w:beforeAutospacing="0" w:after="240" w:afterAutospacing="0"/>
        <w:textAlignment w:val="baseline"/>
        <w:rPr>
          <w:rFonts w:ascii="Calibri" w:eastAsiaTheme="minorEastAsia" w:hAnsi="Calibri" w:cs="Calibri"/>
          <w:sz w:val="22"/>
          <w:szCs w:val="22"/>
          <w:lang w:val="en-US"/>
        </w:rPr>
      </w:pPr>
      <w:r w:rsidRPr="005B535D">
        <w:rPr>
          <w:rStyle w:val="eop"/>
          <w:rFonts w:ascii="Calibri" w:eastAsiaTheme="minorEastAsia" w:hAnsi="Calibri" w:cs="Calibri"/>
          <w:sz w:val="22"/>
          <w:szCs w:val="22"/>
          <w:lang w:val="en-US"/>
        </w:rPr>
        <w:t xml:space="preserve">$5 million of the </w:t>
      </w:r>
      <w:r w:rsidR="00502C56" w:rsidRPr="005B535D">
        <w:rPr>
          <w:rStyle w:val="normaltextrun"/>
          <w:rFonts w:ascii="Calibri" w:hAnsi="Calibri" w:cs="Calibri"/>
          <w:sz w:val="22"/>
          <w:szCs w:val="22"/>
          <w:lang w:val="en-US"/>
        </w:rPr>
        <w:t>CRA</w:t>
      </w:r>
      <w:r w:rsidR="00502C56" w:rsidRPr="005B535D">
        <w:rPr>
          <w:rStyle w:val="eop"/>
          <w:rFonts w:ascii="Calibri" w:eastAsiaTheme="minorEastAsia" w:hAnsi="Calibri" w:cs="Calibri"/>
          <w:sz w:val="22"/>
          <w:szCs w:val="22"/>
          <w:lang w:val="en-US"/>
        </w:rPr>
        <w:t xml:space="preserve"> </w:t>
      </w:r>
      <w:r w:rsidRPr="005B535D">
        <w:rPr>
          <w:rStyle w:val="eop"/>
          <w:rFonts w:ascii="Calibri" w:eastAsiaTheme="minorEastAsia" w:hAnsi="Calibri" w:cs="Calibri"/>
          <w:sz w:val="22"/>
          <w:szCs w:val="22"/>
          <w:lang w:val="en-US"/>
        </w:rPr>
        <w:t xml:space="preserve">funding </w:t>
      </w:r>
      <w:r w:rsidR="001E0801" w:rsidRPr="005B535D">
        <w:rPr>
          <w:rStyle w:val="eop"/>
          <w:rFonts w:ascii="Calibri" w:eastAsiaTheme="minorEastAsia" w:hAnsi="Calibri" w:cs="Calibri"/>
          <w:sz w:val="22"/>
          <w:szCs w:val="22"/>
          <w:lang w:val="en-US"/>
        </w:rPr>
        <w:t>has been</w:t>
      </w:r>
      <w:r w:rsidRPr="005B535D">
        <w:rPr>
          <w:rStyle w:val="eop"/>
          <w:rFonts w:ascii="Calibri" w:eastAsiaTheme="minorEastAsia" w:hAnsi="Calibri" w:cs="Calibri"/>
          <w:sz w:val="22"/>
          <w:szCs w:val="22"/>
          <w:lang w:val="en-US"/>
        </w:rPr>
        <w:t xml:space="preserve"> earmarked for this purpose, noting the Review’s</w:t>
      </w:r>
      <w:r w:rsidRPr="000D61D6">
        <w:rPr>
          <w:rStyle w:val="eop"/>
          <w:rFonts w:ascii="Calibri" w:eastAsiaTheme="minorEastAsia" w:hAnsi="Calibri" w:cs="Calibri"/>
          <w:sz w:val="22"/>
          <w:szCs w:val="22"/>
          <w:lang w:val="en-US"/>
        </w:rPr>
        <w:t xml:space="preserve"> emphasis on non-commercial technologies and that funding could also be potentially sought under the general targeted stream of the </w:t>
      </w:r>
      <w:r w:rsidR="00502C56">
        <w:rPr>
          <w:rStyle w:val="normaltextrun"/>
          <w:rFonts w:ascii="Calibri" w:hAnsi="Calibri" w:cs="Calibri"/>
          <w:sz w:val="22"/>
          <w:szCs w:val="22"/>
          <w:lang w:val="en-US"/>
        </w:rPr>
        <w:t>CRA</w:t>
      </w:r>
      <w:r w:rsidRPr="000D61D6">
        <w:rPr>
          <w:rStyle w:val="eop"/>
          <w:rFonts w:ascii="Calibri" w:eastAsiaTheme="minorEastAsia" w:hAnsi="Calibri" w:cs="Calibri"/>
          <w:sz w:val="22"/>
          <w:szCs w:val="22"/>
          <w:lang w:val="en-US"/>
        </w:rPr>
        <w:t xml:space="preserve"> for worthwhile proposals that offer value for money.</w:t>
      </w:r>
    </w:p>
    <w:p w14:paraId="66AC83DA" w14:textId="5A5151CA" w:rsidR="00EA01C3" w:rsidRPr="000D61D6" w:rsidRDefault="00183465">
      <w:pPr>
        <w:pBdr>
          <w:top w:val="single" w:sz="4" w:space="1" w:color="auto"/>
          <w:left w:val="single" w:sz="4" w:space="4" w:color="auto"/>
          <w:bottom w:val="single" w:sz="4" w:space="1" w:color="auto"/>
          <w:right w:val="single" w:sz="4" w:space="4" w:color="auto"/>
        </w:pBdr>
        <w:shd w:val="clear" w:color="auto" w:fill="DEEAF6" w:themeFill="accent1" w:themeFillTint="33"/>
        <w:rPr>
          <w:rStyle w:val="eop"/>
          <w:rFonts w:ascii="Calibri" w:eastAsiaTheme="majorEastAsia" w:hAnsi="Calibri" w:cs="Calibri"/>
          <w:lang w:val="en-US"/>
        </w:rPr>
      </w:pPr>
      <w:bookmarkStart w:id="43" w:name="_Toc98519194"/>
      <w:r w:rsidRPr="000D61D6">
        <w:rPr>
          <w:rStyle w:val="Heading3Char"/>
        </w:rPr>
        <w:t>Recommendation 5 - Connectivity literacy:</w:t>
      </w:r>
      <w:bookmarkEnd w:id="43"/>
      <w:r w:rsidRPr="000D61D6">
        <w:rPr>
          <w:b/>
          <w:bCs/>
        </w:rPr>
        <w:t xml:space="preserve"> </w:t>
      </w:r>
      <w:r w:rsidRPr="000D61D6">
        <w:rPr>
          <w:rStyle w:val="normaltextrun"/>
          <w:rFonts w:ascii="Calibri" w:eastAsiaTheme="majorEastAsia" w:hAnsi="Calibri"/>
          <w:lang w:val="en-US"/>
        </w:rPr>
        <w:t>The Committee recommends that the Government</w:t>
      </w:r>
      <w:r w:rsidRPr="000D61D6">
        <w:rPr>
          <w:rStyle w:val="normaltextrun"/>
          <w:rFonts w:ascii="Calibri" w:eastAsiaTheme="majorEastAsia" w:hAnsi="Calibri" w:cs="Calibri"/>
          <w:lang w:val="en-US"/>
        </w:rPr>
        <w:t> </w:t>
      </w:r>
      <w:r w:rsidRPr="000D61D6">
        <w:rPr>
          <w:rStyle w:val="normaltextrun"/>
          <w:rFonts w:ascii="Calibri" w:eastAsiaTheme="majorEastAsia" w:hAnsi="Calibri"/>
          <w:lang w:val="en-US"/>
        </w:rPr>
        <w:t>continues to commit</w:t>
      </w:r>
      <w:r w:rsidRPr="000D61D6">
        <w:rPr>
          <w:rStyle w:val="normaltextrun"/>
          <w:rFonts w:ascii="Calibri" w:eastAsiaTheme="majorEastAsia" w:hAnsi="Calibri" w:cs="Calibri"/>
          <w:lang w:val="en-US"/>
        </w:rPr>
        <w:t> </w:t>
      </w:r>
      <w:r w:rsidRPr="000D61D6">
        <w:rPr>
          <w:rStyle w:val="normaltextrun"/>
          <w:rFonts w:ascii="Calibri" w:eastAsiaTheme="majorEastAsia" w:hAnsi="Calibri"/>
          <w:lang w:val="en-US"/>
        </w:rPr>
        <w:t>to the provision of accessible and independent information for regional consumers, business and local government.</w:t>
      </w:r>
      <w:r w:rsidRPr="000D61D6">
        <w:rPr>
          <w:rStyle w:val="eop"/>
          <w:rFonts w:ascii="Calibri" w:eastAsiaTheme="majorEastAsia" w:hAnsi="Calibri" w:cs="Calibri"/>
          <w:lang w:val="en-US"/>
        </w:rPr>
        <w:t> </w:t>
      </w:r>
      <w:bookmarkEnd w:id="36"/>
      <w:bookmarkEnd w:id="37"/>
      <w:bookmarkEnd w:id="38"/>
      <w:bookmarkEnd w:id="39"/>
      <w:bookmarkEnd w:id="40"/>
      <w:bookmarkEnd w:id="41"/>
      <w:bookmarkEnd w:id="42"/>
    </w:p>
    <w:p w14:paraId="034B26AE" w14:textId="77777777" w:rsidR="00EA01C3" w:rsidRPr="000D61D6" w:rsidRDefault="00183465" w:rsidP="5D7F67FF">
      <w:pPr>
        <w:pBdr>
          <w:top w:val="single" w:sz="4" w:space="1" w:color="auto"/>
          <w:left w:val="single" w:sz="4" w:space="4" w:color="auto"/>
          <w:bottom w:val="single" w:sz="4" w:space="1" w:color="auto"/>
          <w:right w:val="single" w:sz="4" w:space="4" w:color="auto"/>
        </w:pBdr>
        <w:shd w:val="clear" w:color="auto" w:fill="DEEAF6" w:themeFill="accent1" w:themeFillTint="33"/>
        <w:rPr>
          <w:b/>
          <w:bCs/>
        </w:rPr>
      </w:pPr>
      <w:r w:rsidRPr="000D61D6">
        <w:rPr>
          <w:rStyle w:val="eop"/>
          <w:rFonts w:ascii="Calibri" w:eastAsiaTheme="majorEastAsia" w:hAnsi="Calibri"/>
          <w:lang w:val="en-US"/>
        </w:rPr>
        <w:t>This includes providing a significant focus on:</w:t>
      </w:r>
      <w:r w:rsidRPr="000D61D6">
        <w:rPr>
          <w:rStyle w:val="eop"/>
          <w:rFonts w:ascii="Calibri" w:eastAsiaTheme="majorEastAsia" w:hAnsi="Calibri" w:cs="Calibri"/>
          <w:lang w:val="en-US"/>
        </w:rPr>
        <w:t> </w:t>
      </w:r>
    </w:p>
    <w:p w14:paraId="75178493" w14:textId="6B815DBE" w:rsidR="00EA01C3" w:rsidRPr="000D61D6" w:rsidRDefault="00183465" w:rsidP="000D61D6">
      <w:pPr>
        <w:pStyle w:val="paragraph"/>
        <w:numPr>
          <w:ilvl w:val="0"/>
          <w:numId w:val="5"/>
        </w:numPr>
        <w:pBdr>
          <w:top w:val="single" w:sz="4" w:space="1" w:color="auto"/>
          <w:left w:val="single" w:sz="4" w:space="4" w:color="auto"/>
          <w:bottom w:val="single" w:sz="4" w:space="1" w:color="auto"/>
          <w:right w:val="single" w:sz="4" w:space="4" w:color="auto"/>
        </w:pBdr>
        <w:shd w:val="clear" w:color="auto" w:fill="DEEAF6" w:themeFill="accent1" w:themeFillTint="33"/>
        <w:spacing w:before="0" w:beforeAutospacing="0" w:after="0" w:afterAutospacing="0"/>
        <w:ind w:left="426" w:hanging="426"/>
        <w:textAlignment w:val="baseline"/>
        <w:rPr>
          <w:rStyle w:val="normaltextrun"/>
          <w:rFonts w:ascii="Calibri" w:eastAsiaTheme="majorEastAsia" w:hAnsi="Calibri"/>
          <w:sz w:val="22"/>
          <w:szCs w:val="22"/>
          <w:lang w:val="en-US"/>
        </w:rPr>
      </w:pPr>
      <w:r w:rsidRPr="000D61D6">
        <w:rPr>
          <w:rStyle w:val="normaltextrun"/>
          <w:rFonts w:ascii="Calibri" w:eastAsiaTheme="majorEastAsia" w:hAnsi="Calibri"/>
          <w:sz w:val="22"/>
          <w:szCs w:val="22"/>
          <w:lang w:val="en-US"/>
        </w:rPr>
        <w:t>a substantially enhanced and sufficiently resourced Regional Tech Hub actively engaged with regional and industry stakeholders</w:t>
      </w:r>
    </w:p>
    <w:p w14:paraId="2245F16B" w14:textId="1C48F5FD" w:rsidR="00EA01C3" w:rsidRPr="000D61D6" w:rsidRDefault="00183465" w:rsidP="000D61D6">
      <w:pPr>
        <w:pStyle w:val="paragraph"/>
        <w:numPr>
          <w:ilvl w:val="0"/>
          <w:numId w:val="5"/>
        </w:numPr>
        <w:pBdr>
          <w:top w:val="single" w:sz="4" w:space="1" w:color="auto"/>
          <w:left w:val="single" w:sz="4" w:space="4" w:color="auto"/>
          <w:bottom w:val="single" w:sz="4" w:space="1" w:color="auto"/>
          <w:right w:val="single" w:sz="4" w:space="4" w:color="auto"/>
        </w:pBdr>
        <w:shd w:val="clear" w:color="auto" w:fill="DEEAF6" w:themeFill="accent1" w:themeFillTint="33"/>
        <w:spacing w:before="0" w:beforeAutospacing="0" w:after="0" w:afterAutospacing="0"/>
        <w:ind w:left="426" w:hanging="426"/>
        <w:textAlignment w:val="baseline"/>
        <w:rPr>
          <w:rStyle w:val="normaltextrun"/>
          <w:rFonts w:eastAsiaTheme="majorEastAsia"/>
          <w:sz w:val="22"/>
          <w:szCs w:val="22"/>
        </w:rPr>
      </w:pPr>
      <w:r w:rsidRPr="000D61D6">
        <w:rPr>
          <w:rStyle w:val="normaltextrun"/>
          <w:rFonts w:ascii="Calibri" w:eastAsiaTheme="majorEastAsia" w:hAnsi="Calibri"/>
          <w:sz w:val="22"/>
          <w:szCs w:val="22"/>
          <w:lang w:val="en-US"/>
        </w:rPr>
        <w:t>resourcing the development and maintenance of a digital tool to provide specific information on connectivity options</w:t>
      </w:r>
    </w:p>
    <w:p w14:paraId="704B6392" w14:textId="350C537B" w:rsidR="00EA01C3" w:rsidRPr="000D61D6" w:rsidRDefault="00183465" w:rsidP="000D61D6">
      <w:pPr>
        <w:pStyle w:val="paragraph"/>
        <w:numPr>
          <w:ilvl w:val="0"/>
          <w:numId w:val="5"/>
        </w:numPr>
        <w:pBdr>
          <w:top w:val="single" w:sz="4" w:space="1" w:color="auto"/>
          <w:left w:val="single" w:sz="4" w:space="4" w:color="auto"/>
          <w:bottom w:val="single" w:sz="4" w:space="1" w:color="auto"/>
          <w:right w:val="single" w:sz="4" w:space="4" w:color="auto"/>
        </w:pBdr>
        <w:shd w:val="clear" w:color="auto" w:fill="DEEAF6" w:themeFill="accent1" w:themeFillTint="33"/>
        <w:spacing w:before="0" w:beforeAutospacing="0" w:after="0" w:afterAutospacing="0"/>
        <w:ind w:left="426" w:hanging="426"/>
        <w:textAlignment w:val="baseline"/>
        <w:rPr>
          <w:rStyle w:val="normaltextrun"/>
          <w:rFonts w:eastAsiaTheme="majorEastAsia"/>
          <w:sz w:val="22"/>
          <w:szCs w:val="22"/>
        </w:rPr>
      </w:pPr>
      <w:r w:rsidRPr="000D61D6">
        <w:rPr>
          <w:rStyle w:val="normaltextrun"/>
          <w:rFonts w:ascii="Calibri" w:eastAsiaTheme="majorEastAsia" w:hAnsi="Calibri"/>
          <w:sz w:val="22"/>
          <w:szCs w:val="22"/>
          <w:lang w:val="en-US"/>
        </w:rPr>
        <w:t xml:space="preserve">ensuring the </w:t>
      </w:r>
      <w:r w:rsidRPr="000D61D6">
        <w:rPr>
          <w:rFonts w:ascii="Calibri" w:eastAsiaTheme="majorEastAsia" w:hAnsi="Calibri"/>
          <w:sz w:val="22"/>
          <w:szCs w:val="22"/>
        </w:rPr>
        <w:t>Australian Competition and Consumer Commission</w:t>
      </w:r>
      <w:r w:rsidRPr="000D61D6">
        <w:rPr>
          <w:rFonts w:ascii="Calibri" w:eastAsiaTheme="majorEastAsia" w:hAnsi="Calibri"/>
          <w:sz w:val="22"/>
          <w:szCs w:val="22"/>
          <w:lang w:val="en-US"/>
        </w:rPr>
        <w:t xml:space="preserve"> (</w:t>
      </w:r>
      <w:r w:rsidRPr="000D61D6">
        <w:rPr>
          <w:rStyle w:val="normaltextrun"/>
          <w:rFonts w:ascii="Calibri" w:eastAsiaTheme="majorEastAsia" w:hAnsi="Calibri"/>
          <w:sz w:val="22"/>
          <w:szCs w:val="22"/>
          <w:lang w:val="en-US"/>
        </w:rPr>
        <w:t>ACCC) continue to make enforcement of misleading and deceptive disinformation in the telecommunications industry a priority</w:t>
      </w:r>
    </w:p>
    <w:p w14:paraId="1737BFBE" w14:textId="77777777" w:rsidR="00EA01C3" w:rsidRPr="000D61D6" w:rsidRDefault="00183465" w:rsidP="000D61D6">
      <w:pPr>
        <w:pStyle w:val="paragraph"/>
        <w:numPr>
          <w:ilvl w:val="0"/>
          <w:numId w:val="5"/>
        </w:numPr>
        <w:pBdr>
          <w:top w:val="single" w:sz="4" w:space="1" w:color="auto"/>
          <w:left w:val="single" w:sz="4" w:space="4" w:color="auto"/>
          <w:bottom w:val="single" w:sz="4" w:space="1" w:color="auto"/>
          <w:right w:val="single" w:sz="4" w:space="4" w:color="auto"/>
        </w:pBdr>
        <w:shd w:val="clear" w:color="auto" w:fill="DEEAF6" w:themeFill="accent1" w:themeFillTint="33"/>
        <w:spacing w:before="0" w:beforeAutospacing="0" w:after="240" w:afterAutospacing="0"/>
        <w:ind w:left="426" w:hanging="426"/>
        <w:textAlignment w:val="baseline"/>
        <w:rPr>
          <w:rStyle w:val="normaltextrun"/>
          <w:rFonts w:eastAsiaTheme="majorEastAsia"/>
          <w:sz w:val="22"/>
          <w:szCs w:val="22"/>
        </w:rPr>
      </w:pPr>
      <w:r w:rsidRPr="000D61D6">
        <w:rPr>
          <w:rStyle w:val="normaltextrun"/>
          <w:rFonts w:asciiTheme="minorHAnsi" w:eastAsiaTheme="majorEastAsia" w:hAnsiTheme="minorHAnsi" w:cstheme="minorBidi"/>
          <w:sz w:val="22"/>
          <w:szCs w:val="22"/>
        </w:rPr>
        <w:t>supporting and expanding community digital literacy programs, funded through the telecommunications industry.</w:t>
      </w:r>
    </w:p>
    <w:p w14:paraId="50C39E7C" w14:textId="75654615" w:rsidR="00EA01C3" w:rsidRPr="000D61D6" w:rsidRDefault="00183465" w:rsidP="000D61D6">
      <w:pPr>
        <w:pStyle w:val="paragraph"/>
        <w:spacing w:before="0" w:beforeAutospacing="0" w:after="240" w:afterAutospacing="0"/>
        <w:textAlignment w:val="baseline"/>
        <w:rPr>
          <w:rStyle w:val="normaltextrun"/>
          <w:rFonts w:ascii="Calibri" w:hAnsi="Calibri" w:cs="Calibri"/>
          <w:sz w:val="22"/>
          <w:szCs w:val="22"/>
          <w:lang w:val="en-US"/>
        </w:rPr>
      </w:pPr>
      <w:r w:rsidRPr="000D61D6">
        <w:rPr>
          <w:rStyle w:val="normaltextrun"/>
          <w:rFonts w:ascii="Calibri" w:hAnsi="Calibri" w:cs="Calibri"/>
          <w:sz w:val="22"/>
          <w:szCs w:val="22"/>
          <w:lang w:val="en-US"/>
        </w:rPr>
        <w:t xml:space="preserve">The </w:t>
      </w:r>
      <w:r w:rsidR="00FA200A">
        <w:rPr>
          <w:rStyle w:val="normaltextrun"/>
          <w:rFonts w:ascii="Calibri" w:hAnsi="Calibri" w:cs="Calibri"/>
          <w:sz w:val="22"/>
          <w:szCs w:val="22"/>
          <w:lang w:val="en-US"/>
        </w:rPr>
        <w:t>Liberal and Nationals Government</w:t>
      </w:r>
      <w:r w:rsidRPr="000D61D6">
        <w:rPr>
          <w:rStyle w:val="normaltextrun"/>
          <w:rFonts w:ascii="Calibri" w:hAnsi="Calibri" w:cs="Calibri"/>
          <w:sz w:val="22"/>
          <w:szCs w:val="22"/>
          <w:lang w:val="en-US"/>
        </w:rPr>
        <w:t xml:space="preserve"> agrees regional consumers, businesses and local government should have accessible and independent information on telecommunications services. </w:t>
      </w:r>
    </w:p>
    <w:p w14:paraId="7BA3D94E" w14:textId="77777777" w:rsidR="003267A1" w:rsidRPr="000D61D6" w:rsidRDefault="00183465" w:rsidP="000B435C">
      <w:r w:rsidRPr="000D61D6">
        <w:rPr>
          <w:rStyle w:val="normaltextrun"/>
          <w:rFonts w:ascii="Calibri" w:hAnsi="Calibri" w:cs="Calibri"/>
          <w:lang w:val="en-US"/>
        </w:rPr>
        <w:t xml:space="preserve">Additional funding will be provided for the </w:t>
      </w:r>
      <w:r w:rsidRPr="000D61D6">
        <w:t xml:space="preserve">Regional Tech Hub across five years to help address consumer awareness issues. </w:t>
      </w:r>
    </w:p>
    <w:p w14:paraId="57D47281" w14:textId="493E9601" w:rsidR="003267A1" w:rsidRPr="000D61D6" w:rsidRDefault="00183465" w:rsidP="000B435C">
      <w:r w:rsidRPr="000D61D6">
        <w:t xml:space="preserve">The </w:t>
      </w:r>
      <w:r w:rsidR="00FA200A">
        <w:t>Liberal and Nationals Government</w:t>
      </w:r>
      <w:r w:rsidRPr="000D61D6">
        <w:t xml:space="preserve"> will also work with industry and consumer bodies on how consumer information can be otherwise enhanced.</w:t>
      </w:r>
      <w:r w:rsidR="00ED00C8">
        <w:t xml:space="preserve"> For example, </w:t>
      </w:r>
      <w:r w:rsidR="00ED00C8">
        <w:rPr>
          <w:rStyle w:val="normaltextrun"/>
          <w:rFonts w:ascii="Calibri" w:hAnsi="Calibri" w:cs="Calibri"/>
          <w:lang w:val="en-US"/>
        </w:rPr>
        <w:t>NBN Co</w:t>
      </w:r>
      <w:r w:rsidR="007409B5">
        <w:rPr>
          <w:rStyle w:val="normaltextrun"/>
          <w:rFonts w:ascii="Calibri" w:hAnsi="Calibri" w:cs="Calibri"/>
          <w:lang w:val="en-US"/>
        </w:rPr>
        <w:t xml:space="preserve"> continues to </w:t>
      </w:r>
      <w:r w:rsidR="00F705A0">
        <w:rPr>
          <w:rStyle w:val="normaltextrun"/>
          <w:rFonts w:ascii="Calibri" w:hAnsi="Calibri" w:cs="Calibri"/>
          <w:lang w:val="en-US"/>
        </w:rPr>
        <w:t>support regional</w:t>
      </w:r>
      <w:r w:rsidR="007409B5">
        <w:rPr>
          <w:rStyle w:val="normaltextrun"/>
          <w:rFonts w:ascii="Calibri" w:hAnsi="Calibri" w:cs="Calibri"/>
          <w:lang w:val="en-US"/>
        </w:rPr>
        <w:t xml:space="preserve"> digital and</w:t>
      </w:r>
      <w:r w:rsidR="00F705A0">
        <w:rPr>
          <w:rStyle w:val="normaltextrun"/>
          <w:rFonts w:ascii="Calibri" w:hAnsi="Calibri" w:cs="Calibri"/>
          <w:lang w:val="en-US"/>
        </w:rPr>
        <w:t xml:space="preserve"> connectivity literacy</w:t>
      </w:r>
      <w:r w:rsidR="00ED00C8">
        <w:rPr>
          <w:rStyle w:val="normaltextrun"/>
          <w:rFonts w:ascii="Calibri" w:hAnsi="Calibri" w:cs="Calibri"/>
          <w:lang w:val="en-US"/>
        </w:rPr>
        <w:t xml:space="preserve"> </w:t>
      </w:r>
      <w:r w:rsidR="00F705A0">
        <w:rPr>
          <w:rStyle w:val="normaltextrun"/>
          <w:rFonts w:ascii="Calibri" w:hAnsi="Calibri" w:cs="Calibri"/>
          <w:lang w:val="en-US"/>
        </w:rPr>
        <w:t xml:space="preserve">through </w:t>
      </w:r>
      <w:r w:rsidR="00ED00C8">
        <w:rPr>
          <w:rStyle w:val="normaltextrun"/>
          <w:rFonts w:ascii="Calibri" w:hAnsi="Calibri" w:cs="Calibri"/>
          <w:lang w:val="en-US"/>
        </w:rPr>
        <w:t xml:space="preserve">the </w:t>
      </w:r>
      <w:r w:rsidR="007409B5">
        <w:rPr>
          <w:rStyle w:val="normaltextrun"/>
          <w:rFonts w:ascii="Calibri" w:hAnsi="Calibri" w:cs="Calibri"/>
          <w:lang w:val="en-US"/>
        </w:rPr>
        <w:t xml:space="preserve">Regional Tech Hub, including provision of staff training and information on NBN products. They also provide ‘on the ground’ support through </w:t>
      </w:r>
      <w:r w:rsidR="00A3608D">
        <w:rPr>
          <w:rStyle w:val="normaltextrun"/>
          <w:rFonts w:ascii="Calibri" w:hAnsi="Calibri" w:cs="Calibri"/>
          <w:lang w:val="en-US"/>
        </w:rPr>
        <w:t>NBN Local</w:t>
      </w:r>
      <w:r w:rsidR="00F705A0">
        <w:rPr>
          <w:rStyle w:val="normaltextrun"/>
          <w:rFonts w:ascii="Calibri" w:hAnsi="Calibri" w:cs="Calibri"/>
          <w:lang w:val="en-US"/>
        </w:rPr>
        <w:t>s</w:t>
      </w:r>
      <w:r w:rsidR="007409B5">
        <w:rPr>
          <w:rStyle w:val="normaltextrun"/>
          <w:rFonts w:ascii="Calibri" w:hAnsi="Calibri" w:cs="Calibri"/>
          <w:lang w:val="en-US"/>
        </w:rPr>
        <w:t xml:space="preserve"> who actively engage with regional communities</w:t>
      </w:r>
      <w:r w:rsidR="00A3608D">
        <w:rPr>
          <w:rStyle w:val="normaltextrun"/>
          <w:rFonts w:ascii="Calibri" w:hAnsi="Calibri" w:cs="Calibri"/>
          <w:lang w:val="en-US"/>
        </w:rPr>
        <w:t>.</w:t>
      </w:r>
      <w:r w:rsidR="0022702D">
        <w:rPr>
          <w:rStyle w:val="normaltextrun"/>
          <w:rFonts w:ascii="Calibri" w:hAnsi="Calibri" w:cs="Calibri"/>
          <w:lang w:val="en-US"/>
        </w:rPr>
        <w:t xml:space="preserve"> Telstra has also noted its ongoing commitment to developing digital literacy.</w:t>
      </w:r>
    </w:p>
    <w:p w14:paraId="0C39B1BB" w14:textId="4132CE39" w:rsidR="002A4892" w:rsidRPr="000D61D6" w:rsidRDefault="00183465" w:rsidP="5D7F67FF">
      <w:pPr>
        <w:rPr>
          <w:rStyle w:val="normaltextrun"/>
          <w:rFonts w:ascii="Calibri" w:hAnsi="Calibri" w:cs="Calibri"/>
          <w:lang w:val="en-US"/>
        </w:rPr>
      </w:pPr>
      <w:r w:rsidRPr="000D61D6">
        <w:t xml:space="preserve">Noting the emphasis on consumer awareness in the Review Committee’s report, the flexibility of the </w:t>
      </w:r>
      <w:r w:rsidR="00502C56">
        <w:rPr>
          <w:rStyle w:val="normaltextrun"/>
          <w:rFonts w:ascii="Calibri" w:hAnsi="Calibri" w:cs="Calibri"/>
          <w:lang w:val="en-US"/>
        </w:rPr>
        <w:t>CRA</w:t>
      </w:r>
      <w:r w:rsidRPr="000D61D6">
        <w:t xml:space="preserve"> could potentially allow further funding to be targeted towards connectivity literacy issues if required and worthwhile projects were put forward and considered value for money.</w:t>
      </w:r>
      <w:r w:rsidRPr="000D61D6">
        <w:rPr>
          <w:rStyle w:val="normaltextrun"/>
          <w:rFonts w:ascii="Calibri" w:hAnsi="Calibri" w:cs="Calibri"/>
          <w:lang w:val="en-US"/>
        </w:rPr>
        <w:t xml:space="preserve"> </w:t>
      </w:r>
    </w:p>
    <w:p w14:paraId="1C6417DF" w14:textId="0E1DD346" w:rsidR="002A4892" w:rsidRPr="000D61D6" w:rsidRDefault="00183465" w:rsidP="5D7F67FF">
      <w:pPr>
        <w:rPr>
          <w:rStyle w:val="normaltextrun"/>
          <w:rFonts w:ascii="Calibri" w:hAnsi="Calibri" w:cs="Calibri"/>
          <w:lang w:val="en-US"/>
        </w:rPr>
      </w:pPr>
      <w:r w:rsidRPr="000D61D6">
        <w:t xml:space="preserve">Consumers </w:t>
      </w:r>
      <w:r w:rsidR="00B31F24">
        <w:t>will</w:t>
      </w:r>
      <w:r w:rsidR="00B31F24" w:rsidRPr="000D61D6">
        <w:t xml:space="preserve"> </w:t>
      </w:r>
      <w:r w:rsidRPr="000D61D6">
        <w:t xml:space="preserve">be further empowered by audits and improved information and enforcement in relation to mobile coverage and performance. </w:t>
      </w:r>
    </w:p>
    <w:p w14:paraId="46F47DAF" w14:textId="010D804E" w:rsidR="00EA01C3" w:rsidRPr="000D61D6" w:rsidRDefault="00183465" w:rsidP="000D61D6">
      <w:pPr>
        <w:pStyle w:val="paragraph"/>
        <w:spacing w:before="0" w:beforeAutospacing="0" w:after="240" w:afterAutospacing="0"/>
        <w:textAlignment w:val="baseline"/>
        <w:rPr>
          <w:rStyle w:val="normaltextrun"/>
          <w:rFonts w:ascii="Calibri" w:eastAsiaTheme="minorEastAsia" w:hAnsi="Calibri" w:cs="Calibri"/>
          <w:sz w:val="22"/>
          <w:szCs w:val="22"/>
          <w:lang w:val="en-US" w:eastAsia="zh-TW"/>
        </w:rPr>
      </w:pPr>
      <w:r w:rsidRPr="000D61D6">
        <w:rPr>
          <w:rStyle w:val="normaltextrun"/>
          <w:rFonts w:ascii="Calibri" w:hAnsi="Calibri" w:cs="Calibri"/>
          <w:sz w:val="22"/>
          <w:szCs w:val="22"/>
          <w:lang w:val="en-US"/>
        </w:rPr>
        <w:t xml:space="preserve">The Committee’s report also suggests updating the governance framework of the Regional Tech Hub to include an expert advisory panel with experience across regional telecommunications, development and engagement. The </w:t>
      </w:r>
      <w:r w:rsidR="00FA200A">
        <w:rPr>
          <w:rStyle w:val="normaltextrun"/>
          <w:rFonts w:ascii="Calibri" w:hAnsi="Calibri" w:cs="Calibri"/>
          <w:sz w:val="22"/>
          <w:szCs w:val="22"/>
          <w:lang w:val="en-US"/>
        </w:rPr>
        <w:t>Liberal and Nationals Government</w:t>
      </w:r>
      <w:r w:rsidRPr="000D61D6">
        <w:rPr>
          <w:rStyle w:val="normaltextrun"/>
          <w:rFonts w:ascii="Calibri" w:hAnsi="Calibri" w:cs="Calibri"/>
          <w:sz w:val="22"/>
          <w:szCs w:val="22"/>
          <w:lang w:val="en-US"/>
        </w:rPr>
        <w:t xml:space="preserve"> will consider this suggestion as part of the proposed additional funding for the Regional Tech Hub.</w:t>
      </w:r>
    </w:p>
    <w:p w14:paraId="2C867AD7" w14:textId="5C189CA4" w:rsidR="00EA01C3" w:rsidRDefault="00183465" w:rsidP="00E65CEE">
      <w:pPr>
        <w:pStyle w:val="paragraph"/>
        <w:spacing w:before="0" w:beforeAutospacing="0" w:after="240" w:afterAutospacing="0"/>
        <w:textAlignment w:val="baseline"/>
        <w:rPr>
          <w:rStyle w:val="normaltextrun"/>
          <w:rFonts w:ascii="Calibri" w:hAnsi="Calibri" w:cs="Calibri"/>
          <w:sz w:val="22"/>
          <w:szCs w:val="22"/>
          <w:lang w:val="en-US"/>
        </w:rPr>
      </w:pPr>
      <w:r w:rsidRPr="000D61D6">
        <w:rPr>
          <w:rStyle w:val="normaltextrun"/>
          <w:rFonts w:ascii="Calibri" w:hAnsi="Calibri" w:cs="Calibri"/>
          <w:sz w:val="22"/>
          <w:szCs w:val="22"/>
          <w:lang w:val="en-US"/>
        </w:rPr>
        <w:t xml:space="preserve">The </w:t>
      </w:r>
      <w:r w:rsidR="00FA200A">
        <w:rPr>
          <w:rStyle w:val="normaltextrun"/>
          <w:rFonts w:ascii="Calibri" w:hAnsi="Calibri" w:cs="Calibri"/>
          <w:sz w:val="22"/>
          <w:szCs w:val="22"/>
          <w:lang w:val="en-US"/>
        </w:rPr>
        <w:t>Liberal and Nationals Government</w:t>
      </w:r>
      <w:r w:rsidRPr="000D61D6">
        <w:rPr>
          <w:rStyle w:val="normaltextrun"/>
          <w:rFonts w:ascii="Calibri" w:hAnsi="Calibri" w:cs="Calibri"/>
          <w:sz w:val="22"/>
          <w:szCs w:val="22"/>
          <w:lang w:val="en-US"/>
        </w:rPr>
        <w:t xml:space="preserve"> will examine the development and maintenance of a digital tool to provide specific information on connectivity options to consumers. We note that there are </w:t>
      </w:r>
      <w:r w:rsidRPr="000D61D6">
        <w:rPr>
          <w:rStyle w:val="normaltextrun"/>
          <w:rFonts w:ascii="Calibri" w:hAnsi="Calibri" w:cs="Calibri"/>
          <w:sz w:val="22"/>
          <w:szCs w:val="22"/>
          <w:lang w:val="en-US"/>
        </w:rPr>
        <w:lastRenderedPageBreak/>
        <w:t>already a number of tools businesses and consumers can use to assess their connectivity needs and investigate suitable connectivity options. These include NBN Co’s ‘business nbn</w:t>
      </w:r>
      <w:r w:rsidRPr="000D61D6">
        <w:rPr>
          <w:rStyle w:val="normaltextrun"/>
          <w:rFonts w:ascii="Calibri" w:hAnsi="Calibri" w:cs="Calibri"/>
          <w:sz w:val="22"/>
          <w:szCs w:val="22"/>
          <w:vertAlign w:val="superscript"/>
          <w:lang w:val="en-US"/>
        </w:rPr>
        <w:t xml:space="preserve">TM </w:t>
      </w:r>
      <w:r w:rsidRPr="000D61D6">
        <w:rPr>
          <w:rStyle w:val="normaltextrun"/>
          <w:rFonts w:ascii="Calibri" w:hAnsi="Calibri" w:cs="Calibri"/>
          <w:sz w:val="22"/>
          <w:szCs w:val="22"/>
          <w:lang w:val="en-US"/>
        </w:rPr>
        <w:t xml:space="preserve">readiness tool’ and the Digital Readiness Assessment Tool provided by the Department of Industry, Science, Energy and Resources, as well as services offered by the telecommunications industry and on third party consumer websites. </w:t>
      </w:r>
      <w:r w:rsidR="00E65CEE">
        <w:rPr>
          <w:rStyle w:val="normaltextrun"/>
          <w:rFonts w:ascii="Calibri" w:hAnsi="Calibri" w:cs="Calibri"/>
          <w:sz w:val="22"/>
          <w:szCs w:val="22"/>
          <w:lang w:val="en-US"/>
        </w:rPr>
        <w:t xml:space="preserve">The </w:t>
      </w:r>
      <w:r w:rsidR="00FA200A">
        <w:rPr>
          <w:rStyle w:val="normaltextrun"/>
          <w:rFonts w:ascii="Calibri" w:hAnsi="Calibri" w:cs="Calibri"/>
          <w:sz w:val="22"/>
          <w:szCs w:val="22"/>
          <w:lang w:val="en-US"/>
        </w:rPr>
        <w:t>Liberal and Nationals Government</w:t>
      </w:r>
      <w:r w:rsidR="00E65CEE">
        <w:rPr>
          <w:rStyle w:val="normaltextrun"/>
          <w:rFonts w:ascii="Calibri" w:hAnsi="Calibri" w:cs="Calibri"/>
          <w:sz w:val="22"/>
          <w:szCs w:val="22"/>
          <w:lang w:val="en-US"/>
        </w:rPr>
        <w:t xml:space="preserve"> is </w:t>
      </w:r>
      <w:r w:rsidR="009C6F79">
        <w:rPr>
          <w:rStyle w:val="normaltextrun"/>
          <w:rFonts w:ascii="Calibri" w:hAnsi="Calibri" w:cs="Calibri"/>
          <w:sz w:val="22"/>
          <w:szCs w:val="22"/>
          <w:lang w:val="en-US"/>
        </w:rPr>
        <w:t xml:space="preserve">also </w:t>
      </w:r>
      <w:r w:rsidR="00E65CEE">
        <w:rPr>
          <w:rStyle w:val="normaltextrun"/>
          <w:rFonts w:ascii="Calibri" w:hAnsi="Calibri" w:cs="Calibri"/>
          <w:sz w:val="22"/>
          <w:szCs w:val="22"/>
          <w:lang w:val="en-US"/>
        </w:rPr>
        <w:t xml:space="preserve">expanding the Consumer Data Right (CDR) to telecommunications. </w:t>
      </w:r>
      <w:r w:rsidR="0022702D">
        <w:rPr>
          <w:rStyle w:val="normaltextrun"/>
          <w:rFonts w:ascii="Calibri" w:hAnsi="Calibri" w:cs="Calibri"/>
          <w:sz w:val="22"/>
          <w:szCs w:val="22"/>
          <w:lang w:val="en-US"/>
        </w:rPr>
        <w:t xml:space="preserve">The </w:t>
      </w:r>
      <w:r w:rsidR="00E65CEE">
        <w:rPr>
          <w:rStyle w:val="normaltextrun"/>
          <w:rFonts w:ascii="Calibri" w:hAnsi="Calibri" w:cs="Calibri"/>
          <w:sz w:val="22"/>
          <w:szCs w:val="22"/>
          <w:lang w:val="en-US"/>
        </w:rPr>
        <w:t xml:space="preserve">CDR </w:t>
      </w:r>
      <w:r w:rsidR="00E65CEE" w:rsidRPr="00E65CEE">
        <w:rPr>
          <w:rFonts w:ascii="Calibri" w:hAnsi="Calibri" w:cs="Calibri"/>
          <w:sz w:val="22"/>
          <w:szCs w:val="22"/>
        </w:rPr>
        <w:t xml:space="preserve">allows consumers to </w:t>
      </w:r>
      <w:r w:rsidR="00BB115B">
        <w:rPr>
          <w:rFonts w:ascii="Calibri" w:hAnsi="Calibri" w:cs="Calibri"/>
          <w:sz w:val="22"/>
          <w:szCs w:val="22"/>
        </w:rPr>
        <w:t>share</w:t>
      </w:r>
      <w:r w:rsidR="00E65CEE" w:rsidRPr="00E65CEE">
        <w:rPr>
          <w:rFonts w:ascii="Calibri" w:hAnsi="Calibri" w:cs="Calibri"/>
          <w:sz w:val="22"/>
          <w:szCs w:val="22"/>
        </w:rPr>
        <w:t xml:space="preserve"> their data </w:t>
      </w:r>
      <w:r w:rsidR="002334CF">
        <w:rPr>
          <w:rFonts w:ascii="Calibri" w:hAnsi="Calibri" w:cs="Calibri"/>
          <w:sz w:val="22"/>
          <w:szCs w:val="22"/>
        </w:rPr>
        <w:t xml:space="preserve">using accredited </w:t>
      </w:r>
      <w:r w:rsidR="00E65CEE" w:rsidRPr="00E65CEE">
        <w:rPr>
          <w:rFonts w:ascii="Calibri" w:hAnsi="Calibri" w:cs="Calibri"/>
          <w:sz w:val="22"/>
          <w:szCs w:val="22"/>
        </w:rPr>
        <w:t>third parties so they can more easily compare products and find a better deal.</w:t>
      </w:r>
      <w:r w:rsidR="00E65CEE" w:rsidRPr="000D61D6">
        <w:rPr>
          <w:rStyle w:val="normaltextrun"/>
          <w:rFonts w:ascii="Calibri" w:hAnsi="Calibri" w:cs="Calibri"/>
          <w:sz w:val="22"/>
          <w:szCs w:val="22"/>
          <w:lang w:val="en-US"/>
        </w:rPr>
        <w:t xml:space="preserve"> </w:t>
      </w:r>
      <w:r w:rsidRPr="000D61D6">
        <w:rPr>
          <w:rStyle w:val="normaltextrun"/>
          <w:rFonts w:ascii="Calibri" w:hAnsi="Calibri" w:cs="Calibri"/>
          <w:sz w:val="22"/>
          <w:szCs w:val="22"/>
          <w:lang w:val="en-US"/>
        </w:rPr>
        <w:t xml:space="preserve">Given this, the Government considers the best approach </w:t>
      </w:r>
      <w:r w:rsidR="00030C13" w:rsidRPr="000D61D6">
        <w:rPr>
          <w:rStyle w:val="normaltextrun"/>
          <w:rFonts w:ascii="Calibri" w:hAnsi="Calibri" w:cs="Calibri"/>
          <w:sz w:val="22"/>
          <w:szCs w:val="22"/>
          <w:lang w:val="en-US"/>
        </w:rPr>
        <w:t>to</w:t>
      </w:r>
      <w:r w:rsidRPr="000D61D6">
        <w:rPr>
          <w:rStyle w:val="normaltextrun"/>
          <w:rFonts w:ascii="Calibri" w:hAnsi="Calibri" w:cs="Calibri"/>
          <w:sz w:val="22"/>
          <w:szCs w:val="22"/>
          <w:lang w:val="en-US"/>
        </w:rPr>
        <w:t xml:space="preserve"> the provision of a digital tool needs to be explored further. Subject to consideration, further tools could be funded under the </w:t>
      </w:r>
      <w:r w:rsidR="00502C56">
        <w:rPr>
          <w:rStyle w:val="normaltextrun"/>
          <w:rFonts w:ascii="Calibri" w:hAnsi="Calibri" w:cs="Calibri"/>
          <w:sz w:val="22"/>
          <w:szCs w:val="22"/>
          <w:lang w:val="en-US"/>
        </w:rPr>
        <w:t>CRA</w:t>
      </w:r>
      <w:r w:rsidR="00502C56" w:rsidRPr="000D61D6">
        <w:rPr>
          <w:rStyle w:val="normaltextrun"/>
          <w:rFonts w:ascii="Calibri" w:hAnsi="Calibri" w:cs="Calibri"/>
          <w:sz w:val="22"/>
          <w:szCs w:val="22"/>
          <w:lang w:val="en-US"/>
        </w:rPr>
        <w:t xml:space="preserve"> </w:t>
      </w:r>
      <w:r w:rsidRPr="000D61D6">
        <w:rPr>
          <w:rStyle w:val="normaltextrun"/>
          <w:rFonts w:ascii="Calibri" w:hAnsi="Calibri" w:cs="Calibri"/>
          <w:sz w:val="22"/>
          <w:szCs w:val="22"/>
          <w:lang w:val="en-US"/>
        </w:rPr>
        <w:t>and potentially operated by the Regional Tech Hub.</w:t>
      </w:r>
    </w:p>
    <w:p w14:paraId="6E95CE65" w14:textId="373E23E8" w:rsidR="00EA01C3" w:rsidRPr="000D61D6" w:rsidRDefault="00183465" w:rsidP="000D61D6">
      <w:pPr>
        <w:pStyle w:val="paragraph"/>
        <w:spacing w:before="0" w:beforeAutospacing="0" w:after="240" w:afterAutospacing="0"/>
        <w:textAlignment w:val="baseline"/>
        <w:rPr>
          <w:rStyle w:val="normaltextrun"/>
          <w:rFonts w:ascii="Calibri" w:hAnsi="Calibri" w:cs="Calibri"/>
          <w:sz w:val="22"/>
          <w:szCs w:val="22"/>
          <w:lang w:val="en-US"/>
        </w:rPr>
      </w:pPr>
      <w:r w:rsidRPr="000D61D6">
        <w:rPr>
          <w:rStyle w:val="normaltextrun"/>
          <w:rFonts w:ascii="Calibri" w:hAnsi="Calibri" w:cs="Calibri"/>
          <w:sz w:val="22"/>
          <w:szCs w:val="22"/>
          <w:lang w:val="en-US"/>
        </w:rPr>
        <w:t xml:space="preserve">The </w:t>
      </w:r>
      <w:r w:rsidR="00FA200A">
        <w:rPr>
          <w:rStyle w:val="normaltextrun"/>
          <w:rFonts w:ascii="Calibri" w:hAnsi="Calibri" w:cs="Calibri"/>
          <w:sz w:val="22"/>
          <w:szCs w:val="22"/>
          <w:lang w:val="en-US"/>
        </w:rPr>
        <w:t>Liberal and Nationals Government</w:t>
      </w:r>
      <w:r w:rsidRPr="000D61D6">
        <w:rPr>
          <w:rStyle w:val="normaltextrun"/>
          <w:rFonts w:ascii="Calibri" w:hAnsi="Calibri" w:cs="Calibri"/>
          <w:sz w:val="22"/>
          <w:szCs w:val="22"/>
          <w:lang w:val="en-US"/>
        </w:rPr>
        <w:t xml:space="preserve"> also agrees the ACCC should continue to enforce against misleading and deceptive disinformation around the availability of telecommunications services. The Minister will write to the Chair of the ACCC on this issue.</w:t>
      </w:r>
    </w:p>
    <w:p w14:paraId="041BE56B" w14:textId="77777777" w:rsidR="00EA01C3" w:rsidRPr="000D61D6" w:rsidRDefault="00183465">
      <w:pPr>
        <w:pBdr>
          <w:top w:val="single" w:sz="4" w:space="1" w:color="auto"/>
          <w:left w:val="single" w:sz="4" w:space="1" w:color="auto"/>
          <w:bottom w:val="single" w:sz="4" w:space="1" w:color="auto"/>
          <w:right w:val="single" w:sz="4" w:space="1" w:color="auto"/>
        </w:pBdr>
        <w:shd w:val="clear" w:color="auto" w:fill="DEEAF6" w:themeFill="accent1" w:themeFillTint="33"/>
        <w:rPr>
          <w:rStyle w:val="normaltextrun"/>
          <w:rFonts w:asciiTheme="majorHAnsi" w:eastAsiaTheme="majorEastAsia" w:hAnsiTheme="majorHAnsi" w:cstheme="majorBidi"/>
        </w:rPr>
      </w:pPr>
      <w:bookmarkStart w:id="44" w:name="_Toc98519195"/>
      <w:bookmarkStart w:id="45" w:name="_Toc89339093"/>
      <w:bookmarkStart w:id="46" w:name="_Toc89345019"/>
      <w:bookmarkStart w:id="47" w:name="_Toc89346172"/>
      <w:bookmarkStart w:id="48" w:name="_Toc89355914"/>
      <w:bookmarkStart w:id="49" w:name="_Toc89355977"/>
      <w:bookmarkStart w:id="50" w:name="_Toc89356902"/>
      <w:bookmarkStart w:id="51" w:name="_Toc89786613"/>
      <w:r w:rsidRPr="000D61D6">
        <w:rPr>
          <w:rStyle w:val="Heading3Char"/>
        </w:rPr>
        <w:t>Recommendation 6 - NBN Co regional delivery:</w:t>
      </w:r>
      <w:bookmarkEnd w:id="44"/>
      <w:r w:rsidRPr="000D61D6">
        <w:t xml:space="preserve"> </w:t>
      </w:r>
      <w:r w:rsidRPr="000D61D6">
        <w:rPr>
          <w:rStyle w:val="normaltextrun"/>
          <w:rFonts w:ascii="Calibri" w:eastAsiaTheme="majorEastAsia" w:hAnsi="Calibri"/>
          <w:lang w:val="en-US"/>
        </w:rPr>
        <w:t xml:space="preserve">The Committee recommends that NBN Co </w:t>
      </w:r>
      <w:r w:rsidRPr="000D61D6">
        <w:rPr>
          <w:rStyle w:val="normaltextrun"/>
          <w:rFonts w:ascii="Calibri" w:eastAsiaTheme="majorEastAsia" w:hAnsi="Calibri" w:cs="Calibri"/>
          <w:lang w:val="en-US"/>
        </w:rPr>
        <w:t>commits to providing holistic upgrades to</w:t>
      </w:r>
      <w:r w:rsidRPr="000D61D6">
        <w:rPr>
          <w:rStyle w:val="normaltextrun"/>
          <w:rFonts w:ascii="Calibri" w:eastAsiaTheme="majorEastAsia" w:hAnsi="Calibri"/>
          <w:lang w:val="en-US"/>
        </w:rPr>
        <w:t xml:space="preserve"> their regional fixed wireless network </w:t>
      </w:r>
      <w:r w:rsidRPr="000D61D6">
        <w:rPr>
          <w:rStyle w:val="normaltextrun"/>
          <w:rFonts w:ascii="Calibri" w:eastAsiaTheme="majorEastAsia" w:hAnsi="Calibri" w:cs="Calibri"/>
          <w:lang w:val="en-US"/>
        </w:rPr>
        <w:t>to allow users to access faster network speeds and minimise network congestion by:</w:t>
      </w:r>
      <w:bookmarkEnd w:id="45"/>
      <w:bookmarkEnd w:id="46"/>
      <w:bookmarkEnd w:id="47"/>
      <w:bookmarkEnd w:id="48"/>
      <w:bookmarkEnd w:id="49"/>
      <w:bookmarkEnd w:id="50"/>
      <w:bookmarkEnd w:id="51"/>
    </w:p>
    <w:p w14:paraId="3D3CDC90" w14:textId="77777777" w:rsidR="00EA01C3" w:rsidRPr="000D61D6" w:rsidRDefault="00183465" w:rsidP="000D61D6">
      <w:pPr>
        <w:pStyle w:val="paragraph"/>
        <w:numPr>
          <w:ilvl w:val="0"/>
          <w:numId w:val="5"/>
        </w:numPr>
        <w:pBdr>
          <w:top w:val="single" w:sz="4" w:space="1" w:color="auto"/>
          <w:left w:val="single" w:sz="4" w:space="1" w:color="auto"/>
          <w:bottom w:val="single" w:sz="4" w:space="1" w:color="auto"/>
          <w:right w:val="single" w:sz="4" w:space="1" w:color="auto"/>
        </w:pBdr>
        <w:shd w:val="clear" w:color="auto" w:fill="DEEAF6" w:themeFill="accent1" w:themeFillTint="33"/>
        <w:spacing w:before="0" w:beforeAutospacing="0" w:after="0" w:afterAutospacing="0"/>
        <w:ind w:left="426" w:hanging="426"/>
        <w:textAlignment w:val="baseline"/>
        <w:rPr>
          <w:rStyle w:val="normaltextrun"/>
          <w:rFonts w:ascii="Calibri" w:eastAsiaTheme="majorEastAsia" w:hAnsi="Calibri" w:cs="Calibri"/>
          <w:sz w:val="22"/>
          <w:szCs w:val="22"/>
          <w:lang w:val="en-US"/>
        </w:rPr>
      </w:pPr>
      <w:r w:rsidRPr="000D61D6">
        <w:rPr>
          <w:rStyle w:val="normaltextrun"/>
          <w:rFonts w:ascii="Calibri" w:eastAsiaTheme="majorEastAsia" w:hAnsi="Calibri" w:cs="Calibri"/>
          <w:sz w:val="22"/>
          <w:szCs w:val="22"/>
          <w:lang w:val="en-US"/>
        </w:rPr>
        <w:t>strengthening the network to make more bandwidth available to users</w:t>
      </w:r>
    </w:p>
    <w:p w14:paraId="62E65DF9" w14:textId="77777777" w:rsidR="00EA01C3" w:rsidRPr="000D61D6" w:rsidRDefault="00183465" w:rsidP="000D61D6">
      <w:pPr>
        <w:pStyle w:val="paragraph"/>
        <w:numPr>
          <w:ilvl w:val="0"/>
          <w:numId w:val="5"/>
        </w:numPr>
        <w:pBdr>
          <w:top w:val="single" w:sz="4" w:space="1" w:color="auto"/>
          <w:left w:val="single" w:sz="4" w:space="1" w:color="auto"/>
          <w:bottom w:val="single" w:sz="4" w:space="1" w:color="auto"/>
          <w:right w:val="single" w:sz="4" w:space="1" w:color="auto"/>
        </w:pBdr>
        <w:shd w:val="clear" w:color="auto" w:fill="DEEAF6" w:themeFill="accent1" w:themeFillTint="33"/>
        <w:spacing w:before="0" w:beforeAutospacing="0" w:after="240" w:afterAutospacing="0"/>
        <w:ind w:left="426" w:hanging="426"/>
        <w:textAlignment w:val="baseline"/>
        <w:rPr>
          <w:rStyle w:val="normaltextrun"/>
          <w:rFonts w:ascii="Calibri" w:eastAsiaTheme="majorEastAsia" w:hAnsi="Calibri" w:cs="Calibri"/>
          <w:sz w:val="22"/>
          <w:szCs w:val="22"/>
          <w:lang w:val="en-US"/>
        </w:rPr>
      </w:pPr>
      <w:r w:rsidRPr="000D61D6">
        <w:rPr>
          <w:rStyle w:val="normaltextrun"/>
          <w:rFonts w:ascii="Calibri" w:eastAsiaTheme="majorEastAsia" w:hAnsi="Calibri" w:cs="Calibri"/>
          <w:sz w:val="22"/>
          <w:szCs w:val="22"/>
          <w:lang w:val="en-US"/>
        </w:rPr>
        <w:t>extending the reach of the network into areas currently serviced by Sky Muster satellite.</w:t>
      </w:r>
    </w:p>
    <w:p w14:paraId="3AAFF53F" w14:textId="77777777" w:rsidR="00EA01C3" w:rsidRPr="000D61D6" w:rsidRDefault="00183465" w:rsidP="000D61D6">
      <w:pPr>
        <w:pStyle w:val="paragraph"/>
        <w:pBdr>
          <w:top w:val="single" w:sz="4" w:space="1" w:color="auto"/>
          <w:left w:val="single" w:sz="4" w:space="1" w:color="auto"/>
          <w:bottom w:val="single" w:sz="4" w:space="1" w:color="auto"/>
          <w:right w:val="single" w:sz="4" w:space="1" w:color="auto"/>
        </w:pBdr>
        <w:shd w:val="clear" w:color="auto" w:fill="DEEAF6" w:themeFill="accent1" w:themeFillTint="33"/>
        <w:spacing w:before="0" w:beforeAutospacing="0"/>
        <w:textAlignment w:val="baseline"/>
        <w:rPr>
          <w:rStyle w:val="normaltextrun"/>
          <w:rFonts w:ascii="Calibri" w:eastAsiaTheme="majorEastAsia" w:hAnsi="Calibri" w:cs="Calibri"/>
          <w:sz w:val="22"/>
          <w:szCs w:val="22"/>
          <w:lang w:val="en-US"/>
        </w:rPr>
      </w:pPr>
      <w:r w:rsidRPr="000D61D6">
        <w:rPr>
          <w:rStyle w:val="normaltextrun"/>
          <w:rFonts w:ascii="Calibri" w:eastAsiaTheme="majorEastAsia" w:hAnsi="Calibri" w:cs="Calibri"/>
          <w:sz w:val="22"/>
          <w:szCs w:val="22"/>
          <w:lang w:val="en-US"/>
        </w:rPr>
        <w:t xml:space="preserve">The Committee further recommends that NBN Co provides greater value on the Sky Muster </w:t>
      </w:r>
      <w:r w:rsidRPr="000D61D6">
        <w:rPr>
          <w:rStyle w:val="normaltextrun"/>
          <w:rFonts w:ascii="Calibri" w:eastAsiaTheme="majorEastAsia" w:hAnsi="Calibri"/>
          <w:sz w:val="22"/>
          <w:szCs w:val="22"/>
          <w:lang w:val="en-US"/>
        </w:rPr>
        <w:t>satellite product by</w:t>
      </w:r>
      <w:r w:rsidRPr="000D61D6">
        <w:rPr>
          <w:rStyle w:val="normaltextrun"/>
          <w:rFonts w:ascii="Calibri" w:eastAsiaTheme="majorEastAsia" w:hAnsi="Calibri" w:cs="Calibri"/>
          <w:sz w:val="22"/>
          <w:szCs w:val="22"/>
          <w:lang w:val="en-US"/>
        </w:rPr>
        <w:t xml:space="preserve"> enhancing peak and off-peak times and data allocations and promoting the availability of Sky Muster Plus to users.</w:t>
      </w:r>
    </w:p>
    <w:p w14:paraId="0B6038EC" w14:textId="65F45D6F" w:rsidR="00EA01C3" w:rsidRPr="00A43BB8" w:rsidRDefault="00183465" w:rsidP="00EA01C3">
      <w:r w:rsidRPr="000D61D6">
        <w:t xml:space="preserve">The </w:t>
      </w:r>
      <w:r w:rsidR="00FA200A">
        <w:t>Liberal and Nationals Government</w:t>
      </w:r>
      <w:r w:rsidRPr="000D61D6">
        <w:t xml:space="preserve"> will provide a $480 million grant to NBN Co for the company to lift </w:t>
      </w:r>
      <w:r w:rsidR="00E2728A">
        <w:t xml:space="preserve">the </w:t>
      </w:r>
      <w:r w:rsidRPr="000D61D6">
        <w:t xml:space="preserve">service quality available to over a million households and businesses in regional and remote Australia. NBN Co will also contribute $270 million in funding, for a total $750 million investment. </w:t>
      </w:r>
      <w:r w:rsidRPr="000D61D6">
        <w:rPr>
          <w:rStyle w:val="normaltextrun"/>
          <w:rFonts w:ascii="Calibri" w:hAnsi="Calibri" w:cs="Calibri"/>
          <w:lang w:val="en-US"/>
        </w:rPr>
        <w:t>This funding will support high</w:t>
      </w:r>
      <w:r w:rsidRPr="00A43BB8">
        <w:t>er speed services and the expansion of fixed wireless services into areas currently serviced by NBN satellite.</w:t>
      </w:r>
    </w:p>
    <w:p w14:paraId="057470B5" w14:textId="77777777" w:rsidR="00F85A02" w:rsidRPr="00A9661C" w:rsidRDefault="00F85A02" w:rsidP="00A9661C">
      <w:r w:rsidRPr="00A9661C">
        <w:t xml:space="preserve">The upgrade will extend the footprint of each NBN fixed wireless tower so that 120,000 additional premises are able to access fixed wireless services instead of Sky Muster satellite services. </w:t>
      </w:r>
    </w:p>
    <w:p w14:paraId="6398B731" w14:textId="09576D3E" w:rsidR="00A43BB8" w:rsidRPr="00A43BB8" w:rsidRDefault="00A43BB8" w:rsidP="00A43BB8">
      <w:r w:rsidRPr="00A43BB8">
        <w:t>Additionally for the three quarter of a million premises then able to access fixed wireless services, NBN Co will be able to deliver typical wholesale download speeds of 50 Megabits per second (Mbps) during the busy period, compared to the current network design metric of 6 Mbps minimum busy hour wholesale download speeds.</w:t>
      </w:r>
    </w:p>
    <w:p w14:paraId="680B26B7" w14:textId="7BBA0217" w:rsidR="000172C7" w:rsidRPr="00252E47" w:rsidRDefault="00A43BB8" w:rsidP="00DB10CE">
      <w:r w:rsidRPr="00A43BB8">
        <w:t>The upgrade will also enable higher upload speeds, to up to 20 Mbps for higher speed tiers.</w:t>
      </w:r>
      <w:r>
        <w:t xml:space="preserve"> </w:t>
      </w:r>
      <w:r w:rsidR="00183465" w:rsidRPr="00252E47">
        <w:t>The upgrade and expansion of fixed wireless services will</w:t>
      </w:r>
      <w:r w:rsidR="00F85A02" w:rsidRPr="00252E47">
        <w:t xml:space="preserve"> also</w:t>
      </w:r>
      <w:r w:rsidR="00183465" w:rsidRPr="00252E47">
        <w:t xml:space="preserve"> reduce load on the NBN satellite service, enabling increased data and improved network performance for satellite customers.</w:t>
      </w:r>
      <w:r w:rsidR="000172C7" w:rsidRPr="006E07D2">
        <w:t xml:space="preserve"> </w:t>
      </w:r>
      <w:r w:rsidR="000172C7" w:rsidRPr="00252E47">
        <w:t xml:space="preserve">NBN Co will be able to provide additional data allowances and extended off-peak periods for Sky Muster services. </w:t>
      </w:r>
      <w:r w:rsidR="003A44E6">
        <w:t>T</w:t>
      </w:r>
      <w:r w:rsidR="000172C7" w:rsidRPr="00252E47">
        <w:t>hese changes mean more scope for people in regional, remote and peri-urban communities to work and learn from home, video conference with families and customers, and stream and download content.</w:t>
      </w:r>
    </w:p>
    <w:p w14:paraId="3A5A6F0A" w14:textId="01C66327" w:rsidR="00EA01C3" w:rsidRDefault="00502C56" w:rsidP="000D61D6">
      <w:pPr>
        <w:pStyle w:val="paragraph"/>
        <w:spacing w:before="0" w:beforeAutospacing="0"/>
        <w:textAlignment w:val="baseline"/>
        <w:rPr>
          <w:rStyle w:val="normaltextrun"/>
          <w:rFonts w:ascii="Calibri" w:hAnsi="Calibri" w:cs="Calibri"/>
          <w:sz w:val="22"/>
          <w:szCs w:val="22"/>
          <w:lang w:val="en-US"/>
        </w:rPr>
      </w:pPr>
      <w:r>
        <w:rPr>
          <w:rStyle w:val="normaltextrun"/>
          <w:rFonts w:ascii="Calibri" w:hAnsi="Calibri" w:cs="Calibri"/>
          <w:sz w:val="22"/>
          <w:szCs w:val="22"/>
          <w:lang w:val="en-US"/>
        </w:rPr>
        <w:t>CRA</w:t>
      </w:r>
      <w:r w:rsidRPr="000D61D6">
        <w:rPr>
          <w:rStyle w:val="normaltextrun"/>
          <w:rFonts w:ascii="Calibri" w:hAnsi="Calibri" w:cs="Calibri"/>
          <w:sz w:val="22"/>
          <w:szCs w:val="22"/>
          <w:lang w:val="en-US"/>
        </w:rPr>
        <w:t xml:space="preserve"> </w:t>
      </w:r>
      <w:r w:rsidR="00183465" w:rsidRPr="000D61D6">
        <w:rPr>
          <w:rStyle w:val="normaltextrun"/>
          <w:rFonts w:ascii="Calibri" w:hAnsi="Calibri" w:cs="Calibri"/>
          <w:sz w:val="22"/>
          <w:szCs w:val="22"/>
          <w:lang w:val="en-US"/>
        </w:rPr>
        <w:t>funding would not be able to duplicate this funding but it could supplement it, for example, to further upgrade infrastructure outside the expanded fixed wireless footprint. This could include supporting technology upgrades in remaining satellite areas, such as any still serviced by ADSL as suggested in the Committee’s report.</w:t>
      </w:r>
    </w:p>
    <w:p w14:paraId="72BC7AF3" w14:textId="77777777" w:rsidR="00EA01C3" w:rsidRPr="000D61D6" w:rsidRDefault="00183465" w:rsidP="5D7F67FF">
      <w:pPr>
        <w:pBdr>
          <w:top w:val="single" w:sz="4" w:space="1" w:color="auto"/>
          <w:left w:val="single" w:sz="4" w:space="4" w:color="auto"/>
          <w:bottom w:val="single" w:sz="4" w:space="1" w:color="auto"/>
          <w:right w:val="single" w:sz="4" w:space="4" w:color="auto"/>
        </w:pBdr>
        <w:shd w:val="clear" w:color="auto" w:fill="DEEAF6" w:themeFill="accent1" w:themeFillTint="33"/>
        <w:rPr>
          <w:rStyle w:val="normaltextrun"/>
        </w:rPr>
      </w:pPr>
      <w:bookmarkStart w:id="52" w:name="_Toc98519196"/>
      <w:bookmarkStart w:id="53" w:name="_Toc89339094"/>
      <w:bookmarkStart w:id="54" w:name="_Toc89345020"/>
      <w:bookmarkStart w:id="55" w:name="_Toc89346173"/>
      <w:bookmarkStart w:id="56" w:name="_Toc89355915"/>
      <w:bookmarkStart w:id="57" w:name="_Toc89355978"/>
      <w:bookmarkStart w:id="58" w:name="_Toc89356903"/>
      <w:bookmarkStart w:id="59" w:name="_Toc89786614"/>
      <w:r w:rsidRPr="000D61D6">
        <w:rPr>
          <w:rStyle w:val="Heading3Char"/>
        </w:rPr>
        <w:lastRenderedPageBreak/>
        <w:t>Recommendation 7 - Network performance and reliability:</w:t>
      </w:r>
      <w:bookmarkEnd w:id="52"/>
      <w:r w:rsidRPr="000D61D6">
        <w:t xml:space="preserve"> </w:t>
      </w:r>
      <w:r w:rsidRPr="000D61D6">
        <w:rPr>
          <w:rStyle w:val="normaltextrun"/>
          <w:rFonts w:ascii="Calibri" w:eastAsiaTheme="majorEastAsia" w:hAnsi="Calibri"/>
          <w:lang w:val="en-US"/>
        </w:rPr>
        <w:t xml:space="preserve">The Committee recommends that the Government develops and enforces minimum wholesale and retail service, performance and </w:t>
      </w:r>
      <w:r w:rsidRPr="000D61D6">
        <w:rPr>
          <w:rStyle w:val="normaltextrun"/>
          <w:rFonts w:ascii="Calibri" w:eastAsiaTheme="majorEastAsia" w:hAnsi="Calibri"/>
          <w:color w:val="000000" w:themeColor="text1"/>
        </w:rPr>
        <w:t xml:space="preserve">reliability standards </w:t>
      </w:r>
      <w:r w:rsidRPr="000D61D6">
        <w:rPr>
          <w:rStyle w:val="normaltextrun"/>
          <w:rFonts w:ascii="Calibri" w:eastAsiaTheme="majorEastAsia" w:hAnsi="Calibri"/>
          <w:lang w:val="en-US"/>
        </w:rPr>
        <w:t>appropriate for each service type</w:t>
      </w:r>
      <w:r w:rsidRPr="000D61D6">
        <w:rPr>
          <w:rStyle w:val="normaltextrun"/>
          <w:rFonts w:ascii="Calibri" w:eastAsiaTheme="majorEastAsia" w:hAnsi="Calibri" w:cs="Calibri"/>
          <w:lang w:val="en-US"/>
        </w:rPr>
        <w:t> </w:t>
      </w:r>
      <w:r w:rsidRPr="000D61D6">
        <w:rPr>
          <w:rStyle w:val="normaltextrun"/>
          <w:rFonts w:ascii="Calibri" w:eastAsiaTheme="majorEastAsia" w:hAnsi="Calibri"/>
          <w:color w:val="000000" w:themeColor="text1"/>
          <w:lang w:val="en-US"/>
        </w:rPr>
        <w:t>(fixed and landline, mobile, fixed wireless, satellites)</w:t>
      </w:r>
      <w:r w:rsidRPr="000D61D6">
        <w:rPr>
          <w:rStyle w:val="normaltextrun"/>
          <w:rFonts w:ascii="Calibri" w:eastAsiaTheme="majorEastAsia" w:hAnsi="Calibri"/>
          <w:lang w:val="en-US"/>
        </w:rPr>
        <w:t>.</w:t>
      </w:r>
      <w:bookmarkEnd w:id="53"/>
      <w:bookmarkEnd w:id="54"/>
      <w:bookmarkEnd w:id="55"/>
      <w:bookmarkEnd w:id="56"/>
      <w:bookmarkEnd w:id="57"/>
      <w:bookmarkEnd w:id="58"/>
      <w:bookmarkEnd w:id="59"/>
    </w:p>
    <w:p w14:paraId="43C5BB81" w14:textId="77777777" w:rsidR="00EA01C3" w:rsidRPr="000D61D6" w:rsidRDefault="00183465">
      <w:pPr>
        <w:pBdr>
          <w:top w:val="single" w:sz="4" w:space="1" w:color="auto"/>
          <w:left w:val="single" w:sz="4" w:space="4" w:color="auto"/>
          <w:bottom w:val="single" w:sz="4" w:space="1" w:color="auto"/>
          <w:right w:val="single" w:sz="4" w:space="4" w:color="auto"/>
        </w:pBdr>
        <w:shd w:val="clear" w:color="auto" w:fill="DEEAF6" w:themeFill="accent1" w:themeFillTint="33"/>
        <w:rPr>
          <w:rStyle w:val="eop"/>
          <w:rFonts w:eastAsiaTheme="majorEastAsia"/>
        </w:rPr>
      </w:pPr>
      <w:r w:rsidRPr="000D61D6">
        <w:rPr>
          <w:rStyle w:val="normaltextrun"/>
          <w:rFonts w:ascii="Calibri" w:eastAsiaTheme="majorEastAsia" w:hAnsi="Calibri"/>
          <w:lang w:val="en-US"/>
        </w:rPr>
        <w:t xml:space="preserve">The Committee </w:t>
      </w:r>
      <w:r w:rsidRPr="000D61D6">
        <w:rPr>
          <w:rStyle w:val="normaltextrun"/>
          <w:rFonts w:ascii="Calibri" w:eastAsiaTheme="majorEastAsia" w:hAnsi="Calibri" w:cs="Calibri"/>
          <w:lang w:val="en-US"/>
        </w:rPr>
        <w:t xml:space="preserve">further </w:t>
      </w:r>
      <w:r w:rsidRPr="000D61D6">
        <w:rPr>
          <w:rStyle w:val="normaltextrun"/>
          <w:rFonts w:ascii="Calibri" w:eastAsiaTheme="majorEastAsia" w:hAnsi="Calibri"/>
          <w:lang w:val="en-US"/>
        </w:rPr>
        <w:t>recommends that:</w:t>
      </w:r>
      <w:r w:rsidRPr="000D61D6">
        <w:rPr>
          <w:rStyle w:val="eop"/>
          <w:rFonts w:ascii="Calibri" w:eastAsiaTheme="majorEastAsia" w:hAnsi="Calibri" w:cs="Calibri"/>
          <w:lang w:val="en-US"/>
        </w:rPr>
        <w:t> </w:t>
      </w:r>
    </w:p>
    <w:p w14:paraId="13B72E31" w14:textId="77777777" w:rsidR="00EA01C3" w:rsidRPr="000D61D6" w:rsidRDefault="00183465" w:rsidP="000D61D6">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DEEAF6" w:themeFill="accent1" w:themeFillTint="33"/>
        <w:spacing w:line="240" w:lineRule="auto"/>
        <w:ind w:left="426" w:hanging="426"/>
        <w:rPr>
          <w:rStyle w:val="normaltextrun"/>
          <w:rFonts w:eastAsiaTheme="majorEastAsia"/>
        </w:rPr>
      </w:pPr>
      <w:r w:rsidRPr="000D61D6">
        <w:rPr>
          <w:rStyle w:val="normaltextrun"/>
          <w:rFonts w:ascii="Calibri" w:eastAsiaTheme="majorEastAsia" w:hAnsi="Calibri"/>
          <w:lang w:val="en-US"/>
        </w:rPr>
        <w:t>escalating penalties for failure to meet standards appropriate for each service type</w:t>
      </w:r>
      <w:r w:rsidRPr="000D61D6">
        <w:rPr>
          <w:rStyle w:val="normaltextrun"/>
          <w:rFonts w:ascii="Calibri" w:eastAsiaTheme="majorEastAsia" w:hAnsi="Calibri" w:cs="Calibri"/>
          <w:lang w:val="en-US"/>
        </w:rPr>
        <w:t> </w:t>
      </w:r>
      <w:r w:rsidRPr="000D61D6">
        <w:rPr>
          <w:rStyle w:val="normaltextrun"/>
          <w:rFonts w:ascii="Calibri" w:eastAsiaTheme="majorEastAsia" w:hAnsi="Calibri"/>
          <w:lang w:val="en-US"/>
        </w:rPr>
        <w:t>are introduced and enforced</w:t>
      </w:r>
    </w:p>
    <w:p w14:paraId="7573B79C" w14:textId="77777777" w:rsidR="00EA01C3" w:rsidRPr="000D61D6" w:rsidRDefault="00183465" w:rsidP="000D61D6">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DEEAF6" w:themeFill="accent1" w:themeFillTint="33"/>
        <w:spacing w:line="240" w:lineRule="auto"/>
        <w:ind w:left="426" w:hanging="426"/>
        <w:rPr>
          <w:rStyle w:val="normaltextrun"/>
          <w:rFonts w:eastAsiaTheme="majorEastAsia"/>
        </w:rPr>
      </w:pPr>
      <w:r w:rsidRPr="000D61D6">
        <w:rPr>
          <w:rStyle w:val="normaltextrun"/>
          <w:rFonts w:ascii="Calibri" w:eastAsiaTheme="majorEastAsia" w:hAnsi="Calibri"/>
          <w:lang w:val="en-US"/>
        </w:rPr>
        <w:t>wholesalers and retailers must make practical and useable information available to consumers about network performance in ‘real-time’.</w:t>
      </w:r>
    </w:p>
    <w:p w14:paraId="7357C325" w14:textId="6AB16993" w:rsidR="00EA01C3" w:rsidRPr="000D61D6" w:rsidRDefault="00183465" w:rsidP="000D61D6">
      <w:pPr>
        <w:pStyle w:val="paragraph"/>
        <w:spacing w:before="0" w:beforeAutospacing="0" w:after="240" w:afterAutospacing="0"/>
        <w:textAlignment w:val="baseline"/>
        <w:rPr>
          <w:rStyle w:val="normaltextrun"/>
          <w:rFonts w:ascii="Calibri" w:eastAsiaTheme="minorHAnsi" w:hAnsi="Calibri" w:cs="Calibri"/>
          <w:sz w:val="22"/>
          <w:szCs w:val="22"/>
          <w:lang w:val="en-US" w:eastAsia="en-US"/>
        </w:rPr>
      </w:pPr>
      <w:r w:rsidRPr="000D61D6">
        <w:rPr>
          <w:rStyle w:val="normaltextrun"/>
          <w:rFonts w:ascii="Calibri" w:hAnsi="Calibri" w:cs="Calibri"/>
          <w:sz w:val="22"/>
          <w:szCs w:val="22"/>
          <w:lang w:val="en-US"/>
        </w:rPr>
        <w:t xml:space="preserve">The </w:t>
      </w:r>
      <w:r w:rsidR="00FA200A">
        <w:rPr>
          <w:rStyle w:val="normaltextrun"/>
          <w:rFonts w:ascii="Calibri" w:hAnsi="Calibri" w:cs="Calibri"/>
          <w:sz w:val="22"/>
          <w:szCs w:val="22"/>
          <w:lang w:val="en-US"/>
        </w:rPr>
        <w:t>Liberal and Nationals Government</w:t>
      </w:r>
      <w:r w:rsidRPr="000D61D6">
        <w:rPr>
          <w:rStyle w:val="normaltextrun"/>
          <w:rFonts w:ascii="Calibri" w:hAnsi="Calibri" w:cs="Calibri"/>
          <w:sz w:val="22"/>
          <w:szCs w:val="22"/>
          <w:lang w:val="en-US"/>
        </w:rPr>
        <w:t xml:space="preserve"> agrees with the Committee’s recommendation on the development and enforcement of wholesale standards. </w:t>
      </w:r>
    </w:p>
    <w:p w14:paraId="08E65CCE" w14:textId="332C2F14" w:rsidR="00EA01C3" w:rsidRPr="000D61D6" w:rsidRDefault="00183465" w:rsidP="000D61D6">
      <w:pPr>
        <w:pStyle w:val="paragraph"/>
        <w:spacing w:before="0" w:beforeAutospacing="0" w:after="240" w:afterAutospacing="0"/>
        <w:textAlignment w:val="baseline"/>
        <w:rPr>
          <w:rStyle w:val="normaltextrun"/>
          <w:rFonts w:ascii="Calibri" w:hAnsi="Calibri" w:cs="Calibri"/>
          <w:sz w:val="22"/>
          <w:szCs w:val="22"/>
          <w:lang w:val="en-US"/>
        </w:rPr>
      </w:pPr>
      <w:r w:rsidRPr="000D61D6">
        <w:rPr>
          <w:rStyle w:val="normaltextrun"/>
          <w:rFonts w:ascii="Calibri" w:hAnsi="Calibri" w:cs="Calibri"/>
          <w:sz w:val="22"/>
          <w:szCs w:val="22"/>
          <w:lang w:val="en-US"/>
        </w:rPr>
        <w:t xml:space="preserve">Wholesale standards for broadband services are being developed under the Statutory Infrastructure Provider (SIP) framework and the </w:t>
      </w:r>
      <w:r w:rsidR="00FA200A">
        <w:rPr>
          <w:rStyle w:val="normaltextrun"/>
          <w:rFonts w:ascii="Calibri" w:hAnsi="Calibri" w:cs="Calibri"/>
          <w:sz w:val="22"/>
          <w:szCs w:val="22"/>
          <w:lang w:val="en-US"/>
        </w:rPr>
        <w:t>Liberal and Nationals Government</w:t>
      </w:r>
      <w:r w:rsidRPr="000D61D6">
        <w:rPr>
          <w:rStyle w:val="normaltextrun"/>
          <w:rFonts w:ascii="Calibri" w:hAnsi="Calibri" w:cs="Calibri"/>
          <w:sz w:val="22"/>
          <w:szCs w:val="22"/>
          <w:lang w:val="en-US"/>
        </w:rPr>
        <w:t xml:space="preserve"> has consulted on a draft for standards, rules and benchmarks. These will be implemented shortly and form a basis for retail </w:t>
      </w:r>
      <w:r w:rsidR="009A2FBB">
        <w:rPr>
          <w:rStyle w:val="normaltextrun"/>
          <w:rFonts w:ascii="Calibri" w:hAnsi="Calibri" w:cs="Calibri"/>
          <w:sz w:val="22"/>
          <w:szCs w:val="22"/>
          <w:lang w:val="en-US"/>
        </w:rPr>
        <w:t xml:space="preserve">broadband </w:t>
      </w:r>
      <w:r w:rsidRPr="000D61D6">
        <w:rPr>
          <w:rStyle w:val="normaltextrun"/>
          <w:rFonts w:ascii="Calibri" w:hAnsi="Calibri" w:cs="Calibri"/>
          <w:sz w:val="22"/>
          <w:szCs w:val="22"/>
          <w:lang w:val="en-US"/>
        </w:rPr>
        <w:t>performance. The Government will review the costs and benefits of escalating penalties to enforce these standards and proceed accordingly.</w:t>
      </w:r>
    </w:p>
    <w:p w14:paraId="0882EFC8" w14:textId="3B98A320" w:rsidR="00223207" w:rsidRDefault="00183465" w:rsidP="000172C7">
      <w:pPr>
        <w:tabs>
          <w:tab w:val="right" w:pos="8789"/>
        </w:tabs>
        <w:rPr>
          <w:rStyle w:val="normaltextrun"/>
          <w:rFonts w:ascii="Calibri" w:hAnsi="Calibri" w:cs="Calibri"/>
          <w:lang w:val="en-US"/>
        </w:rPr>
      </w:pPr>
      <w:r w:rsidRPr="000D61D6">
        <w:rPr>
          <w:rStyle w:val="normaltextrun"/>
          <w:rFonts w:ascii="Calibri" w:hAnsi="Calibri" w:cs="Calibri"/>
          <w:lang w:val="en-US"/>
        </w:rPr>
        <w:t xml:space="preserve">The </w:t>
      </w:r>
      <w:r w:rsidR="00FA200A">
        <w:rPr>
          <w:rStyle w:val="normaltextrun"/>
          <w:rFonts w:ascii="Calibri" w:hAnsi="Calibri" w:cs="Calibri"/>
          <w:lang w:val="en-US"/>
        </w:rPr>
        <w:t>Liberal and Nationals Government</w:t>
      </w:r>
      <w:r w:rsidRPr="000D61D6">
        <w:rPr>
          <w:rStyle w:val="normaltextrun"/>
          <w:rFonts w:ascii="Calibri" w:hAnsi="Calibri" w:cs="Calibri"/>
          <w:lang w:val="en-US"/>
        </w:rPr>
        <w:t xml:space="preserve"> </w:t>
      </w:r>
      <w:r w:rsidR="00C67116">
        <w:rPr>
          <w:rStyle w:val="normaltextrun"/>
          <w:rFonts w:ascii="Calibri" w:hAnsi="Calibri" w:cs="Calibri"/>
          <w:lang w:val="en-US"/>
        </w:rPr>
        <w:t xml:space="preserve">will also develop wholesale and retail standards for other fixed and mobile services </w:t>
      </w:r>
      <w:r w:rsidR="005D0020">
        <w:rPr>
          <w:rStyle w:val="normaltextrun"/>
          <w:rFonts w:ascii="Calibri" w:hAnsi="Calibri" w:cs="Calibri"/>
          <w:lang w:val="en-US"/>
        </w:rPr>
        <w:t xml:space="preserve">in regional Australia </w:t>
      </w:r>
      <w:r w:rsidR="00C67116">
        <w:rPr>
          <w:rStyle w:val="normaltextrun"/>
          <w:rFonts w:ascii="Calibri" w:hAnsi="Calibri" w:cs="Calibri"/>
          <w:lang w:val="en-US"/>
        </w:rPr>
        <w:t>in consultation with industry and communities, informed by an assessment of the regulatory cost</w:t>
      </w:r>
      <w:r w:rsidR="0029573A">
        <w:rPr>
          <w:rStyle w:val="normaltextrun"/>
          <w:rFonts w:ascii="Calibri" w:hAnsi="Calibri" w:cs="Calibri"/>
          <w:lang w:val="en-US"/>
        </w:rPr>
        <w:t xml:space="preserve">s </w:t>
      </w:r>
      <w:r w:rsidR="00C67116">
        <w:rPr>
          <w:rStyle w:val="normaltextrun"/>
          <w:rFonts w:ascii="Calibri" w:hAnsi="Calibri" w:cs="Calibri"/>
          <w:lang w:val="en-US"/>
        </w:rPr>
        <w:t xml:space="preserve">and benefits. </w:t>
      </w:r>
      <w:r w:rsidRPr="000D61D6">
        <w:rPr>
          <w:rStyle w:val="normaltextrun"/>
          <w:rFonts w:ascii="Calibri" w:hAnsi="Calibri" w:cs="Calibri"/>
          <w:lang w:val="en-US"/>
        </w:rPr>
        <w:t>The Government notes that solid reliable performance data is a necessary first step in such a process.</w:t>
      </w:r>
      <w:r w:rsidR="000172C7">
        <w:rPr>
          <w:rStyle w:val="normaltextrun"/>
          <w:rFonts w:ascii="Calibri" w:hAnsi="Calibri" w:cs="Calibri"/>
          <w:lang w:val="en-US"/>
        </w:rPr>
        <w:t xml:space="preserve"> </w:t>
      </w:r>
    </w:p>
    <w:p w14:paraId="22356DD3" w14:textId="69B6D053" w:rsidR="00EA01C3" w:rsidRPr="000D61D6" w:rsidRDefault="00223207" w:rsidP="00A9661C">
      <w:pPr>
        <w:tabs>
          <w:tab w:val="right" w:pos="8789"/>
        </w:tabs>
        <w:rPr>
          <w:rStyle w:val="normaltextrun"/>
          <w:rFonts w:ascii="Calibri" w:hAnsi="Calibri" w:cs="Calibri"/>
          <w:lang w:val="en-US"/>
        </w:rPr>
      </w:pPr>
      <w:r>
        <w:rPr>
          <w:rStyle w:val="normaltextrun"/>
          <w:rFonts w:ascii="Calibri" w:hAnsi="Calibri" w:cs="Calibri"/>
          <w:lang w:val="en-US"/>
        </w:rPr>
        <w:t xml:space="preserve">Noting the importance </w:t>
      </w:r>
      <w:r w:rsidRPr="00A9661C">
        <w:rPr>
          <w:rStyle w:val="normaltextrun"/>
          <w:rFonts w:cstheme="minorHAnsi"/>
          <w:lang w:val="en-US"/>
        </w:rPr>
        <w:t>of reliable performance data</w:t>
      </w:r>
      <w:r w:rsidR="000172C7" w:rsidRPr="00A9661C">
        <w:rPr>
          <w:rStyle w:val="normaltextrun"/>
          <w:rFonts w:cstheme="minorHAnsi"/>
          <w:lang w:val="en-US"/>
        </w:rPr>
        <w:t xml:space="preserve">, </w:t>
      </w:r>
      <w:r w:rsidR="00E2728A" w:rsidRPr="00A9661C">
        <w:rPr>
          <w:rStyle w:val="normaltextrun"/>
          <w:rFonts w:cstheme="minorHAnsi"/>
          <w:lang w:val="en-US"/>
        </w:rPr>
        <w:t xml:space="preserve">new carrier licence conditions were placed on Telstra </w:t>
      </w:r>
      <w:r w:rsidR="000172C7" w:rsidRPr="00A9661C">
        <w:rPr>
          <w:rStyle w:val="normaltextrun"/>
          <w:rFonts w:cstheme="minorHAnsi"/>
          <w:lang w:val="en-US"/>
        </w:rPr>
        <w:t xml:space="preserve">on 18 </w:t>
      </w:r>
      <w:r w:rsidR="000172C7" w:rsidRPr="00875AB9">
        <w:rPr>
          <w:rStyle w:val="normaltextrun"/>
          <w:rFonts w:cstheme="minorHAnsi"/>
          <w:lang w:val="en-US"/>
        </w:rPr>
        <w:t xml:space="preserve">December </w:t>
      </w:r>
      <w:r w:rsidR="000172C7" w:rsidRPr="00CB5F9B">
        <w:rPr>
          <w:rStyle w:val="normaltextrun"/>
          <w:rFonts w:cstheme="minorHAnsi"/>
          <w:lang w:val="en-US"/>
        </w:rPr>
        <w:t>202</w:t>
      </w:r>
      <w:r w:rsidR="002D3A80" w:rsidRPr="00875AB9">
        <w:rPr>
          <w:rStyle w:val="normaltextrun"/>
          <w:rFonts w:cstheme="minorHAnsi"/>
          <w:lang w:val="en-US"/>
        </w:rPr>
        <w:t>1</w:t>
      </w:r>
      <w:r w:rsidR="000172C7" w:rsidRPr="00875AB9">
        <w:rPr>
          <w:rStyle w:val="normaltextrun"/>
          <w:rFonts w:cstheme="minorHAnsi"/>
          <w:lang w:val="en-US"/>
        </w:rPr>
        <w:t>, shortly</w:t>
      </w:r>
      <w:r w:rsidR="00E2728A">
        <w:rPr>
          <w:rStyle w:val="normaltextrun"/>
          <w:rFonts w:cstheme="minorHAnsi"/>
          <w:lang w:val="en-US"/>
        </w:rPr>
        <w:t xml:space="preserve"> after the Committee provided its report</w:t>
      </w:r>
      <w:r w:rsidRPr="00A9661C">
        <w:rPr>
          <w:rStyle w:val="normaltextrun"/>
          <w:rFonts w:cstheme="minorHAnsi"/>
          <w:lang w:val="en-US"/>
        </w:rPr>
        <w:t xml:space="preserve">. These </w:t>
      </w:r>
      <w:r w:rsidR="000172C7" w:rsidRPr="00223207">
        <w:rPr>
          <w:rFonts w:eastAsia="Calibri" w:cstheme="minorHAnsi"/>
        </w:rPr>
        <w:t xml:space="preserve">require </w:t>
      </w:r>
      <w:r w:rsidRPr="00223207">
        <w:rPr>
          <w:rFonts w:eastAsia="Calibri" w:cstheme="minorHAnsi"/>
        </w:rPr>
        <w:t>Telstra</w:t>
      </w:r>
      <w:r w:rsidR="000172C7" w:rsidRPr="00223207">
        <w:rPr>
          <w:rFonts w:eastAsia="Calibri" w:cstheme="minorHAnsi"/>
        </w:rPr>
        <w:t xml:space="preserve"> to </w:t>
      </w:r>
      <w:r w:rsidRPr="00223207">
        <w:rPr>
          <w:rFonts w:eastAsia="Calibri" w:cstheme="minorHAnsi"/>
        </w:rPr>
        <w:t>provide</w:t>
      </w:r>
      <w:r w:rsidR="000172C7" w:rsidRPr="00223207">
        <w:rPr>
          <w:rFonts w:eastAsia="Calibri" w:cstheme="minorHAnsi"/>
        </w:rPr>
        <w:t xml:space="preserve"> more frequent, localised and </w:t>
      </w:r>
      <w:r w:rsidRPr="00223207">
        <w:rPr>
          <w:rFonts w:eastAsia="Calibri" w:cstheme="minorHAnsi"/>
        </w:rPr>
        <w:t>granular</w:t>
      </w:r>
      <w:r w:rsidR="000172C7" w:rsidRPr="00223207">
        <w:rPr>
          <w:rFonts w:eastAsia="Calibri" w:cstheme="minorHAnsi"/>
        </w:rPr>
        <w:t xml:space="preserve"> information about its delivery of voice services in rural and remote Australia</w:t>
      </w:r>
      <w:r w:rsidRPr="00C131ED">
        <w:rPr>
          <w:rFonts w:eastAsia="Calibri" w:cstheme="minorHAnsi"/>
        </w:rPr>
        <w:t xml:space="preserve">. </w:t>
      </w:r>
      <w:r w:rsidR="000172C7" w:rsidRPr="00C131ED">
        <w:rPr>
          <w:rFonts w:eastAsia="Calibri" w:cstheme="minorHAnsi"/>
        </w:rPr>
        <w:t>Telstra will be obliged to report</w:t>
      </w:r>
      <w:r w:rsidRPr="00C131ED">
        <w:rPr>
          <w:rFonts w:eastAsia="Calibri" w:cstheme="minorHAnsi"/>
        </w:rPr>
        <w:t xml:space="preserve"> details on</w:t>
      </w:r>
      <w:r w:rsidR="000172C7" w:rsidRPr="00C131ED">
        <w:rPr>
          <w:rFonts w:eastAsia="Calibri" w:cstheme="minorHAnsi"/>
        </w:rPr>
        <w:t xml:space="preserve"> service availability, faults and outages, as well as repair and appointment timeframes. The first report is due in April 2022. This will help consumers better understand the level of service they are receiving</w:t>
      </w:r>
      <w:r>
        <w:rPr>
          <w:rFonts w:eastAsia="Calibri" w:cstheme="minorHAnsi"/>
        </w:rPr>
        <w:t>,</w:t>
      </w:r>
      <w:r w:rsidR="000172C7" w:rsidRPr="00223207">
        <w:rPr>
          <w:rFonts w:eastAsia="Calibri" w:cstheme="minorHAnsi"/>
        </w:rPr>
        <w:t xml:space="preserve"> assist with the </w:t>
      </w:r>
      <w:r w:rsidR="00FA200A">
        <w:rPr>
          <w:rFonts w:eastAsia="Calibri" w:cstheme="minorHAnsi"/>
        </w:rPr>
        <w:t>Liberal and Nationals Government</w:t>
      </w:r>
      <w:r w:rsidR="000172C7" w:rsidRPr="00223207">
        <w:rPr>
          <w:rFonts w:eastAsia="Calibri" w:cstheme="minorHAnsi"/>
        </w:rPr>
        <w:t>’s ongoing oversight of Telstra’s performance</w:t>
      </w:r>
      <w:r>
        <w:rPr>
          <w:rFonts w:eastAsia="Calibri" w:cstheme="minorHAnsi"/>
        </w:rPr>
        <w:t>, and assist with assessing the need for further standards</w:t>
      </w:r>
      <w:r w:rsidR="000172C7" w:rsidRPr="00223207">
        <w:rPr>
          <w:rFonts w:eastAsia="Calibri" w:cstheme="minorHAnsi"/>
        </w:rPr>
        <w:t>.</w:t>
      </w:r>
    </w:p>
    <w:p w14:paraId="3385EBD4" w14:textId="2CD3F884" w:rsidR="00EA01C3" w:rsidRPr="000D61D6" w:rsidRDefault="00183465" w:rsidP="000D61D6">
      <w:pPr>
        <w:pStyle w:val="paragraph"/>
        <w:spacing w:before="0" w:beforeAutospacing="0" w:after="240" w:afterAutospacing="0"/>
        <w:textAlignment w:val="baseline"/>
        <w:rPr>
          <w:rStyle w:val="normaltextrun"/>
          <w:rFonts w:ascii="Calibri" w:hAnsi="Calibri" w:cs="Calibri"/>
          <w:sz w:val="22"/>
          <w:szCs w:val="22"/>
          <w:lang w:val="en-US"/>
        </w:rPr>
      </w:pPr>
      <w:r w:rsidRPr="000D61D6">
        <w:rPr>
          <w:rStyle w:val="normaltextrun"/>
          <w:rFonts w:ascii="Calibri" w:hAnsi="Calibri" w:cs="Calibri"/>
          <w:sz w:val="22"/>
          <w:szCs w:val="22"/>
          <w:lang w:val="en-US"/>
        </w:rPr>
        <w:t xml:space="preserve">Finally, the </w:t>
      </w:r>
      <w:r w:rsidR="00FA200A">
        <w:rPr>
          <w:rStyle w:val="normaltextrun"/>
          <w:rFonts w:ascii="Calibri" w:hAnsi="Calibri" w:cs="Calibri"/>
          <w:sz w:val="22"/>
          <w:szCs w:val="22"/>
          <w:lang w:val="en-US"/>
        </w:rPr>
        <w:t>Liberal and Nationals Government</w:t>
      </w:r>
      <w:r w:rsidRPr="000D61D6">
        <w:rPr>
          <w:rStyle w:val="normaltextrun"/>
          <w:rFonts w:ascii="Calibri" w:hAnsi="Calibri" w:cs="Calibri"/>
          <w:sz w:val="22"/>
          <w:szCs w:val="22"/>
          <w:lang w:val="en-US"/>
        </w:rPr>
        <w:t xml:space="preserve"> agrees that wholesalers and retailers should make practical and usable information more readily available to users</w:t>
      </w:r>
      <w:r w:rsidR="00223207">
        <w:rPr>
          <w:rStyle w:val="normaltextrun"/>
          <w:rFonts w:ascii="Calibri" w:hAnsi="Calibri" w:cs="Calibri"/>
          <w:sz w:val="22"/>
          <w:szCs w:val="22"/>
          <w:lang w:val="en-US"/>
        </w:rPr>
        <w:t xml:space="preserve"> and this need</w:t>
      </w:r>
      <w:r w:rsidR="00C131ED">
        <w:rPr>
          <w:rStyle w:val="normaltextrun"/>
          <w:rFonts w:ascii="Calibri" w:hAnsi="Calibri" w:cs="Calibri"/>
          <w:sz w:val="22"/>
          <w:szCs w:val="22"/>
          <w:lang w:val="en-US"/>
        </w:rPr>
        <w:t>s</w:t>
      </w:r>
      <w:r w:rsidR="00223207">
        <w:rPr>
          <w:rStyle w:val="normaltextrun"/>
          <w:rFonts w:ascii="Calibri" w:hAnsi="Calibri" w:cs="Calibri"/>
          <w:sz w:val="22"/>
          <w:szCs w:val="22"/>
          <w:lang w:val="en-US"/>
        </w:rPr>
        <w:t xml:space="preserve"> to be done on a timely basis</w:t>
      </w:r>
      <w:r w:rsidRPr="000D61D6">
        <w:rPr>
          <w:rStyle w:val="normaltextrun"/>
          <w:rFonts w:ascii="Calibri" w:hAnsi="Calibri" w:cs="Calibri"/>
          <w:sz w:val="22"/>
          <w:szCs w:val="22"/>
          <w:lang w:val="en-US"/>
        </w:rPr>
        <w:t xml:space="preserve">. We note, however, that the scope of the information and the practicality and cost of ‘real time’ information needs to be assessed. </w:t>
      </w:r>
    </w:p>
    <w:p w14:paraId="33B4E893" w14:textId="5AF1B838" w:rsidR="00EA01C3" w:rsidRDefault="00183465" w:rsidP="000D61D6">
      <w:pPr>
        <w:pStyle w:val="paragraph"/>
        <w:spacing w:before="0" w:beforeAutospacing="0" w:after="240" w:afterAutospacing="0"/>
        <w:textAlignment w:val="baseline"/>
        <w:rPr>
          <w:rStyle w:val="normaltextrun"/>
          <w:rFonts w:ascii="Calibri" w:hAnsi="Calibri" w:cs="Calibri"/>
          <w:sz w:val="22"/>
          <w:szCs w:val="22"/>
          <w:lang w:val="en-US"/>
        </w:rPr>
      </w:pPr>
      <w:r w:rsidRPr="000D61D6">
        <w:rPr>
          <w:rStyle w:val="normaltextrun"/>
          <w:rFonts w:ascii="Calibri" w:hAnsi="Calibri" w:cs="Calibri"/>
          <w:sz w:val="22"/>
          <w:szCs w:val="22"/>
          <w:lang w:val="en-US"/>
        </w:rPr>
        <w:t xml:space="preserve">The </w:t>
      </w:r>
      <w:r w:rsidR="00FA200A">
        <w:rPr>
          <w:rStyle w:val="normaltextrun"/>
          <w:rFonts w:ascii="Calibri" w:hAnsi="Calibri" w:cs="Calibri"/>
          <w:sz w:val="22"/>
          <w:szCs w:val="22"/>
          <w:lang w:val="en-US"/>
        </w:rPr>
        <w:t>Liberal and Nationals Government</w:t>
      </w:r>
      <w:r w:rsidRPr="000D61D6">
        <w:rPr>
          <w:rStyle w:val="normaltextrun"/>
          <w:rFonts w:ascii="Calibri" w:hAnsi="Calibri" w:cs="Calibri"/>
          <w:sz w:val="22"/>
          <w:szCs w:val="22"/>
          <w:lang w:val="en-US"/>
        </w:rPr>
        <w:t>’s SIP standards will provide for practical and usable information to be made available to users. The Government will work with industry to review the information to be provided by retail providers.</w:t>
      </w:r>
    </w:p>
    <w:p w14:paraId="27E75852" w14:textId="77777777" w:rsidR="005B535D" w:rsidRDefault="005B535D" w:rsidP="000D61D6">
      <w:pPr>
        <w:pStyle w:val="paragraph"/>
        <w:spacing w:before="0" w:beforeAutospacing="0" w:after="240" w:afterAutospacing="0"/>
        <w:textAlignment w:val="baseline"/>
        <w:rPr>
          <w:rStyle w:val="normaltextrun"/>
          <w:rFonts w:ascii="Calibri" w:hAnsi="Calibri" w:cs="Calibri"/>
          <w:sz w:val="22"/>
          <w:szCs w:val="22"/>
          <w:lang w:val="en-US"/>
        </w:rPr>
      </w:pPr>
    </w:p>
    <w:p w14:paraId="74ECD9FD" w14:textId="4AA02202" w:rsidR="005B535D" w:rsidRDefault="005B535D">
      <w:pPr>
        <w:spacing w:after="160" w:line="259" w:lineRule="auto"/>
        <w:rPr>
          <w:rStyle w:val="normaltextrun"/>
          <w:rFonts w:ascii="Calibri" w:eastAsia="Times New Roman" w:hAnsi="Calibri" w:cs="Calibri"/>
          <w:lang w:val="en-US" w:eastAsia="en-AU"/>
        </w:rPr>
      </w:pPr>
      <w:r>
        <w:rPr>
          <w:rStyle w:val="normaltextrun"/>
          <w:rFonts w:ascii="Calibri" w:hAnsi="Calibri" w:cs="Calibri"/>
          <w:lang w:val="en-US"/>
        </w:rPr>
        <w:br w:type="page"/>
      </w:r>
    </w:p>
    <w:p w14:paraId="3E4B30F6" w14:textId="06048883" w:rsidR="00EA01C3" w:rsidRPr="000D61D6" w:rsidRDefault="00183465" w:rsidP="5D7F67FF">
      <w:pPr>
        <w:pBdr>
          <w:top w:val="single" w:sz="4" w:space="1" w:color="auto"/>
          <w:left w:val="single" w:sz="4" w:space="4" w:color="auto"/>
          <w:bottom w:val="single" w:sz="4" w:space="1" w:color="auto"/>
          <w:right w:val="single" w:sz="4" w:space="4" w:color="auto"/>
        </w:pBdr>
        <w:shd w:val="clear" w:color="auto" w:fill="DEEAF6" w:themeFill="accent1" w:themeFillTint="33"/>
        <w:rPr>
          <w:rStyle w:val="normaltextrun"/>
        </w:rPr>
      </w:pPr>
      <w:bookmarkStart w:id="60" w:name="_Toc98519197"/>
      <w:bookmarkStart w:id="61" w:name="_Toc89339095"/>
      <w:bookmarkStart w:id="62" w:name="_Toc89345021"/>
      <w:bookmarkStart w:id="63" w:name="_Toc89346174"/>
      <w:bookmarkStart w:id="64" w:name="_Toc89355916"/>
      <w:bookmarkStart w:id="65" w:name="_Toc89355979"/>
      <w:bookmarkStart w:id="66" w:name="_Toc89356904"/>
      <w:bookmarkStart w:id="67" w:name="_Toc89786615"/>
      <w:r w:rsidRPr="000D61D6">
        <w:rPr>
          <w:rStyle w:val="Heading3Char"/>
        </w:rPr>
        <w:lastRenderedPageBreak/>
        <w:t>Recommendation 8 - Adequacy of USO/USG:</w:t>
      </w:r>
      <w:bookmarkEnd w:id="60"/>
      <w:r w:rsidRPr="000D61D6">
        <w:t xml:space="preserve"> </w:t>
      </w:r>
      <w:r w:rsidRPr="000D61D6">
        <w:rPr>
          <w:rStyle w:val="normaltextrun"/>
          <w:rFonts w:ascii="Calibri" w:eastAsiaTheme="majorEastAsia" w:hAnsi="Calibri"/>
          <w:lang w:val="en-US"/>
        </w:rPr>
        <w:t xml:space="preserve">The Committee recommends that: </w:t>
      </w:r>
      <w:bookmarkEnd w:id="61"/>
      <w:bookmarkEnd w:id="62"/>
      <w:bookmarkEnd w:id="63"/>
      <w:bookmarkEnd w:id="64"/>
      <w:bookmarkEnd w:id="65"/>
      <w:bookmarkEnd w:id="66"/>
      <w:bookmarkEnd w:id="67"/>
    </w:p>
    <w:p w14:paraId="65A213DF" w14:textId="77777777" w:rsidR="00EA01C3" w:rsidRPr="000D61D6" w:rsidRDefault="00183465" w:rsidP="000D61D6">
      <w:pPr>
        <w:pStyle w:val="paragraph"/>
        <w:numPr>
          <w:ilvl w:val="0"/>
          <w:numId w:val="6"/>
        </w:numPr>
        <w:pBdr>
          <w:top w:val="single" w:sz="4" w:space="1" w:color="auto"/>
          <w:left w:val="single" w:sz="4" w:space="4" w:color="auto"/>
          <w:bottom w:val="single" w:sz="4" w:space="1" w:color="auto"/>
          <w:right w:val="single" w:sz="4" w:space="4" w:color="auto"/>
        </w:pBdr>
        <w:shd w:val="clear" w:color="auto" w:fill="DEEAF6" w:themeFill="accent1" w:themeFillTint="33"/>
        <w:spacing w:before="0" w:beforeAutospacing="0" w:after="0" w:afterAutospacing="0"/>
        <w:ind w:left="426" w:hanging="426"/>
        <w:textAlignment w:val="baseline"/>
        <w:rPr>
          <w:rFonts w:ascii="Calibri" w:eastAsiaTheme="majorEastAsia" w:hAnsi="Calibri"/>
          <w:sz w:val="22"/>
          <w:szCs w:val="22"/>
          <w:lang w:val="en-US"/>
        </w:rPr>
      </w:pPr>
      <w:r w:rsidRPr="000D61D6">
        <w:rPr>
          <w:rStyle w:val="normaltextrun"/>
          <w:rFonts w:ascii="Calibri" w:eastAsiaTheme="majorEastAsia" w:hAnsi="Calibri"/>
          <w:sz w:val="22"/>
          <w:szCs w:val="22"/>
          <w:lang w:val="en-US"/>
        </w:rPr>
        <w:t>there is strong and pressing need for USO reform to address the substantial ongoing stress on current infrastructure due to ageing technology</w:t>
      </w:r>
    </w:p>
    <w:p w14:paraId="15E14F4B" w14:textId="77777777" w:rsidR="00EA01C3" w:rsidRPr="000D61D6" w:rsidRDefault="00183465" w:rsidP="000D61D6">
      <w:pPr>
        <w:pStyle w:val="paragraph"/>
        <w:numPr>
          <w:ilvl w:val="0"/>
          <w:numId w:val="6"/>
        </w:numPr>
        <w:pBdr>
          <w:top w:val="single" w:sz="4" w:space="1" w:color="auto"/>
          <w:left w:val="single" w:sz="4" w:space="4" w:color="auto"/>
          <w:bottom w:val="single" w:sz="4" w:space="1" w:color="auto"/>
          <w:right w:val="single" w:sz="4" w:space="4" w:color="auto"/>
        </w:pBdr>
        <w:shd w:val="clear" w:color="auto" w:fill="DEEAF6" w:themeFill="accent1" w:themeFillTint="33"/>
        <w:spacing w:before="0" w:beforeAutospacing="0" w:after="240" w:afterAutospacing="0"/>
        <w:ind w:left="426" w:hanging="426"/>
        <w:textAlignment w:val="baseline"/>
        <w:rPr>
          <w:rStyle w:val="normaltextrun"/>
          <w:rFonts w:cstheme="minorBidi"/>
          <w:color w:val="000000" w:themeColor="text1"/>
        </w:rPr>
      </w:pPr>
      <w:r w:rsidRPr="000D61D6">
        <w:rPr>
          <w:rStyle w:val="normaltextrun"/>
          <w:rFonts w:asciiTheme="minorHAnsi" w:eastAsiaTheme="majorEastAsia" w:hAnsiTheme="minorHAnsi" w:cstheme="minorBidi"/>
          <w:sz w:val="22"/>
          <w:szCs w:val="22"/>
          <w:lang w:val="en-US"/>
        </w:rPr>
        <w:t xml:space="preserve">the </w:t>
      </w:r>
      <w:r w:rsidRPr="000D61D6">
        <w:rPr>
          <w:rFonts w:asciiTheme="minorHAnsi" w:hAnsiTheme="minorHAnsi" w:cstheme="minorBidi"/>
          <w:sz w:val="22"/>
          <w:szCs w:val="22"/>
        </w:rPr>
        <w:t>reformed</w:t>
      </w:r>
      <w:r w:rsidRPr="000D61D6">
        <w:rPr>
          <w:rStyle w:val="normaltextrun"/>
          <w:rFonts w:asciiTheme="minorHAnsi" w:eastAsiaTheme="majorEastAsia" w:hAnsiTheme="minorHAnsi" w:cstheme="minorBidi"/>
          <w:sz w:val="22"/>
          <w:szCs w:val="22"/>
          <w:lang w:val="en-US"/>
        </w:rPr>
        <w:t xml:space="preserve"> arrangements</w:t>
      </w:r>
      <w:r w:rsidRPr="000D61D6">
        <w:rPr>
          <w:rFonts w:asciiTheme="minorHAnsi" w:hAnsiTheme="minorHAnsi" w:cstheme="minorBidi"/>
          <w:sz w:val="22"/>
          <w:szCs w:val="22"/>
        </w:rPr>
        <w:t> allow for a technology agnostic approach to USO service delivery, providing it exceeds the existing reliability standards of the current solution.</w:t>
      </w:r>
      <w:r w:rsidRPr="000D61D6">
        <w:rPr>
          <w:rFonts w:asciiTheme="minorHAnsi" w:hAnsiTheme="minorHAnsi" w:cstheme="minorBidi"/>
          <w:color w:val="000000" w:themeColor="text1"/>
          <w:sz w:val="22"/>
          <w:szCs w:val="22"/>
        </w:rPr>
        <w:t xml:space="preserve"> </w:t>
      </w:r>
    </w:p>
    <w:p w14:paraId="7FABBEB1" w14:textId="77777777" w:rsidR="00EA01C3" w:rsidRPr="000D61D6" w:rsidRDefault="00183465" w:rsidP="000D61D6">
      <w:pPr>
        <w:pStyle w:val="paragraph"/>
        <w:pBdr>
          <w:top w:val="single" w:sz="4" w:space="1" w:color="auto"/>
          <w:left w:val="single" w:sz="4" w:space="4" w:color="auto"/>
          <w:bottom w:val="single" w:sz="4" w:space="1" w:color="auto"/>
          <w:right w:val="single" w:sz="4" w:space="4" w:color="auto"/>
        </w:pBdr>
        <w:shd w:val="clear" w:color="auto" w:fill="DEEAF6" w:themeFill="accent1" w:themeFillTint="33"/>
        <w:spacing w:before="0" w:beforeAutospacing="0" w:after="240" w:afterAutospacing="0"/>
        <w:textAlignment w:val="baseline"/>
        <w:rPr>
          <w:rStyle w:val="normaltextrun"/>
          <w:rFonts w:ascii="Calibri" w:eastAsiaTheme="majorEastAsia" w:hAnsi="Calibri"/>
          <w:sz w:val="22"/>
          <w:szCs w:val="22"/>
          <w:lang w:val="en-US"/>
        </w:rPr>
      </w:pPr>
      <w:r w:rsidRPr="000D61D6">
        <w:rPr>
          <w:rStyle w:val="normaltextrun"/>
          <w:rFonts w:ascii="Calibri" w:eastAsiaTheme="majorEastAsia" w:hAnsi="Calibri"/>
          <w:sz w:val="22"/>
          <w:szCs w:val="22"/>
          <w:lang w:val="en-US"/>
        </w:rPr>
        <w:t xml:space="preserve">The Committee further recommends that the minimum USG standards, including download/upload speeds and performance during peak or busy hours, will need to increase and should be subject to an annual review, particularly for consumers outside the NBN fixed line footprint. </w:t>
      </w:r>
    </w:p>
    <w:p w14:paraId="7ABF9351" w14:textId="6610BC81" w:rsidR="00EA01C3" w:rsidRPr="000D61D6" w:rsidRDefault="00183465" w:rsidP="000D61D6">
      <w:pPr>
        <w:pStyle w:val="paragraph"/>
        <w:spacing w:before="0" w:beforeAutospacing="0" w:after="240" w:afterAutospacing="0"/>
        <w:textAlignment w:val="baseline"/>
        <w:rPr>
          <w:rStyle w:val="normaltextrun"/>
          <w:rFonts w:ascii="Calibri" w:hAnsi="Calibri" w:cs="Calibri"/>
          <w:sz w:val="22"/>
          <w:szCs w:val="22"/>
          <w:lang w:val="en-US"/>
        </w:rPr>
      </w:pPr>
      <w:r w:rsidRPr="000D61D6">
        <w:rPr>
          <w:rStyle w:val="normaltextrun"/>
          <w:rFonts w:ascii="Calibri" w:hAnsi="Calibri" w:cs="Calibri"/>
          <w:sz w:val="22"/>
          <w:szCs w:val="22"/>
          <w:lang w:val="en-US"/>
        </w:rPr>
        <w:t xml:space="preserve">The </w:t>
      </w:r>
      <w:r w:rsidR="00FA200A">
        <w:rPr>
          <w:rStyle w:val="normaltextrun"/>
          <w:rFonts w:ascii="Calibri" w:hAnsi="Calibri" w:cs="Calibri"/>
          <w:sz w:val="22"/>
          <w:szCs w:val="22"/>
          <w:lang w:val="en-US"/>
        </w:rPr>
        <w:t>Liberal and Nationals Government</w:t>
      </w:r>
      <w:r w:rsidRPr="000D61D6">
        <w:rPr>
          <w:rStyle w:val="normaltextrun"/>
          <w:rFonts w:ascii="Calibri" w:hAnsi="Calibri" w:cs="Calibri"/>
          <w:sz w:val="22"/>
          <w:szCs w:val="22"/>
          <w:lang w:val="en-US"/>
        </w:rPr>
        <w:t xml:space="preserve"> is committed to improving the delivery of voice services in regional, rural and remote areas under the USO and</w:t>
      </w:r>
      <w:r w:rsidR="00BB0E0C">
        <w:rPr>
          <w:rStyle w:val="normaltextrun"/>
          <w:rFonts w:ascii="Calibri" w:hAnsi="Calibri" w:cs="Calibri"/>
          <w:sz w:val="22"/>
          <w:szCs w:val="22"/>
          <w:lang w:val="en-US"/>
        </w:rPr>
        <w:t>,</w:t>
      </w:r>
      <w:r w:rsidRPr="000D61D6">
        <w:rPr>
          <w:rStyle w:val="normaltextrun"/>
          <w:rFonts w:ascii="Calibri" w:hAnsi="Calibri" w:cs="Calibri"/>
          <w:sz w:val="22"/>
          <w:szCs w:val="22"/>
          <w:lang w:val="en-US"/>
        </w:rPr>
        <w:t xml:space="preserve"> indeed, the delivery of all services under the broader USG. The </w:t>
      </w:r>
      <w:r w:rsidR="00FA200A">
        <w:rPr>
          <w:rStyle w:val="normaltextrun"/>
          <w:rFonts w:ascii="Calibri" w:hAnsi="Calibri" w:cs="Calibri"/>
          <w:sz w:val="22"/>
          <w:szCs w:val="22"/>
          <w:lang w:val="en-US"/>
        </w:rPr>
        <w:t>Liberal and Nationals Government</w:t>
      </w:r>
      <w:r w:rsidRPr="000D61D6">
        <w:rPr>
          <w:rStyle w:val="normaltextrun"/>
          <w:rFonts w:ascii="Calibri" w:hAnsi="Calibri" w:cs="Calibri"/>
          <w:sz w:val="22"/>
          <w:szCs w:val="22"/>
          <w:lang w:val="en-US"/>
        </w:rPr>
        <w:t xml:space="preserve"> will continue its work on improving delivery of the USG, and reform of the USO as part of this. This work will have regard to the clear </w:t>
      </w:r>
      <w:r w:rsidRPr="00A82DCE">
        <w:rPr>
          <w:rStyle w:val="normaltextrun"/>
          <w:rFonts w:ascii="Calibri" w:hAnsi="Calibri" w:cs="Calibri"/>
          <w:sz w:val="22"/>
          <w:szCs w:val="22"/>
          <w:lang w:val="en-US"/>
        </w:rPr>
        <w:t>strategic trend towards broadband and mobile services so strongly evinced in the Review’s report.</w:t>
      </w:r>
      <w:r w:rsidR="0007752C" w:rsidRPr="00A82DCE">
        <w:rPr>
          <w:rStyle w:val="normaltextrun"/>
          <w:rFonts w:ascii="Calibri" w:hAnsi="Calibri" w:cs="Calibri"/>
          <w:sz w:val="22"/>
          <w:szCs w:val="22"/>
          <w:lang w:val="en-US"/>
        </w:rPr>
        <w:t xml:space="preserve"> </w:t>
      </w:r>
      <w:r w:rsidR="0007752C" w:rsidRPr="00400D8A">
        <w:rPr>
          <w:rStyle w:val="normaltextrun"/>
          <w:rFonts w:ascii="Calibri" w:hAnsi="Calibri" w:cs="Calibri"/>
          <w:sz w:val="22"/>
          <w:szCs w:val="22"/>
          <w:lang w:val="en-US"/>
        </w:rPr>
        <w:t xml:space="preserve">The </w:t>
      </w:r>
      <w:r w:rsidR="00FA200A">
        <w:rPr>
          <w:rStyle w:val="normaltextrun"/>
          <w:rFonts w:ascii="Calibri" w:hAnsi="Calibri" w:cs="Calibri"/>
          <w:sz w:val="22"/>
          <w:szCs w:val="22"/>
          <w:lang w:val="en-US"/>
        </w:rPr>
        <w:t>Liberal and Nationals Government</w:t>
      </w:r>
      <w:r w:rsidR="0007752C" w:rsidRPr="00400D8A">
        <w:rPr>
          <w:rStyle w:val="normaltextrun"/>
          <w:rFonts w:ascii="Calibri" w:hAnsi="Calibri" w:cs="Calibri"/>
          <w:sz w:val="22"/>
          <w:szCs w:val="22"/>
          <w:lang w:val="en-US"/>
        </w:rPr>
        <w:t xml:space="preserve"> sees the further investment in new telecommunications </w:t>
      </w:r>
      <w:r w:rsidR="002520B4" w:rsidRPr="00400D8A">
        <w:rPr>
          <w:rStyle w:val="normaltextrun"/>
          <w:rFonts w:ascii="Calibri" w:hAnsi="Calibri" w:cs="Calibri"/>
          <w:sz w:val="22"/>
          <w:szCs w:val="22"/>
          <w:lang w:val="en-US"/>
        </w:rPr>
        <w:t>infrastructure i</w:t>
      </w:r>
      <w:r w:rsidR="0007752C" w:rsidRPr="00400D8A">
        <w:rPr>
          <w:rStyle w:val="normaltextrun"/>
          <w:rFonts w:ascii="Calibri" w:hAnsi="Calibri" w:cs="Calibri"/>
          <w:sz w:val="22"/>
          <w:szCs w:val="22"/>
          <w:lang w:val="en-US"/>
        </w:rPr>
        <w:t xml:space="preserve">t is making </w:t>
      </w:r>
      <w:r w:rsidR="002520B4" w:rsidRPr="00400D8A">
        <w:rPr>
          <w:rStyle w:val="normaltextrun"/>
          <w:rFonts w:ascii="Calibri" w:hAnsi="Calibri" w:cs="Calibri"/>
          <w:sz w:val="22"/>
          <w:szCs w:val="22"/>
          <w:lang w:val="en-US"/>
        </w:rPr>
        <w:t xml:space="preserve">through this response, including in mobile, the NBN and emerging technologies, as helping to better position regional Australia for </w:t>
      </w:r>
      <w:r w:rsidR="00CC5E3C">
        <w:rPr>
          <w:rStyle w:val="normaltextrun"/>
          <w:rFonts w:ascii="Calibri" w:hAnsi="Calibri" w:cs="Calibri"/>
          <w:sz w:val="22"/>
          <w:szCs w:val="22"/>
          <w:lang w:val="en-US"/>
        </w:rPr>
        <w:t>possible</w:t>
      </w:r>
      <w:r w:rsidR="00CC5E3C" w:rsidRPr="00400D8A">
        <w:rPr>
          <w:rStyle w:val="normaltextrun"/>
          <w:rFonts w:ascii="Calibri" w:hAnsi="Calibri" w:cs="Calibri"/>
          <w:sz w:val="22"/>
          <w:szCs w:val="22"/>
          <w:lang w:val="en-US"/>
        </w:rPr>
        <w:t xml:space="preserve"> </w:t>
      </w:r>
      <w:r w:rsidR="002520B4" w:rsidRPr="00400D8A">
        <w:rPr>
          <w:rStyle w:val="normaltextrun"/>
          <w:rFonts w:ascii="Calibri" w:hAnsi="Calibri" w:cs="Calibri"/>
          <w:sz w:val="22"/>
          <w:szCs w:val="22"/>
          <w:lang w:val="en-US"/>
        </w:rPr>
        <w:t xml:space="preserve">change - change that can serve </w:t>
      </w:r>
      <w:r w:rsidR="00790B44">
        <w:rPr>
          <w:rStyle w:val="normaltextrun"/>
          <w:rFonts w:ascii="Calibri" w:hAnsi="Calibri" w:cs="Calibri"/>
          <w:sz w:val="22"/>
          <w:szCs w:val="22"/>
          <w:lang w:val="en-US"/>
        </w:rPr>
        <w:t>regional Australia</w:t>
      </w:r>
      <w:r w:rsidR="00790B44" w:rsidRPr="00400D8A">
        <w:rPr>
          <w:rStyle w:val="normaltextrun"/>
          <w:rFonts w:ascii="Calibri" w:hAnsi="Calibri" w:cs="Calibri"/>
          <w:sz w:val="22"/>
          <w:szCs w:val="22"/>
          <w:lang w:val="en-US"/>
        </w:rPr>
        <w:t xml:space="preserve"> </w:t>
      </w:r>
      <w:r w:rsidR="002520B4" w:rsidRPr="00400D8A">
        <w:rPr>
          <w:rStyle w:val="normaltextrun"/>
          <w:rFonts w:ascii="Calibri" w:hAnsi="Calibri" w:cs="Calibri"/>
          <w:sz w:val="22"/>
          <w:szCs w:val="22"/>
          <w:lang w:val="en-US"/>
        </w:rPr>
        <w:t xml:space="preserve">into the future, rather than tying it to </w:t>
      </w:r>
      <w:r w:rsidR="00532CD8" w:rsidRPr="00400D8A">
        <w:rPr>
          <w:rStyle w:val="normaltextrun"/>
          <w:rFonts w:ascii="Calibri" w:hAnsi="Calibri" w:cs="Calibri"/>
          <w:sz w:val="22"/>
          <w:szCs w:val="22"/>
          <w:lang w:val="en-US"/>
        </w:rPr>
        <w:t>the past and its</w:t>
      </w:r>
      <w:r w:rsidR="002520B4" w:rsidRPr="00400D8A">
        <w:rPr>
          <w:rStyle w:val="normaltextrun"/>
          <w:rFonts w:ascii="Calibri" w:hAnsi="Calibri" w:cs="Calibri"/>
          <w:sz w:val="22"/>
          <w:szCs w:val="22"/>
          <w:lang w:val="en-US"/>
        </w:rPr>
        <w:t xml:space="preserve"> legacy technologies.</w:t>
      </w:r>
    </w:p>
    <w:p w14:paraId="228396EB" w14:textId="7761C079" w:rsidR="009A7D78" w:rsidRPr="000D61D6" w:rsidRDefault="00183465" w:rsidP="5D7F67FF">
      <w:pPr>
        <w:rPr>
          <w:lang w:eastAsia="en-US"/>
        </w:rPr>
      </w:pPr>
      <w:r w:rsidRPr="000D61D6">
        <w:rPr>
          <w:rStyle w:val="normaltextrun"/>
          <w:lang w:val="en-US"/>
        </w:rPr>
        <w:t xml:space="preserve">The USO is a statutory obligation on Telstra under the </w:t>
      </w:r>
      <w:r w:rsidRPr="000D61D6">
        <w:rPr>
          <w:rStyle w:val="normaltextrun"/>
          <w:i/>
          <w:iCs/>
          <w:lang w:val="en-US"/>
        </w:rPr>
        <w:t>Telecommunications Consumer Protection and Service Standards Act 1999</w:t>
      </w:r>
      <w:r w:rsidRPr="000D61D6">
        <w:rPr>
          <w:rStyle w:val="normaltextrun"/>
          <w:lang w:val="en-US"/>
        </w:rPr>
        <w:t xml:space="preserve"> to provide voice telephony services (a standard telephone service) on reasonable request to any Australian home or business, and to make payphones reasonable accessible to people in Australia. The previous Labor Government entered into a contract with Telstra which runs from 2012 until 2032 (unless Telstra exercises its right to cancel the contract from 2027). Under the terms of this contract, Telstra is paid $270</w:t>
      </w:r>
      <w:r w:rsidR="00D35557">
        <w:rPr>
          <w:rStyle w:val="normaltextrun"/>
          <w:lang w:val="en-US"/>
        </w:rPr>
        <w:t xml:space="preserve"> </w:t>
      </w:r>
      <w:r w:rsidRPr="000D61D6">
        <w:rPr>
          <w:rStyle w:val="normaltextrun"/>
          <w:lang w:val="en-US"/>
        </w:rPr>
        <w:t>m</w:t>
      </w:r>
      <w:r w:rsidR="00D35557">
        <w:rPr>
          <w:rStyle w:val="normaltextrun"/>
          <w:lang w:val="en-US"/>
        </w:rPr>
        <w:t>illion</w:t>
      </w:r>
      <w:r w:rsidRPr="000D61D6">
        <w:rPr>
          <w:rStyle w:val="normaltextrun"/>
          <w:lang w:val="en-US"/>
        </w:rPr>
        <w:t xml:space="preserve"> (ex GST) annually to deliver the USO. The contract requires the Australian Government to contribute $100</w:t>
      </w:r>
      <w:r w:rsidR="00D35557">
        <w:rPr>
          <w:rStyle w:val="normaltextrun"/>
          <w:lang w:val="en-US"/>
        </w:rPr>
        <w:t xml:space="preserve"> </w:t>
      </w:r>
      <w:r w:rsidRPr="000D61D6">
        <w:rPr>
          <w:rStyle w:val="normaltextrun"/>
          <w:lang w:val="en-US"/>
        </w:rPr>
        <w:t>m</w:t>
      </w:r>
      <w:r w:rsidR="00D35557">
        <w:rPr>
          <w:rStyle w:val="normaltextrun"/>
          <w:lang w:val="en-US"/>
        </w:rPr>
        <w:t>illion</w:t>
      </w:r>
      <w:r w:rsidRPr="000D61D6">
        <w:rPr>
          <w:rStyle w:val="normaltextrun"/>
          <w:lang w:val="en-US"/>
        </w:rPr>
        <w:t xml:space="preserve"> annually, with the remaining funding sourced from an industry levy administered by the ACMA. If extra regulatory obligations are imposed on Telstra by the Government, the contract allows Telstra to seek compensation for the cost of meeting those obligations.</w:t>
      </w:r>
    </w:p>
    <w:p w14:paraId="2D417F07" w14:textId="2B1C7B3A" w:rsidR="00EA01C3" w:rsidRPr="000D61D6" w:rsidRDefault="00183465" w:rsidP="000D61D6">
      <w:pPr>
        <w:pStyle w:val="paragraph"/>
        <w:spacing w:before="0" w:beforeAutospacing="0" w:after="240" w:afterAutospacing="0"/>
        <w:textAlignment w:val="baseline"/>
        <w:rPr>
          <w:rStyle w:val="normaltextrun"/>
          <w:rFonts w:ascii="Calibri" w:eastAsiaTheme="minorEastAsia" w:hAnsi="Calibri" w:cs="Calibri"/>
          <w:sz w:val="22"/>
          <w:szCs w:val="22"/>
          <w:lang w:val="en-US" w:eastAsia="zh-TW"/>
        </w:rPr>
      </w:pPr>
      <w:r w:rsidRPr="000D61D6">
        <w:rPr>
          <w:rStyle w:val="normaltextrun"/>
          <w:rFonts w:ascii="Calibri" w:hAnsi="Calibri" w:cs="Calibri"/>
          <w:sz w:val="22"/>
          <w:szCs w:val="22"/>
          <w:lang w:val="en-US"/>
        </w:rPr>
        <w:t xml:space="preserve">Given the range of fixed wireless, mobile and satellite technologies currently used by Telstra to deliver the USO and the wider uptake of these technologies in the community (noting the preponderance of mobile solutions over fixed), we agree in principle that the USO should continue to be based on a technology agnostic approach to service delivery as provided for in the statute. However, we note that users of copper services (currently protected under the USO contract with Telstra) will need to be satisfied there are reliable proven alternatives. As announced in 2018, the </w:t>
      </w:r>
      <w:r w:rsidR="00FA200A">
        <w:rPr>
          <w:rStyle w:val="normaltextrun"/>
          <w:rFonts w:ascii="Calibri" w:hAnsi="Calibri" w:cs="Calibri"/>
          <w:sz w:val="22"/>
          <w:szCs w:val="22"/>
          <w:lang w:val="en-US"/>
        </w:rPr>
        <w:t>Liberal and Nationals Government</w:t>
      </w:r>
      <w:r w:rsidRPr="000D61D6">
        <w:rPr>
          <w:rStyle w:val="normaltextrun"/>
          <w:rFonts w:ascii="Calibri" w:hAnsi="Calibri" w:cs="Calibri"/>
          <w:sz w:val="22"/>
          <w:szCs w:val="22"/>
          <w:lang w:val="en-US"/>
        </w:rPr>
        <w:t xml:space="preserve"> will not make changes to regional services until there are robust and proven alternatives to the existing USO services.</w:t>
      </w:r>
    </w:p>
    <w:p w14:paraId="44B2F839" w14:textId="7EB03C27" w:rsidR="001102CC" w:rsidRPr="000D61D6" w:rsidRDefault="00183465" w:rsidP="000D61D6">
      <w:pPr>
        <w:pStyle w:val="paragraph"/>
        <w:spacing w:before="0" w:beforeAutospacing="0" w:after="240" w:afterAutospacing="0"/>
        <w:textAlignment w:val="baseline"/>
        <w:rPr>
          <w:rStyle w:val="normaltextrun"/>
          <w:rFonts w:ascii="Calibri" w:hAnsi="Calibri" w:cs="Calibri"/>
          <w:sz w:val="22"/>
          <w:szCs w:val="22"/>
          <w:lang w:val="en-US"/>
        </w:rPr>
      </w:pPr>
      <w:r w:rsidRPr="000D61D6">
        <w:rPr>
          <w:rStyle w:val="normaltextrun"/>
          <w:rFonts w:ascii="Calibri" w:hAnsi="Calibri" w:cs="Calibri"/>
          <w:sz w:val="22"/>
          <w:szCs w:val="22"/>
          <w:lang w:val="en-US"/>
        </w:rPr>
        <w:t xml:space="preserve">The </w:t>
      </w:r>
      <w:r w:rsidR="00FA200A">
        <w:rPr>
          <w:rStyle w:val="normaltextrun"/>
          <w:rFonts w:ascii="Calibri" w:hAnsi="Calibri" w:cs="Calibri"/>
          <w:sz w:val="22"/>
          <w:szCs w:val="22"/>
          <w:lang w:val="en-US"/>
        </w:rPr>
        <w:t>Liberal and Nationals Government</w:t>
      </w:r>
      <w:r w:rsidRPr="000D61D6">
        <w:rPr>
          <w:rStyle w:val="normaltextrun"/>
          <w:rFonts w:ascii="Calibri" w:hAnsi="Calibri" w:cs="Calibri"/>
          <w:sz w:val="22"/>
          <w:szCs w:val="22"/>
          <w:lang w:val="en-US"/>
        </w:rPr>
        <w:t xml:space="preserve"> will consider the lessons learnt from its Alternative Voice Service Trials (AVST) in this context, taking into account the Committee's reservations in this regard.</w:t>
      </w:r>
    </w:p>
    <w:p w14:paraId="6713E1E6" w14:textId="4A00AD70" w:rsidR="00DB10CE" w:rsidRDefault="00183465" w:rsidP="00A82DCE">
      <w:pPr>
        <w:pStyle w:val="paragraph"/>
        <w:spacing w:before="0" w:beforeAutospacing="0" w:after="240" w:afterAutospacing="0"/>
        <w:textAlignment w:val="baseline"/>
        <w:rPr>
          <w:rStyle w:val="normaltextrun"/>
          <w:rFonts w:ascii="Calibri" w:hAnsi="Calibri" w:cs="Calibri"/>
          <w:lang w:val="en-US"/>
        </w:rPr>
      </w:pPr>
      <w:r w:rsidRPr="000D61D6">
        <w:rPr>
          <w:rStyle w:val="normaltextrun"/>
          <w:rFonts w:ascii="Calibri" w:hAnsi="Calibri" w:cs="Calibri"/>
          <w:sz w:val="22"/>
          <w:szCs w:val="22"/>
          <w:lang w:val="en-US"/>
        </w:rPr>
        <w:t xml:space="preserve">Finally, the </w:t>
      </w:r>
      <w:r w:rsidR="00FA200A">
        <w:rPr>
          <w:rStyle w:val="normaltextrun"/>
          <w:rFonts w:ascii="Calibri" w:hAnsi="Calibri" w:cs="Calibri"/>
          <w:sz w:val="22"/>
          <w:szCs w:val="22"/>
          <w:lang w:val="en-US"/>
        </w:rPr>
        <w:t>Liberal and Nationals Government</w:t>
      </w:r>
      <w:r w:rsidRPr="000D61D6">
        <w:rPr>
          <w:rStyle w:val="normaltextrun"/>
          <w:rFonts w:ascii="Calibri" w:hAnsi="Calibri" w:cs="Calibri"/>
          <w:sz w:val="22"/>
          <w:szCs w:val="22"/>
          <w:lang w:val="en-US"/>
        </w:rPr>
        <w:t xml:space="preserve"> agrees to a periodic review of the peak speed and performance targets included in the </w:t>
      </w:r>
      <w:r w:rsidR="00274ECE">
        <w:rPr>
          <w:rStyle w:val="normaltextrun"/>
          <w:rFonts w:ascii="Calibri" w:hAnsi="Calibri" w:cs="Calibri"/>
          <w:sz w:val="22"/>
          <w:szCs w:val="22"/>
          <w:lang w:val="en-US"/>
        </w:rPr>
        <w:t>USG</w:t>
      </w:r>
      <w:r w:rsidRPr="000D61D6">
        <w:rPr>
          <w:rStyle w:val="normaltextrun"/>
          <w:rFonts w:ascii="Calibri" w:hAnsi="Calibri" w:cs="Calibri"/>
          <w:sz w:val="22"/>
          <w:szCs w:val="22"/>
          <w:lang w:val="en-US"/>
        </w:rPr>
        <w:t>. There is a need for network performance to meet evolving community and business needs, particularly as demand for upload bandwidth increases. However, we note that such reviews would be significant undertakings with significant implications. As opposed to an annual review, the Government considers that a review every three years would be more practical. The best vehicle for such reviews needs to be considered.</w:t>
      </w:r>
      <w:r w:rsidR="00A07A7C">
        <w:rPr>
          <w:rStyle w:val="normaltextrun"/>
          <w:rFonts w:ascii="Calibri" w:hAnsi="Calibri" w:cs="Calibri"/>
          <w:sz w:val="22"/>
          <w:szCs w:val="22"/>
          <w:lang w:val="en-US"/>
        </w:rPr>
        <w:t xml:space="preserve"> </w:t>
      </w:r>
    </w:p>
    <w:p w14:paraId="39758BDC" w14:textId="77777777" w:rsidR="00EA01C3" w:rsidRPr="000D61D6" w:rsidRDefault="00183465">
      <w:pPr>
        <w:pBdr>
          <w:top w:val="single" w:sz="4" w:space="1" w:color="auto"/>
          <w:left w:val="single" w:sz="4" w:space="4" w:color="auto"/>
          <w:bottom w:val="single" w:sz="4" w:space="1" w:color="auto"/>
          <w:right w:val="single" w:sz="4" w:space="4" w:color="auto"/>
        </w:pBdr>
        <w:shd w:val="clear" w:color="auto" w:fill="DEEAF6" w:themeFill="accent1" w:themeFillTint="33"/>
        <w:rPr>
          <w:rFonts w:asciiTheme="majorHAnsi" w:eastAsiaTheme="majorEastAsia" w:hAnsiTheme="majorHAnsi"/>
        </w:rPr>
      </w:pPr>
      <w:bookmarkStart w:id="68" w:name="_Toc98519198"/>
      <w:bookmarkStart w:id="69" w:name="_Toc89339096"/>
      <w:bookmarkStart w:id="70" w:name="_Toc89345022"/>
      <w:bookmarkStart w:id="71" w:name="_Toc89346175"/>
      <w:bookmarkStart w:id="72" w:name="_Toc89355917"/>
      <w:bookmarkStart w:id="73" w:name="_Toc89355980"/>
      <w:bookmarkStart w:id="74" w:name="_Toc89356905"/>
      <w:bookmarkStart w:id="75" w:name="_Toc89786616"/>
      <w:r w:rsidRPr="000D61D6">
        <w:rPr>
          <w:rStyle w:val="Heading3Char"/>
        </w:rPr>
        <w:lastRenderedPageBreak/>
        <w:t>Recommendation 9 - Mobile services:</w:t>
      </w:r>
      <w:bookmarkEnd w:id="68"/>
      <w:r w:rsidRPr="000D61D6">
        <w:t xml:space="preserve"> </w:t>
      </w:r>
      <w:r w:rsidRPr="000D61D6">
        <w:rPr>
          <w:rStyle w:val="normaltextrun"/>
          <w:rFonts w:ascii="Calibri" w:eastAsiaTheme="majorEastAsia" w:hAnsi="Calibri"/>
          <w:lang w:val="en-US"/>
        </w:rPr>
        <w:t>The Committee recommends that the Government ensures measures are undertaken to increase the accuracy and transparency of mobile network quality and coverage information, including network congestion. This includes measures to collect and standardise mobile network coverage information and develop a tool to empower consumers to compare network performance and service availability.</w:t>
      </w:r>
      <w:bookmarkEnd w:id="69"/>
      <w:bookmarkEnd w:id="70"/>
      <w:bookmarkEnd w:id="71"/>
      <w:bookmarkEnd w:id="72"/>
      <w:bookmarkEnd w:id="73"/>
      <w:bookmarkEnd w:id="74"/>
      <w:bookmarkEnd w:id="75"/>
    </w:p>
    <w:p w14:paraId="6D833C14" w14:textId="77777777" w:rsidR="00EA01C3" w:rsidRPr="000D61D6" w:rsidRDefault="00183465" w:rsidP="000D61D6">
      <w:pPr>
        <w:pStyle w:val="paragraph"/>
        <w:pBdr>
          <w:top w:val="single" w:sz="4" w:space="1" w:color="auto"/>
          <w:left w:val="single" w:sz="4" w:space="4" w:color="auto"/>
          <w:bottom w:val="single" w:sz="4" w:space="1" w:color="auto"/>
          <w:right w:val="single" w:sz="4" w:space="4" w:color="auto"/>
        </w:pBdr>
        <w:shd w:val="clear" w:color="auto" w:fill="DEEAF6" w:themeFill="accent1" w:themeFillTint="33"/>
        <w:spacing w:before="0" w:beforeAutospacing="0" w:after="0" w:afterAutospacing="0"/>
        <w:textAlignment w:val="baseline"/>
        <w:rPr>
          <w:rStyle w:val="eop"/>
          <w:rFonts w:eastAsiaTheme="majorEastAsia"/>
          <w:sz w:val="22"/>
          <w:szCs w:val="22"/>
        </w:rPr>
      </w:pPr>
      <w:r w:rsidRPr="000D61D6">
        <w:rPr>
          <w:rStyle w:val="normaltextrun"/>
          <w:rFonts w:ascii="Calibri" w:eastAsiaTheme="majorEastAsia" w:hAnsi="Calibri"/>
          <w:sz w:val="22"/>
          <w:szCs w:val="22"/>
          <w:lang w:val="en-US"/>
        </w:rPr>
        <w:t>The Committee further recommends that the Government:</w:t>
      </w:r>
    </w:p>
    <w:p w14:paraId="5EA4BE34" w14:textId="77777777" w:rsidR="00EA01C3" w:rsidRPr="000D61D6" w:rsidRDefault="00183465" w:rsidP="000D61D6">
      <w:pPr>
        <w:pStyle w:val="paragraph"/>
        <w:numPr>
          <w:ilvl w:val="0"/>
          <w:numId w:val="5"/>
        </w:numPr>
        <w:pBdr>
          <w:top w:val="single" w:sz="4" w:space="1" w:color="auto"/>
          <w:left w:val="single" w:sz="4" w:space="4" w:color="auto"/>
          <w:bottom w:val="single" w:sz="4" w:space="1" w:color="auto"/>
          <w:right w:val="single" w:sz="4" w:space="4" w:color="auto"/>
        </w:pBdr>
        <w:shd w:val="clear" w:color="auto" w:fill="DEEAF6" w:themeFill="accent1" w:themeFillTint="33"/>
        <w:spacing w:before="0" w:beforeAutospacing="0" w:after="0" w:afterAutospacing="0"/>
        <w:ind w:left="426" w:hanging="426"/>
        <w:textAlignment w:val="baseline"/>
        <w:rPr>
          <w:rStyle w:val="normaltextrun"/>
          <w:rFonts w:ascii="Calibri" w:eastAsiaTheme="majorEastAsia" w:hAnsi="Calibri"/>
          <w:sz w:val="22"/>
          <w:szCs w:val="22"/>
          <w:lang w:val="en-US"/>
        </w:rPr>
      </w:pPr>
      <w:r w:rsidRPr="000D61D6">
        <w:rPr>
          <w:rStyle w:val="normaltextrun"/>
          <w:rFonts w:ascii="Calibri" w:eastAsiaTheme="majorEastAsia" w:hAnsi="Calibri"/>
          <w:sz w:val="22"/>
          <w:szCs w:val="22"/>
          <w:lang w:val="en-US"/>
        </w:rPr>
        <w:t xml:space="preserve">provides funding to undertake an investigation and audit </w:t>
      </w:r>
      <w:r w:rsidRPr="000D61D6">
        <w:rPr>
          <w:rStyle w:val="normaltextrun"/>
          <w:rFonts w:ascii="Calibri" w:eastAsiaTheme="majorEastAsia" w:hAnsi="Calibri"/>
          <w:color w:val="000000" w:themeColor="text1"/>
          <w:sz w:val="22"/>
          <w:szCs w:val="22"/>
          <w:lang w:val="en-US"/>
        </w:rPr>
        <w:t xml:space="preserve">to collect and report </w:t>
      </w:r>
      <w:r w:rsidRPr="000D61D6">
        <w:rPr>
          <w:rStyle w:val="normaltextrun"/>
          <w:rFonts w:ascii="Calibri" w:eastAsiaTheme="majorEastAsia" w:hAnsi="Calibri"/>
          <w:sz w:val="22"/>
          <w:szCs w:val="22"/>
          <w:lang w:val="en-US"/>
        </w:rPr>
        <w:t>mobile coverage performance across regional Australia,</w:t>
      </w:r>
      <w:r w:rsidRPr="000D61D6">
        <w:rPr>
          <w:rStyle w:val="eop"/>
          <w:rFonts w:ascii="Calibri" w:eastAsiaTheme="majorEastAsia" w:hAnsi="Calibri"/>
          <w:sz w:val="22"/>
          <w:szCs w:val="22"/>
          <w:lang w:val="en-US"/>
        </w:rPr>
        <w:t xml:space="preserve"> including congestion</w:t>
      </w:r>
      <w:r w:rsidRPr="000D61D6">
        <w:rPr>
          <w:rStyle w:val="normaltextrun"/>
          <w:rFonts w:ascii="Calibri" w:eastAsiaTheme="majorEastAsia" w:hAnsi="Calibri" w:cs="Calibri"/>
          <w:sz w:val="22"/>
          <w:szCs w:val="22"/>
          <w:lang w:val="en-US"/>
        </w:rPr>
        <w:t xml:space="preserve"> </w:t>
      </w:r>
    </w:p>
    <w:p w14:paraId="7121C34E" w14:textId="77777777" w:rsidR="00EA01C3" w:rsidRPr="000D61D6" w:rsidRDefault="00183465" w:rsidP="000D61D6">
      <w:pPr>
        <w:pStyle w:val="paragraph"/>
        <w:numPr>
          <w:ilvl w:val="0"/>
          <w:numId w:val="5"/>
        </w:numPr>
        <w:pBdr>
          <w:top w:val="single" w:sz="4" w:space="1" w:color="auto"/>
          <w:left w:val="single" w:sz="4" w:space="4" w:color="auto"/>
          <w:bottom w:val="single" w:sz="4" w:space="1" w:color="auto"/>
          <w:right w:val="single" w:sz="4" w:space="4" w:color="auto"/>
        </w:pBdr>
        <w:shd w:val="clear" w:color="auto" w:fill="DEEAF6" w:themeFill="accent1" w:themeFillTint="33"/>
        <w:spacing w:before="0" w:beforeAutospacing="0" w:after="240" w:afterAutospacing="0"/>
        <w:ind w:left="426" w:hanging="426"/>
        <w:textAlignment w:val="baseline"/>
        <w:rPr>
          <w:rStyle w:val="eop"/>
          <w:rFonts w:ascii="Calibri" w:eastAsiaTheme="majorEastAsia" w:hAnsi="Calibri"/>
          <w:sz w:val="22"/>
          <w:szCs w:val="22"/>
          <w:lang w:val="en-US"/>
        </w:rPr>
      </w:pPr>
      <w:r w:rsidRPr="000D61D6">
        <w:rPr>
          <w:rStyle w:val="eop"/>
          <w:rFonts w:ascii="Calibri" w:eastAsiaTheme="majorEastAsia" w:hAnsi="Calibri"/>
          <w:sz w:val="22"/>
          <w:szCs w:val="22"/>
          <w:lang w:val="en-US"/>
        </w:rPr>
        <w:t xml:space="preserve">undertakes a feasibility study to consider the capability for mobile roaming to be deployed in emergency circumstances. </w:t>
      </w:r>
    </w:p>
    <w:p w14:paraId="374E6F30" w14:textId="170A728A" w:rsidR="00EA01C3" w:rsidRPr="000D61D6" w:rsidRDefault="00183465" w:rsidP="5D7F67FF">
      <w:pPr>
        <w:rPr>
          <w:rStyle w:val="eop"/>
          <w:rFonts w:ascii="Calibri" w:hAnsi="Calibri" w:cs="Calibri"/>
          <w:lang w:val="en-US"/>
        </w:rPr>
      </w:pPr>
      <w:bookmarkStart w:id="76" w:name="_Toc89339097"/>
      <w:bookmarkStart w:id="77" w:name="_Toc89345023"/>
      <w:bookmarkStart w:id="78" w:name="_Toc89346176"/>
      <w:bookmarkStart w:id="79" w:name="_Toc89355918"/>
      <w:bookmarkStart w:id="80" w:name="_Toc89355981"/>
      <w:bookmarkStart w:id="81" w:name="_Toc89356906"/>
      <w:bookmarkStart w:id="82" w:name="_Toc89786617"/>
      <w:r w:rsidRPr="000D61D6">
        <w:rPr>
          <w:rStyle w:val="eop"/>
          <w:rFonts w:ascii="Calibri" w:hAnsi="Calibri" w:cs="Calibri"/>
          <w:lang w:val="en-US"/>
        </w:rPr>
        <w:t xml:space="preserve">The </w:t>
      </w:r>
      <w:r w:rsidR="00FA200A">
        <w:rPr>
          <w:rStyle w:val="eop"/>
          <w:rFonts w:ascii="Calibri" w:hAnsi="Calibri" w:cs="Calibri"/>
          <w:lang w:val="en-US"/>
        </w:rPr>
        <w:t>Liberal and Nationals Government</w:t>
      </w:r>
      <w:r w:rsidRPr="000D61D6">
        <w:rPr>
          <w:rStyle w:val="eop"/>
          <w:rFonts w:ascii="Calibri" w:hAnsi="Calibri" w:cs="Calibri"/>
          <w:lang w:val="en-US"/>
        </w:rPr>
        <w:t xml:space="preserve"> notes this </w:t>
      </w:r>
      <w:r w:rsidR="006E07D2">
        <w:rPr>
          <w:rStyle w:val="eop"/>
          <w:rFonts w:ascii="Calibri" w:hAnsi="Calibri" w:cs="Calibri"/>
          <w:lang w:val="en-US"/>
        </w:rPr>
        <w:t xml:space="preserve">recommendation </w:t>
      </w:r>
      <w:r w:rsidR="00A07A7C">
        <w:rPr>
          <w:rStyle w:val="eop"/>
          <w:rFonts w:ascii="Calibri" w:hAnsi="Calibri" w:cs="Calibri"/>
          <w:lang w:val="en-US"/>
        </w:rPr>
        <w:t xml:space="preserve">is </w:t>
      </w:r>
      <w:r w:rsidRPr="000D61D6">
        <w:rPr>
          <w:rStyle w:val="eop"/>
          <w:rFonts w:ascii="Calibri" w:hAnsi="Calibri" w:cs="Calibri"/>
          <w:lang w:val="en-US"/>
        </w:rPr>
        <w:t xml:space="preserve">partially directed at the ACCC, as the agency responsible for the monitoring of telecommunications network competition and market developments. </w:t>
      </w:r>
    </w:p>
    <w:p w14:paraId="570C54FC" w14:textId="06D8CB3D" w:rsidR="00EA01C3" w:rsidRPr="000D61D6" w:rsidRDefault="00183465" w:rsidP="5D7F67FF">
      <w:pPr>
        <w:rPr>
          <w:rStyle w:val="eop"/>
          <w:rFonts w:ascii="Calibri" w:hAnsi="Calibri" w:cs="Calibri"/>
          <w:lang w:val="en-US"/>
        </w:rPr>
      </w:pPr>
      <w:r w:rsidRPr="000D61D6">
        <w:rPr>
          <w:rStyle w:val="eop"/>
          <w:rFonts w:ascii="Calibri" w:hAnsi="Calibri" w:cs="Calibri"/>
          <w:lang w:val="en-US"/>
        </w:rPr>
        <w:t xml:space="preserve">The </w:t>
      </w:r>
      <w:r w:rsidR="00FA200A">
        <w:rPr>
          <w:rStyle w:val="eop"/>
          <w:rFonts w:ascii="Calibri" w:hAnsi="Calibri" w:cs="Calibri"/>
          <w:lang w:val="en-US"/>
        </w:rPr>
        <w:t>Liberal and Nationals Government</w:t>
      </w:r>
      <w:r w:rsidRPr="000D61D6">
        <w:rPr>
          <w:rStyle w:val="eop"/>
          <w:rFonts w:ascii="Calibri" w:hAnsi="Calibri" w:cs="Calibri"/>
          <w:lang w:val="en-US"/>
        </w:rPr>
        <w:t xml:space="preserve"> will ask the ACCC to examine appropriate mobile network quality and coverage reporting requirements for mobile network operators. </w:t>
      </w:r>
    </w:p>
    <w:p w14:paraId="0F252B81" w14:textId="73E09957" w:rsidR="00EA01C3" w:rsidRPr="000D61D6" w:rsidRDefault="00183465" w:rsidP="5D7F67FF">
      <w:pPr>
        <w:rPr>
          <w:rStyle w:val="eop"/>
          <w:rFonts w:ascii="Calibri" w:hAnsi="Calibri" w:cs="Calibri"/>
          <w:lang w:val="en-US"/>
        </w:rPr>
      </w:pPr>
      <w:r w:rsidRPr="000D61D6">
        <w:rPr>
          <w:rStyle w:val="eop"/>
          <w:rFonts w:ascii="Calibri" w:hAnsi="Calibri" w:cs="Calibri"/>
          <w:lang w:val="en-US"/>
        </w:rPr>
        <w:t xml:space="preserve">As per the Committee’s suggestion in its report, the Government will ask the ACCC to consider the work undertaken by international counterparts such as the United States Federal Communications Commission in using data supplied by mobile network operators and broadband providers to develop consistent network mapping of broadband and mobile coverage. </w:t>
      </w:r>
    </w:p>
    <w:p w14:paraId="2002B32E" w14:textId="689184A2" w:rsidR="00EA01C3" w:rsidRPr="000D61D6" w:rsidRDefault="00183465" w:rsidP="5D7F67FF">
      <w:pPr>
        <w:rPr>
          <w:rStyle w:val="eop"/>
          <w:rFonts w:ascii="Calibri" w:hAnsi="Calibri" w:cs="Calibri"/>
          <w:lang w:val="en-US"/>
        </w:rPr>
      </w:pPr>
      <w:r w:rsidRPr="000D61D6">
        <w:rPr>
          <w:rStyle w:val="eop"/>
          <w:rFonts w:ascii="Calibri" w:hAnsi="Calibri" w:cs="Calibri"/>
          <w:lang w:val="en-US"/>
        </w:rPr>
        <w:t xml:space="preserve">The </w:t>
      </w:r>
      <w:r w:rsidR="00FA200A">
        <w:rPr>
          <w:rStyle w:val="eop"/>
          <w:rFonts w:ascii="Calibri" w:hAnsi="Calibri" w:cs="Calibri"/>
          <w:lang w:val="en-US"/>
        </w:rPr>
        <w:t>Liberal and Nationals Government</w:t>
      </w:r>
      <w:r w:rsidRPr="000D61D6">
        <w:rPr>
          <w:rStyle w:val="eop"/>
          <w:rFonts w:ascii="Calibri" w:hAnsi="Calibri" w:cs="Calibri"/>
          <w:lang w:val="en-US"/>
        </w:rPr>
        <w:t xml:space="preserve"> will commission independent audits of mobile coverage during 2022-23 and 2023-24, with results published in advance of the 2024 Regional Telecommunications Review so that it has the benefit of the data. As part of this process, the </w:t>
      </w:r>
      <w:r w:rsidR="00FA200A">
        <w:rPr>
          <w:rStyle w:val="eop"/>
          <w:rFonts w:ascii="Calibri" w:hAnsi="Calibri" w:cs="Calibri"/>
          <w:lang w:val="en-US"/>
        </w:rPr>
        <w:t>Liberal and Nationals Government</w:t>
      </w:r>
      <w:r w:rsidRPr="000D61D6">
        <w:rPr>
          <w:rStyle w:val="eop"/>
          <w:rFonts w:ascii="Calibri" w:hAnsi="Calibri" w:cs="Calibri"/>
          <w:lang w:val="en-US"/>
        </w:rPr>
        <w:t xml:space="preserve"> will consider the benefits of ‘crowd-sourcing’ data on mobile network coverage and throughput performance.</w:t>
      </w:r>
    </w:p>
    <w:p w14:paraId="22A0B1D9" w14:textId="319A1837" w:rsidR="00EA01C3" w:rsidRPr="000D61D6" w:rsidRDefault="00183465" w:rsidP="00EA01C3">
      <w:r w:rsidRPr="000D61D6">
        <w:rPr>
          <w:rStyle w:val="eop"/>
          <w:rFonts w:ascii="Calibri" w:hAnsi="Calibri" w:cs="Calibri"/>
          <w:lang w:val="en-US"/>
        </w:rPr>
        <w:t xml:space="preserve">The </w:t>
      </w:r>
      <w:r w:rsidR="00FA200A">
        <w:rPr>
          <w:rStyle w:val="eop"/>
          <w:rFonts w:ascii="Calibri" w:hAnsi="Calibri" w:cs="Calibri"/>
          <w:lang w:val="en-US"/>
        </w:rPr>
        <w:t>Liberal and Nationals Government</w:t>
      </w:r>
      <w:r w:rsidRPr="000D61D6">
        <w:rPr>
          <w:rStyle w:val="eop"/>
          <w:rFonts w:ascii="Calibri" w:hAnsi="Calibri" w:cs="Calibri"/>
          <w:lang w:val="en-US"/>
        </w:rPr>
        <w:t xml:space="preserve"> will also ask the ACCC to </w:t>
      </w:r>
      <w:r w:rsidR="00F06F08">
        <w:rPr>
          <w:rStyle w:val="eop"/>
          <w:rFonts w:ascii="Calibri" w:hAnsi="Calibri" w:cs="Calibri"/>
          <w:lang w:val="en-US"/>
        </w:rPr>
        <w:t xml:space="preserve">examine </w:t>
      </w:r>
      <w:r w:rsidRPr="000D61D6">
        <w:rPr>
          <w:rStyle w:val="eop"/>
          <w:rFonts w:ascii="Calibri" w:hAnsi="Calibri" w:cs="Calibri"/>
          <w:lang w:val="en-US"/>
        </w:rPr>
        <w:t>the capability for mobile roaming to be deployed in emergency circumstances.</w:t>
      </w:r>
    </w:p>
    <w:p w14:paraId="09D385E9" w14:textId="5884A745" w:rsidR="00EA01C3" w:rsidRPr="000D61D6" w:rsidRDefault="00183465" w:rsidP="5D7F67FF">
      <w:pPr>
        <w:pBdr>
          <w:top w:val="single" w:sz="4" w:space="1" w:color="auto"/>
          <w:left w:val="single" w:sz="4" w:space="4" w:color="auto"/>
          <w:bottom w:val="single" w:sz="4" w:space="1" w:color="auto"/>
          <w:right w:val="single" w:sz="4" w:space="4" w:color="auto"/>
        </w:pBdr>
        <w:shd w:val="clear" w:color="auto" w:fill="DEEAF6" w:themeFill="accent1" w:themeFillTint="33"/>
        <w:rPr>
          <w:rStyle w:val="normaltextrun"/>
          <w:b/>
          <w:bCs/>
        </w:rPr>
      </w:pPr>
      <w:bookmarkStart w:id="83" w:name="_Toc98519199"/>
      <w:r w:rsidRPr="000D61D6">
        <w:rPr>
          <w:rStyle w:val="Heading3Char"/>
        </w:rPr>
        <w:t>Recommendation 10 - Shared network access:</w:t>
      </w:r>
      <w:bookmarkEnd w:id="83"/>
      <w:r w:rsidRPr="000D61D6">
        <w:rPr>
          <w:b/>
          <w:bCs/>
        </w:rPr>
        <w:t xml:space="preserve"> </w:t>
      </w:r>
      <w:r w:rsidRPr="000D61D6">
        <w:rPr>
          <w:rStyle w:val="eop"/>
          <w:rFonts w:ascii="Calibri" w:eastAsiaTheme="majorEastAsia" w:hAnsi="Calibri"/>
          <w:lang w:val="en-US"/>
        </w:rPr>
        <w:t xml:space="preserve">The Committee recommends that preference is given to Government funded mobile infrastructure providing shared network access. This includes a </w:t>
      </w:r>
      <w:r w:rsidRPr="000D61D6">
        <w:rPr>
          <w:rStyle w:val="normaltextrun"/>
          <w:rFonts w:ascii="Calibri" w:eastAsiaTheme="majorEastAsia" w:hAnsi="Calibri"/>
          <w:lang w:val="en-US"/>
        </w:rPr>
        <w:t xml:space="preserve">particular focus in the design of the Mobile Black Spot Program towards: </w:t>
      </w:r>
      <w:bookmarkEnd w:id="76"/>
      <w:bookmarkEnd w:id="77"/>
      <w:bookmarkEnd w:id="78"/>
      <w:bookmarkEnd w:id="79"/>
      <w:bookmarkEnd w:id="80"/>
      <w:bookmarkEnd w:id="81"/>
      <w:bookmarkEnd w:id="82"/>
    </w:p>
    <w:p w14:paraId="12C4F857" w14:textId="77777777" w:rsidR="00EA01C3" w:rsidRPr="000D61D6" w:rsidRDefault="00183465" w:rsidP="000D61D6">
      <w:pPr>
        <w:pStyle w:val="paragraph"/>
        <w:numPr>
          <w:ilvl w:val="0"/>
          <w:numId w:val="5"/>
        </w:numPr>
        <w:pBdr>
          <w:top w:val="single" w:sz="4" w:space="1" w:color="auto"/>
          <w:left w:val="single" w:sz="4" w:space="4" w:color="auto"/>
          <w:bottom w:val="single" w:sz="4" w:space="1" w:color="auto"/>
          <w:right w:val="single" w:sz="4" w:space="4" w:color="auto"/>
        </w:pBdr>
        <w:shd w:val="clear" w:color="auto" w:fill="DEEAF6" w:themeFill="accent1" w:themeFillTint="33"/>
        <w:spacing w:before="0" w:beforeAutospacing="0" w:after="0" w:afterAutospacing="0"/>
        <w:ind w:left="426" w:hanging="426"/>
        <w:textAlignment w:val="baseline"/>
        <w:rPr>
          <w:rStyle w:val="normaltextrun"/>
          <w:rFonts w:ascii="Calibri" w:eastAsiaTheme="majorEastAsia" w:hAnsi="Calibri"/>
          <w:sz w:val="22"/>
          <w:szCs w:val="22"/>
          <w:lang w:val="en-US"/>
        </w:rPr>
      </w:pPr>
      <w:r w:rsidRPr="000D61D6">
        <w:rPr>
          <w:rStyle w:val="normaltextrun"/>
          <w:rFonts w:ascii="Calibri" w:eastAsiaTheme="majorEastAsia" w:hAnsi="Calibri"/>
          <w:sz w:val="22"/>
          <w:szCs w:val="22"/>
          <w:lang w:val="en-US"/>
        </w:rPr>
        <w:t>neutral host</w:t>
      </w:r>
      <w:r w:rsidRPr="000D61D6">
        <w:rPr>
          <w:rStyle w:val="normaltextrun"/>
          <w:rFonts w:ascii="Calibri" w:eastAsiaTheme="majorEastAsia" w:hAnsi="Calibri" w:cs="Calibri"/>
          <w:sz w:val="22"/>
          <w:szCs w:val="22"/>
          <w:lang w:val="en-US"/>
        </w:rPr>
        <w:t> </w:t>
      </w:r>
      <w:r w:rsidRPr="000D61D6">
        <w:rPr>
          <w:rStyle w:val="normaltextrun"/>
          <w:rFonts w:ascii="Calibri" w:eastAsiaTheme="majorEastAsia" w:hAnsi="Calibri"/>
          <w:sz w:val="22"/>
          <w:szCs w:val="22"/>
          <w:lang w:val="en-US"/>
        </w:rPr>
        <w:t>solutions, including consideration of payments toward operational and maintenance expenses</w:t>
      </w:r>
    </w:p>
    <w:p w14:paraId="2977DA07" w14:textId="77777777" w:rsidR="00EA01C3" w:rsidRPr="000D61D6" w:rsidRDefault="00183465" w:rsidP="000D61D6">
      <w:pPr>
        <w:pStyle w:val="paragraph"/>
        <w:numPr>
          <w:ilvl w:val="0"/>
          <w:numId w:val="5"/>
        </w:numPr>
        <w:pBdr>
          <w:top w:val="single" w:sz="4" w:space="1" w:color="auto"/>
          <w:left w:val="single" w:sz="4" w:space="4" w:color="auto"/>
          <w:bottom w:val="single" w:sz="4" w:space="1" w:color="auto"/>
          <w:right w:val="single" w:sz="4" w:space="4" w:color="auto"/>
        </w:pBdr>
        <w:shd w:val="clear" w:color="auto" w:fill="DEEAF6" w:themeFill="accent1" w:themeFillTint="33"/>
        <w:spacing w:before="0" w:beforeAutospacing="0" w:after="240" w:afterAutospacing="0"/>
        <w:ind w:left="426" w:hanging="426"/>
        <w:textAlignment w:val="baseline"/>
        <w:rPr>
          <w:rStyle w:val="normaltextrun"/>
          <w:rFonts w:ascii="Calibri" w:eastAsiaTheme="majorEastAsia" w:hAnsi="Calibri"/>
          <w:sz w:val="22"/>
          <w:szCs w:val="22"/>
          <w:lang w:val="en-US"/>
        </w:rPr>
      </w:pPr>
      <w:r w:rsidRPr="000D61D6">
        <w:rPr>
          <w:rStyle w:val="normaltextrun"/>
          <w:rFonts w:ascii="Calibri" w:eastAsiaTheme="majorEastAsia" w:hAnsi="Calibri"/>
          <w:sz w:val="22"/>
          <w:szCs w:val="22"/>
          <w:lang w:val="en-US"/>
        </w:rPr>
        <w:t>innovative funding models used in other jurisdictions to encourage participation.</w:t>
      </w:r>
    </w:p>
    <w:p w14:paraId="75F40FC3" w14:textId="4B4A65A0" w:rsidR="00EA01C3" w:rsidRPr="000D61D6" w:rsidRDefault="00183465" w:rsidP="000D61D6">
      <w:pPr>
        <w:pStyle w:val="paragraph"/>
        <w:spacing w:before="0" w:beforeAutospacing="0" w:after="240" w:afterAutospacing="0"/>
        <w:textAlignment w:val="baseline"/>
        <w:rPr>
          <w:rStyle w:val="normaltextrun"/>
          <w:rFonts w:ascii="Calibri" w:eastAsiaTheme="majorEastAsia" w:hAnsi="Calibri"/>
          <w:sz w:val="20"/>
          <w:szCs w:val="20"/>
          <w:lang w:val="en-US"/>
        </w:rPr>
      </w:pPr>
      <w:r w:rsidRPr="000D61D6">
        <w:rPr>
          <w:rStyle w:val="normaltextrun"/>
          <w:rFonts w:ascii="Calibri" w:hAnsi="Calibri" w:cs="Calibri"/>
          <w:sz w:val="22"/>
          <w:szCs w:val="22"/>
          <w:lang w:val="en-US"/>
        </w:rPr>
        <w:t xml:space="preserve">The </w:t>
      </w:r>
      <w:r w:rsidR="00FA200A">
        <w:rPr>
          <w:rStyle w:val="normaltextrun"/>
          <w:rFonts w:ascii="Calibri" w:hAnsi="Calibri" w:cs="Calibri"/>
          <w:sz w:val="22"/>
          <w:szCs w:val="22"/>
          <w:lang w:val="en-US"/>
        </w:rPr>
        <w:t>Liberal and Nationals Government</w:t>
      </w:r>
      <w:r w:rsidRPr="000D61D6">
        <w:rPr>
          <w:rStyle w:val="normaltextrun"/>
          <w:rFonts w:ascii="Calibri" w:hAnsi="Calibri" w:cs="Calibri"/>
          <w:sz w:val="22"/>
          <w:szCs w:val="22"/>
          <w:lang w:val="en-US"/>
        </w:rPr>
        <w:t xml:space="preserve"> agrees to this recommendation. Past programs have provided for a range of sharing options and programs continue to evolve in this regard. </w:t>
      </w:r>
    </w:p>
    <w:p w14:paraId="2F0DA826" w14:textId="00298B69" w:rsidR="00EA01C3" w:rsidRPr="000D61D6" w:rsidRDefault="00183465" w:rsidP="000D61D6">
      <w:pPr>
        <w:pStyle w:val="paragraph"/>
        <w:spacing w:before="0" w:beforeAutospacing="0" w:after="240" w:afterAutospacing="0"/>
        <w:textAlignment w:val="baseline"/>
        <w:rPr>
          <w:rStyle w:val="normaltextrun"/>
          <w:rFonts w:ascii="Calibri" w:hAnsi="Calibri" w:cs="Calibri"/>
          <w:sz w:val="22"/>
          <w:szCs w:val="22"/>
          <w:lang w:val="en-US"/>
        </w:rPr>
      </w:pPr>
      <w:r w:rsidRPr="000D61D6">
        <w:rPr>
          <w:rStyle w:val="normaltextrun"/>
          <w:rFonts w:ascii="Calibri" w:hAnsi="Calibri" w:cs="Calibri"/>
          <w:sz w:val="22"/>
          <w:szCs w:val="22"/>
          <w:lang w:val="en-US"/>
        </w:rPr>
        <w:t xml:space="preserve">As part of the </w:t>
      </w:r>
      <w:r w:rsidR="00502C56">
        <w:rPr>
          <w:rStyle w:val="normaltextrun"/>
          <w:rFonts w:ascii="Calibri" w:hAnsi="Calibri" w:cs="Calibri"/>
          <w:sz w:val="22"/>
          <w:szCs w:val="22"/>
          <w:lang w:val="en-US"/>
        </w:rPr>
        <w:t>CRA</w:t>
      </w:r>
      <w:r w:rsidRPr="000D61D6">
        <w:rPr>
          <w:rStyle w:val="normaltextrun"/>
          <w:rFonts w:ascii="Calibri" w:hAnsi="Calibri" w:cs="Calibri"/>
          <w:sz w:val="22"/>
          <w:szCs w:val="22"/>
          <w:lang w:val="en-US"/>
        </w:rPr>
        <w:t xml:space="preserve">, the </w:t>
      </w:r>
      <w:r w:rsidR="00FA200A">
        <w:rPr>
          <w:rStyle w:val="normaltextrun"/>
          <w:rFonts w:ascii="Calibri" w:hAnsi="Calibri" w:cs="Calibri"/>
          <w:sz w:val="22"/>
          <w:szCs w:val="22"/>
          <w:lang w:val="en-US"/>
        </w:rPr>
        <w:t>Liberal and Nationals Government</w:t>
      </w:r>
      <w:r w:rsidRPr="000D61D6">
        <w:rPr>
          <w:rStyle w:val="normaltextrun"/>
          <w:rFonts w:ascii="Calibri" w:hAnsi="Calibri" w:cs="Calibri"/>
          <w:sz w:val="22"/>
          <w:szCs w:val="22"/>
          <w:lang w:val="en-US"/>
        </w:rPr>
        <w:t xml:space="preserve"> will provide funding for viable neutral host models which deliver improved mobile coverage and competition in regional, rural and remote areas, particularly on highways and to adjacent premises, businesses and tourist hotspots. In line with emerging trends under Round 5A of the MBSP and the PUMP, the </w:t>
      </w:r>
      <w:r w:rsidR="00502C56">
        <w:rPr>
          <w:rStyle w:val="normaltextrun"/>
          <w:rFonts w:ascii="Calibri" w:hAnsi="Calibri" w:cs="Calibri"/>
          <w:sz w:val="22"/>
          <w:szCs w:val="22"/>
          <w:lang w:val="en-US"/>
        </w:rPr>
        <w:t>CRA</w:t>
      </w:r>
      <w:r w:rsidR="00502C56" w:rsidRPr="000D61D6">
        <w:rPr>
          <w:rStyle w:val="normaltextrun"/>
          <w:rFonts w:ascii="Calibri" w:hAnsi="Calibri" w:cs="Calibri"/>
          <w:sz w:val="22"/>
          <w:szCs w:val="22"/>
          <w:lang w:val="en-US"/>
        </w:rPr>
        <w:t xml:space="preserve"> </w:t>
      </w:r>
      <w:r w:rsidRPr="000D61D6">
        <w:rPr>
          <w:rStyle w:val="normaltextrun"/>
          <w:rFonts w:ascii="Calibri" w:hAnsi="Calibri" w:cs="Calibri"/>
          <w:sz w:val="22"/>
          <w:szCs w:val="22"/>
          <w:lang w:val="en-US"/>
        </w:rPr>
        <w:t>will be able to fund a percentage of the operational and maintenance costs for neutral host solutions to encourage industry to put such solutions forward.</w:t>
      </w:r>
    </w:p>
    <w:p w14:paraId="39F87A78" w14:textId="3088E068" w:rsidR="00EA01C3" w:rsidRDefault="00183465" w:rsidP="000D61D6">
      <w:pPr>
        <w:pStyle w:val="paragraph"/>
        <w:spacing w:before="0" w:beforeAutospacing="0" w:after="240" w:afterAutospacing="0"/>
        <w:textAlignment w:val="baseline"/>
        <w:rPr>
          <w:rStyle w:val="normaltextrun"/>
          <w:rFonts w:ascii="Calibri" w:hAnsi="Calibri" w:cs="Calibri"/>
          <w:sz w:val="22"/>
          <w:szCs w:val="22"/>
          <w:lang w:val="en-US"/>
        </w:rPr>
      </w:pPr>
      <w:r w:rsidRPr="000D61D6">
        <w:rPr>
          <w:rStyle w:val="normaltextrun"/>
          <w:rFonts w:ascii="Calibri" w:hAnsi="Calibri" w:cs="Calibri"/>
          <w:sz w:val="22"/>
          <w:szCs w:val="22"/>
          <w:lang w:val="en-US"/>
        </w:rPr>
        <w:t xml:space="preserve">The </w:t>
      </w:r>
      <w:r w:rsidR="00FA200A">
        <w:rPr>
          <w:rStyle w:val="normaltextrun"/>
          <w:rFonts w:ascii="Calibri" w:hAnsi="Calibri" w:cs="Calibri"/>
          <w:sz w:val="22"/>
          <w:szCs w:val="22"/>
          <w:lang w:val="en-US"/>
        </w:rPr>
        <w:t>Liberal and Nationals Government</w:t>
      </w:r>
      <w:r w:rsidRPr="000D61D6">
        <w:rPr>
          <w:rStyle w:val="normaltextrun"/>
          <w:rFonts w:ascii="Calibri" w:hAnsi="Calibri" w:cs="Calibri"/>
          <w:sz w:val="22"/>
          <w:szCs w:val="22"/>
          <w:lang w:val="en-US"/>
        </w:rPr>
        <w:t xml:space="preserve"> will consult with industry and other stakeholders on the appropriate mechanisms for delivering a neutral host solution under the </w:t>
      </w:r>
      <w:r w:rsidR="00502C56">
        <w:rPr>
          <w:rStyle w:val="normaltextrun"/>
          <w:rFonts w:ascii="Calibri" w:hAnsi="Calibri" w:cs="Calibri"/>
          <w:sz w:val="22"/>
          <w:szCs w:val="22"/>
          <w:lang w:val="en-US"/>
        </w:rPr>
        <w:t>CRA</w:t>
      </w:r>
      <w:r w:rsidRPr="000D61D6">
        <w:rPr>
          <w:rStyle w:val="normaltextrun"/>
          <w:rFonts w:ascii="Calibri" w:hAnsi="Calibri" w:cs="Calibri"/>
          <w:sz w:val="22"/>
          <w:szCs w:val="22"/>
          <w:lang w:val="en-US"/>
        </w:rPr>
        <w:t xml:space="preserve">. As part of this, the </w:t>
      </w:r>
      <w:r w:rsidR="00FA200A">
        <w:rPr>
          <w:rStyle w:val="normaltextrun"/>
          <w:rFonts w:ascii="Calibri" w:hAnsi="Calibri" w:cs="Calibri"/>
          <w:sz w:val="22"/>
          <w:szCs w:val="22"/>
          <w:lang w:val="en-US"/>
        </w:rPr>
        <w:lastRenderedPageBreak/>
        <w:t>Liberal and Nationals Government</w:t>
      </w:r>
      <w:r w:rsidRPr="000D61D6">
        <w:rPr>
          <w:rStyle w:val="normaltextrun"/>
          <w:rFonts w:ascii="Calibri" w:hAnsi="Calibri" w:cs="Calibri"/>
          <w:sz w:val="22"/>
          <w:szCs w:val="22"/>
          <w:lang w:val="en-US"/>
        </w:rPr>
        <w:t xml:space="preserve"> will consider innovative funding models used in other jurisdictions, such as New Zealand, for useful innovations to encourage participation in a neutral host model. The </w:t>
      </w:r>
      <w:r w:rsidR="00502C56">
        <w:rPr>
          <w:rStyle w:val="normaltextrun"/>
          <w:rFonts w:ascii="Calibri" w:hAnsi="Calibri" w:cs="Calibri"/>
          <w:sz w:val="22"/>
          <w:szCs w:val="22"/>
          <w:lang w:val="en-US"/>
        </w:rPr>
        <w:t>CRA</w:t>
      </w:r>
      <w:r w:rsidRPr="000D61D6">
        <w:rPr>
          <w:rStyle w:val="normaltextrun"/>
          <w:rFonts w:ascii="Calibri" w:hAnsi="Calibri" w:cs="Calibri"/>
          <w:sz w:val="22"/>
          <w:szCs w:val="22"/>
          <w:lang w:val="en-US"/>
        </w:rPr>
        <w:t xml:space="preserve"> guidelines will provide for innovative funding models where they will improve outcomes in the Australian context.</w:t>
      </w:r>
    </w:p>
    <w:p w14:paraId="0C7F1E12" w14:textId="0E15CC40" w:rsidR="003B12F9" w:rsidRPr="000D61D6" w:rsidRDefault="003B12F9" w:rsidP="003B12F9">
      <w:r w:rsidRPr="000D61D6">
        <w:rPr>
          <w:rStyle w:val="eop"/>
          <w:rFonts w:ascii="Calibri" w:hAnsi="Calibri" w:cs="Calibri"/>
          <w:lang w:val="en-US"/>
        </w:rPr>
        <w:t xml:space="preserve">The </w:t>
      </w:r>
      <w:r w:rsidR="00FA200A">
        <w:rPr>
          <w:rStyle w:val="eop"/>
          <w:rFonts w:ascii="Calibri" w:hAnsi="Calibri" w:cs="Calibri"/>
          <w:lang w:val="en-US"/>
        </w:rPr>
        <w:t>Liberal and Nationals Government</w:t>
      </w:r>
      <w:r w:rsidRPr="000D61D6">
        <w:rPr>
          <w:rStyle w:val="eop"/>
          <w:rFonts w:ascii="Calibri" w:hAnsi="Calibri" w:cs="Calibri"/>
          <w:lang w:val="en-US"/>
        </w:rPr>
        <w:t xml:space="preserve"> will also ask the ACCC to </w:t>
      </w:r>
      <w:r>
        <w:rPr>
          <w:rStyle w:val="eop"/>
          <w:rFonts w:ascii="Calibri" w:hAnsi="Calibri" w:cs="Calibri"/>
          <w:lang w:val="en-US"/>
        </w:rPr>
        <w:t>examine mobile tower access fees, with a view to understanding how these may impact on expanding mobile coverage</w:t>
      </w:r>
      <w:r w:rsidRPr="000D61D6">
        <w:rPr>
          <w:rStyle w:val="eop"/>
          <w:rFonts w:ascii="Calibri" w:hAnsi="Calibri" w:cs="Calibri"/>
          <w:lang w:val="en-US"/>
        </w:rPr>
        <w:t>.</w:t>
      </w:r>
    </w:p>
    <w:p w14:paraId="4436C1B1" w14:textId="11EADD5E" w:rsidR="00EA01C3" w:rsidRPr="000D61D6" w:rsidRDefault="00183465" w:rsidP="5D7F67FF">
      <w:pPr>
        <w:pBdr>
          <w:top w:val="single" w:sz="4" w:space="1" w:color="auto"/>
          <w:left w:val="single" w:sz="4" w:space="4" w:color="auto"/>
          <w:bottom w:val="single" w:sz="4" w:space="1" w:color="auto"/>
          <w:right w:val="single" w:sz="4" w:space="4" w:color="auto"/>
        </w:pBdr>
        <w:shd w:val="clear" w:color="auto" w:fill="DEEAF6" w:themeFill="accent1" w:themeFillTint="33"/>
        <w:rPr>
          <w:rStyle w:val="eop"/>
          <w:b/>
          <w:bCs/>
        </w:rPr>
      </w:pPr>
      <w:bookmarkStart w:id="84" w:name="_Toc98519200"/>
      <w:bookmarkStart w:id="85" w:name="_Toc89339098"/>
      <w:bookmarkStart w:id="86" w:name="_Toc89345024"/>
      <w:bookmarkStart w:id="87" w:name="_Toc89346177"/>
      <w:bookmarkStart w:id="88" w:name="_Toc89352843"/>
      <w:bookmarkStart w:id="89" w:name="_Toc89355919"/>
      <w:bookmarkStart w:id="90" w:name="_Toc89355982"/>
      <w:bookmarkStart w:id="91" w:name="_Toc89356907"/>
      <w:bookmarkStart w:id="92" w:name="_Toc89786618"/>
      <w:r w:rsidRPr="000D61D6">
        <w:rPr>
          <w:rStyle w:val="Heading3Char"/>
        </w:rPr>
        <w:t>Recommendation 11 - Indigenous communities:</w:t>
      </w:r>
      <w:bookmarkEnd w:id="84"/>
      <w:r w:rsidRPr="000D61D6">
        <w:rPr>
          <w:b/>
          <w:bCs/>
        </w:rPr>
        <w:t xml:space="preserve"> </w:t>
      </w:r>
      <w:r w:rsidRPr="000D61D6">
        <w:rPr>
          <w:rStyle w:val="eop"/>
          <w:rFonts w:ascii="Calibri" w:eastAsiaTheme="majorEastAsia" w:hAnsi="Calibri"/>
          <w:lang w:val="en-US"/>
        </w:rPr>
        <w:t>The Committee recommends, that in consultation with Indigenous</w:t>
      </w:r>
      <w:r w:rsidRPr="000D61D6">
        <w:rPr>
          <w:rStyle w:val="eop"/>
          <w:rFonts w:ascii="Calibri" w:eastAsiaTheme="majorEastAsia" w:hAnsi="Calibri"/>
        </w:rPr>
        <w:t xml:space="preserve"> organisations</w:t>
      </w:r>
      <w:r w:rsidRPr="000D61D6">
        <w:rPr>
          <w:rStyle w:val="eop"/>
          <w:rFonts w:ascii="Calibri" w:eastAsiaTheme="majorEastAsia" w:hAnsi="Calibri"/>
          <w:lang w:val="en-US"/>
        </w:rPr>
        <w:t xml:space="preserve"> and communities, the Government continues to focus on needs of Indigenous Australians living in regional, rural and remote areas surrounding access, affordability and digital ability. This includes:</w:t>
      </w:r>
      <w:bookmarkEnd w:id="85"/>
      <w:bookmarkEnd w:id="86"/>
      <w:bookmarkEnd w:id="87"/>
      <w:bookmarkEnd w:id="88"/>
      <w:bookmarkEnd w:id="89"/>
      <w:bookmarkEnd w:id="90"/>
      <w:bookmarkEnd w:id="91"/>
      <w:bookmarkEnd w:id="92"/>
    </w:p>
    <w:p w14:paraId="03B18F6D" w14:textId="22F7AD92" w:rsidR="00EA01C3" w:rsidRPr="000D61D6" w:rsidRDefault="00183465" w:rsidP="000D61D6">
      <w:pPr>
        <w:pStyle w:val="paragraph"/>
        <w:numPr>
          <w:ilvl w:val="0"/>
          <w:numId w:val="5"/>
        </w:numPr>
        <w:pBdr>
          <w:top w:val="single" w:sz="4" w:space="1" w:color="auto"/>
          <w:left w:val="single" w:sz="4" w:space="4" w:color="auto"/>
          <w:bottom w:val="single" w:sz="4" w:space="1" w:color="auto"/>
          <w:right w:val="single" w:sz="4" w:space="4" w:color="auto"/>
        </w:pBdr>
        <w:shd w:val="clear" w:color="auto" w:fill="DEEAF6" w:themeFill="accent1" w:themeFillTint="33"/>
        <w:spacing w:before="0" w:beforeAutospacing="0" w:after="0" w:afterAutospacing="0"/>
        <w:ind w:left="426" w:hanging="426"/>
        <w:textAlignment w:val="baseline"/>
        <w:rPr>
          <w:rStyle w:val="normaltextrun"/>
          <w:rFonts w:ascii="Calibri" w:eastAsiaTheme="majorEastAsia" w:hAnsi="Calibri"/>
          <w:sz w:val="22"/>
          <w:szCs w:val="22"/>
          <w:lang w:val="en-US"/>
        </w:rPr>
      </w:pPr>
      <w:r w:rsidRPr="000D61D6">
        <w:rPr>
          <w:rStyle w:val="normaltextrun"/>
          <w:rFonts w:ascii="Calibri" w:eastAsiaTheme="majorEastAsia" w:hAnsi="Calibri"/>
          <w:sz w:val="22"/>
          <w:szCs w:val="22"/>
          <w:lang w:val="en-US"/>
        </w:rPr>
        <w:t>applying the National Indigenous Inclusion Plan</w:t>
      </w:r>
    </w:p>
    <w:p w14:paraId="4DD80032" w14:textId="77777777" w:rsidR="00EA01C3" w:rsidRPr="000D61D6" w:rsidRDefault="00183465" w:rsidP="000D61D6">
      <w:pPr>
        <w:pStyle w:val="paragraph"/>
        <w:numPr>
          <w:ilvl w:val="0"/>
          <w:numId w:val="5"/>
        </w:numPr>
        <w:pBdr>
          <w:top w:val="single" w:sz="4" w:space="1" w:color="auto"/>
          <w:left w:val="single" w:sz="4" w:space="4" w:color="auto"/>
          <w:bottom w:val="single" w:sz="4" w:space="1" w:color="auto"/>
          <w:right w:val="single" w:sz="4" w:space="4" w:color="auto"/>
        </w:pBdr>
        <w:shd w:val="clear" w:color="auto" w:fill="DEEAF6" w:themeFill="accent1" w:themeFillTint="33"/>
        <w:spacing w:before="0" w:beforeAutospacing="0" w:after="0" w:afterAutospacing="0"/>
        <w:ind w:left="426" w:hanging="426"/>
        <w:textAlignment w:val="baseline"/>
        <w:rPr>
          <w:rStyle w:val="normaltextrun"/>
          <w:rFonts w:ascii="Calibri" w:eastAsiaTheme="majorEastAsia" w:hAnsi="Calibri"/>
          <w:sz w:val="22"/>
          <w:szCs w:val="22"/>
          <w:lang w:val="en-US"/>
        </w:rPr>
      </w:pPr>
      <w:r w:rsidRPr="000D61D6">
        <w:rPr>
          <w:rStyle w:val="normaltextrun"/>
          <w:rFonts w:ascii="Calibri" w:eastAsiaTheme="majorEastAsia" w:hAnsi="Calibri"/>
          <w:sz w:val="22"/>
          <w:szCs w:val="22"/>
          <w:lang w:val="en-US"/>
        </w:rPr>
        <w:t>addressing targets within the National Agreement on Closing the Gap</w:t>
      </w:r>
    </w:p>
    <w:p w14:paraId="728C4F75" w14:textId="77777777" w:rsidR="00EA01C3" w:rsidRPr="000D61D6" w:rsidRDefault="00183465" w:rsidP="000D61D6">
      <w:pPr>
        <w:pStyle w:val="paragraph"/>
        <w:numPr>
          <w:ilvl w:val="0"/>
          <w:numId w:val="5"/>
        </w:numPr>
        <w:pBdr>
          <w:top w:val="single" w:sz="4" w:space="1" w:color="auto"/>
          <w:left w:val="single" w:sz="4" w:space="4" w:color="auto"/>
          <w:bottom w:val="single" w:sz="4" w:space="1" w:color="auto"/>
          <w:right w:val="single" w:sz="4" w:space="4" w:color="auto"/>
        </w:pBdr>
        <w:shd w:val="clear" w:color="auto" w:fill="DEEAF6" w:themeFill="accent1" w:themeFillTint="33"/>
        <w:spacing w:before="0" w:beforeAutospacing="0" w:after="240" w:afterAutospacing="0"/>
        <w:ind w:left="426" w:hanging="426"/>
        <w:textAlignment w:val="baseline"/>
        <w:rPr>
          <w:rStyle w:val="normaltextrun"/>
          <w:rFonts w:ascii="Calibri" w:eastAsiaTheme="majorEastAsia" w:hAnsi="Calibri"/>
          <w:sz w:val="22"/>
          <w:szCs w:val="22"/>
          <w:lang w:val="en-US"/>
        </w:rPr>
      </w:pPr>
      <w:r w:rsidRPr="000D61D6">
        <w:rPr>
          <w:rStyle w:val="normaltextrun"/>
          <w:rFonts w:ascii="Calibri" w:eastAsiaTheme="majorEastAsia" w:hAnsi="Calibri"/>
          <w:sz w:val="22"/>
          <w:szCs w:val="22"/>
          <w:lang w:val="en-US"/>
        </w:rPr>
        <w:t xml:space="preserve">supporting existing community digital inclusion programs, such as InDigiMOB. </w:t>
      </w:r>
    </w:p>
    <w:p w14:paraId="0BD13EC8" w14:textId="75497E40" w:rsidR="00EA01C3" w:rsidRPr="00DB10CE" w:rsidRDefault="00183465" w:rsidP="00DB10CE">
      <w:pPr>
        <w:pStyle w:val="paragraph"/>
        <w:spacing w:before="0" w:beforeAutospacing="0" w:after="240" w:afterAutospacing="0"/>
        <w:textAlignment w:val="baseline"/>
        <w:rPr>
          <w:rStyle w:val="eop"/>
          <w:rFonts w:ascii="Calibri" w:eastAsiaTheme="minorEastAsia" w:hAnsi="Calibri" w:cs="Calibri"/>
          <w:sz w:val="22"/>
          <w:szCs w:val="22"/>
          <w:lang w:val="en-US"/>
        </w:rPr>
      </w:pPr>
      <w:r w:rsidRPr="00DB10CE">
        <w:rPr>
          <w:rStyle w:val="eop"/>
          <w:rFonts w:ascii="Calibri" w:eastAsiaTheme="minorEastAsia" w:hAnsi="Calibri" w:cs="Calibri"/>
          <w:sz w:val="22"/>
          <w:szCs w:val="22"/>
          <w:lang w:val="en-US"/>
        </w:rPr>
        <w:t xml:space="preserve">The </w:t>
      </w:r>
      <w:r w:rsidR="00FA200A">
        <w:rPr>
          <w:rStyle w:val="eop"/>
          <w:rFonts w:ascii="Calibri" w:eastAsiaTheme="minorEastAsia" w:hAnsi="Calibri" w:cs="Calibri"/>
          <w:sz w:val="22"/>
          <w:szCs w:val="22"/>
          <w:lang w:val="en-US"/>
        </w:rPr>
        <w:t>Liberal and Nationals Government</w:t>
      </w:r>
      <w:r w:rsidRPr="00DB10CE">
        <w:rPr>
          <w:rStyle w:val="eop"/>
          <w:rFonts w:ascii="Calibri" w:eastAsiaTheme="minorEastAsia" w:hAnsi="Calibri" w:cs="Calibri"/>
          <w:sz w:val="22"/>
          <w:szCs w:val="22"/>
          <w:lang w:val="en-US"/>
        </w:rPr>
        <w:t xml:space="preserve"> agrees to continue its focus on the needs of Indigenous Australians in regional, rural and remote areas in consultation with Indigenous organisations and communities. The needs of Indigenous Australians will be considered as part of all regional telecommunications policy development and program delivery processes.</w:t>
      </w:r>
    </w:p>
    <w:p w14:paraId="54830481" w14:textId="1F7D56A3" w:rsidR="001804E8" w:rsidRPr="000D61D6" w:rsidRDefault="00183465" w:rsidP="000D61D6">
      <w:pPr>
        <w:pStyle w:val="paragraph"/>
        <w:spacing w:before="0" w:beforeAutospacing="0" w:after="240" w:afterAutospacing="0"/>
        <w:textAlignment w:val="baseline"/>
        <w:rPr>
          <w:rStyle w:val="eop"/>
          <w:rFonts w:ascii="Calibri" w:eastAsiaTheme="minorEastAsia" w:hAnsi="Calibri" w:cs="Calibri"/>
          <w:sz w:val="22"/>
          <w:szCs w:val="22"/>
          <w:lang w:val="en-US"/>
        </w:rPr>
      </w:pPr>
      <w:r w:rsidRPr="000D61D6">
        <w:rPr>
          <w:rStyle w:val="eop"/>
          <w:rFonts w:ascii="Calibri" w:eastAsiaTheme="minorEastAsia" w:hAnsi="Calibri" w:cs="Calibri"/>
          <w:sz w:val="22"/>
          <w:szCs w:val="22"/>
          <w:lang w:val="en-US"/>
        </w:rPr>
        <w:t xml:space="preserve">The </w:t>
      </w:r>
      <w:r w:rsidR="00FA200A">
        <w:rPr>
          <w:rStyle w:val="eop"/>
          <w:rFonts w:ascii="Calibri" w:eastAsiaTheme="minorEastAsia" w:hAnsi="Calibri" w:cs="Calibri"/>
          <w:sz w:val="22"/>
          <w:szCs w:val="22"/>
          <w:lang w:val="en-US"/>
        </w:rPr>
        <w:t>Liberal and Nationals Government</w:t>
      </w:r>
      <w:r w:rsidRPr="000D61D6">
        <w:rPr>
          <w:rStyle w:val="eop"/>
          <w:rFonts w:ascii="Calibri" w:eastAsiaTheme="minorEastAsia" w:hAnsi="Calibri" w:cs="Calibri"/>
          <w:sz w:val="22"/>
          <w:szCs w:val="22"/>
          <w:lang w:val="en-US"/>
        </w:rPr>
        <w:t xml:space="preserve">’s commitment to improving Indigenous connectivity is demonstrated through Target 17 of Closing the Gap, as well as the </w:t>
      </w:r>
      <w:r w:rsidR="00BB45D2">
        <w:rPr>
          <w:rStyle w:val="eop"/>
          <w:rFonts w:ascii="Calibri" w:eastAsiaTheme="minorEastAsia" w:hAnsi="Calibri" w:cs="Calibri"/>
          <w:sz w:val="22"/>
          <w:szCs w:val="22"/>
          <w:lang w:val="en-US"/>
        </w:rPr>
        <w:t>new</w:t>
      </w:r>
      <w:r w:rsidR="00BB45D2" w:rsidRPr="000D61D6">
        <w:rPr>
          <w:rStyle w:val="eop"/>
          <w:rFonts w:ascii="Calibri" w:eastAsiaTheme="minorEastAsia" w:hAnsi="Calibri" w:cs="Calibri"/>
          <w:sz w:val="22"/>
          <w:szCs w:val="22"/>
          <w:lang w:val="en-US"/>
        </w:rPr>
        <w:t xml:space="preserve"> </w:t>
      </w:r>
      <w:r w:rsidRPr="00DB10CE">
        <w:rPr>
          <w:rStyle w:val="eop"/>
          <w:rFonts w:ascii="Calibri" w:eastAsiaTheme="minorEastAsia" w:hAnsi="Calibri" w:cs="Calibri"/>
          <w:sz w:val="22"/>
          <w:szCs w:val="22"/>
          <w:lang w:val="en-US"/>
        </w:rPr>
        <w:t>Indigenous Digital Inclusion Plan (IDIP)</w:t>
      </w:r>
      <w:r w:rsidRPr="000D61D6">
        <w:rPr>
          <w:rStyle w:val="eop"/>
          <w:rFonts w:ascii="Calibri" w:eastAsiaTheme="minorEastAsia" w:hAnsi="Calibri" w:cs="Calibri"/>
          <w:sz w:val="22"/>
          <w:szCs w:val="22"/>
          <w:lang w:val="en-US"/>
        </w:rPr>
        <w:t xml:space="preserve">. </w:t>
      </w:r>
      <w:r w:rsidRPr="00DB10CE">
        <w:rPr>
          <w:rStyle w:val="eop"/>
          <w:rFonts w:ascii="Calibri" w:eastAsiaTheme="minorEastAsia" w:hAnsi="Calibri" w:cs="Calibri"/>
          <w:sz w:val="22"/>
          <w:szCs w:val="22"/>
          <w:lang w:val="en-US"/>
        </w:rPr>
        <w:t xml:space="preserve">The </w:t>
      </w:r>
      <w:r w:rsidR="00BD2A51" w:rsidRPr="00DB10CE">
        <w:rPr>
          <w:rStyle w:val="eop"/>
          <w:rFonts w:ascii="Calibri" w:eastAsiaTheme="minorEastAsia" w:hAnsi="Calibri" w:cs="Calibri"/>
          <w:sz w:val="22"/>
          <w:szCs w:val="22"/>
          <w:lang w:val="en-US"/>
        </w:rPr>
        <w:t xml:space="preserve">development of the </w:t>
      </w:r>
      <w:r w:rsidRPr="00DB10CE">
        <w:rPr>
          <w:rStyle w:val="eop"/>
          <w:rFonts w:ascii="Calibri" w:eastAsiaTheme="minorEastAsia" w:hAnsi="Calibri" w:cs="Calibri"/>
          <w:sz w:val="22"/>
          <w:szCs w:val="22"/>
          <w:lang w:val="en-US"/>
        </w:rPr>
        <w:t xml:space="preserve">IDIP is </w:t>
      </w:r>
      <w:r w:rsidR="0094623D" w:rsidRPr="00DB10CE">
        <w:rPr>
          <w:rStyle w:val="eop"/>
          <w:rFonts w:ascii="Calibri" w:eastAsiaTheme="minorEastAsia" w:hAnsi="Calibri" w:cs="Calibri"/>
          <w:sz w:val="22"/>
          <w:szCs w:val="22"/>
          <w:lang w:val="en-US"/>
        </w:rPr>
        <w:t>being led by the</w:t>
      </w:r>
      <w:r w:rsidRPr="00DB10CE">
        <w:rPr>
          <w:rStyle w:val="eop"/>
          <w:rFonts w:ascii="Calibri" w:eastAsiaTheme="minorEastAsia" w:hAnsi="Calibri" w:cs="Calibri"/>
          <w:sz w:val="22"/>
          <w:szCs w:val="22"/>
          <w:lang w:val="en-US"/>
        </w:rPr>
        <w:t xml:space="preserve"> Minister for Indigenous Australians. The Government will support the IDIP and address relevant targets within the National Agreement on Closing the Gap, to the extent they apply to telecommunications issues. </w:t>
      </w:r>
    </w:p>
    <w:p w14:paraId="4150A699" w14:textId="2DAC270E" w:rsidR="00EA01C3" w:rsidRPr="000D61D6" w:rsidRDefault="00183465" w:rsidP="000D61D6">
      <w:pPr>
        <w:pStyle w:val="paragraph"/>
        <w:spacing w:before="0" w:beforeAutospacing="0" w:after="240" w:afterAutospacing="0"/>
        <w:textAlignment w:val="baseline"/>
        <w:rPr>
          <w:rStyle w:val="eop"/>
          <w:rFonts w:ascii="Calibri" w:eastAsiaTheme="minorEastAsia" w:hAnsi="Calibri" w:cs="Calibri"/>
          <w:sz w:val="22"/>
          <w:szCs w:val="22"/>
          <w:lang w:val="en-US"/>
        </w:rPr>
      </w:pPr>
      <w:r w:rsidRPr="000D61D6">
        <w:rPr>
          <w:rStyle w:val="eop"/>
          <w:rFonts w:ascii="Calibri" w:eastAsiaTheme="minorEastAsia" w:hAnsi="Calibri" w:cs="Calibri"/>
          <w:sz w:val="22"/>
          <w:szCs w:val="22"/>
          <w:lang w:val="en-US"/>
        </w:rPr>
        <w:t xml:space="preserve">The </w:t>
      </w:r>
      <w:r w:rsidR="00502C56">
        <w:rPr>
          <w:rStyle w:val="normaltextrun"/>
          <w:rFonts w:ascii="Calibri" w:hAnsi="Calibri" w:cs="Calibri"/>
          <w:sz w:val="22"/>
          <w:szCs w:val="22"/>
          <w:lang w:val="en-US"/>
        </w:rPr>
        <w:t>CRA</w:t>
      </w:r>
      <w:r w:rsidR="00502C56" w:rsidRPr="000D61D6">
        <w:rPr>
          <w:rStyle w:val="eop"/>
          <w:rFonts w:ascii="Calibri" w:eastAsiaTheme="minorEastAsia" w:hAnsi="Calibri" w:cs="Calibri"/>
          <w:sz w:val="22"/>
          <w:szCs w:val="22"/>
          <w:lang w:val="en-US"/>
        </w:rPr>
        <w:t xml:space="preserve"> </w:t>
      </w:r>
      <w:r w:rsidRPr="000D61D6">
        <w:rPr>
          <w:rStyle w:val="eop"/>
          <w:rFonts w:ascii="Calibri" w:eastAsiaTheme="minorEastAsia" w:hAnsi="Calibri" w:cs="Calibri"/>
          <w:sz w:val="22"/>
          <w:szCs w:val="22"/>
          <w:lang w:val="en-US"/>
        </w:rPr>
        <w:t>will provide for funding of specific projects that improve connectivity in Indigenous communities in line with these measures</w:t>
      </w:r>
      <w:r w:rsidRPr="000D61D6">
        <w:t xml:space="preserve"> </w:t>
      </w:r>
      <w:r w:rsidRPr="000D61D6">
        <w:rPr>
          <w:rStyle w:val="eop"/>
          <w:rFonts w:ascii="Calibri" w:eastAsiaTheme="minorEastAsia" w:hAnsi="Calibri" w:cs="Calibri"/>
          <w:sz w:val="22"/>
          <w:szCs w:val="22"/>
          <w:lang w:val="en-US"/>
        </w:rPr>
        <w:t xml:space="preserve">in the absence of their own funding sources. </w:t>
      </w:r>
    </w:p>
    <w:p w14:paraId="4E141E56" w14:textId="406317DB" w:rsidR="00EA01C3" w:rsidRPr="000D61D6" w:rsidRDefault="00183465" w:rsidP="00FA200A">
      <w:pPr>
        <w:pStyle w:val="paragraph"/>
        <w:spacing w:before="0" w:beforeAutospacing="0" w:after="240" w:afterAutospacing="0"/>
        <w:ind w:right="-330"/>
        <w:textAlignment w:val="baseline"/>
        <w:rPr>
          <w:rFonts w:ascii="Calibri" w:hAnsi="Calibri" w:cs="Calibri"/>
          <w:sz w:val="22"/>
          <w:szCs w:val="22"/>
          <w:lang w:val="en-US"/>
        </w:rPr>
      </w:pPr>
      <w:r w:rsidRPr="000D61D6">
        <w:rPr>
          <w:rStyle w:val="normaltextrun"/>
          <w:rFonts w:ascii="Calibri" w:hAnsi="Calibri" w:cs="Calibri"/>
          <w:sz w:val="22"/>
          <w:szCs w:val="22"/>
          <w:lang w:val="en-US"/>
        </w:rPr>
        <w:t xml:space="preserve">The </w:t>
      </w:r>
      <w:r w:rsidR="00FA200A">
        <w:rPr>
          <w:rStyle w:val="normaltextrun"/>
          <w:rFonts w:ascii="Calibri" w:hAnsi="Calibri" w:cs="Calibri"/>
          <w:sz w:val="22"/>
          <w:szCs w:val="22"/>
          <w:lang w:val="en-US"/>
        </w:rPr>
        <w:t>Liberal and Nationals Government</w:t>
      </w:r>
      <w:r w:rsidRPr="000D61D6">
        <w:rPr>
          <w:rStyle w:val="normaltextrun"/>
          <w:rFonts w:ascii="Calibri" w:hAnsi="Calibri" w:cs="Calibri"/>
          <w:sz w:val="22"/>
          <w:szCs w:val="22"/>
          <w:lang w:val="en-US"/>
        </w:rPr>
        <w:t xml:space="preserve"> supports community Indigenous digital inclusion programs. The </w:t>
      </w:r>
      <w:r w:rsidR="00502C56">
        <w:rPr>
          <w:rStyle w:val="normaltextrun"/>
          <w:rFonts w:ascii="Calibri" w:hAnsi="Calibri" w:cs="Calibri"/>
          <w:sz w:val="22"/>
          <w:szCs w:val="22"/>
          <w:lang w:val="en-US"/>
        </w:rPr>
        <w:t>CRA</w:t>
      </w:r>
      <w:r w:rsidR="00502C56" w:rsidRPr="000D61D6">
        <w:rPr>
          <w:rStyle w:val="normaltextrun"/>
          <w:rFonts w:ascii="Calibri" w:hAnsi="Calibri" w:cs="Calibri"/>
          <w:sz w:val="22"/>
          <w:szCs w:val="22"/>
          <w:lang w:val="en-US"/>
        </w:rPr>
        <w:t xml:space="preserve"> </w:t>
      </w:r>
      <w:r w:rsidRPr="000D61D6">
        <w:rPr>
          <w:rStyle w:val="normaltextrun"/>
          <w:rFonts w:ascii="Calibri" w:hAnsi="Calibri" w:cs="Calibri"/>
          <w:sz w:val="22"/>
          <w:szCs w:val="22"/>
          <w:lang w:val="en-US"/>
        </w:rPr>
        <w:t>could potentially provide funding for these initiatives, where funding is not otherwise available.</w:t>
      </w:r>
    </w:p>
    <w:p w14:paraId="74DCB283" w14:textId="77777777" w:rsidR="00EA01C3" w:rsidRPr="000D61D6" w:rsidRDefault="00183465" w:rsidP="5D7F67FF">
      <w:pPr>
        <w:pBdr>
          <w:top w:val="single" w:sz="4" w:space="1" w:color="auto"/>
          <w:left w:val="single" w:sz="4" w:space="4" w:color="auto"/>
          <w:bottom w:val="single" w:sz="4" w:space="1" w:color="auto"/>
          <w:right w:val="single" w:sz="4" w:space="4" w:color="auto"/>
        </w:pBdr>
        <w:shd w:val="clear" w:color="auto" w:fill="DEEAF6" w:themeFill="accent1" w:themeFillTint="33"/>
        <w:rPr>
          <w:rStyle w:val="normaltextrun"/>
          <w:rFonts w:ascii="Calibri" w:hAnsi="Calibri"/>
          <w:b/>
          <w:bCs/>
        </w:rPr>
      </w:pPr>
      <w:bookmarkStart w:id="93" w:name="_Toc98519201"/>
      <w:bookmarkStart w:id="94" w:name="_Toc89339099"/>
      <w:bookmarkStart w:id="95" w:name="_Toc89345025"/>
      <w:bookmarkStart w:id="96" w:name="_Toc89346178"/>
      <w:bookmarkStart w:id="97" w:name="_Toc89352844"/>
      <w:bookmarkStart w:id="98" w:name="_Toc89355920"/>
      <w:bookmarkStart w:id="99" w:name="_Toc89355983"/>
      <w:bookmarkStart w:id="100" w:name="_Toc89356908"/>
      <w:bookmarkStart w:id="101" w:name="_Toc89786619"/>
      <w:r w:rsidRPr="000D61D6">
        <w:rPr>
          <w:rStyle w:val="Heading3Char"/>
        </w:rPr>
        <w:t>Recommendation 12 – Affordability:</w:t>
      </w:r>
      <w:bookmarkEnd w:id="93"/>
      <w:r w:rsidRPr="000D61D6">
        <w:rPr>
          <w:b/>
          <w:bCs/>
        </w:rPr>
        <w:t xml:space="preserve"> </w:t>
      </w:r>
      <w:r w:rsidRPr="000D61D6">
        <w:rPr>
          <w:rStyle w:val="normaltextrun"/>
          <w:rFonts w:ascii="Calibri" w:eastAsiaTheme="majorEastAsia" w:hAnsi="Calibri"/>
          <w:lang w:val="en-US"/>
        </w:rPr>
        <w:t>The Committee recommends the removal of data charges for low-income and income support recipient consumers in regional, rural and remote Australia accessing all Australian, state and territory government services, to improve the affordability of telecommunications for these users.</w:t>
      </w:r>
      <w:bookmarkEnd w:id="94"/>
      <w:bookmarkEnd w:id="95"/>
      <w:bookmarkEnd w:id="96"/>
      <w:bookmarkEnd w:id="97"/>
      <w:bookmarkEnd w:id="98"/>
      <w:bookmarkEnd w:id="99"/>
      <w:bookmarkEnd w:id="100"/>
      <w:bookmarkEnd w:id="101"/>
    </w:p>
    <w:p w14:paraId="51B953A9" w14:textId="77777777" w:rsidR="00EA01C3" w:rsidRPr="000D61D6" w:rsidRDefault="00183465" w:rsidP="000D61D6">
      <w:pPr>
        <w:pStyle w:val="paragraph"/>
        <w:pBdr>
          <w:top w:val="single" w:sz="4" w:space="1" w:color="auto"/>
          <w:left w:val="single" w:sz="4" w:space="4" w:color="auto"/>
          <w:bottom w:val="single" w:sz="4" w:space="1" w:color="auto"/>
          <w:right w:val="single" w:sz="4" w:space="4" w:color="auto"/>
        </w:pBdr>
        <w:shd w:val="clear" w:color="auto" w:fill="DEEAF6" w:themeFill="accent1" w:themeFillTint="33"/>
        <w:spacing w:before="0" w:beforeAutospacing="0" w:after="0" w:afterAutospacing="0"/>
        <w:textAlignment w:val="baseline"/>
        <w:rPr>
          <w:rStyle w:val="eop"/>
          <w:rFonts w:eastAsiaTheme="majorEastAsia"/>
          <w:sz w:val="22"/>
          <w:szCs w:val="22"/>
        </w:rPr>
      </w:pPr>
      <w:r w:rsidRPr="000D61D6">
        <w:rPr>
          <w:rStyle w:val="normaltextrun"/>
          <w:rFonts w:ascii="Calibri" w:eastAsiaTheme="majorEastAsia" w:hAnsi="Calibri"/>
          <w:sz w:val="22"/>
          <w:szCs w:val="22"/>
          <w:lang w:val="en-US"/>
        </w:rPr>
        <w:t>The Committee further recommends that:</w:t>
      </w:r>
    </w:p>
    <w:p w14:paraId="4DCB4ED7" w14:textId="77777777" w:rsidR="00EA01C3" w:rsidRPr="000D61D6" w:rsidRDefault="00183465" w:rsidP="000D61D6">
      <w:pPr>
        <w:pStyle w:val="paragraph"/>
        <w:numPr>
          <w:ilvl w:val="0"/>
          <w:numId w:val="7"/>
        </w:numPr>
        <w:pBdr>
          <w:top w:val="single" w:sz="4" w:space="1" w:color="auto"/>
          <w:left w:val="single" w:sz="4" w:space="4" w:color="auto"/>
          <w:bottom w:val="single" w:sz="4" w:space="1" w:color="auto"/>
          <w:right w:val="single" w:sz="4" w:space="4" w:color="auto"/>
        </w:pBdr>
        <w:shd w:val="clear" w:color="auto" w:fill="DEEAF6" w:themeFill="accent1" w:themeFillTint="33"/>
        <w:spacing w:before="0" w:beforeAutospacing="0" w:after="0" w:afterAutospacing="0"/>
        <w:ind w:left="426" w:hanging="426"/>
        <w:textAlignment w:val="baseline"/>
        <w:rPr>
          <w:rStyle w:val="normaltextrun"/>
          <w:rFonts w:ascii="Calibri" w:eastAsiaTheme="majorEastAsia" w:hAnsi="Calibri"/>
          <w:sz w:val="22"/>
          <w:szCs w:val="22"/>
          <w:lang w:val="en-US"/>
        </w:rPr>
      </w:pPr>
      <w:r w:rsidRPr="000D61D6">
        <w:rPr>
          <w:rStyle w:val="normaltextrun"/>
          <w:rFonts w:ascii="Calibri" w:eastAsiaTheme="majorEastAsia" w:hAnsi="Calibri"/>
          <w:sz w:val="22"/>
          <w:szCs w:val="22"/>
          <w:lang w:val="en-US"/>
        </w:rPr>
        <w:t>the Government introduces this measure initially during the current upgrade of myGov and introduction of Online Employment Services</w:t>
      </w:r>
    </w:p>
    <w:p w14:paraId="0B9C5CC9" w14:textId="77777777" w:rsidR="00EA01C3" w:rsidRPr="000D61D6" w:rsidRDefault="00183465" w:rsidP="000D61D6">
      <w:pPr>
        <w:pStyle w:val="paragraph"/>
        <w:numPr>
          <w:ilvl w:val="0"/>
          <w:numId w:val="7"/>
        </w:numPr>
        <w:pBdr>
          <w:top w:val="single" w:sz="4" w:space="1" w:color="auto"/>
          <w:left w:val="single" w:sz="4" w:space="4" w:color="auto"/>
          <w:bottom w:val="single" w:sz="4" w:space="1" w:color="auto"/>
          <w:right w:val="single" w:sz="4" w:space="4" w:color="auto"/>
        </w:pBdr>
        <w:shd w:val="clear" w:color="auto" w:fill="DEEAF6" w:themeFill="accent1" w:themeFillTint="33"/>
        <w:spacing w:before="0" w:beforeAutospacing="0" w:after="160" w:afterAutospacing="0"/>
        <w:ind w:left="425" w:hanging="425"/>
        <w:textAlignment w:val="baseline"/>
        <w:rPr>
          <w:rFonts w:ascii="Calibri" w:eastAsiaTheme="majorEastAsia" w:hAnsi="Calibri"/>
          <w:sz w:val="22"/>
          <w:szCs w:val="22"/>
          <w:lang w:val="en-US"/>
        </w:rPr>
      </w:pPr>
      <w:r w:rsidRPr="000D61D6">
        <w:rPr>
          <w:rStyle w:val="normaltextrun"/>
          <w:rFonts w:ascii="Calibri" w:eastAsiaTheme="majorEastAsia" w:hAnsi="Calibri"/>
          <w:sz w:val="22"/>
          <w:szCs w:val="22"/>
          <w:lang w:val="en-US"/>
        </w:rPr>
        <w:t>NBN Co implement a product for low-income and income support recipient consumers across all technologies in regional, rural and remote areas.</w:t>
      </w:r>
    </w:p>
    <w:p w14:paraId="08A033DC" w14:textId="3497093F" w:rsidR="00BB7C27" w:rsidRPr="000D61D6" w:rsidRDefault="00183465" w:rsidP="000D61D6">
      <w:pPr>
        <w:pStyle w:val="paragraph"/>
        <w:spacing w:before="0" w:beforeAutospacing="0" w:after="240" w:afterAutospacing="0"/>
        <w:textAlignment w:val="baseline"/>
        <w:rPr>
          <w:rStyle w:val="normaltextrun"/>
          <w:rFonts w:ascii="Calibri" w:hAnsi="Calibri" w:cs="Calibri"/>
          <w:sz w:val="22"/>
          <w:szCs w:val="22"/>
          <w:lang w:val="en-US"/>
        </w:rPr>
      </w:pPr>
      <w:r w:rsidRPr="000D61D6">
        <w:rPr>
          <w:rStyle w:val="normaltextrun"/>
          <w:rFonts w:ascii="Calibri" w:hAnsi="Calibri" w:cs="Calibri"/>
          <w:sz w:val="22"/>
          <w:szCs w:val="22"/>
          <w:lang w:val="en-US"/>
        </w:rPr>
        <w:t xml:space="preserve">The affordability issues identified by the Committee are potentially significant and costly to address. The </w:t>
      </w:r>
      <w:r w:rsidR="00FA200A">
        <w:rPr>
          <w:rStyle w:val="normaltextrun"/>
          <w:rFonts w:ascii="Calibri" w:hAnsi="Calibri" w:cs="Calibri"/>
          <w:sz w:val="22"/>
          <w:szCs w:val="22"/>
          <w:lang w:val="en-US"/>
        </w:rPr>
        <w:t>Liberal and Nationals Government</w:t>
      </w:r>
      <w:r w:rsidRPr="000D61D6">
        <w:rPr>
          <w:rStyle w:val="normaltextrun"/>
          <w:rFonts w:ascii="Calibri" w:hAnsi="Calibri" w:cs="Calibri"/>
          <w:sz w:val="22"/>
          <w:szCs w:val="22"/>
          <w:lang w:val="en-US"/>
        </w:rPr>
        <w:t xml:space="preserve"> will </w:t>
      </w:r>
      <w:r w:rsidR="00BB45D2">
        <w:rPr>
          <w:rStyle w:val="normaltextrun"/>
          <w:rFonts w:ascii="Calibri" w:hAnsi="Calibri" w:cs="Calibri"/>
          <w:sz w:val="22"/>
          <w:szCs w:val="22"/>
          <w:lang w:val="en-US"/>
        </w:rPr>
        <w:t xml:space="preserve">continue to </w:t>
      </w:r>
      <w:r w:rsidRPr="000D61D6">
        <w:rPr>
          <w:rStyle w:val="normaltextrun"/>
          <w:rFonts w:ascii="Calibri" w:hAnsi="Calibri" w:cs="Calibri"/>
          <w:sz w:val="22"/>
          <w:szCs w:val="22"/>
          <w:lang w:val="en-US"/>
        </w:rPr>
        <w:t xml:space="preserve">examine measures to improve affordability for low income and income support recipient consumers in regional Australia. </w:t>
      </w:r>
    </w:p>
    <w:p w14:paraId="04F2322D" w14:textId="214A83D0" w:rsidR="00BB7C27" w:rsidRPr="000D61D6" w:rsidRDefault="00183465" w:rsidP="000D61D6">
      <w:pPr>
        <w:pStyle w:val="paragraph"/>
        <w:spacing w:before="0" w:beforeAutospacing="0" w:after="240" w:afterAutospacing="0"/>
        <w:textAlignment w:val="baseline"/>
        <w:rPr>
          <w:rStyle w:val="normaltextrun"/>
          <w:rFonts w:ascii="Calibri" w:hAnsi="Calibri" w:cs="Calibri"/>
          <w:sz w:val="22"/>
          <w:szCs w:val="22"/>
          <w:lang w:val="en-US"/>
        </w:rPr>
      </w:pPr>
      <w:r w:rsidRPr="000D61D6">
        <w:rPr>
          <w:rStyle w:val="normaltextrun"/>
          <w:rFonts w:ascii="Calibri" w:hAnsi="Calibri" w:cs="Calibri"/>
          <w:sz w:val="22"/>
          <w:szCs w:val="22"/>
          <w:lang w:val="en-US"/>
        </w:rPr>
        <w:t xml:space="preserve">The </w:t>
      </w:r>
      <w:r w:rsidR="00FA200A">
        <w:rPr>
          <w:rStyle w:val="normaltextrun"/>
          <w:rFonts w:ascii="Calibri" w:hAnsi="Calibri" w:cs="Calibri"/>
          <w:sz w:val="22"/>
          <w:szCs w:val="22"/>
          <w:lang w:val="en-US"/>
        </w:rPr>
        <w:t>Liberal and Nationals Government</w:t>
      </w:r>
      <w:r w:rsidRPr="000D61D6">
        <w:rPr>
          <w:rStyle w:val="normaltextrun"/>
          <w:rFonts w:ascii="Calibri" w:hAnsi="Calibri" w:cs="Calibri"/>
          <w:sz w:val="22"/>
          <w:szCs w:val="22"/>
          <w:lang w:val="en-US"/>
        </w:rPr>
        <w:t xml:space="preserve"> will explore the practicality and cost of zero-rating data charges for government website</w:t>
      </w:r>
      <w:r w:rsidR="00A965E0">
        <w:rPr>
          <w:rStyle w:val="normaltextrun"/>
          <w:rFonts w:ascii="Calibri" w:hAnsi="Calibri" w:cs="Calibri"/>
          <w:sz w:val="22"/>
          <w:szCs w:val="22"/>
          <w:lang w:val="en-US"/>
        </w:rPr>
        <w:t>s</w:t>
      </w:r>
      <w:r w:rsidRPr="000D61D6">
        <w:rPr>
          <w:rStyle w:val="normaltextrun"/>
          <w:rFonts w:ascii="Calibri" w:hAnsi="Calibri" w:cs="Calibri"/>
          <w:sz w:val="22"/>
          <w:szCs w:val="22"/>
          <w:lang w:val="en-US"/>
        </w:rPr>
        <w:t>, particularly for low</w:t>
      </w:r>
      <w:r w:rsidR="0007752C">
        <w:rPr>
          <w:rStyle w:val="normaltextrun"/>
          <w:rFonts w:ascii="Calibri" w:hAnsi="Calibri" w:cs="Calibri"/>
          <w:sz w:val="22"/>
          <w:szCs w:val="22"/>
          <w:lang w:val="en-US"/>
        </w:rPr>
        <w:t xml:space="preserve"> </w:t>
      </w:r>
      <w:r w:rsidRPr="000D61D6">
        <w:rPr>
          <w:rStyle w:val="normaltextrun"/>
          <w:rFonts w:ascii="Calibri" w:hAnsi="Calibri" w:cs="Calibri"/>
          <w:sz w:val="22"/>
          <w:szCs w:val="22"/>
          <w:lang w:val="en-US"/>
        </w:rPr>
        <w:t>income users of mobile phones. The Government will explore this measure during the current upgrade of myGov, noting liaison across Government and with industry is required.</w:t>
      </w:r>
    </w:p>
    <w:p w14:paraId="5A7BA51D" w14:textId="42AF98CE" w:rsidR="00EA01C3" w:rsidRPr="000D61D6" w:rsidRDefault="00183465" w:rsidP="000D61D6">
      <w:pPr>
        <w:pStyle w:val="paragraph"/>
        <w:spacing w:before="0" w:beforeAutospacing="0" w:after="240" w:afterAutospacing="0"/>
        <w:textAlignment w:val="baseline"/>
        <w:rPr>
          <w:rStyle w:val="normaltextrun"/>
          <w:rFonts w:ascii="Calibri" w:hAnsi="Calibri" w:cs="Calibri"/>
          <w:sz w:val="22"/>
          <w:szCs w:val="22"/>
          <w:lang w:val="en-US"/>
        </w:rPr>
      </w:pPr>
      <w:r w:rsidRPr="000D61D6">
        <w:rPr>
          <w:rStyle w:val="normaltextrun"/>
          <w:rFonts w:ascii="Calibri" w:hAnsi="Calibri" w:cs="Calibri"/>
          <w:sz w:val="22"/>
          <w:szCs w:val="22"/>
          <w:lang w:val="en-US"/>
        </w:rPr>
        <w:lastRenderedPageBreak/>
        <w:t xml:space="preserve">The </w:t>
      </w:r>
      <w:r w:rsidR="00FA200A">
        <w:rPr>
          <w:rStyle w:val="normaltextrun"/>
          <w:rFonts w:ascii="Calibri" w:hAnsi="Calibri" w:cs="Calibri"/>
          <w:sz w:val="22"/>
          <w:szCs w:val="22"/>
          <w:lang w:val="en-US"/>
        </w:rPr>
        <w:t>Liberal and Nationals Government</w:t>
      </w:r>
      <w:r w:rsidRPr="000D61D6">
        <w:rPr>
          <w:rStyle w:val="normaltextrun"/>
          <w:rFonts w:ascii="Calibri" w:hAnsi="Calibri" w:cs="Calibri"/>
          <w:sz w:val="22"/>
          <w:szCs w:val="22"/>
          <w:lang w:val="en-US"/>
        </w:rPr>
        <w:t xml:space="preserve"> will also consider smaller targeted and tailored grants that could be provided to service providers, charities, not-for-profits and/or community associations for service delivery. Such grants, for example, could fund solutions like free Wi-Fi in communal living spaces or the community, or provide equipment like low-cost mobile handsets, or vouchers to subsidise service costs to particularly vulnerable regional cohorts. For example, even if mobile coverage is extended to an isolated community, low-incomes may still mean handset and service affordability could be issues.</w:t>
      </w:r>
    </w:p>
    <w:p w14:paraId="547A2F49" w14:textId="76DC9F60" w:rsidR="00B946B2" w:rsidRPr="000D61D6" w:rsidRDefault="00183465" w:rsidP="000D61D6">
      <w:pPr>
        <w:pStyle w:val="paragraph"/>
        <w:spacing w:before="0" w:beforeAutospacing="0" w:after="240" w:afterAutospacing="0"/>
        <w:textAlignment w:val="baseline"/>
        <w:rPr>
          <w:rStyle w:val="normaltextrun"/>
          <w:rFonts w:ascii="Calibri" w:hAnsi="Calibri" w:cs="Calibri"/>
          <w:sz w:val="22"/>
          <w:szCs w:val="22"/>
          <w:lang w:val="en-US"/>
        </w:rPr>
      </w:pPr>
      <w:r w:rsidRPr="005B535D">
        <w:rPr>
          <w:rStyle w:val="normaltextrun"/>
          <w:rFonts w:ascii="Calibri" w:hAnsi="Calibri" w:cs="Calibri"/>
          <w:sz w:val="22"/>
          <w:szCs w:val="22"/>
          <w:lang w:val="en-US"/>
        </w:rPr>
        <w:t>$</w:t>
      </w:r>
      <w:r w:rsidR="00AC20AB" w:rsidRPr="005B535D">
        <w:rPr>
          <w:rStyle w:val="normaltextrun"/>
          <w:rFonts w:ascii="Calibri" w:hAnsi="Calibri" w:cs="Calibri"/>
          <w:sz w:val="22"/>
          <w:szCs w:val="22"/>
          <w:lang w:val="en-US"/>
        </w:rPr>
        <w:t xml:space="preserve">30 </w:t>
      </w:r>
      <w:r w:rsidRPr="005B535D">
        <w:rPr>
          <w:rStyle w:val="normaltextrun"/>
          <w:rFonts w:ascii="Calibri" w:hAnsi="Calibri" w:cs="Calibri"/>
          <w:sz w:val="22"/>
          <w:szCs w:val="22"/>
          <w:lang w:val="en-US"/>
        </w:rPr>
        <w:t xml:space="preserve">million of the </w:t>
      </w:r>
      <w:r w:rsidR="00502C56" w:rsidRPr="005B535D">
        <w:rPr>
          <w:rStyle w:val="normaltextrun"/>
          <w:rFonts w:ascii="Calibri" w:hAnsi="Calibri" w:cs="Calibri"/>
          <w:sz w:val="22"/>
          <w:szCs w:val="22"/>
          <w:lang w:val="en-US"/>
        </w:rPr>
        <w:t xml:space="preserve">CRA </w:t>
      </w:r>
      <w:r w:rsidRPr="005B535D">
        <w:rPr>
          <w:rStyle w:val="normaltextrun"/>
          <w:rFonts w:ascii="Calibri" w:hAnsi="Calibri" w:cs="Calibri"/>
          <w:sz w:val="22"/>
          <w:szCs w:val="22"/>
          <w:lang w:val="en-US"/>
        </w:rPr>
        <w:t xml:space="preserve">funding </w:t>
      </w:r>
      <w:r w:rsidR="0087543B" w:rsidRPr="005B535D">
        <w:rPr>
          <w:rStyle w:val="normaltextrun"/>
          <w:rFonts w:ascii="Calibri" w:hAnsi="Calibri" w:cs="Calibri"/>
          <w:sz w:val="22"/>
          <w:szCs w:val="22"/>
          <w:lang w:val="en-US"/>
        </w:rPr>
        <w:t>has been</w:t>
      </w:r>
      <w:r w:rsidRPr="005B535D">
        <w:rPr>
          <w:rStyle w:val="normaltextrun"/>
          <w:rFonts w:ascii="Calibri" w:hAnsi="Calibri" w:cs="Calibri"/>
          <w:sz w:val="22"/>
          <w:szCs w:val="22"/>
          <w:lang w:val="en-US"/>
        </w:rPr>
        <w:t xml:space="preserve"> earmarked for </w:t>
      </w:r>
      <w:r w:rsidR="00A95422" w:rsidRPr="005B535D">
        <w:rPr>
          <w:rStyle w:val="normaltextrun"/>
          <w:rFonts w:ascii="Calibri" w:hAnsi="Calibri" w:cs="Calibri"/>
          <w:sz w:val="22"/>
          <w:szCs w:val="22"/>
          <w:lang w:val="en-US"/>
        </w:rPr>
        <w:t xml:space="preserve">affordability </w:t>
      </w:r>
      <w:r w:rsidRPr="005B535D">
        <w:rPr>
          <w:rStyle w:val="normaltextrun"/>
          <w:rFonts w:ascii="Calibri" w:hAnsi="Calibri" w:cs="Calibri"/>
          <w:sz w:val="22"/>
          <w:szCs w:val="22"/>
          <w:lang w:val="en-US"/>
        </w:rPr>
        <w:t>purpose</w:t>
      </w:r>
      <w:r w:rsidR="00750390" w:rsidRPr="005B535D">
        <w:rPr>
          <w:rStyle w:val="normaltextrun"/>
          <w:rFonts w:ascii="Calibri" w:hAnsi="Calibri" w:cs="Calibri"/>
          <w:sz w:val="22"/>
          <w:szCs w:val="22"/>
          <w:lang w:val="en-US"/>
        </w:rPr>
        <w:t>s</w:t>
      </w:r>
      <w:r w:rsidRPr="005B535D">
        <w:rPr>
          <w:rStyle w:val="normaltextrun"/>
          <w:rFonts w:ascii="Calibri" w:hAnsi="Calibri" w:cs="Calibri"/>
          <w:sz w:val="22"/>
          <w:szCs w:val="22"/>
          <w:lang w:val="en-US"/>
        </w:rPr>
        <w:t>.</w:t>
      </w:r>
    </w:p>
    <w:p w14:paraId="6E74F6FB" w14:textId="7A2A72AB" w:rsidR="00145049" w:rsidRPr="003C735D" w:rsidRDefault="00183465" w:rsidP="000D61D6">
      <w:pPr>
        <w:pStyle w:val="paragraph"/>
        <w:spacing w:before="0" w:beforeAutospacing="0" w:after="240" w:afterAutospacing="0"/>
        <w:textAlignment w:val="baseline"/>
        <w:rPr>
          <w:rStyle w:val="normaltextrun"/>
          <w:rFonts w:ascii="Calibri" w:hAnsi="Calibri" w:cs="Calibri"/>
          <w:sz w:val="22"/>
          <w:szCs w:val="22"/>
          <w:lang w:val="en-US"/>
        </w:rPr>
      </w:pPr>
      <w:r w:rsidRPr="000D61D6">
        <w:rPr>
          <w:rStyle w:val="normaltextrun"/>
          <w:rFonts w:ascii="Calibri" w:hAnsi="Calibri" w:cs="Calibri"/>
          <w:sz w:val="22"/>
          <w:szCs w:val="22"/>
          <w:lang w:val="en-US"/>
        </w:rPr>
        <w:t>The recommendation to implement a subsidised high-speed wholesale broadband product for low-income and income support recipients is directed at NBN Co. The Government will explore options in this area with NBN Co</w:t>
      </w:r>
      <w:r w:rsidR="000D01EC">
        <w:rPr>
          <w:rStyle w:val="normaltextrun"/>
          <w:rFonts w:ascii="Calibri" w:hAnsi="Calibri" w:cs="Calibri"/>
          <w:sz w:val="22"/>
          <w:szCs w:val="22"/>
          <w:lang w:val="en-US"/>
        </w:rPr>
        <w:t xml:space="preserve">. </w:t>
      </w:r>
      <w:r w:rsidRPr="000D61D6">
        <w:rPr>
          <w:rStyle w:val="normaltextrun"/>
          <w:rFonts w:ascii="Calibri" w:hAnsi="Calibri" w:cs="Calibri"/>
          <w:sz w:val="22"/>
          <w:szCs w:val="22"/>
          <w:lang w:val="en-US"/>
        </w:rPr>
        <w:t>We note NBN Co would also need to work with retailers and relevant agencies, such as the ACCC, in this regard.</w:t>
      </w:r>
      <w:r w:rsidR="009B066A" w:rsidRPr="009B066A">
        <w:rPr>
          <w:rStyle w:val="normaltextrun"/>
          <w:rFonts w:ascii="Calibri" w:hAnsi="Calibri" w:cs="Calibri"/>
          <w:sz w:val="22"/>
          <w:szCs w:val="22"/>
          <w:lang w:val="en-US"/>
        </w:rPr>
        <w:t xml:space="preserve"> </w:t>
      </w:r>
      <w:r w:rsidR="009B066A">
        <w:rPr>
          <w:rStyle w:val="normaltextrun"/>
          <w:rFonts w:ascii="Calibri" w:hAnsi="Calibri" w:cs="Calibri"/>
          <w:sz w:val="22"/>
          <w:szCs w:val="22"/>
          <w:lang w:val="en-US"/>
        </w:rPr>
        <w:t>NBN Co is taking a targeted approach</w:t>
      </w:r>
      <w:r w:rsidR="006E07D2">
        <w:rPr>
          <w:rStyle w:val="normaltextrun"/>
          <w:rFonts w:ascii="Calibri" w:hAnsi="Calibri" w:cs="Calibri"/>
          <w:sz w:val="22"/>
          <w:szCs w:val="22"/>
          <w:lang w:val="en-US"/>
        </w:rPr>
        <w:t xml:space="preserve"> to </w:t>
      </w:r>
      <w:r w:rsidR="009B066A">
        <w:rPr>
          <w:rStyle w:val="normaltextrun"/>
          <w:rFonts w:ascii="Calibri" w:hAnsi="Calibri" w:cs="Calibri"/>
          <w:sz w:val="22"/>
          <w:szCs w:val="22"/>
          <w:lang w:val="en-US"/>
        </w:rPr>
        <w:t>reach vulnerable groups</w:t>
      </w:r>
      <w:r w:rsidR="006E07D2">
        <w:rPr>
          <w:rStyle w:val="normaltextrun"/>
          <w:rFonts w:ascii="Calibri" w:hAnsi="Calibri" w:cs="Calibri"/>
          <w:sz w:val="22"/>
          <w:szCs w:val="22"/>
          <w:lang w:val="en-US"/>
        </w:rPr>
        <w:t xml:space="preserve"> and </w:t>
      </w:r>
      <w:r w:rsidR="009B066A">
        <w:rPr>
          <w:rStyle w:val="normaltextrun"/>
          <w:rFonts w:ascii="Calibri" w:hAnsi="Calibri" w:cs="Calibri"/>
          <w:sz w:val="22"/>
          <w:szCs w:val="22"/>
          <w:lang w:val="en-US"/>
        </w:rPr>
        <w:t>include</w:t>
      </w:r>
      <w:r w:rsidR="006E07D2">
        <w:rPr>
          <w:rStyle w:val="normaltextrun"/>
          <w:rFonts w:ascii="Calibri" w:hAnsi="Calibri" w:cs="Calibri"/>
          <w:sz w:val="22"/>
          <w:szCs w:val="22"/>
          <w:lang w:val="en-US"/>
        </w:rPr>
        <w:t>s</w:t>
      </w:r>
      <w:r w:rsidR="009B066A">
        <w:rPr>
          <w:rStyle w:val="normaltextrun"/>
          <w:rFonts w:ascii="Calibri" w:hAnsi="Calibri" w:cs="Calibri"/>
          <w:sz w:val="22"/>
          <w:szCs w:val="22"/>
          <w:lang w:val="en-US"/>
        </w:rPr>
        <w:t xml:space="preserve"> initiatives such as Take 2</w:t>
      </w:r>
      <w:r w:rsidR="004321B5">
        <w:rPr>
          <w:rStyle w:val="normaltextrun"/>
          <w:rFonts w:ascii="Calibri" w:hAnsi="Calibri" w:cs="Calibri"/>
          <w:sz w:val="22"/>
          <w:szCs w:val="22"/>
          <w:lang w:val="en-US"/>
        </w:rPr>
        <w:t xml:space="preserve"> (providing rebates for many never connected or unconnected households)</w:t>
      </w:r>
      <w:r w:rsidR="009B066A">
        <w:rPr>
          <w:rStyle w:val="normaltextrun"/>
          <w:rFonts w:ascii="Calibri" w:hAnsi="Calibri" w:cs="Calibri"/>
          <w:sz w:val="22"/>
          <w:szCs w:val="22"/>
          <w:lang w:val="en-US"/>
        </w:rPr>
        <w:t>, the Digital Inclusion for Online Learning Pilot, and the West Australian Digital Inclusion Partnership.</w:t>
      </w:r>
    </w:p>
    <w:sectPr w:rsidR="00145049" w:rsidRPr="003C735D" w:rsidSect="00030C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3E716" w14:textId="77777777" w:rsidR="0094153D" w:rsidRDefault="0094153D">
      <w:pPr>
        <w:spacing w:after="0"/>
      </w:pPr>
      <w:r>
        <w:separator/>
      </w:r>
    </w:p>
  </w:endnote>
  <w:endnote w:type="continuationSeparator" w:id="0">
    <w:p w14:paraId="74BE3F48" w14:textId="77777777" w:rsidR="0094153D" w:rsidRDefault="0094153D">
      <w:pPr>
        <w:spacing w:after="0"/>
      </w:pPr>
      <w:r>
        <w:continuationSeparator/>
      </w:r>
    </w:p>
  </w:endnote>
  <w:endnote w:type="continuationNotice" w:id="1">
    <w:p w14:paraId="1A63CB2C" w14:textId="77777777" w:rsidR="0094153D" w:rsidRDefault="0094153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li Light">
    <w:charset w:val="00"/>
    <w:family w:val="auto"/>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5072550"/>
      <w:docPartObj>
        <w:docPartGallery w:val="Page Numbers (Bottom of Page)"/>
        <w:docPartUnique/>
      </w:docPartObj>
    </w:sdtPr>
    <w:sdtEndPr>
      <w:rPr>
        <w:noProof/>
      </w:rPr>
    </w:sdtEndPr>
    <w:sdtContent>
      <w:p w14:paraId="0EB9BD14" w14:textId="397A2C1C" w:rsidR="0094153D" w:rsidRPr="00836DED" w:rsidRDefault="0094153D" w:rsidP="005E6490">
        <w:pPr>
          <w:pStyle w:val="Header"/>
          <w:spacing w:after="40" w:line="0" w:lineRule="atLeast"/>
          <w:jc w:val="center"/>
          <w:rPr>
            <w:rFonts w:ascii="Arial" w:eastAsia="Arial" w:hAnsi="Arial" w:cs="Arial"/>
            <w:noProof/>
            <w:color w:val="000000"/>
            <w:sz w:val="18"/>
            <w:szCs w:val="28"/>
            <w:lang w:val="en-US"/>
          </w:rPr>
        </w:pPr>
      </w:p>
      <w:p w14:paraId="069753CE" w14:textId="040A8084" w:rsidR="0094153D" w:rsidRDefault="0094153D" w:rsidP="005E6490">
        <w:pPr>
          <w:pStyle w:val="Footer"/>
          <w:spacing w:line="276" w:lineRule="auto"/>
          <w:jc w:val="center"/>
        </w:pPr>
        <w:r>
          <w:tab/>
        </w:r>
        <w:r>
          <w:tab/>
        </w:r>
        <w:r>
          <w:fldChar w:fldCharType="begin"/>
        </w:r>
        <w:r>
          <w:instrText xml:space="preserve"> PAGE   \* MERGEFORMAT </w:instrText>
        </w:r>
        <w:r>
          <w:fldChar w:fldCharType="separate"/>
        </w:r>
        <w:r w:rsidR="005B535D">
          <w:rPr>
            <w:noProof/>
          </w:rPr>
          <w:t>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6504795"/>
      <w:docPartObj>
        <w:docPartGallery w:val="Page Numbers (Bottom of Page)"/>
        <w:docPartUnique/>
      </w:docPartObj>
    </w:sdtPr>
    <w:sdtEndPr>
      <w:rPr>
        <w:noProof/>
      </w:rPr>
    </w:sdtEndPr>
    <w:sdtContent>
      <w:p w14:paraId="61A0E340" w14:textId="2E6B7AC6" w:rsidR="0094153D" w:rsidRPr="00836DED" w:rsidRDefault="0094153D" w:rsidP="00CB28FA">
        <w:pPr>
          <w:pStyle w:val="Header"/>
          <w:jc w:val="center"/>
          <w:rPr>
            <w:b/>
            <w:color w:val="FF0000"/>
            <w:sz w:val="28"/>
            <w:szCs w:val="28"/>
          </w:rPr>
        </w:pPr>
      </w:p>
      <w:p w14:paraId="743B0635" w14:textId="3D5CB2C8" w:rsidR="0094153D" w:rsidRDefault="0094153D" w:rsidP="003B4C32">
        <w:pPr>
          <w:pStyle w:val="Footer"/>
          <w:jc w:val="right"/>
        </w:pPr>
        <w:r>
          <w:fldChar w:fldCharType="begin"/>
        </w:r>
        <w:r>
          <w:instrText xml:space="preserve"> PAGE   \* MERGEFORMAT </w:instrText>
        </w:r>
        <w:r>
          <w:fldChar w:fldCharType="separate"/>
        </w:r>
        <w:r w:rsidR="005B535D">
          <w:rPr>
            <w:noProof/>
          </w:rPr>
          <w:t>17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28545" w14:textId="77777777" w:rsidR="0094153D" w:rsidRDefault="0094153D">
      <w:pPr>
        <w:spacing w:after="0"/>
      </w:pPr>
      <w:r>
        <w:separator/>
      </w:r>
    </w:p>
  </w:footnote>
  <w:footnote w:type="continuationSeparator" w:id="0">
    <w:p w14:paraId="54C2C6ED" w14:textId="77777777" w:rsidR="0094153D" w:rsidRDefault="0094153D">
      <w:pPr>
        <w:spacing w:after="0"/>
      </w:pPr>
      <w:r>
        <w:continuationSeparator/>
      </w:r>
    </w:p>
  </w:footnote>
  <w:footnote w:type="continuationNotice" w:id="1">
    <w:p w14:paraId="3CA927FD" w14:textId="77777777" w:rsidR="0094153D" w:rsidRDefault="0094153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5AFFB" w14:textId="1EBD141C" w:rsidR="0094153D" w:rsidRPr="00AE5256" w:rsidRDefault="0094153D" w:rsidP="00AE5256">
    <w:pPr>
      <w:pStyle w:val="Header"/>
      <w:spacing w:after="40" w:line="0" w:lineRule="atLeast"/>
      <w:jc w:val="center"/>
      <w:rPr>
        <w:b/>
        <w:noProof/>
        <w:color w:val="FF0000"/>
        <w:sz w:val="28"/>
        <w:szCs w:val="28"/>
        <w:lang w:val="en-US"/>
      </w:rPr>
    </w:pPr>
  </w:p>
  <w:p w14:paraId="5069E745" w14:textId="77777777" w:rsidR="0094153D" w:rsidRPr="005E6490" w:rsidRDefault="0094153D" w:rsidP="005E64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F512B"/>
    <w:multiLevelType w:val="hybridMultilevel"/>
    <w:tmpl w:val="7F683F24"/>
    <w:lvl w:ilvl="0" w:tplc="C97050F8">
      <w:start w:val="1"/>
      <w:numFmt w:val="bullet"/>
      <w:lvlText w:val=""/>
      <w:lvlJc w:val="left"/>
      <w:pPr>
        <w:ind w:left="720" w:hanging="360"/>
      </w:pPr>
      <w:rPr>
        <w:rFonts w:ascii="Wingdings" w:hAnsi="Wingdings" w:hint="default"/>
      </w:rPr>
    </w:lvl>
    <w:lvl w:ilvl="1" w:tplc="CC928D70" w:tentative="1">
      <w:start w:val="1"/>
      <w:numFmt w:val="bullet"/>
      <w:lvlText w:val="o"/>
      <w:lvlJc w:val="left"/>
      <w:pPr>
        <w:ind w:left="1440" w:hanging="360"/>
      </w:pPr>
      <w:rPr>
        <w:rFonts w:ascii="Courier New" w:hAnsi="Courier New" w:cs="Courier New" w:hint="default"/>
      </w:rPr>
    </w:lvl>
    <w:lvl w:ilvl="2" w:tplc="743C8D88" w:tentative="1">
      <w:start w:val="1"/>
      <w:numFmt w:val="bullet"/>
      <w:lvlText w:val=""/>
      <w:lvlJc w:val="left"/>
      <w:pPr>
        <w:ind w:left="2160" w:hanging="360"/>
      </w:pPr>
      <w:rPr>
        <w:rFonts w:ascii="Wingdings" w:hAnsi="Wingdings" w:hint="default"/>
      </w:rPr>
    </w:lvl>
    <w:lvl w:ilvl="3" w:tplc="44024E5C" w:tentative="1">
      <w:start w:val="1"/>
      <w:numFmt w:val="bullet"/>
      <w:lvlText w:val=""/>
      <w:lvlJc w:val="left"/>
      <w:pPr>
        <w:ind w:left="2880" w:hanging="360"/>
      </w:pPr>
      <w:rPr>
        <w:rFonts w:ascii="Symbol" w:hAnsi="Symbol" w:hint="default"/>
      </w:rPr>
    </w:lvl>
    <w:lvl w:ilvl="4" w:tplc="963E6E8E" w:tentative="1">
      <w:start w:val="1"/>
      <w:numFmt w:val="bullet"/>
      <w:lvlText w:val="o"/>
      <w:lvlJc w:val="left"/>
      <w:pPr>
        <w:ind w:left="3600" w:hanging="360"/>
      </w:pPr>
      <w:rPr>
        <w:rFonts w:ascii="Courier New" w:hAnsi="Courier New" w:cs="Courier New" w:hint="default"/>
      </w:rPr>
    </w:lvl>
    <w:lvl w:ilvl="5" w:tplc="9FC6F484" w:tentative="1">
      <w:start w:val="1"/>
      <w:numFmt w:val="bullet"/>
      <w:lvlText w:val=""/>
      <w:lvlJc w:val="left"/>
      <w:pPr>
        <w:ind w:left="4320" w:hanging="360"/>
      </w:pPr>
      <w:rPr>
        <w:rFonts w:ascii="Wingdings" w:hAnsi="Wingdings" w:hint="default"/>
      </w:rPr>
    </w:lvl>
    <w:lvl w:ilvl="6" w:tplc="0E16B742" w:tentative="1">
      <w:start w:val="1"/>
      <w:numFmt w:val="bullet"/>
      <w:lvlText w:val=""/>
      <w:lvlJc w:val="left"/>
      <w:pPr>
        <w:ind w:left="5040" w:hanging="360"/>
      </w:pPr>
      <w:rPr>
        <w:rFonts w:ascii="Symbol" w:hAnsi="Symbol" w:hint="default"/>
      </w:rPr>
    </w:lvl>
    <w:lvl w:ilvl="7" w:tplc="DFCE5FC8" w:tentative="1">
      <w:start w:val="1"/>
      <w:numFmt w:val="bullet"/>
      <w:lvlText w:val="o"/>
      <w:lvlJc w:val="left"/>
      <w:pPr>
        <w:ind w:left="5760" w:hanging="360"/>
      </w:pPr>
      <w:rPr>
        <w:rFonts w:ascii="Courier New" w:hAnsi="Courier New" w:cs="Courier New" w:hint="default"/>
      </w:rPr>
    </w:lvl>
    <w:lvl w:ilvl="8" w:tplc="D64E0740" w:tentative="1">
      <w:start w:val="1"/>
      <w:numFmt w:val="bullet"/>
      <w:lvlText w:val=""/>
      <w:lvlJc w:val="left"/>
      <w:pPr>
        <w:ind w:left="6480" w:hanging="360"/>
      </w:pPr>
      <w:rPr>
        <w:rFonts w:ascii="Wingdings" w:hAnsi="Wingdings" w:hint="default"/>
      </w:rPr>
    </w:lvl>
  </w:abstractNum>
  <w:abstractNum w:abstractNumId="1" w15:restartNumberingAfterBreak="0">
    <w:nsid w:val="1182499A"/>
    <w:multiLevelType w:val="hybridMultilevel"/>
    <w:tmpl w:val="C5F6E6A2"/>
    <w:lvl w:ilvl="0" w:tplc="2F925878">
      <w:start w:val="1"/>
      <w:numFmt w:val="decimal"/>
      <w:lvlText w:val="%1."/>
      <w:lvlJc w:val="left"/>
      <w:pPr>
        <w:ind w:left="1080" w:hanging="720"/>
      </w:pPr>
      <w:rPr>
        <w:rFonts w:hint="default"/>
      </w:rPr>
    </w:lvl>
    <w:lvl w:ilvl="1" w:tplc="5D1675A2" w:tentative="1">
      <w:start w:val="1"/>
      <w:numFmt w:val="lowerLetter"/>
      <w:lvlText w:val="%2."/>
      <w:lvlJc w:val="left"/>
      <w:pPr>
        <w:ind w:left="1440" w:hanging="360"/>
      </w:pPr>
    </w:lvl>
    <w:lvl w:ilvl="2" w:tplc="4594BE48" w:tentative="1">
      <w:start w:val="1"/>
      <w:numFmt w:val="lowerRoman"/>
      <w:lvlText w:val="%3."/>
      <w:lvlJc w:val="right"/>
      <w:pPr>
        <w:ind w:left="2160" w:hanging="180"/>
      </w:pPr>
    </w:lvl>
    <w:lvl w:ilvl="3" w:tplc="85B298E0" w:tentative="1">
      <w:start w:val="1"/>
      <w:numFmt w:val="decimal"/>
      <w:lvlText w:val="%4."/>
      <w:lvlJc w:val="left"/>
      <w:pPr>
        <w:ind w:left="2880" w:hanging="360"/>
      </w:pPr>
    </w:lvl>
    <w:lvl w:ilvl="4" w:tplc="617EA774" w:tentative="1">
      <w:start w:val="1"/>
      <w:numFmt w:val="lowerLetter"/>
      <w:lvlText w:val="%5."/>
      <w:lvlJc w:val="left"/>
      <w:pPr>
        <w:ind w:left="3600" w:hanging="360"/>
      </w:pPr>
    </w:lvl>
    <w:lvl w:ilvl="5" w:tplc="B99AECBA" w:tentative="1">
      <w:start w:val="1"/>
      <w:numFmt w:val="lowerRoman"/>
      <w:lvlText w:val="%6."/>
      <w:lvlJc w:val="right"/>
      <w:pPr>
        <w:ind w:left="4320" w:hanging="180"/>
      </w:pPr>
    </w:lvl>
    <w:lvl w:ilvl="6" w:tplc="2D14A604" w:tentative="1">
      <w:start w:val="1"/>
      <w:numFmt w:val="decimal"/>
      <w:lvlText w:val="%7."/>
      <w:lvlJc w:val="left"/>
      <w:pPr>
        <w:ind w:left="5040" w:hanging="360"/>
      </w:pPr>
    </w:lvl>
    <w:lvl w:ilvl="7" w:tplc="9552E09E" w:tentative="1">
      <w:start w:val="1"/>
      <w:numFmt w:val="lowerLetter"/>
      <w:lvlText w:val="%8."/>
      <w:lvlJc w:val="left"/>
      <w:pPr>
        <w:ind w:left="5760" w:hanging="360"/>
      </w:pPr>
    </w:lvl>
    <w:lvl w:ilvl="8" w:tplc="CD48B820" w:tentative="1">
      <w:start w:val="1"/>
      <w:numFmt w:val="lowerRoman"/>
      <w:lvlText w:val="%9."/>
      <w:lvlJc w:val="right"/>
      <w:pPr>
        <w:ind w:left="6480" w:hanging="180"/>
      </w:pPr>
    </w:lvl>
  </w:abstractNum>
  <w:abstractNum w:abstractNumId="2" w15:restartNumberingAfterBreak="0">
    <w:nsid w:val="127971D1"/>
    <w:multiLevelType w:val="hybridMultilevel"/>
    <w:tmpl w:val="40DA4D6E"/>
    <w:lvl w:ilvl="0" w:tplc="2C7021F0">
      <w:start w:val="1"/>
      <w:numFmt w:val="bullet"/>
      <w:lvlText w:val=""/>
      <w:lvlJc w:val="left"/>
      <w:pPr>
        <w:ind w:left="720" w:hanging="360"/>
      </w:pPr>
      <w:rPr>
        <w:rFonts w:ascii="Symbol" w:hAnsi="Symbol" w:hint="default"/>
      </w:rPr>
    </w:lvl>
    <w:lvl w:ilvl="1" w:tplc="43F0B044" w:tentative="1">
      <w:start w:val="1"/>
      <w:numFmt w:val="bullet"/>
      <w:lvlText w:val="o"/>
      <w:lvlJc w:val="left"/>
      <w:pPr>
        <w:ind w:left="1440" w:hanging="360"/>
      </w:pPr>
      <w:rPr>
        <w:rFonts w:ascii="Courier New" w:hAnsi="Courier New" w:cs="Courier New" w:hint="default"/>
      </w:rPr>
    </w:lvl>
    <w:lvl w:ilvl="2" w:tplc="BAFCD6F2" w:tentative="1">
      <w:start w:val="1"/>
      <w:numFmt w:val="bullet"/>
      <w:lvlText w:val=""/>
      <w:lvlJc w:val="left"/>
      <w:pPr>
        <w:ind w:left="2160" w:hanging="360"/>
      </w:pPr>
      <w:rPr>
        <w:rFonts w:ascii="Wingdings" w:hAnsi="Wingdings" w:hint="default"/>
      </w:rPr>
    </w:lvl>
    <w:lvl w:ilvl="3" w:tplc="A00A2C6A" w:tentative="1">
      <w:start w:val="1"/>
      <w:numFmt w:val="bullet"/>
      <w:lvlText w:val=""/>
      <w:lvlJc w:val="left"/>
      <w:pPr>
        <w:ind w:left="2880" w:hanging="360"/>
      </w:pPr>
      <w:rPr>
        <w:rFonts w:ascii="Symbol" w:hAnsi="Symbol" w:hint="default"/>
      </w:rPr>
    </w:lvl>
    <w:lvl w:ilvl="4" w:tplc="474E0252" w:tentative="1">
      <w:start w:val="1"/>
      <w:numFmt w:val="bullet"/>
      <w:lvlText w:val="o"/>
      <w:lvlJc w:val="left"/>
      <w:pPr>
        <w:ind w:left="3600" w:hanging="360"/>
      </w:pPr>
      <w:rPr>
        <w:rFonts w:ascii="Courier New" w:hAnsi="Courier New" w:cs="Courier New" w:hint="default"/>
      </w:rPr>
    </w:lvl>
    <w:lvl w:ilvl="5" w:tplc="81982898" w:tentative="1">
      <w:start w:val="1"/>
      <w:numFmt w:val="bullet"/>
      <w:lvlText w:val=""/>
      <w:lvlJc w:val="left"/>
      <w:pPr>
        <w:ind w:left="4320" w:hanging="360"/>
      </w:pPr>
      <w:rPr>
        <w:rFonts w:ascii="Wingdings" w:hAnsi="Wingdings" w:hint="default"/>
      </w:rPr>
    </w:lvl>
    <w:lvl w:ilvl="6" w:tplc="AEE62E78" w:tentative="1">
      <w:start w:val="1"/>
      <w:numFmt w:val="bullet"/>
      <w:lvlText w:val=""/>
      <w:lvlJc w:val="left"/>
      <w:pPr>
        <w:ind w:left="5040" w:hanging="360"/>
      </w:pPr>
      <w:rPr>
        <w:rFonts w:ascii="Symbol" w:hAnsi="Symbol" w:hint="default"/>
      </w:rPr>
    </w:lvl>
    <w:lvl w:ilvl="7" w:tplc="1C148238" w:tentative="1">
      <w:start w:val="1"/>
      <w:numFmt w:val="bullet"/>
      <w:lvlText w:val="o"/>
      <w:lvlJc w:val="left"/>
      <w:pPr>
        <w:ind w:left="5760" w:hanging="360"/>
      </w:pPr>
      <w:rPr>
        <w:rFonts w:ascii="Courier New" w:hAnsi="Courier New" w:cs="Courier New" w:hint="default"/>
      </w:rPr>
    </w:lvl>
    <w:lvl w:ilvl="8" w:tplc="3A1C983A" w:tentative="1">
      <w:start w:val="1"/>
      <w:numFmt w:val="bullet"/>
      <w:lvlText w:val=""/>
      <w:lvlJc w:val="left"/>
      <w:pPr>
        <w:ind w:left="6480" w:hanging="360"/>
      </w:pPr>
      <w:rPr>
        <w:rFonts w:ascii="Wingdings" w:hAnsi="Wingdings" w:hint="default"/>
      </w:rPr>
    </w:lvl>
  </w:abstractNum>
  <w:abstractNum w:abstractNumId="3" w15:restartNumberingAfterBreak="0">
    <w:nsid w:val="13A439D5"/>
    <w:multiLevelType w:val="hybridMultilevel"/>
    <w:tmpl w:val="9DEAC9AC"/>
    <w:lvl w:ilvl="0" w:tplc="BE380916">
      <w:start w:val="1"/>
      <w:numFmt w:val="decimal"/>
      <w:lvlText w:val="%1."/>
      <w:lvlJc w:val="left"/>
      <w:pPr>
        <w:ind w:left="1080" w:hanging="720"/>
      </w:pPr>
      <w:rPr>
        <w:rFonts w:hint="default"/>
      </w:rPr>
    </w:lvl>
    <w:lvl w:ilvl="1" w:tplc="112035B8" w:tentative="1">
      <w:start w:val="1"/>
      <w:numFmt w:val="lowerLetter"/>
      <w:lvlText w:val="%2."/>
      <w:lvlJc w:val="left"/>
      <w:pPr>
        <w:ind w:left="1440" w:hanging="360"/>
      </w:pPr>
    </w:lvl>
    <w:lvl w:ilvl="2" w:tplc="6400BF82" w:tentative="1">
      <w:start w:val="1"/>
      <w:numFmt w:val="lowerRoman"/>
      <w:lvlText w:val="%3."/>
      <w:lvlJc w:val="right"/>
      <w:pPr>
        <w:ind w:left="2160" w:hanging="180"/>
      </w:pPr>
    </w:lvl>
    <w:lvl w:ilvl="3" w:tplc="56904926" w:tentative="1">
      <w:start w:val="1"/>
      <w:numFmt w:val="decimal"/>
      <w:lvlText w:val="%4."/>
      <w:lvlJc w:val="left"/>
      <w:pPr>
        <w:ind w:left="2880" w:hanging="360"/>
      </w:pPr>
    </w:lvl>
    <w:lvl w:ilvl="4" w:tplc="B35AF79E" w:tentative="1">
      <w:start w:val="1"/>
      <w:numFmt w:val="lowerLetter"/>
      <w:lvlText w:val="%5."/>
      <w:lvlJc w:val="left"/>
      <w:pPr>
        <w:ind w:left="3600" w:hanging="360"/>
      </w:pPr>
    </w:lvl>
    <w:lvl w:ilvl="5" w:tplc="0B9E0780" w:tentative="1">
      <w:start w:val="1"/>
      <w:numFmt w:val="lowerRoman"/>
      <w:lvlText w:val="%6."/>
      <w:lvlJc w:val="right"/>
      <w:pPr>
        <w:ind w:left="4320" w:hanging="180"/>
      </w:pPr>
    </w:lvl>
    <w:lvl w:ilvl="6" w:tplc="F3C2D8E0" w:tentative="1">
      <w:start w:val="1"/>
      <w:numFmt w:val="decimal"/>
      <w:lvlText w:val="%7."/>
      <w:lvlJc w:val="left"/>
      <w:pPr>
        <w:ind w:left="5040" w:hanging="360"/>
      </w:pPr>
    </w:lvl>
    <w:lvl w:ilvl="7" w:tplc="9496BA70" w:tentative="1">
      <w:start w:val="1"/>
      <w:numFmt w:val="lowerLetter"/>
      <w:lvlText w:val="%8."/>
      <w:lvlJc w:val="left"/>
      <w:pPr>
        <w:ind w:left="5760" w:hanging="360"/>
      </w:pPr>
    </w:lvl>
    <w:lvl w:ilvl="8" w:tplc="E1421C78" w:tentative="1">
      <w:start w:val="1"/>
      <w:numFmt w:val="lowerRoman"/>
      <w:lvlText w:val="%9."/>
      <w:lvlJc w:val="right"/>
      <w:pPr>
        <w:ind w:left="6480" w:hanging="180"/>
      </w:pPr>
    </w:lvl>
  </w:abstractNum>
  <w:abstractNum w:abstractNumId="4" w15:restartNumberingAfterBreak="0">
    <w:nsid w:val="15C31F05"/>
    <w:multiLevelType w:val="hybridMultilevel"/>
    <w:tmpl w:val="7FEE3126"/>
    <w:lvl w:ilvl="0" w:tplc="4C7A52AE">
      <w:start w:val="1"/>
      <w:numFmt w:val="decimal"/>
      <w:lvlText w:val="%1."/>
      <w:lvlJc w:val="left"/>
      <w:pPr>
        <w:ind w:left="1080" w:hanging="720"/>
      </w:pPr>
      <w:rPr>
        <w:rFonts w:hint="default"/>
      </w:rPr>
    </w:lvl>
    <w:lvl w:ilvl="1" w:tplc="47C23D10" w:tentative="1">
      <w:start w:val="1"/>
      <w:numFmt w:val="lowerLetter"/>
      <w:lvlText w:val="%2."/>
      <w:lvlJc w:val="left"/>
      <w:pPr>
        <w:ind w:left="1440" w:hanging="360"/>
      </w:pPr>
    </w:lvl>
    <w:lvl w:ilvl="2" w:tplc="FA760D22" w:tentative="1">
      <w:start w:val="1"/>
      <w:numFmt w:val="lowerRoman"/>
      <w:lvlText w:val="%3."/>
      <w:lvlJc w:val="right"/>
      <w:pPr>
        <w:ind w:left="2160" w:hanging="180"/>
      </w:pPr>
    </w:lvl>
    <w:lvl w:ilvl="3" w:tplc="0D68CFD0" w:tentative="1">
      <w:start w:val="1"/>
      <w:numFmt w:val="decimal"/>
      <w:lvlText w:val="%4."/>
      <w:lvlJc w:val="left"/>
      <w:pPr>
        <w:ind w:left="2880" w:hanging="360"/>
      </w:pPr>
    </w:lvl>
    <w:lvl w:ilvl="4" w:tplc="18861600" w:tentative="1">
      <w:start w:val="1"/>
      <w:numFmt w:val="lowerLetter"/>
      <w:lvlText w:val="%5."/>
      <w:lvlJc w:val="left"/>
      <w:pPr>
        <w:ind w:left="3600" w:hanging="360"/>
      </w:pPr>
    </w:lvl>
    <w:lvl w:ilvl="5" w:tplc="60B6ABAE" w:tentative="1">
      <w:start w:val="1"/>
      <w:numFmt w:val="lowerRoman"/>
      <w:lvlText w:val="%6."/>
      <w:lvlJc w:val="right"/>
      <w:pPr>
        <w:ind w:left="4320" w:hanging="180"/>
      </w:pPr>
    </w:lvl>
    <w:lvl w:ilvl="6" w:tplc="ACBE7F84" w:tentative="1">
      <w:start w:val="1"/>
      <w:numFmt w:val="decimal"/>
      <w:lvlText w:val="%7."/>
      <w:lvlJc w:val="left"/>
      <w:pPr>
        <w:ind w:left="5040" w:hanging="360"/>
      </w:pPr>
    </w:lvl>
    <w:lvl w:ilvl="7" w:tplc="6B9471A8" w:tentative="1">
      <w:start w:val="1"/>
      <w:numFmt w:val="lowerLetter"/>
      <w:lvlText w:val="%8."/>
      <w:lvlJc w:val="left"/>
      <w:pPr>
        <w:ind w:left="5760" w:hanging="360"/>
      </w:pPr>
    </w:lvl>
    <w:lvl w:ilvl="8" w:tplc="D32A76EC" w:tentative="1">
      <w:start w:val="1"/>
      <w:numFmt w:val="lowerRoman"/>
      <w:lvlText w:val="%9."/>
      <w:lvlJc w:val="right"/>
      <w:pPr>
        <w:ind w:left="6480" w:hanging="180"/>
      </w:pPr>
    </w:lvl>
  </w:abstractNum>
  <w:abstractNum w:abstractNumId="5" w15:restartNumberingAfterBreak="0">
    <w:nsid w:val="231D357D"/>
    <w:multiLevelType w:val="hybridMultilevel"/>
    <w:tmpl w:val="018CCAC0"/>
    <w:lvl w:ilvl="0" w:tplc="860C0FD8">
      <w:numFmt w:val="bullet"/>
      <w:lvlText w:val=""/>
      <w:lvlJc w:val="left"/>
      <w:pPr>
        <w:ind w:left="720" w:hanging="360"/>
      </w:pPr>
      <w:rPr>
        <w:rFonts w:ascii="Symbol" w:eastAsiaTheme="minorEastAsia" w:hAnsi="Symbol" w:cstheme="minorBidi" w:hint="default"/>
      </w:rPr>
    </w:lvl>
    <w:lvl w:ilvl="1" w:tplc="4EEE930E" w:tentative="1">
      <w:start w:val="1"/>
      <w:numFmt w:val="bullet"/>
      <w:lvlText w:val="o"/>
      <w:lvlJc w:val="left"/>
      <w:pPr>
        <w:ind w:left="1440" w:hanging="360"/>
      </w:pPr>
      <w:rPr>
        <w:rFonts w:ascii="Courier New" w:hAnsi="Courier New" w:cs="Courier New" w:hint="default"/>
      </w:rPr>
    </w:lvl>
    <w:lvl w:ilvl="2" w:tplc="1938F870" w:tentative="1">
      <w:start w:val="1"/>
      <w:numFmt w:val="bullet"/>
      <w:lvlText w:val=""/>
      <w:lvlJc w:val="left"/>
      <w:pPr>
        <w:ind w:left="2160" w:hanging="360"/>
      </w:pPr>
      <w:rPr>
        <w:rFonts w:ascii="Wingdings" w:hAnsi="Wingdings" w:hint="default"/>
      </w:rPr>
    </w:lvl>
    <w:lvl w:ilvl="3" w:tplc="63D207A4" w:tentative="1">
      <w:start w:val="1"/>
      <w:numFmt w:val="bullet"/>
      <w:lvlText w:val=""/>
      <w:lvlJc w:val="left"/>
      <w:pPr>
        <w:ind w:left="2880" w:hanging="360"/>
      </w:pPr>
      <w:rPr>
        <w:rFonts w:ascii="Symbol" w:hAnsi="Symbol" w:hint="default"/>
      </w:rPr>
    </w:lvl>
    <w:lvl w:ilvl="4" w:tplc="81DEC938" w:tentative="1">
      <w:start w:val="1"/>
      <w:numFmt w:val="bullet"/>
      <w:lvlText w:val="o"/>
      <w:lvlJc w:val="left"/>
      <w:pPr>
        <w:ind w:left="3600" w:hanging="360"/>
      </w:pPr>
      <w:rPr>
        <w:rFonts w:ascii="Courier New" w:hAnsi="Courier New" w:cs="Courier New" w:hint="default"/>
      </w:rPr>
    </w:lvl>
    <w:lvl w:ilvl="5" w:tplc="14B24318" w:tentative="1">
      <w:start w:val="1"/>
      <w:numFmt w:val="bullet"/>
      <w:lvlText w:val=""/>
      <w:lvlJc w:val="left"/>
      <w:pPr>
        <w:ind w:left="4320" w:hanging="360"/>
      </w:pPr>
      <w:rPr>
        <w:rFonts w:ascii="Wingdings" w:hAnsi="Wingdings" w:hint="default"/>
      </w:rPr>
    </w:lvl>
    <w:lvl w:ilvl="6" w:tplc="54D6F992" w:tentative="1">
      <w:start w:val="1"/>
      <w:numFmt w:val="bullet"/>
      <w:lvlText w:val=""/>
      <w:lvlJc w:val="left"/>
      <w:pPr>
        <w:ind w:left="5040" w:hanging="360"/>
      </w:pPr>
      <w:rPr>
        <w:rFonts w:ascii="Symbol" w:hAnsi="Symbol" w:hint="default"/>
      </w:rPr>
    </w:lvl>
    <w:lvl w:ilvl="7" w:tplc="0C34951A" w:tentative="1">
      <w:start w:val="1"/>
      <w:numFmt w:val="bullet"/>
      <w:lvlText w:val="o"/>
      <w:lvlJc w:val="left"/>
      <w:pPr>
        <w:ind w:left="5760" w:hanging="360"/>
      </w:pPr>
      <w:rPr>
        <w:rFonts w:ascii="Courier New" w:hAnsi="Courier New" w:cs="Courier New" w:hint="default"/>
      </w:rPr>
    </w:lvl>
    <w:lvl w:ilvl="8" w:tplc="730ADF96" w:tentative="1">
      <w:start w:val="1"/>
      <w:numFmt w:val="bullet"/>
      <w:lvlText w:val=""/>
      <w:lvlJc w:val="left"/>
      <w:pPr>
        <w:ind w:left="6480" w:hanging="360"/>
      </w:pPr>
      <w:rPr>
        <w:rFonts w:ascii="Wingdings" w:hAnsi="Wingdings" w:hint="default"/>
      </w:rPr>
    </w:lvl>
  </w:abstractNum>
  <w:abstractNum w:abstractNumId="6" w15:restartNumberingAfterBreak="0">
    <w:nsid w:val="23DC67BA"/>
    <w:multiLevelType w:val="hybridMultilevel"/>
    <w:tmpl w:val="099E6620"/>
    <w:lvl w:ilvl="0" w:tplc="1996132C">
      <w:start w:val="1"/>
      <w:numFmt w:val="bullet"/>
      <w:lvlText w:val=""/>
      <w:lvlJc w:val="left"/>
      <w:pPr>
        <w:ind w:left="720" w:hanging="360"/>
      </w:pPr>
      <w:rPr>
        <w:rFonts w:ascii="Wingdings" w:hAnsi="Wingdings" w:hint="default"/>
      </w:rPr>
    </w:lvl>
    <w:lvl w:ilvl="1" w:tplc="ED4AD65E" w:tentative="1">
      <w:start w:val="1"/>
      <w:numFmt w:val="bullet"/>
      <w:lvlText w:val="o"/>
      <w:lvlJc w:val="left"/>
      <w:pPr>
        <w:ind w:left="1440" w:hanging="360"/>
      </w:pPr>
      <w:rPr>
        <w:rFonts w:ascii="Courier New" w:hAnsi="Courier New" w:cs="Courier New" w:hint="default"/>
      </w:rPr>
    </w:lvl>
    <w:lvl w:ilvl="2" w:tplc="626C5A66" w:tentative="1">
      <w:start w:val="1"/>
      <w:numFmt w:val="bullet"/>
      <w:lvlText w:val=""/>
      <w:lvlJc w:val="left"/>
      <w:pPr>
        <w:ind w:left="2160" w:hanging="360"/>
      </w:pPr>
      <w:rPr>
        <w:rFonts w:ascii="Wingdings" w:hAnsi="Wingdings" w:hint="default"/>
      </w:rPr>
    </w:lvl>
    <w:lvl w:ilvl="3" w:tplc="5618395A" w:tentative="1">
      <w:start w:val="1"/>
      <w:numFmt w:val="bullet"/>
      <w:lvlText w:val=""/>
      <w:lvlJc w:val="left"/>
      <w:pPr>
        <w:ind w:left="2880" w:hanging="360"/>
      </w:pPr>
      <w:rPr>
        <w:rFonts w:ascii="Symbol" w:hAnsi="Symbol" w:hint="default"/>
      </w:rPr>
    </w:lvl>
    <w:lvl w:ilvl="4" w:tplc="9FD06BF6" w:tentative="1">
      <w:start w:val="1"/>
      <w:numFmt w:val="bullet"/>
      <w:lvlText w:val="o"/>
      <w:lvlJc w:val="left"/>
      <w:pPr>
        <w:ind w:left="3600" w:hanging="360"/>
      </w:pPr>
      <w:rPr>
        <w:rFonts w:ascii="Courier New" w:hAnsi="Courier New" w:cs="Courier New" w:hint="default"/>
      </w:rPr>
    </w:lvl>
    <w:lvl w:ilvl="5" w:tplc="3EFE15E0" w:tentative="1">
      <w:start w:val="1"/>
      <w:numFmt w:val="bullet"/>
      <w:lvlText w:val=""/>
      <w:lvlJc w:val="left"/>
      <w:pPr>
        <w:ind w:left="4320" w:hanging="360"/>
      </w:pPr>
      <w:rPr>
        <w:rFonts w:ascii="Wingdings" w:hAnsi="Wingdings" w:hint="default"/>
      </w:rPr>
    </w:lvl>
    <w:lvl w:ilvl="6" w:tplc="B2249518" w:tentative="1">
      <w:start w:val="1"/>
      <w:numFmt w:val="bullet"/>
      <w:lvlText w:val=""/>
      <w:lvlJc w:val="left"/>
      <w:pPr>
        <w:ind w:left="5040" w:hanging="360"/>
      </w:pPr>
      <w:rPr>
        <w:rFonts w:ascii="Symbol" w:hAnsi="Symbol" w:hint="default"/>
      </w:rPr>
    </w:lvl>
    <w:lvl w:ilvl="7" w:tplc="52088EDE" w:tentative="1">
      <w:start w:val="1"/>
      <w:numFmt w:val="bullet"/>
      <w:lvlText w:val="o"/>
      <w:lvlJc w:val="left"/>
      <w:pPr>
        <w:ind w:left="5760" w:hanging="360"/>
      </w:pPr>
      <w:rPr>
        <w:rFonts w:ascii="Courier New" w:hAnsi="Courier New" w:cs="Courier New" w:hint="default"/>
      </w:rPr>
    </w:lvl>
    <w:lvl w:ilvl="8" w:tplc="453ED8E4" w:tentative="1">
      <w:start w:val="1"/>
      <w:numFmt w:val="bullet"/>
      <w:lvlText w:val=""/>
      <w:lvlJc w:val="left"/>
      <w:pPr>
        <w:ind w:left="6480" w:hanging="360"/>
      </w:pPr>
      <w:rPr>
        <w:rFonts w:ascii="Wingdings" w:hAnsi="Wingdings" w:hint="default"/>
      </w:rPr>
    </w:lvl>
  </w:abstractNum>
  <w:abstractNum w:abstractNumId="7" w15:restartNumberingAfterBreak="0">
    <w:nsid w:val="2762EC78"/>
    <w:multiLevelType w:val="hybridMultilevel"/>
    <w:tmpl w:val="CC08D9D6"/>
    <w:lvl w:ilvl="0" w:tplc="3FD8A6BE">
      <w:start w:val="1"/>
      <w:numFmt w:val="bullet"/>
      <w:lvlText w:val=""/>
      <w:lvlJc w:val="left"/>
      <w:pPr>
        <w:ind w:left="720" w:hanging="360"/>
      </w:pPr>
      <w:rPr>
        <w:rFonts w:ascii="Symbol" w:hAnsi="Symbol" w:hint="default"/>
      </w:rPr>
    </w:lvl>
    <w:lvl w:ilvl="1" w:tplc="47725A1E">
      <w:start w:val="1"/>
      <w:numFmt w:val="bullet"/>
      <w:lvlText w:val="o"/>
      <w:lvlJc w:val="left"/>
      <w:pPr>
        <w:ind w:left="1440" w:hanging="360"/>
      </w:pPr>
      <w:rPr>
        <w:rFonts w:ascii="Courier New" w:hAnsi="Courier New" w:cs="Times New Roman" w:hint="default"/>
      </w:rPr>
    </w:lvl>
    <w:lvl w:ilvl="2" w:tplc="A62ED486">
      <w:start w:val="1"/>
      <w:numFmt w:val="bullet"/>
      <w:lvlText w:val=""/>
      <w:lvlJc w:val="left"/>
      <w:pPr>
        <w:ind w:left="2160" w:hanging="360"/>
      </w:pPr>
      <w:rPr>
        <w:rFonts w:ascii="Wingdings" w:hAnsi="Wingdings" w:hint="default"/>
      </w:rPr>
    </w:lvl>
    <w:lvl w:ilvl="3" w:tplc="96F22D1A">
      <w:start w:val="1"/>
      <w:numFmt w:val="bullet"/>
      <w:lvlText w:val=""/>
      <w:lvlJc w:val="left"/>
      <w:pPr>
        <w:ind w:left="2880" w:hanging="360"/>
      </w:pPr>
      <w:rPr>
        <w:rFonts w:ascii="Symbol" w:hAnsi="Symbol" w:hint="default"/>
      </w:rPr>
    </w:lvl>
    <w:lvl w:ilvl="4" w:tplc="C32AC810">
      <w:start w:val="1"/>
      <w:numFmt w:val="bullet"/>
      <w:lvlText w:val="o"/>
      <w:lvlJc w:val="left"/>
      <w:pPr>
        <w:ind w:left="3600" w:hanging="360"/>
      </w:pPr>
      <w:rPr>
        <w:rFonts w:ascii="Courier New" w:hAnsi="Courier New" w:cs="Times New Roman" w:hint="default"/>
      </w:rPr>
    </w:lvl>
    <w:lvl w:ilvl="5" w:tplc="80108D5A">
      <w:start w:val="1"/>
      <w:numFmt w:val="bullet"/>
      <w:lvlText w:val=""/>
      <w:lvlJc w:val="left"/>
      <w:pPr>
        <w:ind w:left="4320" w:hanging="360"/>
      </w:pPr>
      <w:rPr>
        <w:rFonts w:ascii="Wingdings" w:hAnsi="Wingdings" w:hint="default"/>
      </w:rPr>
    </w:lvl>
    <w:lvl w:ilvl="6" w:tplc="252EE1BA">
      <w:start w:val="1"/>
      <w:numFmt w:val="bullet"/>
      <w:lvlText w:val=""/>
      <w:lvlJc w:val="left"/>
      <w:pPr>
        <w:ind w:left="5040" w:hanging="360"/>
      </w:pPr>
      <w:rPr>
        <w:rFonts w:ascii="Symbol" w:hAnsi="Symbol" w:hint="default"/>
      </w:rPr>
    </w:lvl>
    <w:lvl w:ilvl="7" w:tplc="288E4B86">
      <w:start w:val="1"/>
      <w:numFmt w:val="bullet"/>
      <w:lvlText w:val="o"/>
      <w:lvlJc w:val="left"/>
      <w:pPr>
        <w:ind w:left="5760" w:hanging="360"/>
      </w:pPr>
      <w:rPr>
        <w:rFonts w:ascii="Courier New" w:hAnsi="Courier New" w:cs="Times New Roman" w:hint="default"/>
      </w:rPr>
    </w:lvl>
    <w:lvl w:ilvl="8" w:tplc="C73836A8">
      <w:start w:val="1"/>
      <w:numFmt w:val="bullet"/>
      <w:lvlText w:val=""/>
      <w:lvlJc w:val="left"/>
      <w:pPr>
        <w:ind w:left="6480" w:hanging="360"/>
      </w:pPr>
      <w:rPr>
        <w:rFonts w:ascii="Wingdings" w:hAnsi="Wingdings" w:hint="default"/>
      </w:rPr>
    </w:lvl>
  </w:abstractNum>
  <w:abstractNum w:abstractNumId="8" w15:restartNumberingAfterBreak="0">
    <w:nsid w:val="2D6E143A"/>
    <w:multiLevelType w:val="hybridMultilevel"/>
    <w:tmpl w:val="4E8A734A"/>
    <w:lvl w:ilvl="0" w:tplc="9490D42A">
      <w:start w:val="1"/>
      <w:numFmt w:val="bullet"/>
      <w:lvlText w:val="o"/>
      <w:lvlJc w:val="left"/>
      <w:pPr>
        <w:ind w:left="720" w:hanging="360"/>
      </w:pPr>
      <w:rPr>
        <w:rFonts w:ascii="Courier New" w:hAnsi="Courier New" w:cs="Courier New" w:hint="default"/>
      </w:rPr>
    </w:lvl>
    <w:lvl w:ilvl="1" w:tplc="0F42B926" w:tentative="1">
      <w:start w:val="1"/>
      <w:numFmt w:val="bullet"/>
      <w:lvlText w:val="o"/>
      <w:lvlJc w:val="left"/>
      <w:pPr>
        <w:ind w:left="1440" w:hanging="360"/>
      </w:pPr>
      <w:rPr>
        <w:rFonts w:ascii="Courier New" w:hAnsi="Courier New" w:cs="Courier New" w:hint="default"/>
      </w:rPr>
    </w:lvl>
    <w:lvl w:ilvl="2" w:tplc="8C60D612" w:tentative="1">
      <w:start w:val="1"/>
      <w:numFmt w:val="bullet"/>
      <w:lvlText w:val=""/>
      <w:lvlJc w:val="left"/>
      <w:pPr>
        <w:ind w:left="2160" w:hanging="360"/>
      </w:pPr>
      <w:rPr>
        <w:rFonts w:ascii="Wingdings" w:hAnsi="Wingdings" w:hint="default"/>
      </w:rPr>
    </w:lvl>
    <w:lvl w:ilvl="3" w:tplc="F760BD98" w:tentative="1">
      <w:start w:val="1"/>
      <w:numFmt w:val="bullet"/>
      <w:lvlText w:val=""/>
      <w:lvlJc w:val="left"/>
      <w:pPr>
        <w:ind w:left="2880" w:hanging="360"/>
      </w:pPr>
      <w:rPr>
        <w:rFonts w:ascii="Symbol" w:hAnsi="Symbol" w:hint="default"/>
      </w:rPr>
    </w:lvl>
    <w:lvl w:ilvl="4" w:tplc="26EA6108" w:tentative="1">
      <w:start w:val="1"/>
      <w:numFmt w:val="bullet"/>
      <w:lvlText w:val="o"/>
      <w:lvlJc w:val="left"/>
      <w:pPr>
        <w:ind w:left="3600" w:hanging="360"/>
      </w:pPr>
      <w:rPr>
        <w:rFonts w:ascii="Courier New" w:hAnsi="Courier New" w:cs="Courier New" w:hint="default"/>
      </w:rPr>
    </w:lvl>
    <w:lvl w:ilvl="5" w:tplc="CE0C5454" w:tentative="1">
      <w:start w:val="1"/>
      <w:numFmt w:val="bullet"/>
      <w:lvlText w:val=""/>
      <w:lvlJc w:val="left"/>
      <w:pPr>
        <w:ind w:left="4320" w:hanging="360"/>
      </w:pPr>
      <w:rPr>
        <w:rFonts w:ascii="Wingdings" w:hAnsi="Wingdings" w:hint="default"/>
      </w:rPr>
    </w:lvl>
    <w:lvl w:ilvl="6" w:tplc="6B7E550A" w:tentative="1">
      <w:start w:val="1"/>
      <w:numFmt w:val="bullet"/>
      <w:lvlText w:val=""/>
      <w:lvlJc w:val="left"/>
      <w:pPr>
        <w:ind w:left="5040" w:hanging="360"/>
      </w:pPr>
      <w:rPr>
        <w:rFonts w:ascii="Symbol" w:hAnsi="Symbol" w:hint="default"/>
      </w:rPr>
    </w:lvl>
    <w:lvl w:ilvl="7" w:tplc="E8DE0D10" w:tentative="1">
      <w:start w:val="1"/>
      <w:numFmt w:val="bullet"/>
      <w:lvlText w:val="o"/>
      <w:lvlJc w:val="left"/>
      <w:pPr>
        <w:ind w:left="5760" w:hanging="360"/>
      </w:pPr>
      <w:rPr>
        <w:rFonts w:ascii="Courier New" w:hAnsi="Courier New" w:cs="Courier New" w:hint="default"/>
      </w:rPr>
    </w:lvl>
    <w:lvl w:ilvl="8" w:tplc="6C1CE188" w:tentative="1">
      <w:start w:val="1"/>
      <w:numFmt w:val="bullet"/>
      <w:lvlText w:val=""/>
      <w:lvlJc w:val="left"/>
      <w:pPr>
        <w:ind w:left="6480" w:hanging="360"/>
      </w:pPr>
      <w:rPr>
        <w:rFonts w:ascii="Wingdings" w:hAnsi="Wingdings" w:hint="default"/>
      </w:rPr>
    </w:lvl>
  </w:abstractNum>
  <w:abstractNum w:abstractNumId="9" w15:restartNumberingAfterBreak="0">
    <w:nsid w:val="41E403A8"/>
    <w:multiLevelType w:val="multilevel"/>
    <w:tmpl w:val="CBA86D82"/>
    <w:lvl w:ilvl="0">
      <w:start w:val="1"/>
      <w:numFmt w:val="decimal"/>
      <w:lvlText w:val="%1"/>
      <w:lvlJc w:val="left"/>
      <w:pPr>
        <w:ind w:left="3338" w:hanging="360"/>
      </w:pPr>
      <w:rPr>
        <w:sz w:val="28"/>
      </w:rPr>
    </w:lvl>
    <w:lvl w:ilvl="1">
      <w:start w:val="1"/>
      <w:numFmt w:val="bullet"/>
      <w:lvlText w:val=""/>
      <w:lvlJc w:val="left"/>
      <w:pPr>
        <w:tabs>
          <w:tab w:val="num" w:pos="340"/>
        </w:tabs>
        <w:ind w:left="340" w:firstLine="0"/>
      </w:pPr>
      <w:rPr>
        <w:rFonts w:ascii="Symbol" w:hAnsi="Symbol" w:hint="default"/>
      </w:r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4275F8D"/>
    <w:multiLevelType w:val="hybridMultilevel"/>
    <w:tmpl w:val="F8F42DD2"/>
    <w:lvl w:ilvl="0" w:tplc="44362C30">
      <w:start w:val="1"/>
      <w:numFmt w:val="bullet"/>
      <w:lvlText w:val=""/>
      <w:lvlJc w:val="left"/>
      <w:pPr>
        <w:ind w:left="720" w:hanging="360"/>
      </w:pPr>
      <w:rPr>
        <w:rFonts w:ascii="Wingdings" w:hAnsi="Wingdings" w:hint="default"/>
      </w:rPr>
    </w:lvl>
    <w:lvl w:ilvl="1" w:tplc="82D21A26" w:tentative="1">
      <w:start w:val="1"/>
      <w:numFmt w:val="bullet"/>
      <w:lvlText w:val="o"/>
      <w:lvlJc w:val="left"/>
      <w:pPr>
        <w:ind w:left="1440" w:hanging="360"/>
      </w:pPr>
      <w:rPr>
        <w:rFonts w:ascii="Courier New" w:hAnsi="Courier New" w:cs="Courier New" w:hint="default"/>
      </w:rPr>
    </w:lvl>
    <w:lvl w:ilvl="2" w:tplc="7EFAB918" w:tentative="1">
      <w:start w:val="1"/>
      <w:numFmt w:val="bullet"/>
      <w:lvlText w:val=""/>
      <w:lvlJc w:val="left"/>
      <w:pPr>
        <w:ind w:left="2160" w:hanging="360"/>
      </w:pPr>
      <w:rPr>
        <w:rFonts w:ascii="Wingdings" w:hAnsi="Wingdings" w:hint="default"/>
      </w:rPr>
    </w:lvl>
    <w:lvl w:ilvl="3" w:tplc="421234EC" w:tentative="1">
      <w:start w:val="1"/>
      <w:numFmt w:val="bullet"/>
      <w:lvlText w:val=""/>
      <w:lvlJc w:val="left"/>
      <w:pPr>
        <w:ind w:left="2880" w:hanging="360"/>
      </w:pPr>
      <w:rPr>
        <w:rFonts w:ascii="Symbol" w:hAnsi="Symbol" w:hint="default"/>
      </w:rPr>
    </w:lvl>
    <w:lvl w:ilvl="4" w:tplc="96FE22AE" w:tentative="1">
      <w:start w:val="1"/>
      <w:numFmt w:val="bullet"/>
      <w:lvlText w:val="o"/>
      <w:lvlJc w:val="left"/>
      <w:pPr>
        <w:ind w:left="3600" w:hanging="360"/>
      </w:pPr>
      <w:rPr>
        <w:rFonts w:ascii="Courier New" w:hAnsi="Courier New" w:cs="Courier New" w:hint="default"/>
      </w:rPr>
    </w:lvl>
    <w:lvl w:ilvl="5" w:tplc="BDF011B2" w:tentative="1">
      <w:start w:val="1"/>
      <w:numFmt w:val="bullet"/>
      <w:lvlText w:val=""/>
      <w:lvlJc w:val="left"/>
      <w:pPr>
        <w:ind w:left="4320" w:hanging="360"/>
      </w:pPr>
      <w:rPr>
        <w:rFonts w:ascii="Wingdings" w:hAnsi="Wingdings" w:hint="default"/>
      </w:rPr>
    </w:lvl>
    <w:lvl w:ilvl="6" w:tplc="595EC6BE" w:tentative="1">
      <w:start w:val="1"/>
      <w:numFmt w:val="bullet"/>
      <w:lvlText w:val=""/>
      <w:lvlJc w:val="left"/>
      <w:pPr>
        <w:ind w:left="5040" w:hanging="360"/>
      </w:pPr>
      <w:rPr>
        <w:rFonts w:ascii="Symbol" w:hAnsi="Symbol" w:hint="default"/>
      </w:rPr>
    </w:lvl>
    <w:lvl w:ilvl="7" w:tplc="D9ECB138" w:tentative="1">
      <w:start w:val="1"/>
      <w:numFmt w:val="bullet"/>
      <w:lvlText w:val="o"/>
      <w:lvlJc w:val="left"/>
      <w:pPr>
        <w:ind w:left="5760" w:hanging="360"/>
      </w:pPr>
      <w:rPr>
        <w:rFonts w:ascii="Courier New" w:hAnsi="Courier New" w:cs="Courier New" w:hint="default"/>
      </w:rPr>
    </w:lvl>
    <w:lvl w:ilvl="8" w:tplc="67187E7A" w:tentative="1">
      <w:start w:val="1"/>
      <w:numFmt w:val="bullet"/>
      <w:lvlText w:val=""/>
      <w:lvlJc w:val="left"/>
      <w:pPr>
        <w:ind w:left="6480" w:hanging="360"/>
      </w:pPr>
      <w:rPr>
        <w:rFonts w:ascii="Wingdings" w:hAnsi="Wingdings" w:hint="default"/>
      </w:rPr>
    </w:lvl>
  </w:abstractNum>
  <w:abstractNum w:abstractNumId="11" w15:restartNumberingAfterBreak="0">
    <w:nsid w:val="582E27D9"/>
    <w:multiLevelType w:val="hybridMultilevel"/>
    <w:tmpl w:val="EB3624A6"/>
    <w:lvl w:ilvl="0" w:tplc="FA58B636">
      <w:start w:val="1"/>
      <w:numFmt w:val="bullet"/>
      <w:lvlText w:val=""/>
      <w:lvlJc w:val="left"/>
      <w:pPr>
        <w:ind w:left="720" w:hanging="360"/>
      </w:pPr>
      <w:rPr>
        <w:rFonts w:ascii="Symbol" w:hAnsi="Symbol" w:hint="default"/>
      </w:rPr>
    </w:lvl>
    <w:lvl w:ilvl="1" w:tplc="AD34412A" w:tentative="1">
      <w:start w:val="1"/>
      <w:numFmt w:val="bullet"/>
      <w:lvlText w:val="o"/>
      <w:lvlJc w:val="left"/>
      <w:pPr>
        <w:ind w:left="1440" w:hanging="360"/>
      </w:pPr>
      <w:rPr>
        <w:rFonts w:ascii="Courier New" w:hAnsi="Courier New" w:cs="Courier New" w:hint="default"/>
      </w:rPr>
    </w:lvl>
    <w:lvl w:ilvl="2" w:tplc="6B02B008" w:tentative="1">
      <w:start w:val="1"/>
      <w:numFmt w:val="bullet"/>
      <w:lvlText w:val=""/>
      <w:lvlJc w:val="left"/>
      <w:pPr>
        <w:ind w:left="2160" w:hanging="360"/>
      </w:pPr>
      <w:rPr>
        <w:rFonts w:ascii="Wingdings" w:hAnsi="Wingdings" w:hint="default"/>
      </w:rPr>
    </w:lvl>
    <w:lvl w:ilvl="3" w:tplc="9B407EE4" w:tentative="1">
      <w:start w:val="1"/>
      <w:numFmt w:val="bullet"/>
      <w:lvlText w:val=""/>
      <w:lvlJc w:val="left"/>
      <w:pPr>
        <w:ind w:left="2880" w:hanging="360"/>
      </w:pPr>
      <w:rPr>
        <w:rFonts w:ascii="Symbol" w:hAnsi="Symbol" w:hint="default"/>
      </w:rPr>
    </w:lvl>
    <w:lvl w:ilvl="4" w:tplc="81981182" w:tentative="1">
      <w:start w:val="1"/>
      <w:numFmt w:val="bullet"/>
      <w:lvlText w:val="o"/>
      <w:lvlJc w:val="left"/>
      <w:pPr>
        <w:ind w:left="3600" w:hanging="360"/>
      </w:pPr>
      <w:rPr>
        <w:rFonts w:ascii="Courier New" w:hAnsi="Courier New" w:cs="Courier New" w:hint="default"/>
      </w:rPr>
    </w:lvl>
    <w:lvl w:ilvl="5" w:tplc="008660DA" w:tentative="1">
      <w:start w:val="1"/>
      <w:numFmt w:val="bullet"/>
      <w:lvlText w:val=""/>
      <w:lvlJc w:val="left"/>
      <w:pPr>
        <w:ind w:left="4320" w:hanging="360"/>
      </w:pPr>
      <w:rPr>
        <w:rFonts w:ascii="Wingdings" w:hAnsi="Wingdings" w:hint="default"/>
      </w:rPr>
    </w:lvl>
    <w:lvl w:ilvl="6" w:tplc="E2A6A75E" w:tentative="1">
      <w:start w:val="1"/>
      <w:numFmt w:val="bullet"/>
      <w:lvlText w:val=""/>
      <w:lvlJc w:val="left"/>
      <w:pPr>
        <w:ind w:left="5040" w:hanging="360"/>
      </w:pPr>
      <w:rPr>
        <w:rFonts w:ascii="Symbol" w:hAnsi="Symbol" w:hint="default"/>
      </w:rPr>
    </w:lvl>
    <w:lvl w:ilvl="7" w:tplc="67F0CFB0" w:tentative="1">
      <w:start w:val="1"/>
      <w:numFmt w:val="bullet"/>
      <w:lvlText w:val="o"/>
      <w:lvlJc w:val="left"/>
      <w:pPr>
        <w:ind w:left="5760" w:hanging="360"/>
      </w:pPr>
      <w:rPr>
        <w:rFonts w:ascii="Courier New" w:hAnsi="Courier New" w:cs="Courier New" w:hint="default"/>
      </w:rPr>
    </w:lvl>
    <w:lvl w:ilvl="8" w:tplc="1E34238A" w:tentative="1">
      <w:start w:val="1"/>
      <w:numFmt w:val="bullet"/>
      <w:lvlText w:val=""/>
      <w:lvlJc w:val="left"/>
      <w:pPr>
        <w:ind w:left="6480" w:hanging="360"/>
      </w:pPr>
      <w:rPr>
        <w:rFonts w:ascii="Wingdings" w:hAnsi="Wingdings" w:hint="default"/>
      </w:rPr>
    </w:lvl>
  </w:abstractNum>
  <w:abstractNum w:abstractNumId="12" w15:restartNumberingAfterBreak="0">
    <w:nsid w:val="584D5A3B"/>
    <w:multiLevelType w:val="hybridMultilevel"/>
    <w:tmpl w:val="979A6FB6"/>
    <w:lvl w:ilvl="0" w:tplc="BA3C31FE">
      <w:start w:val="1"/>
      <w:numFmt w:val="bullet"/>
      <w:lvlText w:val=""/>
      <w:lvlJc w:val="left"/>
      <w:pPr>
        <w:ind w:left="720" w:hanging="360"/>
      </w:pPr>
      <w:rPr>
        <w:rFonts w:ascii="Wingdings" w:hAnsi="Wingdings" w:hint="default"/>
      </w:rPr>
    </w:lvl>
    <w:lvl w:ilvl="1" w:tplc="2438DD72" w:tentative="1">
      <w:start w:val="1"/>
      <w:numFmt w:val="bullet"/>
      <w:lvlText w:val="o"/>
      <w:lvlJc w:val="left"/>
      <w:pPr>
        <w:ind w:left="1440" w:hanging="360"/>
      </w:pPr>
      <w:rPr>
        <w:rFonts w:ascii="Courier New" w:hAnsi="Courier New" w:cs="Courier New" w:hint="default"/>
      </w:rPr>
    </w:lvl>
    <w:lvl w:ilvl="2" w:tplc="EF6450AA" w:tentative="1">
      <w:start w:val="1"/>
      <w:numFmt w:val="bullet"/>
      <w:lvlText w:val=""/>
      <w:lvlJc w:val="left"/>
      <w:pPr>
        <w:ind w:left="2160" w:hanging="360"/>
      </w:pPr>
      <w:rPr>
        <w:rFonts w:ascii="Wingdings" w:hAnsi="Wingdings" w:hint="default"/>
      </w:rPr>
    </w:lvl>
    <w:lvl w:ilvl="3" w:tplc="FACE5658" w:tentative="1">
      <w:start w:val="1"/>
      <w:numFmt w:val="bullet"/>
      <w:lvlText w:val=""/>
      <w:lvlJc w:val="left"/>
      <w:pPr>
        <w:ind w:left="2880" w:hanging="360"/>
      </w:pPr>
      <w:rPr>
        <w:rFonts w:ascii="Symbol" w:hAnsi="Symbol" w:hint="default"/>
      </w:rPr>
    </w:lvl>
    <w:lvl w:ilvl="4" w:tplc="C846E04C" w:tentative="1">
      <w:start w:val="1"/>
      <w:numFmt w:val="bullet"/>
      <w:lvlText w:val="o"/>
      <w:lvlJc w:val="left"/>
      <w:pPr>
        <w:ind w:left="3600" w:hanging="360"/>
      </w:pPr>
      <w:rPr>
        <w:rFonts w:ascii="Courier New" w:hAnsi="Courier New" w:cs="Courier New" w:hint="default"/>
      </w:rPr>
    </w:lvl>
    <w:lvl w:ilvl="5" w:tplc="88B2942C" w:tentative="1">
      <w:start w:val="1"/>
      <w:numFmt w:val="bullet"/>
      <w:lvlText w:val=""/>
      <w:lvlJc w:val="left"/>
      <w:pPr>
        <w:ind w:left="4320" w:hanging="360"/>
      </w:pPr>
      <w:rPr>
        <w:rFonts w:ascii="Wingdings" w:hAnsi="Wingdings" w:hint="default"/>
      </w:rPr>
    </w:lvl>
    <w:lvl w:ilvl="6" w:tplc="E24ABBE0" w:tentative="1">
      <w:start w:val="1"/>
      <w:numFmt w:val="bullet"/>
      <w:lvlText w:val=""/>
      <w:lvlJc w:val="left"/>
      <w:pPr>
        <w:ind w:left="5040" w:hanging="360"/>
      </w:pPr>
      <w:rPr>
        <w:rFonts w:ascii="Symbol" w:hAnsi="Symbol" w:hint="default"/>
      </w:rPr>
    </w:lvl>
    <w:lvl w:ilvl="7" w:tplc="03FAF9F8" w:tentative="1">
      <w:start w:val="1"/>
      <w:numFmt w:val="bullet"/>
      <w:lvlText w:val="o"/>
      <w:lvlJc w:val="left"/>
      <w:pPr>
        <w:ind w:left="5760" w:hanging="360"/>
      </w:pPr>
      <w:rPr>
        <w:rFonts w:ascii="Courier New" w:hAnsi="Courier New" w:cs="Courier New" w:hint="default"/>
      </w:rPr>
    </w:lvl>
    <w:lvl w:ilvl="8" w:tplc="4A10D7EA" w:tentative="1">
      <w:start w:val="1"/>
      <w:numFmt w:val="bullet"/>
      <w:lvlText w:val=""/>
      <w:lvlJc w:val="left"/>
      <w:pPr>
        <w:ind w:left="6480" w:hanging="360"/>
      </w:pPr>
      <w:rPr>
        <w:rFonts w:ascii="Wingdings" w:hAnsi="Wingdings" w:hint="default"/>
      </w:rPr>
    </w:lvl>
  </w:abstractNum>
  <w:abstractNum w:abstractNumId="13" w15:restartNumberingAfterBreak="0">
    <w:nsid w:val="5D4B5E6A"/>
    <w:multiLevelType w:val="hybridMultilevel"/>
    <w:tmpl w:val="B308AA80"/>
    <w:lvl w:ilvl="0" w:tplc="0F00E37A">
      <w:start w:val="4"/>
      <w:numFmt w:val="decimal"/>
      <w:lvlText w:val="%1."/>
      <w:lvlJc w:val="left"/>
      <w:pPr>
        <w:tabs>
          <w:tab w:val="num" w:pos="720"/>
        </w:tabs>
        <w:ind w:left="720" w:hanging="360"/>
      </w:pPr>
    </w:lvl>
    <w:lvl w:ilvl="1" w:tplc="6C6A7EBA" w:tentative="1">
      <w:start w:val="1"/>
      <w:numFmt w:val="decimal"/>
      <w:lvlText w:val="%2."/>
      <w:lvlJc w:val="left"/>
      <w:pPr>
        <w:tabs>
          <w:tab w:val="num" w:pos="1440"/>
        </w:tabs>
        <w:ind w:left="1440" w:hanging="360"/>
      </w:pPr>
    </w:lvl>
    <w:lvl w:ilvl="2" w:tplc="212841AA" w:tentative="1">
      <w:start w:val="1"/>
      <w:numFmt w:val="decimal"/>
      <w:lvlText w:val="%3."/>
      <w:lvlJc w:val="left"/>
      <w:pPr>
        <w:tabs>
          <w:tab w:val="num" w:pos="2160"/>
        </w:tabs>
        <w:ind w:left="2160" w:hanging="360"/>
      </w:pPr>
    </w:lvl>
    <w:lvl w:ilvl="3" w:tplc="8FF8A868" w:tentative="1">
      <w:start w:val="1"/>
      <w:numFmt w:val="decimal"/>
      <w:lvlText w:val="%4."/>
      <w:lvlJc w:val="left"/>
      <w:pPr>
        <w:tabs>
          <w:tab w:val="num" w:pos="2880"/>
        </w:tabs>
        <w:ind w:left="2880" w:hanging="360"/>
      </w:pPr>
    </w:lvl>
    <w:lvl w:ilvl="4" w:tplc="0F0C9062" w:tentative="1">
      <w:start w:val="1"/>
      <w:numFmt w:val="decimal"/>
      <w:lvlText w:val="%5."/>
      <w:lvlJc w:val="left"/>
      <w:pPr>
        <w:tabs>
          <w:tab w:val="num" w:pos="3600"/>
        </w:tabs>
        <w:ind w:left="3600" w:hanging="360"/>
      </w:pPr>
    </w:lvl>
    <w:lvl w:ilvl="5" w:tplc="8F6EF6B8" w:tentative="1">
      <w:start w:val="1"/>
      <w:numFmt w:val="decimal"/>
      <w:lvlText w:val="%6."/>
      <w:lvlJc w:val="left"/>
      <w:pPr>
        <w:tabs>
          <w:tab w:val="num" w:pos="4320"/>
        </w:tabs>
        <w:ind w:left="4320" w:hanging="360"/>
      </w:pPr>
    </w:lvl>
    <w:lvl w:ilvl="6" w:tplc="A148B762" w:tentative="1">
      <w:start w:val="1"/>
      <w:numFmt w:val="decimal"/>
      <w:lvlText w:val="%7."/>
      <w:lvlJc w:val="left"/>
      <w:pPr>
        <w:tabs>
          <w:tab w:val="num" w:pos="5040"/>
        </w:tabs>
        <w:ind w:left="5040" w:hanging="360"/>
      </w:pPr>
    </w:lvl>
    <w:lvl w:ilvl="7" w:tplc="D9285632" w:tentative="1">
      <w:start w:val="1"/>
      <w:numFmt w:val="decimal"/>
      <w:lvlText w:val="%8."/>
      <w:lvlJc w:val="left"/>
      <w:pPr>
        <w:tabs>
          <w:tab w:val="num" w:pos="5760"/>
        </w:tabs>
        <w:ind w:left="5760" w:hanging="360"/>
      </w:pPr>
    </w:lvl>
    <w:lvl w:ilvl="8" w:tplc="21CE61B0" w:tentative="1">
      <w:start w:val="1"/>
      <w:numFmt w:val="decimal"/>
      <w:lvlText w:val="%9."/>
      <w:lvlJc w:val="left"/>
      <w:pPr>
        <w:tabs>
          <w:tab w:val="num" w:pos="6480"/>
        </w:tabs>
        <w:ind w:left="6480" w:hanging="360"/>
      </w:pPr>
    </w:lvl>
  </w:abstractNum>
  <w:abstractNum w:abstractNumId="14" w15:restartNumberingAfterBreak="0">
    <w:nsid w:val="5EAA72ED"/>
    <w:multiLevelType w:val="hybridMultilevel"/>
    <w:tmpl w:val="3C8E7AA2"/>
    <w:lvl w:ilvl="0" w:tplc="8A5A2922">
      <w:start w:val="1"/>
      <w:numFmt w:val="decimal"/>
      <w:lvlText w:val="%1."/>
      <w:lvlJc w:val="left"/>
      <w:pPr>
        <w:ind w:left="1080" w:hanging="720"/>
      </w:pPr>
      <w:rPr>
        <w:rFonts w:hint="default"/>
      </w:rPr>
    </w:lvl>
    <w:lvl w:ilvl="1" w:tplc="84043156" w:tentative="1">
      <w:start w:val="1"/>
      <w:numFmt w:val="lowerLetter"/>
      <w:lvlText w:val="%2."/>
      <w:lvlJc w:val="left"/>
      <w:pPr>
        <w:ind w:left="1440" w:hanging="360"/>
      </w:pPr>
    </w:lvl>
    <w:lvl w:ilvl="2" w:tplc="373EAA2C" w:tentative="1">
      <w:start w:val="1"/>
      <w:numFmt w:val="lowerRoman"/>
      <w:lvlText w:val="%3."/>
      <w:lvlJc w:val="right"/>
      <w:pPr>
        <w:ind w:left="2160" w:hanging="180"/>
      </w:pPr>
    </w:lvl>
    <w:lvl w:ilvl="3" w:tplc="DD802B82" w:tentative="1">
      <w:start w:val="1"/>
      <w:numFmt w:val="decimal"/>
      <w:lvlText w:val="%4."/>
      <w:lvlJc w:val="left"/>
      <w:pPr>
        <w:ind w:left="2880" w:hanging="360"/>
      </w:pPr>
    </w:lvl>
    <w:lvl w:ilvl="4" w:tplc="8B3C0AEE" w:tentative="1">
      <w:start w:val="1"/>
      <w:numFmt w:val="lowerLetter"/>
      <w:lvlText w:val="%5."/>
      <w:lvlJc w:val="left"/>
      <w:pPr>
        <w:ind w:left="3600" w:hanging="360"/>
      </w:pPr>
    </w:lvl>
    <w:lvl w:ilvl="5" w:tplc="8C5E751E" w:tentative="1">
      <w:start w:val="1"/>
      <w:numFmt w:val="lowerRoman"/>
      <w:lvlText w:val="%6."/>
      <w:lvlJc w:val="right"/>
      <w:pPr>
        <w:ind w:left="4320" w:hanging="180"/>
      </w:pPr>
    </w:lvl>
    <w:lvl w:ilvl="6" w:tplc="83721682" w:tentative="1">
      <w:start w:val="1"/>
      <w:numFmt w:val="decimal"/>
      <w:lvlText w:val="%7."/>
      <w:lvlJc w:val="left"/>
      <w:pPr>
        <w:ind w:left="5040" w:hanging="360"/>
      </w:pPr>
    </w:lvl>
    <w:lvl w:ilvl="7" w:tplc="E1506C06" w:tentative="1">
      <w:start w:val="1"/>
      <w:numFmt w:val="lowerLetter"/>
      <w:lvlText w:val="%8."/>
      <w:lvlJc w:val="left"/>
      <w:pPr>
        <w:ind w:left="5760" w:hanging="360"/>
      </w:pPr>
    </w:lvl>
    <w:lvl w:ilvl="8" w:tplc="8ACC30EC" w:tentative="1">
      <w:start w:val="1"/>
      <w:numFmt w:val="lowerRoman"/>
      <w:lvlText w:val="%9."/>
      <w:lvlJc w:val="right"/>
      <w:pPr>
        <w:ind w:left="6480" w:hanging="180"/>
      </w:pPr>
    </w:lvl>
  </w:abstractNum>
  <w:abstractNum w:abstractNumId="15" w15:restartNumberingAfterBreak="0">
    <w:nsid w:val="5FD23DD3"/>
    <w:multiLevelType w:val="hybridMultilevel"/>
    <w:tmpl w:val="F7DE81DA"/>
    <w:lvl w:ilvl="0" w:tplc="6D1C4AE0">
      <w:start w:val="12"/>
      <w:numFmt w:val="decimal"/>
      <w:lvlText w:val="%1."/>
      <w:lvlJc w:val="left"/>
      <w:pPr>
        <w:tabs>
          <w:tab w:val="num" w:pos="720"/>
        </w:tabs>
        <w:ind w:left="720" w:hanging="360"/>
      </w:pPr>
    </w:lvl>
    <w:lvl w:ilvl="1" w:tplc="E904D11C" w:tentative="1">
      <w:start w:val="1"/>
      <w:numFmt w:val="decimal"/>
      <w:lvlText w:val="%2."/>
      <w:lvlJc w:val="left"/>
      <w:pPr>
        <w:tabs>
          <w:tab w:val="num" w:pos="1440"/>
        </w:tabs>
        <w:ind w:left="1440" w:hanging="360"/>
      </w:pPr>
    </w:lvl>
    <w:lvl w:ilvl="2" w:tplc="DC5AF1D8" w:tentative="1">
      <w:start w:val="1"/>
      <w:numFmt w:val="decimal"/>
      <w:lvlText w:val="%3."/>
      <w:lvlJc w:val="left"/>
      <w:pPr>
        <w:tabs>
          <w:tab w:val="num" w:pos="2160"/>
        </w:tabs>
        <w:ind w:left="2160" w:hanging="360"/>
      </w:pPr>
    </w:lvl>
    <w:lvl w:ilvl="3" w:tplc="AA8C58C0" w:tentative="1">
      <w:start w:val="1"/>
      <w:numFmt w:val="decimal"/>
      <w:lvlText w:val="%4."/>
      <w:lvlJc w:val="left"/>
      <w:pPr>
        <w:tabs>
          <w:tab w:val="num" w:pos="2880"/>
        </w:tabs>
        <w:ind w:left="2880" w:hanging="360"/>
      </w:pPr>
    </w:lvl>
    <w:lvl w:ilvl="4" w:tplc="162E337A" w:tentative="1">
      <w:start w:val="1"/>
      <w:numFmt w:val="decimal"/>
      <w:lvlText w:val="%5."/>
      <w:lvlJc w:val="left"/>
      <w:pPr>
        <w:tabs>
          <w:tab w:val="num" w:pos="3600"/>
        </w:tabs>
        <w:ind w:left="3600" w:hanging="360"/>
      </w:pPr>
    </w:lvl>
    <w:lvl w:ilvl="5" w:tplc="5AEC9B8E" w:tentative="1">
      <w:start w:val="1"/>
      <w:numFmt w:val="decimal"/>
      <w:lvlText w:val="%6."/>
      <w:lvlJc w:val="left"/>
      <w:pPr>
        <w:tabs>
          <w:tab w:val="num" w:pos="4320"/>
        </w:tabs>
        <w:ind w:left="4320" w:hanging="360"/>
      </w:pPr>
    </w:lvl>
    <w:lvl w:ilvl="6" w:tplc="2DDE1198" w:tentative="1">
      <w:start w:val="1"/>
      <w:numFmt w:val="decimal"/>
      <w:lvlText w:val="%7."/>
      <w:lvlJc w:val="left"/>
      <w:pPr>
        <w:tabs>
          <w:tab w:val="num" w:pos="5040"/>
        </w:tabs>
        <w:ind w:left="5040" w:hanging="360"/>
      </w:pPr>
    </w:lvl>
    <w:lvl w:ilvl="7" w:tplc="38F6BC5C" w:tentative="1">
      <w:start w:val="1"/>
      <w:numFmt w:val="decimal"/>
      <w:lvlText w:val="%8."/>
      <w:lvlJc w:val="left"/>
      <w:pPr>
        <w:tabs>
          <w:tab w:val="num" w:pos="5760"/>
        </w:tabs>
        <w:ind w:left="5760" w:hanging="360"/>
      </w:pPr>
    </w:lvl>
    <w:lvl w:ilvl="8" w:tplc="CA524600" w:tentative="1">
      <w:start w:val="1"/>
      <w:numFmt w:val="decimal"/>
      <w:lvlText w:val="%9."/>
      <w:lvlJc w:val="left"/>
      <w:pPr>
        <w:tabs>
          <w:tab w:val="num" w:pos="6480"/>
        </w:tabs>
        <w:ind w:left="6480" w:hanging="360"/>
      </w:pPr>
    </w:lvl>
  </w:abstractNum>
  <w:abstractNum w:abstractNumId="16" w15:restartNumberingAfterBreak="0">
    <w:nsid w:val="601D1605"/>
    <w:multiLevelType w:val="hybridMultilevel"/>
    <w:tmpl w:val="0B02BDEC"/>
    <w:lvl w:ilvl="0" w:tplc="96F4A764">
      <w:start w:val="8"/>
      <w:numFmt w:val="decimal"/>
      <w:lvlText w:val="%1."/>
      <w:lvlJc w:val="left"/>
      <w:pPr>
        <w:tabs>
          <w:tab w:val="num" w:pos="720"/>
        </w:tabs>
        <w:ind w:left="720" w:hanging="360"/>
      </w:pPr>
    </w:lvl>
    <w:lvl w:ilvl="1" w:tplc="4B601142" w:tentative="1">
      <w:start w:val="1"/>
      <w:numFmt w:val="decimal"/>
      <w:lvlText w:val="%2."/>
      <w:lvlJc w:val="left"/>
      <w:pPr>
        <w:tabs>
          <w:tab w:val="num" w:pos="1440"/>
        </w:tabs>
        <w:ind w:left="1440" w:hanging="360"/>
      </w:pPr>
    </w:lvl>
    <w:lvl w:ilvl="2" w:tplc="81EEFA42" w:tentative="1">
      <w:start w:val="1"/>
      <w:numFmt w:val="decimal"/>
      <w:lvlText w:val="%3."/>
      <w:lvlJc w:val="left"/>
      <w:pPr>
        <w:tabs>
          <w:tab w:val="num" w:pos="2160"/>
        </w:tabs>
        <w:ind w:left="2160" w:hanging="360"/>
      </w:pPr>
    </w:lvl>
    <w:lvl w:ilvl="3" w:tplc="5B4AB0A2" w:tentative="1">
      <w:start w:val="1"/>
      <w:numFmt w:val="decimal"/>
      <w:lvlText w:val="%4."/>
      <w:lvlJc w:val="left"/>
      <w:pPr>
        <w:tabs>
          <w:tab w:val="num" w:pos="2880"/>
        </w:tabs>
        <w:ind w:left="2880" w:hanging="360"/>
      </w:pPr>
    </w:lvl>
    <w:lvl w:ilvl="4" w:tplc="BCC0C714" w:tentative="1">
      <w:start w:val="1"/>
      <w:numFmt w:val="decimal"/>
      <w:lvlText w:val="%5."/>
      <w:lvlJc w:val="left"/>
      <w:pPr>
        <w:tabs>
          <w:tab w:val="num" w:pos="3600"/>
        </w:tabs>
        <w:ind w:left="3600" w:hanging="360"/>
      </w:pPr>
    </w:lvl>
    <w:lvl w:ilvl="5" w:tplc="D1A685DE" w:tentative="1">
      <w:start w:val="1"/>
      <w:numFmt w:val="decimal"/>
      <w:lvlText w:val="%6."/>
      <w:lvlJc w:val="left"/>
      <w:pPr>
        <w:tabs>
          <w:tab w:val="num" w:pos="4320"/>
        </w:tabs>
        <w:ind w:left="4320" w:hanging="360"/>
      </w:pPr>
    </w:lvl>
    <w:lvl w:ilvl="6" w:tplc="08F4C8D6" w:tentative="1">
      <w:start w:val="1"/>
      <w:numFmt w:val="decimal"/>
      <w:lvlText w:val="%7."/>
      <w:lvlJc w:val="left"/>
      <w:pPr>
        <w:tabs>
          <w:tab w:val="num" w:pos="5040"/>
        </w:tabs>
        <w:ind w:left="5040" w:hanging="360"/>
      </w:pPr>
    </w:lvl>
    <w:lvl w:ilvl="7" w:tplc="72860912" w:tentative="1">
      <w:start w:val="1"/>
      <w:numFmt w:val="decimal"/>
      <w:lvlText w:val="%8."/>
      <w:lvlJc w:val="left"/>
      <w:pPr>
        <w:tabs>
          <w:tab w:val="num" w:pos="5760"/>
        </w:tabs>
        <w:ind w:left="5760" w:hanging="360"/>
      </w:pPr>
    </w:lvl>
    <w:lvl w:ilvl="8" w:tplc="703AFED8" w:tentative="1">
      <w:start w:val="1"/>
      <w:numFmt w:val="decimal"/>
      <w:lvlText w:val="%9."/>
      <w:lvlJc w:val="left"/>
      <w:pPr>
        <w:tabs>
          <w:tab w:val="num" w:pos="6480"/>
        </w:tabs>
        <w:ind w:left="6480" w:hanging="360"/>
      </w:pPr>
    </w:lvl>
  </w:abstractNum>
  <w:abstractNum w:abstractNumId="17" w15:restartNumberingAfterBreak="0">
    <w:nsid w:val="6439343D"/>
    <w:multiLevelType w:val="hybridMultilevel"/>
    <w:tmpl w:val="A664DCB8"/>
    <w:lvl w:ilvl="0" w:tplc="3F167EF2">
      <w:start w:val="1"/>
      <w:numFmt w:val="decimal"/>
      <w:lvlText w:val="%1."/>
      <w:lvlJc w:val="left"/>
      <w:pPr>
        <w:ind w:left="720" w:hanging="360"/>
      </w:pPr>
    </w:lvl>
    <w:lvl w:ilvl="1" w:tplc="683646D2" w:tentative="1">
      <w:start w:val="1"/>
      <w:numFmt w:val="lowerLetter"/>
      <w:lvlText w:val="%2."/>
      <w:lvlJc w:val="left"/>
      <w:pPr>
        <w:ind w:left="1440" w:hanging="360"/>
      </w:pPr>
    </w:lvl>
    <w:lvl w:ilvl="2" w:tplc="73A4CBB6" w:tentative="1">
      <w:start w:val="1"/>
      <w:numFmt w:val="lowerRoman"/>
      <w:lvlText w:val="%3."/>
      <w:lvlJc w:val="right"/>
      <w:pPr>
        <w:ind w:left="2160" w:hanging="180"/>
      </w:pPr>
    </w:lvl>
    <w:lvl w:ilvl="3" w:tplc="877C24E6" w:tentative="1">
      <w:start w:val="1"/>
      <w:numFmt w:val="decimal"/>
      <w:lvlText w:val="%4."/>
      <w:lvlJc w:val="left"/>
      <w:pPr>
        <w:ind w:left="2880" w:hanging="360"/>
      </w:pPr>
    </w:lvl>
    <w:lvl w:ilvl="4" w:tplc="1236EC44" w:tentative="1">
      <w:start w:val="1"/>
      <w:numFmt w:val="lowerLetter"/>
      <w:lvlText w:val="%5."/>
      <w:lvlJc w:val="left"/>
      <w:pPr>
        <w:ind w:left="3600" w:hanging="360"/>
      </w:pPr>
    </w:lvl>
    <w:lvl w:ilvl="5" w:tplc="98C8A74A" w:tentative="1">
      <w:start w:val="1"/>
      <w:numFmt w:val="lowerRoman"/>
      <w:lvlText w:val="%6."/>
      <w:lvlJc w:val="right"/>
      <w:pPr>
        <w:ind w:left="4320" w:hanging="180"/>
      </w:pPr>
    </w:lvl>
    <w:lvl w:ilvl="6" w:tplc="33E411A8" w:tentative="1">
      <w:start w:val="1"/>
      <w:numFmt w:val="decimal"/>
      <w:lvlText w:val="%7."/>
      <w:lvlJc w:val="left"/>
      <w:pPr>
        <w:ind w:left="5040" w:hanging="360"/>
      </w:pPr>
    </w:lvl>
    <w:lvl w:ilvl="7" w:tplc="AC4A2428" w:tentative="1">
      <w:start w:val="1"/>
      <w:numFmt w:val="lowerLetter"/>
      <w:lvlText w:val="%8."/>
      <w:lvlJc w:val="left"/>
      <w:pPr>
        <w:ind w:left="5760" w:hanging="360"/>
      </w:pPr>
    </w:lvl>
    <w:lvl w:ilvl="8" w:tplc="6B2277F8" w:tentative="1">
      <w:start w:val="1"/>
      <w:numFmt w:val="lowerRoman"/>
      <w:lvlText w:val="%9."/>
      <w:lvlJc w:val="right"/>
      <w:pPr>
        <w:ind w:left="6480" w:hanging="180"/>
      </w:pPr>
    </w:lvl>
  </w:abstractNum>
  <w:abstractNum w:abstractNumId="18" w15:restartNumberingAfterBreak="0">
    <w:nsid w:val="692A2CC2"/>
    <w:multiLevelType w:val="hybridMultilevel"/>
    <w:tmpl w:val="9858061E"/>
    <w:lvl w:ilvl="0" w:tplc="852EA7D6">
      <w:start w:val="1"/>
      <w:numFmt w:val="decimal"/>
      <w:lvlText w:val="%1."/>
      <w:lvlJc w:val="left"/>
      <w:pPr>
        <w:ind w:left="1080" w:hanging="720"/>
      </w:pPr>
      <w:rPr>
        <w:rFonts w:hint="default"/>
      </w:rPr>
    </w:lvl>
    <w:lvl w:ilvl="1" w:tplc="6FD00966" w:tentative="1">
      <w:start w:val="1"/>
      <w:numFmt w:val="lowerLetter"/>
      <w:lvlText w:val="%2."/>
      <w:lvlJc w:val="left"/>
      <w:pPr>
        <w:ind w:left="1440" w:hanging="360"/>
      </w:pPr>
    </w:lvl>
    <w:lvl w:ilvl="2" w:tplc="0BEE176A" w:tentative="1">
      <w:start w:val="1"/>
      <w:numFmt w:val="lowerRoman"/>
      <w:lvlText w:val="%3."/>
      <w:lvlJc w:val="right"/>
      <w:pPr>
        <w:ind w:left="2160" w:hanging="180"/>
      </w:pPr>
    </w:lvl>
    <w:lvl w:ilvl="3" w:tplc="A48291D6" w:tentative="1">
      <w:start w:val="1"/>
      <w:numFmt w:val="decimal"/>
      <w:lvlText w:val="%4."/>
      <w:lvlJc w:val="left"/>
      <w:pPr>
        <w:ind w:left="2880" w:hanging="360"/>
      </w:pPr>
    </w:lvl>
    <w:lvl w:ilvl="4" w:tplc="25B84A88" w:tentative="1">
      <w:start w:val="1"/>
      <w:numFmt w:val="lowerLetter"/>
      <w:lvlText w:val="%5."/>
      <w:lvlJc w:val="left"/>
      <w:pPr>
        <w:ind w:left="3600" w:hanging="360"/>
      </w:pPr>
    </w:lvl>
    <w:lvl w:ilvl="5" w:tplc="BF8CD704" w:tentative="1">
      <w:start w:val="1"/>
      <w:numFmt w:val="lowerRoman"/>
      <w:lvlText w:val="%6."/>
      <w:lvlJc w:val="right"/>
      <w:pPr>
        <w:ind w:left="4320" w:hanging="180"/>
      </w:pPr>
    </w:lvl>
    <w:lvl w:ilvl="6" w:tplc="7520DB28" w:tentative="1">
      <w:start w:val="1"/>
      <w:numFmt w:val="decimal"/>
      <w:lvlText w:val="%7."/>
      <w:lvlJc w:val="left"/>
      <w:pPr>
        <w:ind w:left="5040" w:hanging="360"/>
      </w:pPr>
    </w:lvl>
    <w:lvl w:ilvl="7" w:tplc="41D283A2" w:tentative="1">
      <w:start w:val="1"/>
      <w:numFmt w:val="lowerLetter"/>
      <w:lvlText w:val="%8."/>
      <w:lvlJc w:val="left"/>
      <w:pPr>
        <w:ind w:left="5760" w:hanging="360"/>
      </w:pPr>
    </w:lvl>
    <w:lvl w:ilvl="8" w:tplc="6FC43D3E" w:tentative="1">
      <w:start w:val="1"/>
      <w:numFmt w:val="lowerRoman"/>
      <w:lvlText w:val="%9."/>
      <w:lvlJc w:val="right"/>
      <w:pPr>
        <w:ind w:left="6480" w:hanging="180"/>
      </w:pPr>
    </w:lvl>
  </w:abstractNum>
  <w:abstractNum w:abstractNumId="19" w15:restartNumberingAfterBreak="0">
    <w:nsid w:val="6D981C93"/>
    <w:multiLevelType w:val="hybridMultilevel"/>
    <w:tmpl w:val="B66E4916"/>
    <w:lvl w:ilvl="0" w:tplc="2882507A">
      <w:start w:val="1"/>
      <w:numFmt w:val="decimal"/>
      <w:lvlText w:val="%1."/>
      <w:lvlJc w:val="left"/>
      <w:pPr>
        <w:ind w:left="720" w:hanging="360"/>
      </w:pPr>
      <w:rPr>
        <w:rFonts w:hint="default"/>
      </w:rPr>
    </w:lvl>
    <w:lvl w:ilvl="1" w:tplc="CA303480" w:tentative="1">
      <w:start w:val="1"/>
      <w:numFmt w:val="bullet"/>
      <w:lvlText w:val="o"/>
      <w:lvlJc w:val="left"/>
      <w:pPr>
        <w:ind w:left="1440" w:hanging="360"/>
      </w:pPr>
      <w:rPr>
        <w:rFonts w:ascii="Courier New" w:hAnsi="Courier New" w:cs="Courier New" w:hint="default"/>
      </w:rPr>
    </w:lvl>
    <w:lvl w:ilvl="2" w:tplc="594AD2BC" w:tentative="1">
      <w:start w:val="1"/>
      <w:numFmt w:val="bullet"/>
      <w:lvlText w:val=""/>
      <w:lvlJc w:val="left"/>
      <w:pPr>
        <w:ind w:left="2160" w:hanging="360"/>
      </w:pPr>
      <w:rPr>
        <w:rFonts w:ascii="Wingdings" w:hAnsi="Wingdings" w:hint="default"/>
      </w:rPr>
    </w:lvl>
    <w:lvl w:ilvl="3" w:tplc="18F601EE" w:tentative="1">
      <w:start w:val="1"/>
      <w:numFmt w:val="bullet"/>
      <w:lvlText w:val=""/>
      <w:lvlJc w:val="left"/>
      <w:pPr>
        <w:ind w:left="2880" w:hanging="360"/>
      </w:pPr>
      <w:rPr>
        <w:rFonts w:ascii="Symbol" w:hAnsi="Symbol" w:hint="default"/>
      </w:rPr>
    </w:lvl>
    <w:lvl w:ilvl="4" w:tplc="57049AA4" w:tentative="1">
      <w:start w:val="1"/>
      <w:numFmt w:val="bullet"/>
      <w:lvlText w:val="o"/>
      <w:lvlJc w:val="left"/>
      <w:pPr>
        <w:ind w:left="3600" w:hanging="360"/>
      </w:pPr>
      <w:rPr>
        <w:rFonts w:ascii="Courier New" w:hAnsi="Courier New" w:cs="Courier New" w:hint="default"/>
      </w:rPr>
    </w:lvl>
    <w:lvl w:ilvl="5" w:tplc="2444CBA6" w:tentative="1">
      <w:start w:val="1"/>
      <w:numFmt w:val="bullet"/>
      <w:lvlText w:val=""/>
      <w:lvlJc w:val="left"/>
      <w:pPr>
        <w:ind w:left="4320" w:hanging="360"/>
      </w:pPr>
      <w:rPr>
        <w:rFonts w:ascii="Wingdings" w:hAnsi="Wingdings" w:hint="default"/>
      </w:rPr>
    </w:lvl>
    <w:lvl w:ilvl="6" w:tplc="286E752E" w:tentative="1">
      <w:start w:val="1"/>
      <w:numFmt w:val="bullet"/>
      <w:lvlText w:val=""/>
      <w:lvlJc w:val="left"/>
      <w:pPr>
        <w:ind w:left="5040" w:hanging="360"/>
      </w:pPr>
      <w:rPr>
        <w:rFonts w:ascii="Symbol" w:hAnsi="Symbol" w:hint="default"/>
      </w:rPr>
    </w:lvl>
    <w:lvl w:ilvl="7" w:tplc="DF5EDE0E" w:tentative="1">
      <w:start w:val="1"/>
      <w:numFmt w:val="bullet"/>
      <w:lvlText w:val="o"/>
      <w:lvlJc w:val="left"/>
      <w:pPr>
        <w:ind w:left="5760" w:hanging="360"/>
      </w:pPr>
      <w:rPr>
        <w:rFonts w:ascii="Courier New" w:hAnsi="Courier New" w:cs="Courier New" w:hint="default"/>
      </w:rPr>
    </w:lvl>
    <w:lvl w:ilvl="8" w:tplc="52B0B98A" w:tentative="1">
      <w:start w:val="1"/>
      <w:numFmt w:val="bullet"/>
      <w:lvlText w:val=""/>
      <w:lvlJc w:val="left"/>
      <w:pPr>
        <w:ind w:left="6480" w:hanging="360"/>
      </w:pPr>
      <w:rPr>
        <w:rFonts w:ascii="Wingdings" w:hAnsi="Wingdings" w:hint="default"/>
      </w:rPr>
    </w:lvl>
  </w:abstractNum>
  <w:abstractNum w:abstractNumId="20" w15:restartNumberingAfterBreak="0">
    <w:nsid w:val="6F183C20"/>
    <w:multiLevelType w:val="hybridMultilevel"/>
    <w:tmpl w:val="48CC270A"/>
    <w:lvl w:ilvl="0" w:tplc="351CF9E2">
      <w:start w:val="1"/>
      <w:numFmt w:val="decimal"/>
      <w:lvlText w:val="%1."/>
      <w:lvlJc w:val="left"/>
      <w:pPr>
        <w:ind w:left="1080" w:hanging="720"/>
      </w:pPr>
      <w:rPr>
        <w:rFonts w:hint="default"/>
      </w:rPr>
    </w:lvl>
    <w:lvl w:ilvl="1" w:tplc="0EB0E8AA" w:tentative="1">
      <w:start w:val="1"/>
      <w:numFmt w:val="lowerLetter"/>
      <w:lvlText w:val="%2."/>
      <w:lvlJc w:val="left"/>
      <w:pPr>
        <w:ind w:left="1440" w:hanging="360"/>
      </w:pPr>
    </w:lvl>
    <w:lvl w:ilvl="2" w:tplc="6C5C7678" w:tentative="1">
      <w:start w:val="1"/>
      <w:numFmt w:val="lowerRoman"/>
      <w:lvlText w:val="%3."/>
      <w:lvlJc w:val="right"/>
      <w:pPr>
        <w:ind w:left="2160" w:hanging="180"/>
      </w:pPr>
    </w:lvl>
    <w:lvl w:ilvl="3" w:tplc="78D028BA" w:tentative="1">
      <w:start w:val="1"/>
      <w:numFmt w:val="decimal"/>
      <w:lvlText w:val="%4."/>
      <w:lvlJc w:val="left"/>
      <w:pPr>
        <w:ind w:left="2880" w:hanging="360"/>
      </w:pPr>
    </w:lvl>
    <w:lvl w:ilvl="4" w:tplc="E3A4AB8A" w:tentative="1">
      <w:start w:val="1"/>
      <w:numFmt w:val="lowerLetter"/>
      <w:lvlText w:val="%5."/>
      <w:lvlJc w:val="left"/>
      <w:pPr>
        <w:ind w:left="3600" w:hanging="360"/>
      </w:pPr>
    </w:lvl>
    <w:lvl w:ilvl="5" w:tplc="7BAABDFC" w:tentative="1">
      <w:start w:val="1"/>
      <w:numFmt w:val="lowerRoman"/>
      <w:lvlText w:val="%6."/>
      <w:lvlJc w:val="right"/>
      <w:pPr>
        <w:ind w:left="4320" w:hanging="180"/>
      </w:pPr>
    </w:lvl>
    <w:lvl w:ilvl="6" w:tplc="02F0025A" w:tentative="1">
      <w:start w:val="1"/>
      <w:numFmt w:val="decimal"/>
      <w:lvlText w:val="%7."/>
      <w:lvlJc w:val="left"/>
      <w:pPr>
        <w:ind w:left="5040" w:hanging="360"/>
      </w:pPr>
    </w:lvl>
    <w:lvl w:ilvl="7" w:tplc="AEE66278" w:tentative="1">
      <w:start w:val="1"/>
      <w:numFmt w:val="lowerLetter"/>
      <w:lvlText w:val="%8."/>
      <w:lvlJc w:val="left"/>
      <w:pPr>
        <w:ind w:left="5760" w:hanging="360"/>
      </w:pPr>
    </w:lvl>
    <w:lvl w:ilvl="8" w:tplc="FE385110" w:tentative="1">
      <w:start w:val="1"/>
      <w:numFmt w:val="lowerRoman"/>
      <w:lvlText w:val="%9."/>
      <w:lvlJc w:val="right"/>
      <w:pPr>
        <w:ind w:left="6480" w:hanging="180"/>
      </w:pPr>
    </w:lvl>
  </w:abstractNum>
  <w:abstractNum w:abstractNumId="21" w15:restartNumberingAfterBreak="0">
    <w:nsid w:val="78E946B4"/>
    <w:multiLevelType w:val="hybridMultilevel"/>
    <w:tmpl w:val="5C5A5A04"/>
    <w:lvl w:ilvl="0" w:tplc="BBAC2F48">
      <w:start w:val="1"/>
      <w:numFmt w:val="bullet"/>
      <w:lvlText w:val=""/>
      <w:lvlJc w:val="left"/>
      <w:pPr>
        <w:ind w:left="4692" w:hanging="360"/>
      </w:pPr>
      <w:rPr>
        <w:rFonts w:ascii="Wingdings" w:hAnsi="Wingdings" w:hint="default"/>
      </w:rPr>
    </w:lvl>
    <w:lvl w:ilvl="1" w:tplc="56149896">
      <w:start w:val="1"/>
      <w:numFmt w:val="bullet"/>
      <w:lvlText w:val="o"/>
      <w:lvlJc w:val="left"/>
      <w:pPr>
        <w:ind w:left="5412" w:hanging="360"/>
      </w:pPr>
      <w:rPr>
        <w:rFonts w:ascii="Courier New" w:hAnsi="Courier New" w:cs="Courier New" w:hint="default"/>
      </w:rPr>
    </w:lvl>
    <w:lvl w:ilvl="2" w:tplc="6262D494">
      <w:start w:val="1"/>
      <w:numFmt w:val="bullet"/>
      <w:lvlText w:val=""/>
      <w:lvlJc w:val="left"/>
      <w:pPr>
        <w:ind w:left="6132" w:hanging="360"/>
      </w:pPr>
      <w:rPr>
        <w:rFonts w:ascii="Wingdings" w:hAnsi="Wingdings" w:hint="default"/>
      </w:rPr>
    </w:lvl>
    <w:lvl w:ilvl="3" w:tplc="C10C6D98" w:tentative="1">
      <w:start w:val="1"/>
      <w:numFmt w:val="bullet"/>
      <w:lvlText w:val=""/>
      <w:lvlJc w:val="left"/>
      <w:pPr>
        <w:ind w:left="6852" w:hanging="360"/>
      </w:pPr>
      <w:rPr>
        <w:rFonts w:ascii="Symbol" w:hAnsi="Symbol" w:hint="default"/>
      </w:rPr>
    </w:lvl>
    <w:lvl w:ilvl="4" w:tplc="FF4E1ECC" w:tentative="1">
      <w:start w:val="1"/>
      <w:numFmt w:val="bullet"/>
      <w:lvlText w:val="o"/>
      <w:lvlJc w:val="left"/>
      <w:pPr>
        <w:ind w:left="7572" w:hanging="360"/>
      </w:pPr>
      <w:rPr>
        <w:rFonts w:ascii="Courier New" w:hAnsi="Courier New" w:cs="Courier New" w:hint="default"/>
      </w:rPr>
    </w:lvl>
    <w:lvl w:ilvl="5" w:tplc="EDB61A0C" w:tentative="1">
      <w:start w:val="1"/>
      <w:numFmt w:val="bullet"/>
      <w:lvlText w:val=""/>
      <w:lvlJc w:val="left"/>
      <w:pPr>
        <w:ind w:left="8292" w:hanging="360"/>
      </w:pPr>
      <w:rPr>
        <w:rFonts w:ascii="Wingdings" w:hAnsi="Wingdings" w:hint="default"/>
      </w:rPr>
    </w:lvl>
    <w:lvl w:ilvl="6" w:tplc="ACD4F1B4" w:tentative="1">
      <w:start w:val="1"/>
      <w:numFmt w:val="bullet"/>
      <w:lvlText w:val=""/>
      <w:lvlJc w:val="left"/>
      <w:pPr>
        <w:ind w:left="9012" w:hanging="360"/>
      </w:pPr>
      <w:rPr>
        <w:rFonts w:ascii="Symbol" w:hAnsi="Symbol" w:hint="default"/>
      </w:rPr>
    </w:lvl>
    <w:lvl w:ilvl="7" w:tplc="20248080" w:tentative="1">
      <w:start w:val="1"/>
      <w:numFmt w:val="bullet"/>
      <w:lvlText w:val="o"/>
      <w:lvlJc w:val="left"/>
      <w:pPr>
        <w:ind w:left="9732" w:hanging="360"/>
      </w:pPr>
      <w:rPr>
        <w:rFonts w:ascii="Courier New" w:hAnsi="Courier New" w:cs="Courier New" w:hint="default"/>
      </w:rPr>
    </w:lvl>
    <w:lvl w:ilvl="8" w:tplc="433A62D2" w:tentative="1">
      <w:start w:val="1"/>
      <w:numFmt w:val="bullet"/>
      <w:lvlText w:val=""/>
      <w:lvlJc w:val="left"/>
      <w:pPr>
        <w:ind w:left="10452" w:hanging="360"/>
      </w:pPr>
      <w:rPr>
        <w:rFonts w:ascii="Wingdings" w:hAnsi="Wingdings" w:hint="default"/>
      </w:rPr>
    </w:lvl>
  </w:abstractNum>
  <w:abstractNum w:abstractNumId="22" w15:restartNumberingAfterBreak="0">
    <w:nsid w:val="7E055000"/>
    <w:multiLevelType w:val="hybridMultilevel"/>
    <w:tmpl w:val="B8D07F4E"/>
    <w:lvl w:ilvl="0" w:tplc="66764500">
      <w:start w:val="1"/>
      <w:numFmt w:val="decimal"/>
      <w:lvlText w:val="%1."/>
      <w:lvlJc w:val="left"/>
      <w:pPr>
        <w:ind w:left="720" w:hanging="360"/>
      </w:pPr>
      <w:rPr>
        <w:rFonts w:hint="default"/>
      </w:rPr>
    </w:lvl>
    <w:lvl w:ilvl="1" w:tplc="9E4C3572" w:tentative="1">
      <w:start w:val="1"/>
      <w:numFmt w:val="lowerLetter"/>
      <w:lvlText w:val="%2."/>
      <w:lvlJc w:val="left"/>
      <w:pPr>
        <w:ind w:left="1440" w:hanging="360"/>
      </w:pPr>
    </w:lvl>
    <w:lvl w:ilvl="2" w:tplc="E834DB16" w:tentative="1">
      <w:start w:val="1"/>
      <w:numFmt w:val="lowerRoman"/>
      <w:lvlText w:val="%3."/>
      <w:lvlJc w:val="right"/>
      <w:pPr>
        <w:ind w:left="2160" w:hanging="180"/>
      </w:pPr>
    </w:lvl>
    <w:lvl w:ilvl="3" w:tplc="7E0E3F58" w:tentative="1">
      <w:start w:val="1"/>
      <w:numFmt w:val="decimal"/>
      <w:lvlText w:val="%4."/>
      <w:lvlJc w:val="left"/>
      <w:pPr>
        <w:ind w:left="2880" w:hanging="360"/>
      </w:pPr>
    </w:lvl>
    <w:lvl w:ilvl="4" w:tplc="A5BE179A" w:tentative="1">
      <w:start w:val="1"/>
      <w:numFmt w:val="lowerLetter"/>
      <w:lvlText w:val="%5."/>
      <w:lvlJc w:val="left"/>
      <w:pPr>
        <w:ind w:left="3600" w:hanging="360"/>
      </w:pPr>
    </w:lvl>
    <w:lvl w:ilvl="5" w:tplc="BB92894C" w:tentative="1">
      <w:start w:val="1"/>
      <w:numFmt w:val="lowerRoman"/>
      <w:lvlText w:val="%6."/>
      <w:lvlJc w:val="right"/>
      <w:pPr>
        <w:ind w:left="4320" w:hanging="180"/>
      </w:pPr>
    </w:lvl>
    <w:lvl w:ilvl="6" w:tplc="D13C6FB2" w:tentative="1">
      <w:start w:val="1"/>
      <w:numFmt w:val="decimal"/>
      <w:lvlText w:val="%7."/>
      <w:lvlJc w:val="left"/>
      <w:pPr>
        <w:ind w:left="5040" w:hanging="360"/>
      </w:pPr>
    </w:lvl>
    <w:lvl w:ilvl="7" w:tplc="8A240FBA" w:tentative="1">
      <w:start w:val="1"/>
      <w:numFmt w:val="lowerLetter"/>
      <w:lvlText w:val="%8."/>
      <w:lvlJc w:val="left"/>
      <w:pPr>
        <w:ind w:left="5760" w:hanging="360"/>
      </w:pPr>
    </w:lvl>
    <w:lvl w:ilvl="8" w:tplc="A5EE4B64" w:tentative="1">
      <w:start w:val="1"/>
      <w:numFmt w:val="lowerRoman"/>
      <w:lvlText w:val="%9."/>
      <w:lvlJc w:val="right"/>
      <w:pPr>
        <w:ind w:left="6480" w:hanging="180"/>
      </w:pPr>
    </w:lvl>
  </w:abstractNum>
  <w:num w:numId="1">
    <w:abstractNumId w:val="22"/>
  </w:num>
  <w:num w:numId="2">
    <w:abstractNumId w:val="13"/>
  </w:num>
  <w:num w:numId="3">
    <w:abstractNumId w:val="16"/>
  </w:num>
  <w:num w:numId="4">
    <w:abstractNumId w:val="15"/>
  </w:num>
  <w:num w:numId="5">
    <w:abstractNumId w:val="21"/>
  </w:num>
  <w:num w:numId="6">
    <w:abstractNumId w:val="6"/>
  </w:num>
  <w:num w:numId="7">
    <w:abstractNumId w:val="10"/>
  </w:num>
  <w:num w:numId="8">
    <w:abstractNumId w:val="17"/>
  </w:num>
  <w:num w:numId="9">
    <w:abstractNumId w:val="14"/>
  </w:num>
  <w:num w:numId="10">
    <w:abstractNumId w:val="18"/>
  </w:num>
  <w:num w:numId="11">
    <w:abstractNumId w:val="3"/>
  </w:num>
  <w:num w:numId="12">
    <w:abstractNumId w:val="20"/>
  </w:num>
  <w:num w:numId="13">
    <w:abstractNumId w:val="11"/>
  </w:num>
  <w:num w:numId="14">
    <w:abstractNumId w:val="19"/>
  </w:num>
  <w:num w:numId="15">
    <w:abstractNumId w:val="1"/>
  </w:num>
  <w:num w:numId="16">
    <w:abstractNumId w:val="4"/>
  </w:num>
  <w:num w:numId="17">
    <w:abstractNumId w:val="5"/>
  </w:num>
  <w:num w:numId="18">
    <w:abstractNumId w:val="2"/>
  </w:num>
  <w:num w:numId="19">
    <w:abstractNumId w:val="7"/>
  </w:num>
  <w:num w:numId="20">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7DE"/>
    <w:rsid w:val="00006B53"/>
    <w:rsid w:val="00015A0E"/>
    <w:rsid w:val="0001662F"/>
    <w:rsid w:val="000172C7"/>
    <w:rsid w:val="00021D68"/>
    <w:rsid w:val="00025B29"/>
    <w:rsid w:val="00027BDB"/>
    <w:rsid w:val="00030C13"/>
    <w:rsid w:val="00033FC2"/>
    <w:rsid w:val="00036B0E"/>
    <w:rsid w:val="00043AF6"/>
    <w:rsid w:val="00043F05"/>
    <w:rsid w:val="00050959"/>
    <w:rsid w:val="00055562"/>
    <w:rsid w:val="000563AE"/>
    <w:rsid w:val="00064A10"/>
    <w:rsid w:val="000655F8"/>
    <w:rsid w:val="0007752C"/>
    <w:rsid w:val="000804B6"/>
    <w:rsid w:val="000808BE"/>
    <w:rsid w:val="00082114"/>
    <w:rsid w:val="0008703F"/>
    <w:rsid w:val="00095C25"/>
    <w:rsid w:val="000975F0"/>
    <w:rsid w:val="000A329C"/>
    <w:rsid w:val="000A4FCC"/>
    <w:rsid w:val="000B435C"/>
    <w:rsid w:val="000D01EC"/>
    <w:rsid w:val="000D61D6"/>
    <w:rsid w:val="000E16A3"/>
    <w:rsid w:val="000E2F81"/>
    <w:rsid w:val="000E34E7"/>
    <w:rsid w:val="000E6963"/>
    <w:rsid w:val="000E734D"/>
    <w:rsid w:val="000F48AC"/>
    <w:rsid w:val="000F56B7"/>
    <w:rsid w:val="000F583A"/>
    <w:rsid w:val="0010355E"/>
    <w:rsid w:val="001037C1"/>
    <w:rsid w:val="00106EE1"/>
    <w:rsid w:val="00107192"/>
    <w:rsid w:val="00110191"/>
    <w:rsid w:val="001102CC"/>
    <w:rsid w:val="001118A9"/>
    <w:rsid w:val="001152B6"/>
    <w:rsid w:val="001229BF"/>
    <w:rsid w:val="0012342C"/>
    <w:rsid w:val="00123560"/>
    <w:rsid w:val="001263FC"/>
    <w:rsid w:val="001275ED"/>
    <w:rsid w:val="00127E9F"/>
    <w:rsid w:val="0013792B"/>
    <w:rsid w:val="00137CC2"/>
    <w:rsid w:val="00145049"/>
    <w:rsid w:val="00150883"/>
    <w:rsid w:val="001518A9"/>
    <w:rsid w:val="00162F13"/>
    <w:rsid w:val="00164766"/>
    <w:rsid w:val="00165698"/>
    <w:rsid w:val="00167666"/>
    <w:rsid w:val="0017009D"/>
    <w:rsid w:val="00171357"/>
    <w:rsid w:val="00174661"/>
    <w:rsid w:val="001803D3"/>
    <w:rsid w:val="001804E8"/>
    <w:rsid w:val="00183465"/>
    <w:rsid w:val="001848F2"/>
    <w:rsid w:val="001A528B"/>
    <w:rsid w:val="001A5CE3"/>
    <w:rsid w:val="001B197B"/>
    <w:rsid w:val="001B4FD9"/>
    <w:rsid w:val="001B5A14"/>
    <w:rsid w:val="001D40D1"/>
    <w:rsid w:val="001D5C29"/>
    <w:rsid w:val="001D670F"/>
    <w:rsid w:val="001D69C1"/>
    <w:rsid w:val="001E04CE"/>
    <w:rsid w:val="001E06EA"/>
    <w:rsid w:val="001E0801"/>
    <w:rsid w:val="001E4903"/>
    <w:rsid w:val="001E57E2"/>
    <w:rsid w:val="001F5193"/>
    <w:rsid w:val="00223207"/>
    <w:rsid w:val="00223C5B"/>
    <w:rsid w:val="0022702D"/>
    <w:rsid w:val="00227238"/>
    <w:rsid w:val="00227BBA"/>
    <w:rsid w:val="00231145"/>
    <w:rsid w:val="00231EF7"/>
    <w:rsid w:val="00232072"/>
    <w:rsid w:val="002334CF"/>
    <w:rsid w:val="002338F1"/>
    <w:rsid w:val="00237103"/>
    <w:rsid w:val="0024729E"/>
    <w:rsid w:val="002520B4"/>
    <w:rsid w:val="00252E47"/>
    <w:rsid w:val="0026279F"/>
    <w:rsid w:val="0026749F"/>
    <w:rsid w:val="00267985"/>
    <w:rsid w:val="0027021D"/>
    <w:rsid w:val="00271B2B"/>
    <w:rsid w:val="00271F0F"/>
    <w:rsid w:val="00272D24"/>
    <w:rsid w:val="002731F3"/>
    <w:rsid w:val="0027330A"/>
    <w:rsid w:val="002734B4"/>
    <w:rsid w:val="00274ECE"/>
    <w:rsid w:val="002848B4"/>
    <w:rsid w:val="00287F39"/>
    <w:rsid w:val="00291ADD"/>
    <w:rsid w:val="0029573A"/>
    <w:rsid w:val="002A4892"/>
    <w:rsid w:val="002A5DA5"/>
    <w:rsid w:val="002B16B0"/>
    <w:rsid w:val="002B6F64"/>
    <w:rsid w:val="002C04B2"/>
    <w:rsid w:val="002C1305"/>
    <w:rsid w:val="002C340E"/>
    <w:rsid w:val="002C6A44"/>
    <w:rsid w:val="002D3A80"/>
    <w:rsid w:val="002D59BF"/>
    <w:rsid w:val="002D6177"/>
    <w:rsid w:val="002D6A14"/>
    <w:rsid w:val="002E2850"/>
    <w:rsid w:val="002E4AEB"/>
    <w:rsid w:val="002F772B"/>
    <w:rsid w:val="002F7937"/>
    <w:rsid w:val="00306EE9"/>
    <w:rsid w:val="00315A1A"/>
    <w:rsid w:val="00324CD5"/>
    <w:rsid w:val="003267A1"/>
    <w:rsid w:val="00332637"/>
    <w:rsid w:val="003379BD"/>
    <w:rsid w:val="0034533C"/>
    <w:rsid w:val="00354724"/>
    <w:rsid w:val="003603C7"/>
    <w:rsid w:val="00361C87"/>
    <w:rsid w:val="003658A9"/>
    <w:rsid w:val="00366510"/>
    <w:rsid w:val="00371F68"/>
    <w:rsid w:val="00373684"/>
    <w:rsid w:val="00373695"/>
    <w:rsid w:val="00386B7E"/>
    <w:rsid w:val="00391084"/>
    <w:rsid w:val="003944C2"/>
    <w:rsid w:val="00395368"/>
    <w:rsid w:val="00397AC5"/>
    <w:rsid w:val="003A348A"/>
    <w:rsid w:val="003A44E6"/>
    <w:rsid w:val="003A7282"/>
    <w:rsid w:val="003A78EC"/>
    <w:rsid w:val="003A7F19"/>
    <w:rsid w:val="003B12F9"/>
    <w:rsid w:val="003B22FE"/>
    <w:rsid w:val="003B4C32"/>
    <w:rsid w:val="003C4A84"/>
    <w:rsid w:val="003C735D"/>
    <w:rsid w:val="003D29C2"/>
    <w:rsid w:val="003D7CB9"/>
    <w:rsid w:val="003D7EB0"/>
    <w:rsid w:val="003E1540"/>
    <w:rsid w:val="003E5028"/>
    <w:rsid w:val="003F1518"/>
    <w:rsid w:val="003F3BFD"/>
    <w:rsid w:val="003F6524"/>
    <w:rsid w:val="00400D8A"/>
    <w:rsid w:val="00407A4F"/>
    <w:rsid w:val="00412708"/>
    <w:rsid w:val="00414BF1"/>
    <w:rsid w:val="00417AF8"/>
    <w:rsid w:val="004230AE"/>
    <w:rsid w:val="00424681"/>
    <w:rsid w:val="00424796"/>
    <w:rsid w:val="004321B5"/>
    <w:rsid w:val="00432498"/>
    <w:rsid w:val="004373EC"/>
    <w:rsid w:val="004406C3"/>
    <w:rsid w:val="004500C5"/>
    <w:rsid w:val="004515C8"/>
    <w:rsid w:val="00462800"/>
    <w:rsid w:val="00463F2B"/>
    <w:rsid w:val="004645CA"/>
    <w:rsid w:val="00466119"/>
    <w:rsid w:val="00467923"/>
    <w:rsid w:val="004700A2"/>
    <w:rsid w:val="00472227"/>
    <w:rsid w:val="00473039"/>
    <w:rsid w:val="00473C10"/>
    <w:rsid w:val="00475EB3"/>
    <w:rsid w:val="004764F5"/>
    <w:rsid w:val="00477E8C"/>
    <w:rsid w:val="00481FAE"/>
    <w:rsid w:val="004A1ECF"/>
    <w:rsid w:val="004A40D1"/>
    <w:rsid w:val="004B309A"/>
    <w:rsid w:val="004C155D"/>
    <w:rsid w:val="004C4384"/>
    <w:rsid w:val="004D08EA"/>
    <w:rsid w:val="004D227F"/>
    <w:rsid w:val="004D31C5"/>
    <w:rsid w:val="004D7872"/>
    <w:rsid w:val="004E1E0F"/>
    <w:rsid w:val="004E3A78"/>
    <w:rsid w:val="004E44C9"/>
    <w:rsid w:val="004E4E61"/>
    <w:rsid w:val="004F501B"/>
    <w:rsid w:val="00500DCF"/>
    <w:rsid w:val="00502C56"/>
    <w:rsid w:val="00502E67"/>
    <w:rsid w:val="005041FE"/>
    <w:rsid w:val="005115A6"/>
    <w:rsid w:val="0051206F"/>
    <w:rsid w:val="00516F12"/>
    <w:rsid w:val="00520125"/>
    <w:rsid w:val="00525EF4"/>
    <w:rsid w:val="00527BBF"/>
    <w:rsid w:val="00527C13"/>
    <w:rsid w:val="00532CD8"/>
    <w:rsid w:val="00533CDA"/>
    <w:rsid w:val="0053687E"/>
    <w:rsid w:val="00540875"/>
    <w:rsid w:val="00540FED"/>
    <w:rsid w:val="005414D3"/>
    <w:rsid w:val="00541D3A"/>
    <w:rsid w:val="00542712"/>
    <w:rsid w:val="00550777"/>
    <w:rsid w:val="0055234F"/>
    <w:rsid w:val="00560901"/>
    <w:rsid w:val="00561BAE"/>
    <w:rsid w:val="00562732"/>
    <w:rsid w:val="00570F09"/>
    <w:rsid w:val="00590C68"/>
    <w:rsid w:val="00591878"/>
    <w:rsid w:val="00591890"/>
    <w:rsid w:val="005932DF"/>
    <w:rsid w:val="00596D4A"/>
    <w:rsid w:val="005A476C"/>
    <w:rsid w:val="005A7C99"/>
    <w:rsid w:val="005B05AF"/>
    <w:rsid w:val="005B3166"/>
    <w:rsid w:val="005B535D"/>
    <w:rsid w:val="005B6B9E"/>
    <w:rsid w:val="005C0D6E"/>
    <w:rsid w:val="005C4AEE"/>
    <w:rsid w:val="005D0020"/>
    <w:rsid w:val="005D0501"/>
    <w:rsid w:val="005D78A9"/>
    <w:rsid w:val="005D7FF6"/>
    <w:rsid w:val="005E0624"/>
    <w:rsid w:val="005E19EF"/>
    <w:rsid w:val="005E6490"/>
    <w:rsid w:val="005F3FB7"/>
    <w:rsid w:val="005F6C7C"/>
    <w:rsid w:val="005F6EF6"/>
    <w:rsid w:val="00600177"/>
    <w:rsid w:val="00600695"/>
    <w:rsid w:val="00604D9B"/>
    <w:rsid w:val="0061141A"/>
    <w:rsid w:val="00615C9F"/>
    <w:rsid w:val="00616066"/>
    <w:rsid w:val="00617BEE"/>
    <w:rsid w:val="0063193D"/>
    <w:rsid w:val="00635660"/>
    <w:rsid w:val="0064130E"/>
    <w:rsid w:val="006429A6"/>
    <w:rsid w:val="00646B0B"/>
    <w:rsid w:val="006606FC"/>
    <w:rsid w:val="00666CCF"/>
    <w:rsid w:val="0066786F"/>
    <w:rsid w:val="00671358"/>
    <w:rsid w:val="00680972"/>
    <w:rsid w:val="0068297B"/>
    <w:rsid w:val="00683894"/>
    <w:rsid w:val="00686895"/>
    <w:rsid w:val="00687A6A"/>
    <w:rsid w:val="0069185E"/>
    <w:rsid w:val="0069279B"/>
    <w:rsid w:val="00692EAC"/>
    <w:rsid w:val="00692F0E"/>
    <w:rsid w:val="006977B4"/>
    <w:rsid w:val="00697D4D"/>
    <w:rsid w:val="006A1D60"/>
    <w:rsid w:val="006A6A6B"/>
    <w:rsid w:val="006B15FA"/>
    <w:rsid w:val="006B2437"/>
    <w:rsid w:val="006B2FCB"/>
    <w:rsid w:val="006C1B22"/>
    <w:rsid w:val="006C6EA5"/>
    <w:rsid w:val="006D085B"/>
    <w:rsid w:val="006D08CE"/>
    <w:rsid w:val="006D15B7"/>
    <w:rsid w:val="006E07D2"/>
    <w:rsid w:val="006E6453"/>
    <w:rsid w:val="006F2BBC"/>
    <w:rsid w:val="006F4439"/>
    <w:rsid w:val="006F7900"/>
    <w:rsid w:val="00700768"/>
    <w:rsid w:val="00715A63"/>
    <w:rsid w:val="00715E58"/>
    <w:rsid w:val="007166E0"/>
    <w:rsid w:val="007409B5"/>
    <w:rsid w:val="007417EA"/>
    <w:rsid w:val="00743A62"/>
    <w:rsid w:val="00745991"/>
    <w:rsid w:val="00747B36"/>
    <w:rsid w:val="00750390"/>
    <w:rsid w:val="00750799"/>
    <w:rsid w:val="007521F4"/>
    <w:rsid w:val="007537C8"/>
    <w:rsid w:val="00756501"/>
    <w:rsid w:val="007611B8"/>
    <w:rsid w:val="0076765A"/>
    <w:rsid w:val="00772FE4"/>
    <w:rsid w:val="00776A01"/>
    <w:rsid w:val="007820CC"/>
    <w:rsid w:val="007825B6"/>
    <w:rsid w:val="00782A13"/>
    <w:rsid w:val="00785D83"/>
    <w:rsid w:val="00790B44"/>
    <w:rsid w:val="00791B63"/>
    <w:rsid w:val="007A03D3"/>
    <w:rsid w:val="007A094B"/>
    <w:rsid w:val="007A1184"/>
    <w:rsid w:val="007A70FE"/>
    <w:rsid w:val="007B1B41"/>
    <w:rsid w:val="007C5042"/>
    <w:rsid w:val="007D7730"/>
    <w:rsid w:val="007F15B5"/>
    <w:rsid w:val="00802197"/>
    <w:rsid w:val="00814E30"/>
    <w:rsid w:val="00821FFA"/>
    <w:rsid w:val="00823C19"/>
    <w:rsid w:val="00836A02"/>
    <w:rsid w:val="00836DED"/>
    <w:rsid w:val="008420AB"/>
    <w:rsid w:val="00842909"/>
    <w:rsid w:val="0084707F"/>
    <w:rsid w:val="00847196"/>
    <w:rsid w:val="00851509"/>
    <w:rsid w:val="008559C3"/>
    <w:rsid w:val="00861054"/>
    <w:rsid w:val="008653D3"/>
    <w:rsid w:val="0087543B"/>
    <w:rsid w:val="008759E0"/>
    <w:rsid w:val="00875AB9"/>
    <w:rsid w:val="008769A6"/>
    <w:rsid w:val="008800CA"/>
    <w:rsid w:val="008856BD"/>
    <w:rsid w:val="00886A26"/>
    <w:rsid w:val="00893110"/>
    <w:rsid w:val="00894463"/>
    <w:rsid w:val="008A012D"/>
    <w:rsid w:val="008A5777"/>
    <w:rsid w:val="008C0317"/>
    <w:rsid w:val="008C74B8"/>
    <w:rsid w:val="008D5FC7"/>
    <w:rsid w:val="008E2AB5"/>
    <w:rsid w:val="008E358A"/>
    <w:rsid w:val="008E5399"/>
    <w:rsid w:val="008F3B8B"/>
    <w:rsid w:val="008F4306"/>
    <w:rsid w:val="009008F6"/>
    <w:rsid w:val="00900A42"/>
    <w:rsid w:val="009019F3"/>
    <w:rsid w:val="00906C2F"/>
    <w:rsid w:val="0091263E"/>
    <w:rsid w:val="009127A7"/>
    <w:rsid w:val="009160AE"/>
    <w:rsid w:val="00926448"/>
    <w:rsid w:val="00926B3F"/>
    <w:rsid w:val="009273F4"/>
    <w:rsid w:val="009315FA"/>
    <w:rsid w:val="00932E08"/>
    <w:rsid w:val="00934B82"/>
    <w:rsid w:val="00940E1F"/>
    <w:rsid w:val="0094153D"/>
    <w:rsid w:val="00941A69"/>
    <w:rsid w:val="00941C5B"/>
    <w:rsid w:val="0094623D"/>
    <w:rsid w:val="00947D0A"/>
    <w:rsid w:val="00960441"/>
    <w:rsid w:val="00961A72"/>
    <w:rsid w:val="009624C6"/>
    <w:rsid w:val="00967AED"/>
    <w:rsid w:val="009703D5"/>
    <w:rsid w:val="009755DB"/>
    <w:rsid w:val="00980401"/>
    <w:rsid w:val="00987CB9"/>
    <w:rsid w:val="00987D68"/>
    <w:rsid w:val="009A0752"/>
    <w:rsid w:val="009A2FBB"/>
    <w:rsid w:val="009A72A7"/>
    <w:rsid w:val="009A7D78"/>
    <w:rsid w:val="009B066A"/>
    <w:rsid w:val="009B0F25"/>
    <w:rsid w:val="009B42E6"/>
    <w:rsid w:val="009C1E0C"/>
    <w:rsid w:val="009C6F79"/>
    <w:rsid w:val="009D047A"/>
    <w:rsid w:val="009E0EDE"/>
    <w:rsid w:val="009E40DE"/>
    <w:rsid w:val="009E4F0D"/>
    <w:rsid w:val="009E51D4"/>
    <w:rsid w:val="009F04A7"/>
    <w:rsid w:val="009F16A8"/>
    <w:rsid w:val="009F5815"/>
    <w:rsid w:val="00A07A7C"/>
    <w:rsid w:val="00A07F27"/>
    <w:rsid w:val="00A157C2"/>
    <w:rsid w:val="00A16767"/>
    <w:rsid w:val="00A228A0"/>
    <w:rsid w:val="00A22CE1"/>
    <w:rsid w:val="00A26952"/>
    <w:rsid w:val="00A3608D"/>
    <w:rsid w:val="00A41034"/>
    <w:rsid w:val="00A43BB8"/>
    <w:rsid w:val="00A44A03"/>
    <w:rsid w:val="00A44E39"/>
    <w:rsid w:val="00A462E8"/>
    <w:rsid w:val="00A51991"/>
    <w:rsid w:val="00A539CE"/>
    <w:rsid w:val="00A62668"/>
    <w:rsid w:val="00A723D5"/>
    <w:rsid w:val="00A72BB6"/>
    <w:rsid w:val="00A74866"/>
    <w:rsid w:val="00A80557"/>
    <w:rsid w:val="00A82DCE"/>
    <w:rsid w:val="00A8537D"/>
    <w:rsid w:val="00A86D7A"/>
    <w:rsid w:val="00A90CFB"/>
    <w:rsid w:val="00A95422"/>
    <w:rsid w:val="00A965E0"/>
    <w:rsid w:val="00A9661C"/>
    <w:rsid w:val="00A97AE2"/>
    <w:rsid w:val="00AA1737"/>
    <w:rsid w:val="00AA7B7F"/>
    <w:rsid w:val="00AB29A1"/>
    <w:rsid w:val="00AB53C2"/>
    <w:rsid w:val="00AB5BCE"/>
    <w:rsid w:val="00AC20AB"/>
    <w:rsid w:val="00AC35D7"/>
    <w:rsid w:val="00AC49A3"/>
    <w:rsid w:val="00AD15F2"/>
    <w:rsid w:val="00AE10F6"/>
    <w:rsid w:val="00AE17DE"/>
    <w:rsid w:val="00AE2A76"/>
    <w:rsid w:val="00AE5256"/>
    <w:rsid w:val="00AF0772"/>
    <w:rsid w:val="00AF44FC"/>
    <w:rsid w:val="00AF73F7"/>
    <w:rsid w:val="00B00275"/>
    <w:rsid w:val="00B10FF8"/>
    <w:rsid w:val="00B14342"/>
    <w:rsid w:val="00B16F6C"/>
    <w:rsid w:val="00B176E1"/>
    <w:rsid w:val="00B2012E"/>
    <w:rsid w:val="00B21F56"/>
    <w:rsid w:val="00B31F24"/>
    <w:rsid w:val="00B45FC8"/>
    <w:rsid w:val="00B47F87"/>
    <w:rsid w:val="00B57B0A"/>
    <w:rsid w:val="00B601FA"/>
    <w:rsid w:val="00B624FF"/>
    <w:rsid w:val="00B63526"/>
    <w:rsid w:val="00B67AA8"/>
    <w:rsid w:val="00B76374"/>
    <w:rsid w:val="00B815C3"/>
    <w:rsid w:val="00B81FB9"/>
    <w:rsid w:val="00B82416"/>
    <w:rsid w:val="00B85E07"/>
    <w:rsid w:val="00B92A8A"/>
    <w:rsid w:val="00B93FA3"/>
    <w:rsid w:val="00B946B2"/>
    <w:rsid w:val="00BA11FF"/>
    <w:rsid w:val="00BA774B"/>
    <w:rsid w:val="00BB0E0C"/>
    <w:rsid w:val="00BB115B"/>
    <w:rsid w:val="00BB45D2"/>
    <w:rsid w:val="00BB4BC8"/>
    <w:rsid w:val="00BB7C27"/>
    <w:rsid w:val="00BC01E4"/>
    <w:rsid w:val="00BC0F54"/>
    <w:rsid w:val="00BC1AF1"/>
    <w:rsid w:val="00BC4C12"/>
    <w:rsid w:val="00BC6B76"/>
    <w:rsid w:val="00BD2A51"/>
    <w:rsid w:val="00BD5DF6"/>
    <w:rsid w:val="00BE6206"/>
    <w:rsid w:val="00C0528A"/>
    <w:rsid w:val="00C131ED"/>
    <w:rsid w:val="00C2249B"/>
    <w:rsid w:val="00C2494C"/>
    <w:rsid w:val="00C24BC0"/>
    <w:rsid w:val="00C25B9F"/>
    <w:rsid w:val="00C26659"/>
    <w:rsid w:val="00C313CB"/>
    <w:rsid w:val="00C377BD"/>
    <w:rsid w:val="00C408AF"/>
    <w:rsid w:val="00C43C68"/>
    <w:rsid w:val="00C57D14"/>
    <w:rsid w:val="00C6476C"/>
    <w:rsid w:val="00C67116"/>
    <w:rsid w:val="00C71019"/>
    <w:rsid w:val="00C71CDB"/>
    <w:rsid w:val="00C76265"/>
    <w:rsid w:val="00C77F6F"/>
    <w:rsid w:val="00C80D36"/>
    <w:rsid w:val="00C844B8"/>
    <w:rsid w:val="00C85BE2"/>
    <w:rsid w:val="00C925E1"/>
    <w:rsid w:val="00CB28FA"/>
    <w:rsid w:val="00CB2B90"/>
    <w:rsid w:val="00CB5F9B"/>
    <w:rsid w:val="00CC391B"/>
    <w:rsid w:val="00CC5E3C"/>
    <w:rsid w:val="00CC6887"/>
    <w:rsid w:val="00CD014B"/>
    <w:rsid w:val="00CD29A3"/>
    <w:rsid w:val="00CD4FAE"/>
    <w:rsid w:val="00CE063B"/>
    <w:rsid w:val="00CE088D"/>
    <w:rsid w:val="00CE3828"/>
    <w:rsid w:val="00CE3F53"/>
    <w:rsid w:val="00CF18CF"/>
    <w:rsid w:val="00D00615"/>
    <w:rsid w:val="00D054C4"/>
    <w:rsid w:val="00D062BD"/>
    <w:rsid w:val="00D078EE"/>
    <w:rsid w:val="00D20AE9"/>
    <w:rsid w:val="00D25BE8"/>
    <w:rsid w:val="00D30BC8"/>
    <w:rsid w:val="00D35557"/>
    <w:rsid w:val="00D379A4"/>
    <w:rsid w:val="00D41E53"/>
    <w:rsid w:val="00D448B5"/>
    <w:rsid w:val="00D53AF2"/>
    <w:rsid w:val="00D551D5"/>
    <w:rsid w:val="00D56234"/>
    <w:rsid w:val="00D631AF"/>
    <w:rsid w:val="00D63A27"/>
    <w:rsid w:val="00D71678"/>
    <w:rsid w:val="00D731F0"/>
    <w:rsid w:val="00D7600D"/>
    <w:rsid w:val="00D76827"/>
    <w:rsid w:val="00D80BC0"/>
    <w:rsid w:val="00D90114"/>
    <w:rsid w:val="00D93577"/>
    <w:rsid w:val="00D94445"/>
    <w:rsid w:val="00D94C2F"/>
    <w:rsid w:val="00D97AC1"/>
    <w:rsid w:val="00DA2A1E"/>
    <w:rsid w:val="00DA60FD"/>
    <w:rsid w:val="00DA688D"/>
    <w:rsid w:val="00DB10CE"/>
    <w:rsid w:val="00DB231D"/>
    <w:rsid w:val="00DB5869"/>
    <w:rsid w:val="00DC1D37"/>
    <w:rsid w:val="00DC1F2F"/>
    <w:rsid w:val="00DC55AA"/>
    <w:rsid w:val="00DD151A"/>
    <w:rsid w:val="00DD4094"/>
    <w:rsid w:val="00DE2604"/>
    <w:rsid w:val="00DE2A56"/>
    <w:rsid w:val="00DE5EF4"/>
    <w:rsid w:val="00DF1EFD"/>
    <w:rsid w:val="00DF1FE4"/>
    <w:rsid w:val="00DF2E0A"/>
    <w:rsid w:val="00DF36D0"/>
    <w:rsid w:val="00DF478C"/>
    <w:rsid w:val="00DF7C9D"/>
    <w:rsid w:val="00E00247"/>
    <w:rsid w:val="00E00365"/>
    <w:rsid w:val="00E01DD2"/>
    <w:rsid w:val="00E0707B"/>
    <w:rsid w:val="00E11E14"/>
    <w:rsid w:val="00E12267"/>
    <w:rsid w:val="00E13545"/>
    <w:rsid w:val="00E14959"/>
    <w:rsid w:val="00E1616D"/>
    <w:rsid w:val="00E2059A"/>
    <w:rsid w:val="00E25673"/>
    <w:rsid w:val="00E260C2"/>
    <w:rsid w:val="00E26585"/>
    <w:rsid w:val="00E2728A"/>
    <w:rsid w:val="00E27DD6"/>
    <w:rsid w:val="00E30C98"/>
    <w:rsid w:val="00E34B94"/>
    <w:rsid w:val="00E56607"/>
    <w:rsid w:val="00E62E62"/>
    <w:rsid w:val="00E65119"/>
    <w:rsid w:val="00E65CEE"/>
    <w:rsid w:val="00E70540"/>
    <w:rsid w:val="00E7127B"/>
    <w:rsid w:val="00E7294C"/>
    <w:rsid w:val="00E847FD"/>
    <w:rsid w:val="00E853AF"/>
    <w:rsid w:val="00E9014F"/>
    <w:rsid w:val="00EA01C3"/>
    <w:rsid w:val="00EB5D15"/>
    <w:rsid w:val="00EC4EAD"/>
    <w:rsid w:val="00EC7620"/>
    <w:rsid w:val="00ED00C8"/>
    <w:rsid w:val="00ED4E30"/>
    <w:rsid w:val="00EE0156"/>
    <w:rsid w:val="00EE4E45"/>
    <w:rsid w:val="00EF10D9"/>
    <w:rsid w:val="00EF5197"/>
    <w:rsid w:val="00EF634C"/>
    <w:rsid w:val="00EF6516"/>
    <w:rsid w:val="00EF6C62"/>
    <w:rsid w:val="00F029C5"/>
    <w:rsid w:val="00F04A79"/>
    <w:rsid w:val="00F06F08"/>
    <w:rsid w:val="00F101CF"/>
    <w:rsid w:val="00F11659"/>
    <w:rsid w:val="00F1321C"/>
    <w:rsid w:val="00F26FDA"/>
    <w:rsid w:val="00F27752"/>
    <w:rsid w:val="00F40EC9"/>
    <w:rsid w:val="00F425DD"/>
    <w:rsid w:val="00F433EC"/>
    <w:rsid w:val="00F43723"/>
    <w:rsid w:val="00F45C35"/>
    <w:rsid w:val="00F46081"/>
    <w:rsid w:val="00F4723B"/>
    <w:rsid w:val="00F52B50"/>
    <w:rsid w:val="00F540C7"/>
    <w:rsid w:val="00F552BC"/>
    <w:rsid w:val="00F56C84"/>
    <w:rsid w:val="00F6045A"/>
    <w:rsid w:val="00F705A0"/>
    <w:rsid w:val="00F71419"/>
    <w:rsid w:val="00F7789B"/>
    <w:rsid w:val="00F80ADE"/>
    <w:rsid w:val="00F80B34"/>
    <w:rsid w:val="00F81954"/>
    <w:rsid w:val="00F85A02"/>
    <w:rsid w:val="00F85F85"/>
    <w:rsid w:val="00F917B0"/>
    <w:rsid w:val="00F933FF"/>
    <w:rsid w:val="00F93692"/>
    <w:rsid w:val="00F949A9"/>
    <w:rsid w:val="00FA200A"/>
    <w:rsid w:val="00FA4A00"/>
    <w:rsid w:val="00FA4E98"/>
    <w:rsid w:val="00FA63DE"/>
    <w:rsid w:val="00FA691E"/>
    <w:rsid w:val="00FA770F"/>
    <w:rsid w:val="00FA7761"/>
    <w:rsid w:val="00FB366C"/>
    <w:rsid w:val="00FB41E9"/>
    <w:rsid w:val="00FB5524"/>
    <w:rsid w:val="00FB6B1C"/>
    <w:rsid w:val="00FC0B4F"/>
    <w:rsid w:val="00FC43E4"/>
    <w:rsid w:val="00FC60AF"/>
    <w:rsid w:val="00FC7A48"/>
    <w:rsid w:val="00FD3DE8"/>
    <w:rsid w:val="00FD5164"/>
    <w:rsid w:val="00FE2451"/>
    <w:rsid w:val="00FE25E1"/>
    <w:rsid w:val="00FE32C1"/>
    <w:rsid w:val="00FE6809"/>
    <w:rsid w:val="00FF26BC"/>
    <w:rsid w:val="00FF4D00"/>
    <w:rsid w:val="00FF5B00"/>
    <w:rsid w:val="024962A9"/>
    <w:rsid w:val="16E57491"/>
    <w:rsid w:val="1B3ED9FA"/>
    <w:rsid w:val="27BB7573"/>
    <w:rsid w:val="3D1D746B"/>
    <w:rsid w:val="4E16FFCA"/>
    <w:rsid w:val="5D7F67FF"/>
    <w:rsid w:val="68B4099E"/>
    <w:rsid w:val="76ABEC75"/>
    <w:rsid w:val="7BA8DDFA"/>
    <w:rsid w:val="7C4916A0"/>
    <w:rsid w:val="7D142D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18CC6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4AEB"/>
    <w:pPr>
      <w:spacing w:after="200" w:line="240" w:lineRule="auto"/>
    </w:pPr>
    <w:rPr>
      <w:rFonts w:eastAsiaTheme="minorEastAsia"/>
      <w:lang w:eastAsia="zh-TW"/>
    </w:rPr>
  </w:style>
  <w:style w:type="paragraph" w:styleId="Heading1">
    <w:name w:val="heading 1"/>
    <w:basedOn w:val="Normal"/>
    <w:next w:val="Normal"/>
    <w:link w:val="Heading1Char"/>
    <w:uiPriority w:val="9"/>
    <w:qFormat/>
    <w:rsid w:val="002E4AEB"/>
    <w:pPr>
      <w:keepNext/>
      <w:spacing w:before="3000" w:after="1080"/>
      <w:jc w:val="center"/>
      <w:outlineLvl w:val="0"/>
    </w:pPr>
    <w:rPr>
      <w:rFonts w:asciiTheme="majorHAnsi" w:eastAsiaTheme="majorEastAsia" w:hAnsiTheme="majorHAnsi" w:cstheme="majorBidi"/>
      <w:b/>
      <w:sz w:val="48"/>
      <w:szCs w:val="32"/>
      <w:lang w:eastAsia="en-US"/>
    </w:rPr>
  </w:style>
  <w:style w:type="paragraph" w:styleId="Heading2">
    <w:name w:val="heading 2"/>
    <w:basedOn w:val="Normal"/>
    <w:next w:val="Normal"/>
    <w:link w:val="Heading2Char"/>
    <w:uiPriority w:val="9"/>
    <w:unhideWhenUsed/>
    <w:qFormat/>
    <w:rsid w:val="004B309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731F0"/>
    <w:pPr>
      <w:pBdr>
        <w:top w:val="single" w:sz="4" w:space="1" w:color="auto"/>
        <w:left w:val="single" w:sz="4" w:space="4" w:color="auto"/>
        <w:bottom w:val="single" w:sz="4" w:space="1" w:color="auto"/>
        <w:right w:val="single" w:sz="4" w:space="4" w:color="auto"/>
      </w:pBd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4AEB"/>
    <w:rPr>
      <w:rFonts w:asciiTheme="majorHAnsi" w:eastAsiaTheme="majorEastAsia" w:hAnsiTheme="majorHAnsi" w:cstheme="majorBidi"/>
      <w:b/>
      <w:sz w:val="48"/>
      <w:szCs w:val="32"/>
    </w:rPr>
  </w:style>
  <w:style w:type="paragraph" w:styleId="Footer">
    <w:name w:val="footer"/>
    <w:basedOn w:val="Normal"/>
    <w:link w:val="FooterChar"/>
    <w:uiPriority w:val="99"/>
    <w:unhideWhenUsed/>
    <w:rsid w:val="002E4AEB"/>
    <w:pPr>
      <w:tabs>
        <w:tab w:val="center" w:pos="4513"/>
        <w:tab w:val="right" w:pos="9026"/>
      </w:tabs>
      <w:spacing w:after="0"/>
    </w:pPr>
  </w:style>
  <w:style w:type="character" w:customStyle="1" w:styleId="FooterChar">
    <w:name w:val="Footer Char"/>
    <w:basedOn w:val="DefaultParagraphFont"/>
    <w:link w:val="Footer"/>
    <w:uiPriority w:val="99"/>
    <w:rsid w:val="002E4AEB"/>
    <w:rPr>
      <w:rFonts w:eastAsiaTheme="minorEastAsia"/>
      <w:lang w:eastAsia="zh-TW"/>
    </w:rPr>
  </w:style>
  <w:style w:type="paragraph" w:customStyle="1" w:styleId="reporttitle">
    <w:name w:val="report title"/>
    <w:basedOn w:val="Normal"/>
    <w:qFormat/>
    <w:rsid w:val="002E4AEB"/>
    <w:pPr>
      <w:spacing w:after="4080"/>
      <w:jc w:val="center"/>
    </w:pPr>
    <w:rPr>
      <w:sz w:val="44"/>
      <w:szCs w:val="44"/>
    </w:rPr>
  </w:style>
  <w:style w:type="paragraph" w:styleId="Header">
    <w:name w:val="header"/>
    <w:basedOn w:val="Normal"/>
    <w:link w:val="HeaderChar"/>
    <w:uiPriority w:val="99"/>
    <w:unhideWhenUsed/>
    <w:rsid w:val="00692EAC"/>
    <w:pPr>
      <w:tabs>
        <w:tab w:val="center" w:pos="4513"/>
        <w:tab w:val="right" w:pos="9026"/>
      </w:tabs>
      <w:spacing w:after="0"/>
    </w:pPr>
  </w:style>
  <w:style w:type="character" w:customStyle="1" w:styleId="HeaderChar">
    <w:name w:val="Header Char"/>
    <w:basedOn w:val="DefaultParagraphFont"/>
    <w:link w:val="Header"/>
    <w:uiPriority w:val="99"/>
    <w:rsid w:val="00692EAC"/>
    <w:rPr>
      <w:rFonts w:eastAsiaTheme="minorEastAsia"/>
      <w:lang w:eastAsia="zh-TW"/>
    </w:rPr>
  </w:style>
  <w:style w:type="character" w:customStyle="1" w:styleId="Heading2Char">
    <w:name w:val="Heading 2 Char"/>
    <w:basedOn w:val="DefaultParagraphFont"/>
    <w:link w:val="Heading2"/>
    <w:uiPriority w:val="9"/>
    <w:rsid w:val="004B309A"/>
    <w:rPr>
      <w:rFonts w:asciiTheme="majorHAnsi" w:eastAsiaTheme="majorEastAsia" w:hAnsiTheme="majorHAnsi" w:cstheme="majorBidi"/>
      <w:color w:val="2E74B5" w:themeColor="accent1" w:themeShade="BF"/>
      <w:sz w:val="26"/>
      <w:szCs w:val="26"/>
      <w:lang w:eastAsia="zh-TW"/>
    </w:rPr>
  </w:style>
  <w:style w:type="paragraph" w:styleId="TOCHeading">
    <w:name w:val="TOC Heading"/>
    <w:basedOn w:val="Heading1"/>
    <w:next w:val="Normal"/>
    <w:uiPriority w:val="39"/>
    <w:unhideWhenUsed/>
    <w:qFormat/>
    <w:rsid w:val="00DC1F2F"/>
    <w:pPr>
      <w:keepLines/>
      <w:spacing w:before="240" w:after="0" w:line="259" w:lineRule="auto"/>
      <w:jc w:val="left"/>
      <w:outlineLvl w:val="9"/>
    </w:pPr>
    <w:rPr>
      <w:b w:val="0"/>
      <w:color w:val="2E74B5" w:themeColor="accent1" w:themeShade="BF"/>
      <w:sz w:val="32"/>
      <w:lang w:val="en-US"/>
    </w:rPr>
  </w:style>
  <w:style w:type="paragraph" w:styleId="TOC1">
    <w:name w:val="toc 1"/>
    <w:basedOn w:val="Normal"/>
    <w:next w:val="Normal"/>
    <w:autoRedefine/>
    <w:uiPriority w:val="39"/>
    <w:unhideWhenUsed/>
    <w:rsid w:val="00DC1F2F"/>
    <w:pPr>
      <w:spacing w:after="100"/>
    </w:pPr>
  </w:style>
  <w:style w:type="character" w:styleId="Hyperlink">
    <w:name w:val="Hyperlink"/>
    <w:basedOn w:val="DefaultParagraphFont"/>
    <w:uiPriority w:val="99"/>
    <w:unhideWhenUsed/>
    <w:rsid w:val="00DC1F2F"/>
    <w:rPr>
      <w:color w:val="0563C1" w:themeColor="hyperlink"/>
      <w:u w:val="single"/>
    </w:rPr>
  </w:style>
  <w:style w:type="paragraph" w:styleId="TOC2">
    <w:name w:val="toc 2"/>
    <w:basedOn w:val="Normal"/>
    <w:next w:val="Normal"/>
    <w:autoRedefine/>
    <w:uiPriority w:val="39"/>
    <w:unhideWhenUsed/>
    <w:rsid w:val="00C57D14"/>
    <w:pPr>
      <w:spacing w:after="100"/>
      <w:ind w:left="220"/>
    </w:pPr>
  </w:style>
  <w:style w:type="paragraph" w:styleId="CommentText">
    <w:name w:val="annotation text"/>
    <w:basedOn w:val="Normal"/>
    <w:link w:val="CommentTextChar"/>
    <w:uiPriority w:val="99"/>
    <w:unhideWhenUsed/>
    <w:rsid w:val="00525EF4"/>
    <w:pPr>
      <w:spacing w:after="160"/>
    </w:pPr>
    <w:rPr>
      <w:rFonts w:eastAsiaTheme="minorHAnsi"/>
      <w:sz w:val="20"/>
      <w:szCs w:val="20"/>
      <w:lang w:eastAsia="en-US"/>
    </w:rPr>
  </w:style>
  <w:style w:type="character" w:customStyle="1" w:styleId="CommentTextChar">
    <w:name w:val="Comment Text Char"/>
    <w:basedOn w:val="DefaultParagraphFont"/>
    <w:link w:val="CommentText"/>
    <w:uiPriority w:val="99"/>
    <w:rsid w:val="00525EF4"/>
    <w:rPr>
      <w:sz w:val="20"/>
      <w:szCs w:val="20"/>
    </w:rPr>
  </w:style>
  <w:style w:type="character" w:styleId="CommentReference">
    <w:name w:val="annotation reference"/>
    <w:basedOn w:val="DefaultParagraphFont"/>
    <w:uiPriority w:val="99"/>
    <w:semiHidden/>
    <w:unhideWhenUsed/>
    <w:rsid w:val="00525EF4"/>
    <w:rPr>
      <w:sz w:val="16"/>
      <w:szCs w:val="16"/>
    </w:rPr>
  </w:style>
  <w:style w:type="paragraph" w:styleId="NormalWeb">
    <w:name w:val="Normal (Web)"/>
    <w:basedOn w:val="Normal"/>
    <w:uiPriority w:val="99"/>
    <w:unhideWhenUsed/>
    <w:rsid w:val="00525EF4"/>
    <w:pPr>
      <w:spacing w:before="100" w:beforeAutospacing="1" w:after="100" w:afterAutospacing="1"/>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525EF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EF4"/>
    <w:rPr>
      <w:rFonts w:ascii="Segoe UI" w:eastAsiaTheme="minorEastAsia" w:hAnsi="Segoe UI" w:cs="Segoe UI"/>
      <w:sz w:val="18"/>
      <w:szCs w:val="18"/>
      <w:lang w:eastAsia="zh-TW"/>
    </w:rPr>
  </w:style>
  <w:style w:type="paragraph" w:styleId="ListParagraph">
    <w:name w:val="List Paragraph"/>
    <w:aliases w:val="Bullet List,Bullet list,Bulletr List Paragraph,FooterText,List Paragraph1,List Paragraph11,List Paragraph2,List Paragraph21,Listeafsnit1,Listenabsatz,Paragraphe de liste1,Parágrafo da Lista1,Recommendation,bullet point list,numbered,リスト段落"/>
    <w:basedOn w:val="Normal"/>
    <w:link w:val="ListParagraphChar"/>
    <w:uiPriority w:val="2"/>
    <w:qFormat/>
    <w:rsid w:val="00B67AA8"/>
    <w:pPr>
      <w:spacing w:after="160" w:line="259" w:lineRule="auto"/>
      <w:ind w:left="720"/>
      <w:contextualSpacing/>
    </w:pPr>
    <w:rPr>
      <w:rFonts w:eastAsiaTheme="minorHAnsi"/>
      <w:lang w:eastAsia="en-US"/>
    </w:rPr>
  </w:style>
  <w:style w:type="character" w:customStyle="1" w:styleId="ListParagraphChar">
    <w:name w:val="List Paragraph Char"/>
    <w:aliases w:val="Bullet List Char,Bullet list Char,Bulletr List Paragraph Char,FooterText Char,List Paragraph1 Char,List Paragraph11 Char,List Paragraph2 Char,List Paragraph21 Char,Listeafsnit1 Char,Listenabsatz Char,Paragraphe de liste1 Char"/>
    <w:basedOn w:val="DefaultParagraphFont"/>
    <w:link w:val="ListParagraph"/>
    <w:uiPriority w:val="34"/>
    <w:qFormat/>
    <w:locked/>
    <w:rsid w:val="00B67AA8"/>
  </w:style>
  <w:style w:type="paragraph" w:customStyle="1" w:styleId="paragraph">
    <w:name w:val="paragraph"/>
    <w:basedOn w:val="Normal"/>
    <w:rsid w:val="00F425DD"/>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F425DD"/>
  </w:style>
  <w:style w:type="character" w:customStyle="1" w:styleId="eop">
    <w:name w:val="eop"/>
    <w:basedOn w:val="DefaultParagraphFont"/>
    <w:rsid w:val="00F425DD"/>
  </w:style>
  <w:style w:type="paragraph" w:styleId="CommentSubject">
    <w:name w:val="annotation subject"/>
    <w:basedOn w:val="CommentText"/>
    <w:next w:val="CommentText"/>
    <w:link w:val="CommentSubjectChar"/>
    <w:uiPriority w:val="99"/>
    <w:semiHidden/>
    <w:unhideWhenUsed/>
    <w:rsid w:val="00836A02"/>
    <w:pPr>
      <w:spacing w:after="200"/>
    </w:pPr>
    <w:rPr>
      <w:rFonts w:eastAsiaTheme="minorEastAsia"/>
      <w:b/>
      <w:bCs/>
      <w:lang w:eastAsia="zh-TW"/>
    </w:rPr>
  </w:style>
  <w:style w:type="character" w:customStyle="1" w:styleId="CommentSubjectChar">
    <w:name w:val="Comment Subject Char"/>
    <w:basedOn w:val="CommentTextChar"/>
    <w:link w:val="CommentSubject"/>
    <w:uiPriority w:val="99"/>
    <w:semiHidden/>
    <w:rsid w:val="00836A02"/>
    <w:rPr>
      <w:rFonts w:eastAsiaTheme="minorEastAsia"/>
      <w:b/>
      <w:bCs/>
      <w:sz w:val="20"/>
      <w:szCs w:val="20"/>
      <w:lang w:eastAsia="zh-TW"/>
    </w:rPr>
  </w:style>
  <w:style w:type="paragraph" w:styleId="FootnoteText">
    <w:name w:val="footnote text"/>
    <w:basedOn w:val="Normal"/>
    <w:link w:val="FootnoteTextChar"/>
    <w:uiPriority w:val="99"/>
    <w:unhideWhenUsed/>
    <w:rsid w:val="00407A4F"/>
    <w:pPr>
      <w:spacing w:after="0"/>
    </w:pPr>
    <w:rPr>
      <w:rFonts w:eastAsiaTheme="minorHAnsi"/>
      <w:sz w:val="20"/>
      <w:szCs w:val="20"/>
      <w:lang w:eastAsia="en-US"/>
    </w:rPr>
  </w:style>
  <w:style w:type="character" w:customStyle="1" w:styleId="FootnoteTextChar">
    <w:name w:val="Footnote Text Char"/>
    <w:basedOn w:val="DefaultParagraphFont"/>
    <w:link w:val="FootnoteText"/>
    <w:uiPriority w:val="99"/>
    <w:rsid w:val="00407A4F"/>
    <w:rPr>
      <w:sz w:val="20"/>
      <w:szCs w:val="20"/>
    </w:rPr>
  </w:style>
  <w:style w:type="character" w:styleId="FootnoteReference">
    <w:name w:val="footnote reference"/>
    <w:basedOn w:val="DefaultParagraphFont"/>
    <w:uiPriority w:val="99"/>
    <w:semiHidden/>
    <w:unhideWhenUsed/>
    <w:rsid w:val="00407A4F"/>
    <w:rPr>
      <w:vertAlign w:val="superscript"/>
    </w:rPr>
  </w:style>
  <w:style w:type="table" w:styleId="TableGrid">
    <w:name w:val="Table Grid"/>
    <w:basedOn w:val="TableNormal"/>
    <w:uiPriority w:val="39"/>
    <w:rsid w:val="004C155D"/>
    <w:pPr>
      <w:spacing w:after="0" w:line="240" w:lineRule="auto"/>
    </w:pPr>
    <w:rPr>
      <w:sz w:val="20"/>
    </w:rPr>
    <w:tblPr>
      <w:tblBorders>
        <w:insideH w:val="single" w:sz="4" w:space="0" w:color="ED7D31" w:themeColor="accent2"/>
        <w:insideV w:val="single" w:sz="4" w:space="0" w:color="ED7D31" w:themeColor="accent2"/>
      </w:tblBorders>
    </w:tblPr>
    <w:tblStylePr w:type="firstRow">
      <w:tblPr/>
      <w:tcPr>
        <w:shd w:val="clear" w:color="auto" w:fill="FBE4D5" w:themeFill="accent2" w:themeFillTint="33"/>
      </w:tcPr>
    </w:tblStylePr>
  </w:style>
  <w:style w:type="table" w:styleId="GridTable1Light-Accent1">
    <w:name w:val="Grid Table 1 Light Accent 1"/>
    <w:basedOn w:val="TableNormal"/>
    <w:uiPriority w:val="46"/>
    <w:rsid w:val="00DF1E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A12">
    <w:name w:val="A12"/>
    <w:uiPriority w:val="99"/>
    <w:rsid w:val="00231145"/>
    <w:rPr>
      <w:rFonts w:cs="Muli Light"/>
      <w:color w:val="211D1E"/>
      <w:sz w:val="10"/>
      <w:szCs w:val="10"/>
    </w:rPr>
  </w:style>
  <w:style w:type="character" w:customStyle="1" w:styleId="highlight">
    <w:name w:val="highlight"/>
    <w:basedOn w:val="DefaultParagraphFont"/>
    <w:rsid w:val="00C313CB"/>
  </w:style>
  <w:style w:type="character" w:customStyle="1" w:styleId="Heading3Char">
    <w:name w:val="Heading 3 Char"/>
    <w:basedOn w:val="DefaultParagraphFont"/>
    <w:link w:val="Heading3"/>
    <w:uiPriority w:val="9"/>
    <w:rsid w:val="00D731F0"/>
    <w:rPr>
      <w:rFonts w:eastAsiaTheme="minorEastAsia"/>
      <w:b/>
      <w:lang w:eastAsia="zh-TW"/>
    </w:rPr>
  </w:style>
  <w:style w:type="paragraph" w:styleId="TOC3">
    <w:name w:val="toc 3"/>
    <w:basedOn w:val="Normal"/>
    <w:next w:val="Normal"/>
    <w:autoRedefine/>
    <w:uiPriority w:val="39"/>
    <w:unhideWhenUsed/>
    <w:rsid w:val="00D731F0"/>
    <w:pPr>
      <w:tabs>
        <w:tab w:val="right" w:leader="dot" w:pos="9016"/>
      </w:tabs>
      <w:spacing w:after="100"/>
      <w:ind w:left="440"/>
    </w:pPr>
  </w:style>
  <w:style w:type="character" w:customStyle="1" w:styleId="TOCLevel1Char">
    <w:name w:val="TOCLevel1 Char"/>
    <w:basedOn w:val="DefaultParagraphFont"/>
    <w:link w:val="TOCLevel1"/>
    <w:uiPriority w:val="98"/>
    <w:locked/>
    <w:rsid w:val="007825B6"/>
    <w:rPr>
      <w:rFonts w:ascii="Arial" w:eastAsiaTheme="majorEastAsia" w:hAnsi="Arial" w:cstheme="majorBidi"/>
      <w:b/>
      <w:bCs/>
      <w:color w:val="003865"/>
      <w:sz w:val="24"/>
      <w:szCs w:val="28"/>
    </w:rPr>
  </w:style>
  <w:style w:type="paragraph" w:customStyle="1" w:styleId="TOCLevel1">
    <w:name w:val="TOCLevel1"/>
    <w:basedOn w:val="Normal"/>
    <w:link w:val="TOCLevel1Char"/>
    <w:uiPriority w:val="98"/>
    <w:qFormat/>
    <w:rsid w:val="007825B6"/>
    <w:pPr>
      <w:keepNext/>
      <w:keepLines/>
      <w:tabs>
        <w:tab w:val="left" w:pos="567"/>
      </w:tabs>
      <w:spacing w:before="240"/>
      <w:jc w:val="right"/>
      <w:outlineLvl w:val="0"/>
    </w:pPr>
    <w:rPr>
      <w:rFonts w:ascii="Arial" w:eastAsiaTheme="majorEastAsia" w:hAnsi="Arial" w:cstheme="majorBidi"/>
      <w:b/>
      <w:bCs/>
      <w:color w:val="003865"/>
      <w:sz w:val="24"/>
      <w:szCs w:val="28"/>
      <w:lang w:eastAsia="en-US"/>
    </w:rPr>
  </w:style>
  <w:style w:type="table" w:customStyle="1" w:styleId="TableGrid1">
    <w:name w:val="Table Grid1"/>
    <w:basedOn w:val="TableNormal"/>
    <w:next w:val="TableGrid"/>
    <w:uiPriority w:val="39"/>
    <w:rsid w:val="00145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155187">
      <w:bodyDiv w:val="1"/>
      <w:marLeft w:val="0"/>
      <w:marRight w:val="0"/>
      <w:marTop w:val="0"/>
      <w:marBottom w:val="0"/>
      <w:divBdr>
        <w:top w:val="none" w:sz="0" w:space="0" w:color="auto"/>
        <w:left w:val="none" w:sz="0" w:space="0" w:color="auto"/>
        <w:bottom w:val="none" w:sz="0" w:space="0" w:color="auto"/>
        <w:right w:val="none" w:sz="0" w:space="0" w:color="auto"/>
      </w:divBdr>
    </w:div>
    <w:div w:id="133283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A6368D7756F841BF70C428B8020122" ma:contentTypeVersion="0" ma:contentTypeDescription="Create a new document." ma:contentTypeScope="" ma:versionID="e0c2bc21b091c28d92e681ffca749c3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AA39B-31EC-4FD8-AA1A-20AA8982FA5E}">
  <ds:schemaRefs>
    <ds:schemaRef ds:uri="http://schemas.microsoft.com/sharepoint/v3/contenttype/forms"/>
  </ds:schemaRefs>
</ds:datastoreItem>
</file>

<file path=customXml/itemProps2.xml><?xml version="1.0" encoding="utf-8"?>
<ds:datastoreItem xmlns:ds="http://schemas.openxmlformats.org/officeDocument/2006/customXml" ds:itemID="{3CF5F3FE-1BB2-4FC8-82DA-1462800BFF3D}">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A0684A95-3C43-46C4-817D-8C2B41D2B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75B782B-1AAD-4807-A62B-466B577C2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6989</Words>
  <Characters>41283</Characters>
  <Application>Microsoft Office Word</Application>
  <DocSecurity>0</DocSecurity>
  <Lines>627</Lines>
  <Paragraphs>208</Paragraphs>
  <ScaleCrop>false</ScaleCrop>
  <HeadingPairs>
    <vt:vector size="2" baseType="variant">
      <vt:variant>
        <vt:lpstr>Title</vt:lpstr>
      </vt:variant>
      <vt:variant>
        <vt:i4>1</vt:i4>
      </vt:variant>
    </vt:vector>
  </HeadingPairs>
  <TitlesOfParts>
    <vt:vector size="1" baseType="lpstr">
      <vt:lpstr>Govt response for tabling 28032022</vt:lpstr>
    </vt:vector>
  </TitlesOfParts>
  <Company/>
  <LinksUpToDate>false</LinksUpToDate>
  <CharactersWithSpaces>48127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 RTIRC Govt response for tabling 28032022 approved by PMO 26032022.docx</dc:title>
  <dc:creator/>
  <cp:lastModifiedBy/>
  <cp:revision>1</cp:revision>
  <dcterms:created xsi:type="dcterms:W3CDTF">2022-03-28T22:59:00Z</dcterms:created>
  <dcterms:modified xsi:type="dcterms:W3CDTF">2022-03-28T22:59:00Z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BNET_PRINT_LINE">
    <vt:lpwstr>&lt;ITEM NUMBER&gt; &lt;CABNET_USER&gt; &lt;PRINT_DATE_TIME&gt; &lt;PRINT_NUMBER&gt;</vt:lpwstr>
  </property>
  <property fmtid="{D5CDD505-2E9C-101B-9397-08002B2CF9AE}" pid="3" name="CABNET_SECURITY_CLASSIFICATION">
    <vt:lpwstr>PROTECTED CABINET</vt:lpwstr>
  </property>
  <property fmtid="{D5CDD505-2E9C-101B-9397-08002B2CF9AE}" pid="4" name="ContentTypeId">
    <vt:lpwstr>0x01010093A6368D7756F841BF70C428B8020122</vt:lpwstr>
  </property>
  <property fmtid="{D5CDD505-2E9C-101B-9397-08002B2CF9AE}" pid="5" name="trimRootDocACLCanViewDocument_List">
    <vt:lpwstr/>
  </property>
  <property fmtid="{D5CDD505-2E9C-101B-9397-08002B2CF9AE}" pid="6" name="TrimRevisionNumber">
    <vt:i4>1</vt:i4>
  </property>
  <property fmtid="{D5CDD505-2E9C-101B-9397-08002B2CF9AE}" pid="7" name="dd9c7627a75f4720a6ccce58a35e4d75">
    <vt:lpwstr/>
  </property>
  <property fmtid="{D5CDD505-2E9C-101B-9397-08002B2CF9AE}" pid="8" name="TaxCatchAll">
    <vt:lpwstr/>
  </property>
</Properties>
</file>