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06B8" w14:textId="77777777" w:rsidR="00BA24FB" w:rsidRPr="00083015" w:rsidRDefault="00BA24FB" w:rsidP="00B54E13">
      <w:pPr>
        <w:spacing w:before="0" w:after="0"/>
        <w:rPr>
          <w:sz w:val="2"/>
          <w:szCs w:val="2"/>
        </w:rPr>
      </w:pPr>
    </w:p>
    <w:p w14:paraId="2B937D9D" w14:textId="77777777" w:rsidR="00372AAC" w:rsidRPr="00D5512B" w:rsidRDefault="00372AAC" w:rsidP="00DD0652">
      <w:pPr>
        <w:framePr w:w="6521" w:h="1134" w:hSpace="181" w:wrap="around" w:vAnchor="page" w:hAnchor="page" w:x="1022" w:y="852" w:anchorLock="1"/>
        <w:spacing w:after="0"/>
        <w:rPr>
          <w:noProof/>
        </w:rPr>
      </w:pPr>
      <w:bookmarkStart w:id="0" w:name="_Hlk198187206"/>
      <w:r w:rsidRPr="00D5512B">
        <w:rPr>
          <w:noProof/>
        </w:rPr>
        <w:drawing>
          <wp:inline distT="0" distB="0" distL="0" distR="0" wp14:anchorId="3A6835B9" wp14:editId="399DA1A7">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5446AF6C" w14:textId="77777777" w:rsidR="008456D5" w:rsidRPr="00D5512B" w:rsidRDefault="008456D5" w:rsidP="00B54E13">
      <w:pPr>
        <w:spacing w:before="360" w:after="1200"/>
        <w:ind w:left="-1247"/>
      </w:pPr>
    </w:p>
    <w:sdt>
      <w:sdtPr>
        <w:alias w:val="Title"/>
        <w:tag w:val=""/>
        <w:id w:val="975726233"/>
        <w:placeholder>
          <w:docPart w:val="B4A45D816C7E4CB9825F54732F836EA0"/>
        </w:placeholder>
        <w:dataBinding w:prefixMappings="xmlns:ns0='http://purl.org/dc/elements/1.1/' xmlns:ns1='http://schemas.openxmlformats.org/package/2006/metadata/core-properties' " w:xpath="/ns1:coreProperties[1]/ns0:title[1]" w:storeItemID="{6C3C8BC8-F283-45AE-878A-BAB7291924A1}"/>
        <w:text/>
      </w:sdtPr>
      <w:sdtEndPr/>
      <w:sdtContent>
        <w:p w14:paraId="36C4B5B3" w14:textId="7E596322" w:rsidR="00950AA8" w:rsidRPr="00D5512B" w:rsidRDefault="00FE1B99" w:rsidP="00B54E13">
          <w:pPr>
            <w:pStyle w:val="Title"/>
            <w:spacing w:before="600"/>
            <w:ind w:left="1276"/>
          </w:pPr>
          <w:r w:rsidRPr="00D5512B">
            <w:t>Review into the regulation of Online Keno and Foreign-Matched Lotteries</w:t>
          </w:r>
        </w:p>
      </w:sdtContent>
    </w:sdt>
    <w:sdt>
      <w:sdtPr>
        <w:alias w:val="Publish Date"/>
        <w:tag w:val=""/>
        <w:id w:val="452527336"/>
        <w:placeholder>
          <w:docPart w:val="B6B8BB60E6984ED58ECA95E7E15D38EA"/>
        </w:placeholder>
        <w:dataBinding w:prefixMappings="xmlns:ns0='http://schemas.microsoft.com/office/2006/coverPageProps' " w:xpath="/ns0:CoverPageProperties[1]/ns0:PublishDate[1]" w:storeItemID="{55AF091B-3C7A-41E3-B477-F2FDAA23CFDA}"/>
        <w:date w:fullDate="2026-01-05T00:00:00Z">
          <w:dateFormat w:val="MMMM yyyy"/>
          <w:lid w:val="en-AU"/>
          <w:storeMappedDataAs w:val="dateTime"/>
          <w:calendar w:val="gregorian"/>
        </w:date>
      </w:sdtPr>
      <w:sdtEndPr/>
      <w:sdtContent>
        <w:p w14:paraId="20AB9567" w14:textId="51A8FDF0" w:rsidR="00DE4FE2" w:rsidRPr="00D5512B" w:rsidRDefault="005652F8" w:rsidP="00B54E13">
          <w:pPr>
            <w:pStyle w:val="CoverDate"/>
            <w:ind w:left="1276"/>
          </w:pPr>
          <w:r>
            <w:t>January 2026</w:t>
          </w:r>
        </w:p>
      </w:sdtContent>
    </w:sdt>
    <w:p w14:paraId="718F4551" w14:textId="77777777" w:rsidR="00B54E13" w:rsidRPr="00D5512B" w:rsidRDefault="00992711" w:rsidP="00B54E13">
      <w:pPr>
        <w:framePr w:w="11907" w:h="5443" w:wrap="around" w:vAnchor="page" w:hAnchor="page" w:x="1" w:yAlign="bottom"/>
        <w:spacing w:before="0" w:after="0"/>
        <w:jc w:val="both"/>
      </w:pPr>
      <w:r w:rsidRPr="00D5512B">
        <w:rPr>
          <w:noProof/>
          <w:lang w:eastAsia="en-AU"/>
        </w:rPr>
        <w:drawing>
          <wp:inline distT="0" distB="0" distL="0" distR="0" wp14:anchorId="01F834EB" wp14:editId="6E3A80F9">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20631769" w14:textId="24B8D75E" w:rsidR="00992711" w:rsidRPr="00D5512B" w:rsidRDefault="00992711" w:rsidP="00992711">
      <w:pPr>
        <w:pStyle w:val="CoverPhoto"/>
        <w:framePr w:h="6583" w:hRule="exact" w:hSpace="180" w:wrap="around" w:vAnchor="text" w:hAnchor="page" w:x="2275" w:y="1"/>
        <w:spacing w:before="1080" w:after="0"/>
        <w:jc w:val="right"/>
      </w:pPr>
    </w:p>
    <w:p w14:paraId="25545642" w14:textId="77777777" w:rsidR="00B54E13" w:rsidRPr="00D5512B" w:rsidRDefault="00B54E13">
      <w:pPr>
        <w:sectPr w:rsidR="00B54E13" w:rsidRPr="00D5512B" w:rsidSect="00BA24FB">
          <w:headerReference w:type="even" r:id="rId14"/>
          <w:headerReference w:type="default" r:id="rId15"/>
          <w:footerReference w:type="even" r:id="rId16"/>
          <w:footerReference w:type="default" r:id="rId17"/>
          <w:headerReference w:type="first" r:id="rId18"/>
          <w:footerReference w:type="first" r:id="rId19"/>
          <w:pgSz w:w="11906" w:h="16838" w:code="9"/>
          <w:pgMar w:top="1021" w:right="1021" w:bottom="1021" w:left="1021" w:header="340" w:footer="397" w:gutter="0"/>
          <w:cols w:space="708"/>
          <w:docGrid w:linePitch="360"/>
        </w:sectPr>
      </w:pPr>
    </w:p>
    <w:p w14:paraId="2F7DDCCC" w14:textId="77777777" w:rsidR="00DE4FE2" w:rsidRPr="00D5512B" w:rsidRDefault="00DE4FE2"/>
    <w:p w14:paraId="0A8C4824" w14:textId="2FB75302" w:rsidR="002D01AA" w:rsidRPr="00D5512B" w:rsidRDefault="002D01AA" w:rsidP="002D01AA">
      <w:pPr>
        <w:pStyle w:val="NoSpacing"/>
        <w:spacing w:before="80"/>
      </w:pPr>
      <w:r w:rsidRPr="00D5512B">
        <w:t>© Commonwealth of Australia 202</w:t>
      </w:r>
      <w:r w:rsidR="00B947E7">
        <w:t>6</w:t>
      </w:r>
    </w:p>
    <w:p w14:paraId="42B8523D" w14:textId="77777777" w:rsidR="002D01AA" w:rsidRPr="00D5512B" w:rsidRDefault="002D01AA" w:rsidP="002D01AA">
      <w:pPr>
        <w:pStyle w:val="ImprintHeading"/>
        <w:spacing w:before="120" w:after="80"/>
        <w:rPr>
          <w:lang w:val="en-AU"/>
        </w:rPr>
      </w:pPr>
      <w:r w:rsidRPr="00D5512B">
        <w:rPr>
          <w:lang w:val="en-AU"/>
        </w:rPr>
        <w:t>Ownership of intellectual property rights in this publication</w:t>
      </w:r>
    </w:p>
    <w:p w14:paraId="3437BABD" w14:textId="77777777" w:rsidR="002D01AA" w:rsidRPr="00D5512B" w:rsidRDefault="002D01AA" w:rsidP="002D01AA">
      <w:pPr>
        <w:spacing w:before="120"/>
      </w:pPr>
      <w:r w:rsidRPr="00D5512B">
        <w:t>Unless otherwise noted, copyright (and any other intellectual property rights, if any) in this publication is owned by the Commonwealth of Australia (referred to below as the Commonwealth).</w:t>
      </w:r>
    </w:p>
    <w:p w14:paraId="5903B090" w14:textId="77777777" w:rsidR="002D01AA" w:rsidRPr="00D5512B" w:rsidRDefault="002D01AA" w:rsidP="002D01AA">
      <w:pPr>
        <w:pStyle w:val="ImprintHeading"/>
        <w:spacing w:before="120" w:after="80"/>
        <w:rPr>
          <w:lang w:val="en-AU"/>
        </w:rPr>
      </w:pPr>
      <w:r w:rsidRPr="00D5512B">
        <w:rPr>
          <w:lang w:val="en-AU"/>
        </w:rPr>
        <w:t>Disclaimer</w:t>
      </w:r>
    </w:p>
    <w:p w14:paraId="7D995E39" w14:textId="77777777" w:rsidR="002D01AA" w:rsidRPr="00D5512B" w:rsidRDefault="002D01AA" w:rsidP="002D01AA">
      <w:pPr>
        <w:spacing w:before="120"/>
      </w:pPr>
      <w:r w:rsidRPr="00D5512B">
        <w:t xml:space="preserve">The material contained in this publication is made available on the understanding that the Commonwealth is not providing professional advice, and that users exercise their own skill and care with respect to its </w:t>
      </w:r>
      <w:proofErr w:type="gramStart"/>
      <w:r w:rsidRPr="00D5512B">
        <w:t>use, and</w:t>
      </w:r>
      <w:proofErr w:type="gramEnd"/>
      <w:r w:rsidRPr="00D5512B">
        <w:t xml:space="preserve"> seek independent advice if necessary.</w:t>
      </w:r>
    </w:p>
    <w:p w14:paraId="7FC0AFB5" w14:textId="77777777" w:rsidR="002D01AA" w:rsidRPr="00D5512B" w:rsidRDefault="002D01AA" w:rsidP="002D01AA">
      <w:pPr>
        <w:spacing w:before="120"/>
      </w:pPr>
      <w:r w:rsidRPr="00D5512B">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1E21AE77" w14:textId="77777777" w:rsidR="002D01AA" w:rsidRPr="00D5512B" w:rsidRDefault="002D01AA" w:rsidP="002D01AA">
      <w:pPr>
        <w:pStyle w:val="ImprintHeading"/>
        <w:spacing w:before="120" w:after="80"/>
        <w:rPr>
          <w:lang w:val="en-AU"/>
        </w:rPr>
      </w:pPr>
      <w:r w:rsidRPr="00D5512B">
        <w:rPr>
          <w:lang w:val="en-AU"/>
        </w:rPr>
        <w:t>Creative Commons licence</w:t>
      </w:r>
    </w:p>
    <w:p w14:paraId="0D2EBA83" w14:textId="77777777" w:rsidR="002D01AA" w:rsidRPr="00D5512B" w:rsidRDefault="002D01AA" w:rsidP="002D01AA">
      <w:pPr>
        <w:pStyle w:val="ImprintHeading"/>
        <w:spacing w:before="120" w:after="80"/>
        <w:rPr>
          <w:lang w:val="en-AU"/>
        </w:rPr>
      </w:pPr>
      <w:r w:rsidRPr="00D5512B">
        <w:rPr>
          <w:noProof/>
          <w:lang w:val="en-AU"/>
        </w:rPr>
        <w:drawing>
          <wp:inline distT="0" distB="0" distL="0" distR="0" wp14:anchorId="7D79279E" wp14:editId="0AB6B6FC">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54B5FEAB" w14:textId="77777777" w:rsidR="002D01AA" w:rsidRPr="00D5512B" w:rsidRDefault="002D01AA" w:rsidP="002D01AA">
      <w:proofErr w:type="gramStart"/>
      <w:r w:rsidRPr="00D5512B">
        <w:t>With the exception of</w:t>
      </w:r>
      <w:proofErr w:type="gramEnd"/>
      <w:r w:rsidRPr="00D5512B">
        <w:t xml:space="preserve"> (a) the Coat of Arms; (b) the Department of Infrastructure, Transport, Regional Development, Communications</w:t>
      </w:r>
      <w:r w:rsidR="00CB0D5F" w:rsidRPr="00D5512B">
        <w:t>, Sport</w:t>
      </w:r>
      <w:r w:rsidRPr="00D5512B">
        <w:t xml:space="preserve"> and the Arts photos and graphics; (c) content supplied by third parties; (d) content otherwise labelled; copyright in this publication is licensed under a Creative Commons BY Attribution 4.0 International Licence.</w:t>
      </w:r>
    </w:p>
    <w:p w14:paraId="64F7C01C" w14:textId="77777777" w:rsidR="002D01AA" w:rsidRPr="00D5512B" w:rsidRDefault="002D01AA" w:rsidP="002D01AA">
      <w:pPr>
        <w:pStyle w:val="ImprintHeading"/>
        <w:spacing w:before="120" w:after="80"/>
        <w:rPr>
          <w:lang w:val="en-AU"/>
        </w:rPr>
      </w:pPr>
      <w:r w:rsidRPr="00D5512B">
        <w:rPr>
          <w:lang w:val="en-AU"/>
        </w:rPr>
        <w:t>Use of the Coat of Arms</w:t>
      </w:r>
    </w:p>
    <w:p w14:paraId="0F91D1C9" w14:textId="77777777" w:rsidR="00F90578" w:rsidRPr="00D5512B" w:rsidRDefault="00F90578" w:rsidP="00F90578">
      <w:pPr>
        <w:spacing w:before="120"/>
      </w:pPr>
      <w:r w:rsidRPr="00D5512B">
        <w:t xml:space="preserve">The Department of the Prime Minister and Cabinet (PM&amp;C) sets the terms under which the Coat of Arms is used. Please refer to the </w:t>
      </w:r>
      <w:hyperlink r:id="rId21" w:history="1">
        <w:r w:rsidRPr="00D5512B">
          <w:rPr>
            <w:rStyle w:val="Hyperlink"/>
          </w:rPr>
          <w:t>Commonwealth Coat of Arms Information and Guidelines | PM&amp;C</w:t>
        </w:r>
      </w:hyperlink>
      <w:r w:rsidRPr="00D5512B">
        <w:t>.</w:t>
      </w:r>
    </w:p>
    <w:p w14:paraId="6829B6CD" w14:textId="77777777" w:rsidR="002D01AA" w:rsidRPr="00D5512B" w:rsidRDefault="002D01AA" w:rsidP="002D01AA">
      <w:pPr>
        <w:pStyle w:val="ImprintHeading"/>
        <w:spacing w:before="120" w:after="80"/>
        <w:rPr>
          <w:lang w:val="en-AU"/>
        </w:rPr>
      </w:pPr>
      <w:r w:rsidRPr="00D5512B">
        <w:rPr>
          <w:lang w:val="en-AU"/>
        </w:rPr>
        <w:t>Contact us</w:t>
      </w:r>
    </w:p>
    <w:p w14:paraId="2356CBD0" w14:textId="77777777" w:rsidR="002D01AA" w:rsidRPr="00D5512B" w:rsidRDefault="002D01AA" w:rsidP="002D01AA">
      <w:pPr>
        <w:spacing w:before="120"/>
      </w:pPr>
      <w:r w:rsidRPr="00D5512B">
        <w:t>This publication is available in</w:t>
      </w:r>
      <w:r w:rsidR="00796F82" w:rsidRPr="00D5512B">
        <w:t xml:space="preserve"> PDF and Word format</w:t>
      </w:r>
      <w:r w:rsidRPr="00D5512B">
        <w:t>. All other rights are reserved, including in relation to any departmental logos or trademarks which may exist. For enquiries regarding the licence and any use of this publication, please contact:</w:t>
      </w:r>
    </w:p>
    <w:p w14:paraId="53D5AF45" w14:textId="77777777" w:rsidR="00796F82" w:rsidRPr="00D5512B" w:rsidRDefault="00796F82" w:rsidP="00796F82">
      <w:pPr>
        <w:spacing w:before="0" w:after="0"/>
      </w:pPr>
      <w:r w:rsidRPr="00D5512B">
        <w:t xml:space="preserve">Director – Publishing and Communications </w:t>
      </w:r>
    </w:p>
    <w:p w14:paraId="47B1D98F" w14:textId="77777777" w:rsidR="00796F82" w:rsidRPr="00D5512B" w:rsidRDefault="00796F82" w:rsidP="00796F82">
      <w:pPr>
        <w:spacing w:before="0" w:after="0"/>
      </w:pPr>
      <w:r w:rsidRPr="00D5512B">
        <w:t xml:space="preserve">Communication Branch </w:t>
      </w:r>
    </w:p>
    <w:p w14:paraId="0CF42795" w14:textId="77777777" w:rsidR="00796F82" w:rsidRPr="00D5512B" w:rsidRDefault="00796F82" w:rsidP="00796F82">
      <w:pPr>
        <w:spacing w:before="0" w:after="0"/>
      </w:pPr>
      <w:r w:rsidRPr="00D5512B">
        <w:t xml:space="preserve">Department of Infrastructure, Transport, Regional Development, Communications, Sport and the Arts </w:t>
      </w:r>
    </w:p>
    <w:p w14:paraId="0D9F306F" w14:textId="77777777" w:rsidR="00796F82" w:rsidRPr="00D5512B" w:rsidRDefault="00796F82" w:rsidP="00796F82">
      <w:pPr>
        <w:spacing w:before="0" w:after="0"/>
      </w:pPr>
      <w:r w:rsidRPr="00D5512B">
        <w:t xml:space="preserve">GPO Box 594 </w:t>
      </w:r>
    </w:p>
    <w:p w14:paraId="2F11D9BB" w14:textId="77777777" w:rsidR="00796F82" w:rsidRPr="00D5512B" w:rsidRDefault="00796F82" w:rsidP="00796F82">
      <w:pPr>
        <w:spacing w:before="0" w:after="0"/>
      </w:pPr>
      <w:r w:rsidRPr="00D5512B">
        <w:t xml:space="preserve">Canberra ACT 2601 </w:t>
      </w:r>
    </w:p>
    <w:p w14:paraId="5ADAB8BE" w14:textId="77777777" w:rsidR="00796F82" w:rsidRPr="00D5512B" w:rsidRDefault="00796F82" w:rsidP="00796F82">
      <w:pPr>
        <w:spacing w:before="0" w:after="0"/>
        <w:rPr>
          <w:i/>
          <w:kern w:val="12"/>
        </w:rPr>
      </w:pPr>
      <w:r w:rsidRPr="00D5512B">
        <w:t>Australia</w:t>
      </w:r>
    </w:p>
    <w:p w14:paraId="13EE3AC0" w14:textId="77777777" w:rsidR="00796F82" w:rsidRPr="00D5512B" w:rsidRDefault="00796F82" w:rsidP="00796F82">
      <w:pPr>
        <w:spacing w:before="120"/>
      </w:pPr>
      <w:r w:rsidRPr="00D5512B">
        <w:t xml:space="preserve">Email: </w:t>
      </w:r>
      <w:hyperlink r:id="rId22" w:history="1">
        <w:r w:rsidRPr="00D5512B">
          <w:rPr>
            <w:rStyle w:val="Hyperlink"/>
          </w:rPr>
          <w:t>publishing@communications.gov.au</w:t>
        </w:r>
      </w:hyperlink>
      <w:r w:rsidRPr="00D5512B">
        <w:t xml:space="preserve"> </w:t>
      </w:r>
    </w:p>
    <w:p w14:paraId="3550968A" w14:textId="77777777" w:rsidR="00546218" w:rsidRPr="00D5512B" w:rsidRDefault="00796F82" w:rsidP="00796F82">
      <w:pPr>
        <w:suppressAutoHyphens w:val="0"/>
        <w:spacing w:before="120"/>
      </w:pPr>
      <w:r w:rsidRPr="00D5512B">
        <w:t xml:space="preserve">Website: </w:t>
      </w:r>
      <w:hyperlink r:id="rId23" w:history="1">
        <w:r w:rsidRPr="00D5512B">
          <w:rPr>
            <w:rStyle w:val="Hyperlink"/>
          </w:rPr>
          <w:t>www.infrastructure.gov.au</w:t>
        </w:r>
      </w:hyperlink>
      <w:r w:rsidR="002D01AA" w:rsidRPr="00D5512B">
        <w:t xml:space="preserve"> </w:t>
      </w:r>
      <w:r w:rsidR="00546218" w:rsidRPr="00D5512B">
        <w:br w:type="page"/>
      </w:r>
    </w:p>
    <w:p w14:paraId="6FAC0E36" w14:textId="77777777" w:rsidR="00DE4FE2" w:rsidRPr="00D5512B" w:rsidRDefault="002B7197" w:rsidP="00CF6CFD">
      <w:pPr>
        <w:pStyle w:val="TOCHeading"/>
      </w:pPr>
      <w:r w:rsidRPr="00D5512B">
        <w:lastRenderedPageBreak/>
        <w:t>Table of C</w:t>
      </w:r>
      <w:r w:rsidR="00DE4FE2" w:rsidRPr="00D5512B">
        <w:t>ontents</w:t>
      </w:r>
    </w:p>
    <w:p w14:paraId="4B831295" w14:textId="31BC9453" w:rsidR="00BF361A" w:rsidRDefault="00A95970">
      <w:pPr>
        <w:pStyle w:val="TOC1"/>
        <w:rPr>
          <w:rFonts w:eastAsiaTheme="minorEastAsia"/>
          <w:b w:val="0"/>
          <w:noProof/>
          <w:color w:val="auto"/>
          <w:kern w:val="2"/>
          <w:szCs w:val="24"/>
          <w:u w:val="none"/>
          <w:lang w:eastAsia="en-AU"/>
          <w14:ligatures w14:val="standardContextual"/>
        </w:rPr>
      </w:pPr>
      <w:r w:rsidRPr="00D5512B">
        <w:fldChar w:fldCharType="begin"/>
      </w:r>
      <w:r w:rsidRPr="00D5512B">
        <w:instrText xml:space="preserve"> TOC \o "3-3" \h \z \t "Heading 1,1,Heading 2,2,Heading 1 Numbered,1,Heading 2 Numbered,2,Appendix Heading 1,1,Attachment Heading 1,1" </w:instrText>
      </w:r>
      <w:r w:rsidRPr="00D5512B">
        <w:fldChar w:fldCharType="separate"/>
      </w:r>
      <w:hyperlink w:anchor="_Toc215647736" w:history="1">
        <w:r w:rsidR="00BF361A" w:rsidRPr="008816D2">
          <w:rPr>
            <w:rStyle w:val="Hyperlink"/>
            <w:noProof/>
          </w:rPr>
          <w:t>Introduction</w:t>
        </w:r>
        <w:r w:rsidR="00BF361A">
          <w:rPr>
            <w:noProof/>
            <w:webHidden/>
          </w:rPr>
          <w:tab/>
        </w:r>
        <w:r w:rsidR="00BF361A">
          <w:rPr>
            <w:noProof/>
            <w:webHidden/>
          </w:rPr>
          <w:fldChar w:fldCharType="begin"/>
        </w:r>
        <w:r w:rsidR="00BF361A">
          <w:rPr>
            <w:noProof/>
            <w:webHidden/>
          </w:rPr>
          <w:instrText xml:space="preserve"> PAGEREF _Toc215647736 \h </w:instrText>
        </w:r>
        <w:r w:rsidR="00BF361A">
          <w:rPr>
            <w:noProof/>
            <w:webHidden/>
          </w:rPr>
        </w:r>
        <w:r w:rsidR="00BF361A">
          <w:rPr>
            <w:noProof/>
            <w:webHidden/>
          </w:rPr>
          <w:fldChar w:fldCharType="separate"/>
        </w:r>
        <w:r w:rsidR="00BF361A">
          <w:rPr>
            <w:noProof/>
            <w:webHidden/>
          </w:rPr>
          <w:t>4</w:t>
        </w:r>
        <w:r w:rsidR="00BF361A">
          <w:rPr>
            <w:noProof/>
            <w:webHidden/>
          </w:rPr>
          <w:fldChar w:fldCharType="end"/>
        </w:r>
      </w:hyperlink>
    </w:p>
    <w:p w14:paraId="7E6CAF0C" w14:textId="64AC908A"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37" w:history="1">
        <w:r w:rsidRPr="008816D2">
          <w:rPr>
            <w:rStyle w:val="Hyperlink"/>
            <w:noProof/>
          </w:rPr>
          <w:t>Terms of reference</w:t>
        </w:r>
        <w:r>
          <w:rPr>
            <w:noProof/>
            <w:webHidden/>
          </w:rPr>
          <w:tab/>
        </w:r>
        <w:r>
          <w:rPr>
            <w:noProof/>
            <w:webHidden/>
          </w:rPr>
          <w:fldChar w:fldCharType="begin"/>
        </w:r>
        <w:r>
          <w:rPr>
            <w:noProof/>
            <w:webHidden/>
          </w:rPr>
          <w:instrText xml:space="preserve"> PAGEREF _Toc215647737 \h </w:instrText>
        </w:r>
        <w:r>
          <w:rPr>
            <w:noProof/>
            <w:webHidden/>
          </w:rPr>
        </w:r>
        <w:r>
          <w:rPr>
            <w:noProof/>
            <w:webHidden/>
          </w:rPr>
          <w:fldChar w:fldCharType="separate"/>
        </w:r>
        <w:r>
          <w:rPr>
            <w:noProof/>
            <w:webHidden/>
          </w:rPr>
          <w:t>4</w:t>
        </w:r>
        <w:r>
          <w:rPr>
            <w:noProof/>
            <w:webHidden/>
          </w:rPr>
          <w:fldChar w:fldCharType="end"/>
        </w:r>
      </w:hyperlink>
    </w:p>
    <w:p w14:paraId="2A846628" w14:textId="578C9FB3"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38" w:history="1">
        <w:r w:rsidRPr="008816D2">
          <w:rPr>
            <w:rStyle w:val="Hyperlink"/>
            <w:noProof/>
          </w:rPr>
          <w:t>Consultation process</w:t>
        </w:r>
        <w:r>
          <w:rPr>
            <w:noProof/>
            <w:webHidden/>
          </w:rPr>
          <w:tab/>
        </w:r>
        <w:r>
          <w:rPr>
            <w:noProof/>
            <w:webHidden/>
          </w:rPr>
          <w:fldChar w:fldCharType="begin"/>
        </w:r>
        <w:r>
          <w:rPr>
            <w:noProof/>
            <w:webHidden/>
          </w:rPr>
          <w:instrText xml:space="preserve"> PAGEREF _Toc215647738 \h </w:instrText>
        </w:r>
        <w:r>
          <w:rPr>
            <w:noProof/>
            <w:webHidden/>
          </w:rPr>
        </w:r>
        <w:r>
          <w:rPr>
            <w:noProof/>
            <w:webHidden/>
          </w:rPr>
          <w:fldChar w:fldCharType="separate"/>
        </w:r>
        <w:r>
          <w:rPr>
            <w:noProof/>
            <w:webHidden/>
          </w:rPr>
          <w:t>5</w:t>
        </w:r>
        <w:r>
          <w:rPr>
            <w:noProof/>
            <w:webHidden/>
          </w:rPr>
          <w:fldChar w:fldCharType="end"/>
        </w:r>
      </w:hyperlink>
    </w:p>
    <w:p w14:paraId="344FDDAE" w14:textId="0BB4CBC8" w:rsidR="00BF361A" w:rsidRDefault="00BF361A">
      <w:pPr>
        <w:pStyle w:val="TOC1"/>
        <w:rPr>
          <w:rFonts w:eastAsiaTheme="minorEastAsia"/>
          <w:b w:val="0"/>
          <w:noProof/>
          <w:color w:val="auto"/>
          <w:kern w:val="2"/>
          <w:szCs w:val="24"/>
          <w:u w:val="none"/>
          <w:lang w:eastAsia="en-AU"/>
          <w14:ligatures w14:val="standardContextual"/>
        </w:rPr>
      </w:pPr>
      <w:hyperlink w:anchor="_Toc215647739" w:history="1">
        <w:r w:rsidRPr="008816D2">
          <w:rPr>
            <w:rStyle w:val="Hyperlink"/>
            <w:noProof/>
          </w:rPr>
          <w:t>Online keno</w:t>
        </w:r>
        <w:r>
          <w:rPr>
            <w:noProof/>
            <w:webHidden/>
          </w:rPr>
          <w:tab/>
        </w:r>
        <w:r>
          <w:rPr>
            <w:noProof/>
            <w:webHidden/>
          </w:rPr>
          <w:fldChar w:fldCharType="begin"/>
        </w:r>
        <w:r>
          <w:rPr>
            <w:noProof/>
            <w:webHidden/>
          </w:rPr>
          <w:instrText xml:space="preserve"> PAGEREF _Toc215647739 \h </w:instrText>
        </w:r>
        <w:r>
          <w:rPr>
            <w:noProof/>
            <w:webHidden/>
          </w:rPr>
        </w:r>
        <w:r>
          <w:rPr>
            <w:noProof/>
            <w:webHidden/>
          </w:rPr>
          <w:fldChar w:fldCharType="separate"/>
        </w:r>
        <w:r>
          <w:rPr>
            <w:noProof/>
            <w:webHidden/>
          </w:rPr>
          <w:t>6</w:t>
        </w:r>
        <w:r>
          <w:rPr>
            <w:noProof/>
            <w:webHidden/>
          </w:rPr>
          <w:fldChar w:fldCharType="end"/>
        </w:r>
      </w:hyperlink>
    </w:p>
    <w:p w14:paraId="76F82B2F" w14:textId="6F17E715"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40" w:history="1">
        <w:r w:rsidRPr="008816D2">
          <w:rPr>
            <w:rStyle w:val="Hyperlink"/>
            <w:noProof/>
          </w:rPr>
          <w:t>Overview</w:t>
        </w:r>
        <w:r>
          <w:rPr>
            <w:noProof/>
            <w:webHidden/>
          </w:rPr>
          <w:tab/>
        </w:r>
        <w:r>
          <w:rPr>
            <w:noProof/>
            <w:webHidden/>
          </w:rPr>
          <w:fldChar w:fldCharType="begin"/>
        </w:r>
        <w:r>
          <w:rPr>
            <w:noProof/>
            <w:webHidden/>
          </w:rPr>
          <w:instrText xml:space="preserve"> PAGEREF _Toc215647740 \h </w:instrText>
        </w:r>
        <w:r>
          <w:rPr>
            <w:noProof/>
            <w:webHidden/>
          </w:rPr>
        </w:r>
        <w:r>
          <w:rPr>
            <w:noProof/>
            <w:webHidden/>
          </w:rPr>
          <w:fldChar w:fldCharType="separate"/>
        </w:r>
        <w:r>
          <w:rPr>
            <w:noProof/>
            <w:webHidden/>
          </w:rPr>
          <w:t>6</w:t>
        </w:r>
        <w:r>
          <w:rPr>
            <w:noProof/>
            <w:webHidden/>
          </w:rPr>
          <w:fldChar w:fldCharType="end"/>
        </w:r>
      </w:hyperlink>
    </w:p>
    <w:p w14:paraId="299D9526" w14:textId="0A42964F"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41" w:history="1">
        <w:r w:rsidRPr="008816D2">
          <w:rPr>
            <w:rStyle w:val="Hyperlink"/>
            <w:noProof/>
          </w:rPr>
          <w:t>Stakeholder views</w:t>
        </w:r>
        <w:r>
          <w:rPr>
            <w:noProof/>
            <w:webHidden/>
          </w:rPr>
          <w:tab/>
        </w:r>
        <w:r>
          <w:rPr>
            <w:noProof/>
            <w:webHidden/>
          </w:rPr>
          <w:fldChar w:fldCharType="begin"/>
        </w:r>
        <w:r>
          <w:rPr>
            <w:noProof/>
            <w:webHidden/>
          </w:rPr>
          <w:instrText xml:space="preserve"> PAGEREF _Toc215647741 \h </w:instrText>
        </w:r>
        <w:r>
          <w:rPr>
            <w:noProof/>
            <w:webHidden/>
          </w:rPr>
        </w:r>
        <w:r>
          <w:rPr>
            <w:noProof/>
            <w:webHidden/>
          </w:rPr>
          <w:fldChar w:fldCharType="separate"/>
        </w:r>
        <w:r>
          <w:rPr>
            <w:noProof/>
            <w:webHidden/>
          </w:rPr>
          <w:t>7</w:t>
        </w:r>
        <w:r>
          <w:rPr>
            <w:noProof/>
            <w:webHidden/>
          </w:rPr>
          <w:fldChar w:fldCharType="end"/>
        </w:r>
      </w:hyperlink>
    </w:p>
    <w:p w14:paraId="1D6F9C03" w14:textId="39F81E12" w:rsidR="00BF361A" w:rsidRDefault="00BF361A">
      <w:pPr>
        <w:pStyle w:val="TOC1"/>
        <w:rPr>
          <w:rFonts w:eastAsiaTheme="minorEastAsia"/>
          <w:b w:val="0"/>
          <w:noProof/>
          <w:color w:val="auto"/>
          <w:kern w:val="2"/>
          <w:szCs w:val="24"/>
          <w:u w:val="none"/>
          <w:lang w:eastAsia="en-AU"/>
          <w14:ligatures w14:val="standardContextual"/>
        </w:rPr>
      </w:pPr>
      <w:hyperlink w:anchor="_Toc215647742" w:history="1">
        <w:r w:rsidRPr="008816D2">
          <w:rPr>
            <w:rStyle w:val="Hyperlink"/>
            <w:noProof/>
          </w:rPr>
          <w:t>Foreign-matched lotteries</w:t>
        </w:r>
        <w:r>
          <w:rPr>
            <w:noProof/>
            <w:webHidden/>
          </w:rPr>
          <w:tab/>
        </w:r>
        <w:r>
          <w:rPr>
            <w:noProof/>
            <w:webHidden/>
          </w:rPr>
          <w:fldChar w:fldCharType="begin"/>
        </w:r>
        <w:r>
          <w:rPr>
            <w:noProof/>
            <w:webHidden/>
          </w:rPr>
          <w:instrText xml:space="preserve"> PAGEREF _Toc215647742 \h </w:instrText>
        </w:r>
        <w:r>
          <w:rPr>
            <w:noProof/>
            <w:webHidden/>
          </w:rPr>
        </w:r>
        <w:r>
          <w:rPr>
            <w:noProof/>
            <w:webHidden/>
          </w:rPr>
          <w:fldChar w:fldCharType="separate"/>
        </w:r>
        <w:r>
          <w:rPr>
            <w:noProof/>
            <w:webHidden/>
          </w:rPr>
          <w:t>10</w:t>
        </w:r>
        <w:r>
          <w:rPr>
            <w:noProof/>
            <w:webHidden/>
          </w:rPr>
          <w:fldChar w:fldCharType="end"/>
        </w:r>
      </w:hyperlink>
    </w:p>
    <w:p w14:paraId="5DC0E452" w14:textId="541CB249"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43" w:history="1">
        <w:r w:rsidRPr="008816D2">
          <w:rPr>
            <w:rStyle w:val="Hyperlink"/>
            <w:noProof/>
          </w:rPr>
          <w:t>Overview</w:t>
        </w:r>
        <w:r>
          <w:rPr>
            <w:noProof/>
            <w:webHidden/>
          </w:rPr>
          <w:tab/>
        </w:r>
        <w:r>
          <w:rPr>
            <w:noProof/>
            <w:webHidden/>
          </w:rPr>
          <w:fldChar w:fldCharType="begin"/>
        </w:r>
        <w:r>
          <w:rPr>
            <w:noProof/>
            <w:webHidden/>
          </w:rPr>
          <w:instrText xml:space="preserve"> PAGEREF _Toc215647743 \h </w:instrText>
        </w:r>
        <w:r>
          <w:rPr>
            <w:noProof/>
            <w:webHidden/>
          </w:rPr>
        </w:r>
        <w:r>
          <w:rPr>
            <w:noProof/>
            <w:webHidden/>
          </w:rPr>
          <w:fldChar w:fldCharType="separate"/>
        </w:r>
        <w:r>
          <w:rPr>
            <w:noProof/>
            <w:webHidden/>
          </w:rPr>
          <w:t>10</w:t>
        </w:r>
        <w:r>
          <w:rPr>
            <w:noProof/>
            <w:webHidden/>
          </w:rPr>
          <w:fldChar w:fldCharType="end"/>
        </w:r>
      </w:hyperlink>
    </w:p>
    <w:p w14:paraId="4C0417B2" w14:textId="05AF1C70"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44" w:history="1">
        <w:r w:rsidRPr="008816D2">
          <w:rPr>
            <w:rStyle w:val="Hyperlink"/>
            <w:noProof/>
          </w:rPr>
          <w:t>Stakeholder views</w:t>
        </w:r>
        <w:r>
          <w:rPr>
            <w:noProof/>
            <w:webHidden/>
          </w:rPr>
          <w:tab/>
        </w:r>
        <w:r>
          <w:rPr>
            <w:noProof/>
            <w:webHidden/>
          </w:rPr>
          <w:fldChar w:fldCharType="begin"/>
        </w:r>
        <w:r>
          <w:rPr>
            <w:noProof/>
            <w:webHidden/>
          </w:rPr>
          <w:instrText xml:space="preserve"> PAGEREF _Toc215647744 \h </w:instrText>
        </w:r>
        <w:r>
          <w:rPr>
            <w:noProof/>
            <w:webHidden/>
          </w:rPr>
        </w:r>
        <w:r>
          <w:rPr>
            <w:noProof/>
            <w:webHidden/>
          </w:rPr>
          <w:fldChar w:fldCharType="separate"/>
        </w:r>
        <w:r>
          <w:rPr>
            <w:noProof/>
            <w:webHidden/>
          </w:rPr>
          <w:t>11</w:t>
        </w:r>
        <w:r>
          <w:rPr>
            <w:noProof/>
            <w:webHidden/>
          </w:rPr>
          <w:fldChar w:fldCharType="end"/>
        </w:r>
      </w:hyperlink>
    </w:p>
    <w:p w14:paraId="540DF5CF" w14:textId="7885177A" w:rsidR="00BF361A" w:rsidRDefault="00BF361A">
      <w:pPr>
        <w:pStyle w:val="TOC1"/>
        <w:rPr>
          <w:rFonts w:eastAsiaTheme="minorEastAsia"/>
          <w:b w:val="0"/>
          <w:noProof/>
          <w:color w:val="auto"/>
          <w:kern w:val="2"/>
          <w:szCs w:val="24"/>
          <w:u w:val="none"/>
          <w:lang w:eastAsia="en-AU"/>
          <w14:ligatures w14:val="standardContextual"/>
        </w:rPr>
      </w:pPr>
      <w:hyperlink w:anchor="_Toc215647745" w:history="1">
        <w:r w:rsidRPr="008816D2">
          <w:rPr>
            <w:rStyle w:val="Hyperlink"/>
            <w:noProof/>
          </w:rPr>
          <w:t>Policy options</w:t>
        </w:r>
        <w:r>
          <w:rPr>
            <w:noProof/>
            <w:webHidden/>
          </w:rPr>
          <w:tab/>
        </w:r>
        <w:r>
          <w:rPr>
            <w:noProof/>
            <w:webHidden/>
          </w:rPr>
          <w:fldChar w:fldCharType="begin"/>
        </w:r>
        <w:r>
          <w:rPr>
            <w:noProof/>
            <w:webHidden/>
          </w:rPr>
          <w:instrText xml:space="preserve"> PAGEREF _Toc215647745 \h </w:instrText>
        </w:r>
        <w:r>
          <w:rPr>
            <w:noProof/>
            <w:webHidden/>
          </w:rPr>
        </w:r>
        <w:r>
          <w:rPr>
            <w:noProof/>
            <w:webHidden/>
          </w:rPr>
          <w:fldChar w:fldCharType="separate"/>
        </w:r>
        <w:r>
          <w:rPr>
            <w:noProof/>
            <w:webHidden/>
          </w:rPr>
          <w:t>13</w:t>
        </w:r>
        <w:r>
          <w:rPr>
            <w:noProof/>
            <w:webHidden/>
          </w:rPr>
          <w:fldChar w:fldCharType="end"/>
        </w:r>
      </w:hyperlink>
    </w:p>
    <w:p w14:paraId="369BE07D" w14:textId="2499E996"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46" w:history="1">
        <w:r w:rsidRPr="008816D2">
          <w:rPr>
            <w:rStyle w:val="Hyperlink"/>
            <w:noProof/>
          </w:rPr>
          <w:t>Extending existing consumer protections</w:t>
        </w:r>
        <w:r>
          <w:rPr>
            <w:noProof/>
            <w:webHidden/>
          </w:rPr>
          <w:tab/>
        </w:r>
        <w:r>
          <w:rPr>
            <w:noProof/>
            <w:webHidden/>
          </w:rPr>
          <w:fldChar w:fldCharType="begin"/>
        </w:r>
        <w:r>
          <w:rPr>
            <w:noProof/>
            <w:webHidden/>
          </w:rPr>
          <w:instrText xml:space="preserve"> PAGEREF _Toc215647746 \h </w:instrText>
        </w:r>
        <w:r>
          <w:rPr>
            <w:noProof/>
            <w:webHidden/>
          </w:rPr>
        </w:r>
        <w:r>
          <w:rPr>
            <w:noProof/>
            <w:webHidden/>
          </w:rPr>
          <w:fldChar w:fldCharType="separate"/>
        </w:r>
        <w:r>
          <w:rPr>
            <w:noProof/>
            <w:webHidden/>
          </w:rPr>
          <w:t>13</w:t>
        </w:r>
        <w:r>
          <w:rPr>
            <w:noProof/>
            <w:webHidden/>
          </w:rPr>
          <w:fldChar w:fldCharType="end"/>
        </w:r>
      </w:hyperlink>
    </w:p>
    <w:p w14:paraId="14FFF088" w14:textId="660E140C" w:rsidR="00BF361A" w:rsidRDefault="00BF361A">
      <w:pPr>
        <w:pStyle w:val="TOC2"/>
        <w:tabs>
          <w:tab w:val="right" w:pos="9854"/>
        </w:tabs>
        <w:rPr>
          <w:rFonts w:eastAsiaTheme="minorEastAsia"/>
          <w:noProof/>
          <w:color w:val="auto"/>
          <w:kern w:val="2"/>
          <w:sz w:val="24"/>
          <w:szCs w:val="24"/>
          <w:lang w:eastAsia="en-AU"/>
          <w14:ligatures w14:val="standardContextual"/>
        </w:rPr>
      </w:pPr>
      <w:hyperlink w:anchor="_Toc215647747" w:history="1">
        <w:r w:rsidRPr="008816D2">
          <w:rPr>
            <w:rStyle w:val="Hyperlink"/>
            <w:noProof/>
          </w:rPr>
          <w:t>Further research</w:t>
        </w:r>
        <w:r>
          <w:rPr>
            <w:noProof/>
            <w:webHidden/>
          </w:rPr>
          <w:tab/>
        </w:r>
        <w:r>
          <w:rPr>
            <w:noProof/>
            <w:webHidden/>
          </w:rPr>
          <w:fldChar w:fldCharType="begin"/>
        </w:r>
        <w:r>
          <w:rPr>
            <w:noProof/>
            <w:webHidden/>
          </w:rPr>
          <w:instrText xml:space="preserve"> PAGEREF _Toc215647747 \h </w:instrText>
        </w:r>
        <w:r>
          <w:rPr>
            <w:noProof/>
            <w:webHidden/>
          </w:rPr>
        </w:r>
        <w:r>
          <w:rPr>
            <w:noProof/>
            <w:webHidden/>
          </w:rPr>
          <w:fldChar w:fldCharType="separate"/>
        </w:r>
        <w:r>
          <w:rPr>
            <w:noProof/>
            <w:webHidden/>
          </w:rPr>
          <w:t>14</w:t>
        </w:r>
        <w:r>
          <w:rPr>
            <w:noProof/>
            <w:webHidden/>
          </w:rPr>
          <w:fldChar w:fldCharType="end"/>
        </w:r>
      </w:hyperlink>
    </w:p>
    <w:p w14:paraId="39BB5212" w14:textId="0F6C063A" w:rsidR="00BF361A" w:rsidRDefault="00BF361A">
      <w:pPr>
        <w:pStyle w:val="TOC1"/>
        <w:rPr>
          <w:rFonts w:eastAsiaTheme="minorEastAsia"/>
          <w:b w:val="0"/>
          <w:noProof/>
          <w:color w:val="auto"/>
          <w:kern w:val="2"/>
          <w:szCs w:val="24"/>
          <w:u w:val="none"/>
          <w:lang w:eastAsia="en-AU"/>
          <w14:ligatures w14:val="standardContextual"/>
        </w:rPr>
      </w:pPr>
      <w:hyperlink w:anchor="_Toc215647748" w:history="1">
        <w:r w:rsidRPr="008816D2">
          <w:rPr>
            <w:rStyle w:val="Hyperlink"/>
            <w:noProof/>
          </w:rPr>
          <w:t>Appendix A – Regulatory framework</w:t>
        </w:r>
        <w:r>
          <w:rPr>
            <w:noProof/>
            <w:webHidden/>
          </w:rPr>
          <w:tab/>
        </w:r>
        <w:r>
          <w:rPr>
            <w:noProof/>
            <w:webHidden/>
          </w:rPr>
          <w:fldChar w:fldCharType="begin"/>
        </w:r>
        <w:r>
          <w:rPr>
            <w:noProof/>
            <w:webHidden/>
          </w:rPr>
          <w:instrText xml:space="preserve"> PAGEREF _Toc215647748 \h </w:instrText>
        </w:r>
        <w:r>
          <w:rPr>
            <w:noProof/>
            <w:webHidden/>
          </w:rPr>
        </w:r>
        <w:r>
          <w:rPr>
            <w:noProof/>
            <w:webHidden/>
          </w:rPr>
          <w:fldChar w:fldCharType="separate"/>
        </w:r>
        <w:r>
          <w:rPr>
            <w:noProof/>
            <w:webHidden/>
          </w:rPr>
          <w:t>15</w:t>
        </w:r>
        <w:r>
          <w:rPr>
            <w:noProof/>
            <w:webHidden/>
          </w:rPr>
          <w:fldChar w:fldCharType="end"/>
        </w:r>
      </w:hyperlink>
    </w:p>
    <w:p w14:paraId="740262FB" w14:textId="62484D03" w:rsidR="005912BE" w:rsidRPr="00D5512B" w:rsidRDefault="00A95970" w:rsidP="000126DB">
      <w:pPr>
        <w:sectPr w:rsidR="005912BE" w:rsidRPr="00D5512B" w:rsidSect="00BA24FB">
          <w:headerReference w:type="even" r:id="rId24"/>
          <w:headerReference w:type="default" r:id="rId25"/>
          <w:footerReference w:type="default" r:id="rId26"/>
          <w:headerReference w:type="first" r:id="rId27"/>
          <w:pgSz w:w="11906" w:h="16838" w:code="9"/>
          <w:pgMar w:top="1021" w:right="1021" w:bottom="1021" w:left="1021" w:header="340" w:footer="397" w:gutter="0"/>
          <w:cols w:space="708"/>
          <w:docGrid w:linePitch="360"/>
        </w:sectPr>
      </w:pPr>
      <w:r w:rsidRPr="00D5512B">
        <w:fldChar w:fldCharType="end"/>
      </w:r>
    </w:p>
    <w:p w14:paraId="1A9C37B0" w14:textId="7DA5AB27" w:rsidR="005F794B" w:rsidRPr="00D5512B" w:rsidRDefault="00950AA8" w:rsidP="00DE4362">
      <w:pPr>
        <w:pStyle w:val="Heading1"/>
        <w:spacing w:before="0"/>
      </w:pPr>
      <w:bookmarkStart w:id="1" w:name="_Toc215647736"/>
      <w:r w:rsidRPr="00D5512B">
        <w:lastRenderedPageBreak/>
        <w:t>Introduction</w:t>
      </w:r>
      <w:bookmarkEnd w:id="1"/>
    </w:p>
    <w:p w14:paraId="76112231" w14:textId="77777777" w:rsidR="005F794B" w:rsidRPr="00D5512B" w:rsidRDefault="00950AA8" w:rsidP="00F857D6">
      <w:r w:rsidRPr="00D5512B">
        <w:t>The Australian Government is committed to creating a safe online gambling environment underpinned by a robust legislative framework.</w:t>
      </w:r>
    </w:p>
    <w:p w14:paraId="24A5178C" w14:textId="33B294E5" w:rsidR="0041039A" w:rsidRPr="00D5512B" w:rsidRDefault="006F2F98" w:rsidP="00950AA8">
      <w:r w:rsidRPr="00D5512B">
        <w:t xml:space="preserve">The </w:t>
      </w:r>
      <w:r w:rsidRPr="00D5512B">
        <w:rPr>
          <w:i/>
          <w:iCs/>
        </w:rPr>
        <w:t>Interactive Gambling Amendment (Credit and Other Measures) Act 2023</w:t>
      </w:r>
      <w:r w:rsidRPr="00D5512B">
        <w:t xml:space="preserve"> passed the Parliament on 6 December 2023 and commenced in full on 11 June 2024. It </w:t>
      </w:r>
      <w:r w:rsidR="00545E0E" w:rsidRPr="00D5512B">
        <w:t>amend</w:t>
      </w:r>
      <w:r w:rsidRPr="00D5512B">
        <w:t>ed</w:t>
      </w:r>
      <w:r w:rsidR="00545E0E" w:rsidRPr="00D5512B">
        <w:t xml:space="preserve"> the </w:t>
      </w:r>
      <w:r w:rsidR="00545E0E" w:rsidRPr="00D5512B">
        <w:rPr>
          <w:i/>
          <w:iCs/>
        </w:rPr>
        <w:t>Interactive Gambling Act 2001</w:t>
      </w:r>
      <w:r w:rsidR="00545E0E" w:rsidRPr="00D5512B">
        <w:t xml:space="preserve"> (IGA) to prohibit the use of credit cards, credit-related products and digital currency as payment methods for interactive wagering services (i.e. racing and sports betting). </w:t>
      </w:r>
    </w:p>
    <w:p w14:paraId="0552862E" w14:textId="6F18C75C" w:rsidR="0041039A" w:rsidRPr="00D5512B" w:rsidRDefault="0041039A" w:rsidP="00950AA8">
      <w:r w:rsidRPr="00D5512B">
        <w:t>The ban does not capture keno-type lotteries, which, alongside other lottery services, are not included in the definition of ‘wagering services’ (betting on racing and sports) under the IGA. The Government committed to a review of keno-type lotteries in response to the final report from the Senate Standing Committees on Environment and Communications Legislation Committee report on the </w:t>
      </w:r>
      <w:r w:rsidRPr="00D5512B">
        <w:rPr>
          <w:i/>
          <w:iCs/>
        </w:rPr>
        <w:t>Interactive Gambling Amendment (Credit Card and Other Measures) Bill 2023</w:t>
      </w:r>
      <w:r w:rsidRPr="00D5512B">
        <w:t>.</w:t>
      </w:r>
    </w:p>
    <w:p w14:paraId="53C3E4FF" w14:textId="3D22F8BD" w:rsidR="006F2F98" w:rsidRPr="00D5512B" w:rsidRDefault="00545E0E" w:rsidP="00950AA8">
      <w:r w:rsidRPr="00D5512B">
        <w:t xml:space="preserve">In July 2024, the then Minister for Communications, the Hon Michelle Rowland MP, </w:t>
      </w:r>
      <w:r w:rsidR="006F2F98" w:rsidRPr="00D5512B">
        <w:t>and the then Minister for Social Services, the Hon Amanda Rishworth MP, announced that the Government had commenced</w:t>
      </w:r>
      <w:r w:rsidRPr="00D5512B">
        <w:t xml:space="preserve"> </w:t>
      </w:r>
      <w:r w:rsidR="00166AA5">
        <w:t>a</w:t>
      </w:r>
      <w:r w:rsidRPr="00D5512B">
        <w:t xml:space="preserve"> </w:t>
      </w:r>
      <w:r w:rsidR="00166AA5">
        <w:t>r</w:t>
      </w:r>
      <w:r w:rsidR="006F2F98" w:rsidRPr="00D5512B">
        <w:t xml:space="preserve">eview into the regulation of online keno and foreign-matched lotteries </w:t>
      </w:r>
      <w:r w:rsidRPr="00D5512B">
        <w:t>(the review</w:t>
      </w:r>
      <w:r w:rsidR="006F2F98" w:rsidRPr="00D5512B">
        <w:t xml:space="preserve">). The scope of the review was broadened to seek feedback </w:t>
      </w:r>
      <w:r w:rsidR="00F712D0" w:rsidRPr="00D5512B">
        <w:t>on</w:t>
      </w:r>
      <w:r w:rsidR="006F2F98" w:rsidRPr="00D5512B">
        <w:t xml:space="preserve"> another new online lottery service – foreign-matched lotteries – in the context of concerns raised by stakeholders about these products.</w:t>
      </w:r>
    </w:p>
    <w:p w14:paraId="37DBC8F1" w14:textId="6C2FC01F" w:rsidR="00950AA8" w:rsidRPr="00D5512B" w:rsidRDefault="00950AA8" w:rsidP="00950AA8">
      <w:r w:rsidRPr="00D5512B">
        <w:t xml:space="preserve">The review has considered whether </w:t>
      </w:r>
      <w:r w:rsidR="006F2F98" w:rsidRPr="00D5512B">
        <w:t xml:space="preserve">online keno and foreign-matched lottery </w:t>
      </w:r>
      <w:r w:rsidRPr="00D5512B">
        <w:t xml:space="preserve">products </w:t>
      </w:r>
      <w:r w:rsidR="00B35F11" w:rsidRPr="00D5512B">
        <w:t>align with</w:t>
      </w:r>
      <w:r w:rsidRPr="00D5512B">
        <w:t xml:space="preserve"> the intent of the IGA, </w:t>
      </w:r>
      <w:r w:rsidR="00981FA2" w:rsidRPr="00D5512B">
        <w:t xml:space="preserve">which is </w:t>
      </w:r>
      <w:r w:rsidRPr="00D5512B">
        <w:t>to limit the scope of gambling harms in Australia.</w:t>
      </w:r>
      <w:r w:rsidR="00C04607" w:rsidRPr="00D5512B">
        <w:t xml:space="preserve"> </w:t>
      </w:r>
      <w:r w:rsidRPr="00D5512B">
        <w:t xml:space="preserve">The review </w:t>
      </w:r>
      <w:r w:rsidR="003027B4" w:rsidRPr="00D5512B">
        <w:t xml:space="preserve">consultation process </w:t>
      </w:r>
      <w:r w:rsidR="00737831" w:rsidRPr="00D5512B">
        <w:t>provided</w:t>
      </w:r>
      <w:r w:rsidRPr="00D5512B">
        <w:t xml:space="preserve"> insights into the </w:t>
      </w:r>
      <w:r w:rsidR="00981FA2" w:rsidRPr="00D5512B">
        <w:t>community</w:t>
      </w:r>
      <w:r w:rsidRPr="00D5512B">
        <w:t xml:space="preserve"> impact of these types of online lotteries and a range of views on whether changes to regulations are required</w:t>
      </w:r>
      <w:r w:rsidR="00B35F11" w:rsidRPr="00D5512B">
        <w:t xml:space="preserve"> to minimise gambling harm</w:t>
      </w:r>
      <w:r w:rsidRPr="00D5512B">
        <w:t>.</w:t>
      </w:r>
    </w:p>
    <w:p w14:paraId="6A3AAB60" w14:textId="23BBA465" w:rsidR="00B35F11" w:rsidRPr="008E6558" w:rsidRDefault="0035263B" w:rsidP="00B35F11">
      <w:r w:rsidRPr="008E6558">
        <w:t>Th</w:t>
      </w:r>
      <w:r w:rsidR="0017010F" w:rsidRPr="008E6558">
        <w:t>is</w:t>
      </w:r>
      <w:r w:rsidRPr="008E6558">
        <w:t xml:space="preserve"> report provides an overview of </w:t>
      </w:r>
      <w:r w:rsidR="00EE7D32" w:rsidRPr="008E6558">
        <w:t xml:space="preserve">online keno and </w:t>
      </w:r>
      <w:r w:rsidR="00AE1EDA" w:rsidRPr="008E6558">
        <w:t>foreign-matched</w:t>
      </w:r>
      <w:r w:rsidR="00EE7D32" w:rsidRPr="008E6558">
        <w:t xml:space="preserve"> lotteries</w:t>
      </w:r>
      <w:r w:rsidRPr="008E6558">
        <w:t>, how they are offered</w:t>
      </w:r>
      <w:r w:rsidR="00EE7D32" w:rsidRPr="008E6558">
        <w:t xml:space="preserve"> in Australia</w:t>
      </w:r>
      <w:r w:rsidRPr="008E6558">
        <w:t xml:space="preserve"> and</w:t>
      </w:r>
      <w:r w:rsidR="00EE7D32" w:rsidRPr="008E6558">
        <w:t xml:space="preserve"> comparisons to international jurisdictions. Th</w:t>
      </w:r>
      <w:r w:rsidR="0017010F" w:rsidRPr="008E6558">
        <w:t>is</w:t>
      </w:r>
      <w:r w:rsidR="00EE7D32" w:rsidRPr="008E6558">
        <w:t xml:space="preserve"> report then outlines</w:t>
      </w:r>
      <w:r w:rsidRPr="008E6558">
        <w:t xml:space="preserve"> </w:t>
      </w:r>
      <w:r w:rsidR="00B35F11" w:rsidRPr="008E6558">
        <w:t xml:space="preserve">review </w:t>
      </w:r>
      <w:r w:rsidRPr="008E6558">
        <w:t>findings</w:t>
      </w:r>
      <w:r w:rsidR="00B028EC" w:rsidRPr="008E6558">
        <w:t xml:space="preserve"> and</w:t>
      </w:r>
      <w:r w:rsidRPr="008E6558">
        <w:t xml:space="preserve"> potential </w:t>
      </w:r>
      <w:r w:rsidR="008E6558" w:rsidRPr="008E6558">
        <w:t>policy options</w:t>
      </w:r>
      <w:r w:rsidRPr="008E6558">
        <w:t xml:space="preserve"> that government </w:t>
      </w:r>
      <w:r w:rsidR="008E6558" w:rsidRPr="008E6558">
        <w:t xml:space="preserve">could consider </w:t>
      </w:r>
      <w:r w:rsidRPr="008E6558">
        <w:t>based on</w:t>
      </w:r>
      <w:r w:rsidR="008E6558" w:rsidRPr="008E6558">
        <w:t xml:space="preserve"> </w:t>
      </w:r>
      <w:r w:rsidR="00B35F11" w:rsidRPr="008E6558">
        <w:t xml:space="preserve">feedback </w:t>
      </w:r>
      <w:r w:rsidRPr="008E6558">
        <w:t>provided by stakeholders.</w:t>
      </w:r>
      <w:r w:rsidR="00B35F11" w:rsidRPr="008E6558">
        <w:t xml:space="preserve"> </w:t>
      </w:r>
    </w:p>
    <w:p w14:paraId="0760D25A" w14:textId="681400AF" w:rsidR="00B35F11" w:rsidRPr="00D5512B" w:rsidRDefault="00B35F11" w:rsidP="00B35F11">
      <w:r w:rsidRPr="00D5512B">
        <w:t xml:space="preserve">An overview of the existing regulatory framework </w:t>
      </w:r>
      <w:r w:rsidR="0055004B" w:rsidRPr="00D5512B">
        <w:t xml:space="preserve">is </w:t>
      </w:r>
      <w:r w:rsidRPr="00D5512B">
        <w:t xml:space="preserve">at </w:t>
      </w:r>
      <w:r w:rsidRPr="00D5512B">
        <w:rPr>
          <w:b/>
        </w:rPr>
        <w:t>Appendix A</w:t>
      </w:r>
      <w:r w:rsidRPr="00D5512B">
        <w:t>.</w:t>
      </w:r>
    </w:p>
    <w:p w14:paraId="17D5C4D9" w14:textId="605B9C2B" w:rsidR="005F794B" w:rsidRPr="00D5512B" w:rsidRDefault="00950AA8" w:rsidP="00714E19">
      <w:pPr>
        <w:pStyle w:val="Heading2"/>
      </w:pPr>
      <w:bookmarkStart w:id="2" w:name="_Toc215647737"/>
      <w:r w:rsidRPr="00D5512B">
        <w:t xml:space="preserve">Terms of </w:t>
      </w:r>
      <w:r w:rsidR="00E652E9" w:rsidRPr="00D5512B">
        <w:t>r</w:t>
      </w:r>
      <w:r w:rsidRPr="00D5512B">
        <w:t>eference</w:t>
      </w:r>
      <w:bookmarkEnd w:id="2"/>
    </w:p>
    <w:p w14:paraId="7EED681C" w14:textId="400A90CB" w:rsidR="00950AA8" w:rsidRPr="00D5512B" w:rsidRDefault="00950AA8" w:rsidP="00950AA8">
      <w:r w:rsidRPr="00D5512B">
        <w:t xml:space="preserve">The Terms of </w:t>
      </w:r>
      <w:r w:rsidR="00E652E9" w:rsidRPr="00D5512B">
        <w:t>r</w:t>
      </w:r>
      <w:r w:rsidRPr="00D5512B">
        <w:t xml:space="preserve">eference for the </w:t>
      </w:r>
      <w:r w:rsidR="00EE7D32" w:rsidRPr="00D5512B">
        <w:t>r</w:t>
      </w:r>
      <w:r w:rsidRPr="00D5512B">
        <w:t xml:space="preserve">eview </w:t>
      </w:r>
      <w:r w:rsidR="007866B8" w:rsidRPr="00D5512B">
        <w:t>included</w:t>
      </w:r>
      <w:r w:rsidRPr="00D5512B">
        <w:t xml:space="preserve"> the following issues:</w:t>
      </w:r>
    </w:p>
    <w:p w14:paraId="74BFEB9C" w14:textId="7305B7D8" w:rsidR="00950AA8" w:rsidRPr="00D5512B" w:rsidRDefault="00950AA8" w:rsidP="0055004B">
      <w:pPr>
        <w:pStyle w:val="Bullet1"/>
        <w:rPr>
          <w:lang w:val="en-AU"/>
        </w:rPr>
      </w:pPr>
      <w:r w:rsidRPr="00D5512B">
        <w:rPr>
          <w:lang w:val="en-AU"/>
        </w:rPr>
        <w:t xml:space="preserve">the nature and size of online keno and </w:t>
      </w:r>
      <w:r w:rsidR="00AE1EDA" w:rsidRPr="00D5512B">
        <w:rPr>
          <w:lang w:val="en-AU"/>
        </w:rPr>
        <w:t>foreign-matched</w:t>
      </w:r>
      <w:r w:rsidRPr="00D5512B">
        <w:rPr>
          <w:lang w:val="en-AU"/>
        </w:rPr>
        <w:t xml:space="preserve"> lotteries in Australia</w:t>
      </w:r>
    </w:p>
    <w:p w14:paraId="01BEC02E" w14:textId="44C0892A" w:rsidR="00950AA8" w:rsidRPr="00D5512B" w:rsidRDefault="00950AA8" w:rsidP="0055004B">
      <w:pPr>
        <w:pStyle w:val="Bullet1"/>
        <w:rPr>
          <w:lang w:val="en-AU"/>
        </w:rPr>
      </w:pPr>
      <w:r w:rsidRPr="00D5512B">
        <w:rPr>
          <w:lang w:val="en-AU"/>
        </w:rPr>
        <w:t xml:space="preserve">the impact of existing, new and emerging keno type lotteries and </w:t>
      </w:r>
      <w:r w:rsidR="00AE1EDA" w:rsidRPr="00D5512B">
        <w:rPr>
          <w:lang w:val="en-AU"/>
        </w:rPr>
        <w:t>foreign-matched</w:t>
      </w:r>
      <w:r w:rsidRPr="00D5512B">
        <w:rPr>
          <w:lang w:val="en-AU"/>
        </w:rPr>
        <w:t xml:space="preserve"> lotteries in Australia</w:t>
      </w:r>
    </w:p>
    <w:p w14:paraId="0DDF459C" w14:textId="3B5DF5D8" w:rsidR="00950AA8" w:rsidRPr="00D5512B" w:rsidRDefault="00950AA8" w:rsidP="0055004B">
      <w:pPr>
        <w:pStyle w:val="Bullet1"/>
        <w:rPr>
          <w:lang w:val="en-AU"/>
        </w:rPr>
      </w:pPr>
      <w:r w:rsidRPr="00D5512B">
        <w:rPr>
          <w:lang w:val="en-AU"/>
        </w:rPr>
        <w:t xml:space="preserve">adverse experiences </w:t>
      </w:r>
      <w:r w:rsidR="00981FA2" w:rsidRPr="00D5512B">
        <w:rPr>
          <w:lang w:val="en-AU"/>
        </w:rPr>
        <w:t>of</w:t>
      </w:r>
      <w:r w:rsidRPr="00D5512B">
        <w:rPr>
          <w:lang w:val="en-AU"/>
        </w:rPr>
        <w:t xml:space="preserve"> these lottery products, including loss of deposits or non</w:t>
      </w:r>
      <w:r w:rsidR="00737831" w:rsidRPr="00D5512B">
        <w:rPr>
          <w:lang w:val="en-AU"/>
        </w:rPr>
        <w:noBreakHyphen/>
      </w:r>
      <w:r w:rsidRPr="00D5512B">
        <w:rPr>
          <w:lang w:val="en-AU"/>
        </w:rPr>
        <w:t>payment of winnings</w:t>
      </w:r>
    </w:p>
    <w:p w14:paraId="497E1B2F" w14:textId="14FC2D5C" w:rsidR="00950AA8" w:rsidRPr="00D5512B" w:rsidRDefault="00950AA8" w:rsidP="0055004B">
      <w:pPr>
        <w:pStyle w:val="Bullet1"/>
        <w:rPr>
          <w:lang w:val="en-AU"/>
        </w:rPr>
      </w:pPr>
      <w:r w:rsidRPr="00D5512B">
        <w:rPr>
          <w:lang w:val="en-AU"/>
        </w:rPr>
        <w:t>the definition of an ‘excluded lottery service’ under the IGA and whether it remains ‘fit for purpose’, and whether these products go against the intent of the IGA to minimi</w:t>
      </w:r>
      <w:r w:rsidR="00737831" w:rsidRPr="00D5512B">
        <w:rPr>
          <w:lang w:val="en-AU"/>
        </w:rPr>
        <w:t>s</w:t>
      </w:r>
      <w:r w:rsidRPr="00D5512B">
        <w:rPr>
          <w:lang w:val="en-AU"/>
        </w:rPr>
        <w:t xml:space="preserve">e </w:t>
      </w:r>
      <w:r w:rsidR="00F712D0" w:rsidRPr="00D5512B">
        <w:rPr>
          <w:lang w:val="en-AU"/>
        </w:rPr>
        <w:t xml:space="preserve">gambling </w:t>
      </w:r>
      <w:r w:rsidRPr="00D5512B">
        <w:rPr>
          <w:lang w:val="en-AU"/>
        </w:rPr>
        <w:t>harms from internet technologies</w:t>
      </w:r>
    </w:p>
    <w:p w14:paraId="05E5BCAF" w14:textId="7AB160C4" w:rsidR="00950AA8" w:rsidRPr="00D5512B" w:rsidRDefault="00950AA8" w:rsidP="0055004B">
      <w:pPr>
        <w:pStyle w:val="Bullet1"/>
        <w:rPr>
          <w:lang w:val="en-AU"/>
        </w:rPr>
      </w:pPr>
      <w:r w:rsidRPr="00D5512B">
        <w:rPr>
          <w:lang w:val="en-AU"/>
        </w:rPr>
        <w:t>policy options</w:t>
      </w:r>
      <w:r w:rsidR="00981FA2" w:rsidRPr="00D5512B">
        <w:rPr>
          <w:lang w:val="en-AU"/>
        </w:rPr>
        <w:t>,</w:t>
      </w:r>
      <w:r w:rsidRPr="00D5512B">
        <w:rPr>
          <w:lang w:val="en-AU"/>
        </w:rPr>
        <w:t xml:space="preserve"> including credit and digital payment bans or other restrictions, that could be applied to these products. </w:t>
      </w:r>
    </w:p>
    <w:p w14:paraId="59843A8C" w14:textId="68F0ACB2" w:rsidR="00950AA8" w:rsidRPr="00D5512B" w:rsidRDefault="00950AA8" w:rsidP="00950AA8">
      <w:r w:rsidRPr="00D5512B">
        <w:t xml:space="preserve">The </w:t>
      </w:r>
      <w:r w:rsidR="00901573" w:rsidRPr="00D5512B">
        <w:t xml:space="preserve">below </w:t>
      </w:r>
      <w:r w:rsidRPr="00D5512B">
        <w:t xml:space="preserve">matters were outside the scope of the </w:t>
      </w:r>
      <w:r w:rsidR="00EE7D32" w:rsidRPr="00D5512B">
        <w:t>r</w:t>
      </w:r>
      <w:r w:rsidRPr="00D5512B">
        <w:t>eview:</w:t>
      </w:r>
    </w:p>
    <w:p w14:paraId="40C6F6CF" w14:textId="7DD3D9BB" w:rsidR="00950AA8" w:rsidRPr="00D5512B" w:rsidRDefault="00950AA8" w:rsidP="0055004B">
      <w:pPr>
        <w:pStyle w:val="Bullet1"/>
        <w:rPr>
          <w:lang w:val="en-AU"/>
        </w:rPr>
      </w:pPr>
      <w:r w:rsidRPr="00D5512B">
        <w:rPr>
          <w:lang w:val="en-AU"/>
        </w:rPr>
        <w:t xml:space="preserve">land-based products, including </w:t>
      </w:r>
      <w:r w:rsidR="00EE7D32" w:rsidRPr="00D5512B">
        <w:rPr>
          <w:lang w:val="en-AU"/>
        </w:rPr>
        <w:t>k</w:t>
      </w:r>
      <w:r w:rsidRPr="00D5512B">
        <w:rPr>
          <w:lang w:val="en-AU"/>
        </w:rPr>
        <w:t>eno played in-venue (i.e. pubs</w:t>
      </w:r>
      <w:r w:rsidR="00EE7D32" w:rsidRPr="00D5512B">
        <w:rPr>
          <w:lang w:val="en-AU"/>
        </w:rPr>
        <w:t xml:space="preserve">, </w:t>
      </w:r>
      <w:r w:rsidRPr="00D5512B">
        <w:rPr>
          <w:lang w:val="en-AU"/>
        </w:rPr>
        <w:t>clubs</w:t>
      </w:r>
      <w:r w:rsidR="00EE7D32" w:rsidRPr="00D5512B">
        <w:rPr>
          <w:lang w:val="en-AU"/>
        </w:rPr>
        <w:t xml:space="preserve"> and hotels</w:t>
      </w:r>
      <w:r w:rsidRPr="00D5512B">
        <w:rPr>
          <w:lang w:val="en-AU"/>
        </w:rPr>
        <w:t>)</w:t>
      </w:r>
    </w:p>
    <w:p w14:paraId="2BF736E5" w14:textId="76BDA528" w:rsidR="00950AA8" w:rsidRPr="00D5512B" w:rsidRDefault="00950AA8" w:rsidP="0055004B">
      <w:pPr>
        <w:pStyle w:val="Bullet1"/>
        <w:rPr>
          <w:lang w:val="en-AU"/>
        </w:rPr>
      </w:pPr>
      <w:r w:rsidRPr="00D5512B">
        <w:rPr>
          <w:lang w:val="en-AU"/>
        </w:rPr>
        <w:t xml:space="preserve">matters covered by the </w:t>
      </w:r>
      <w:bookmarkStart w:id="3" w:name="_Hlk214373848"/>
      <w:r w:rsidRPr="00D5512B">
        <w:rPr>
          <w:lang w:val="en-AU"/>
        </w:rPr>
        <w:t>House of Representatives Standing Committee on Social Policy and Legal Affairs’ inquiry into online gambling and its impacts on those experiencing gambling harm</w:t>
      </w:r>
      <w:r w:rsidR="00F712D0" w:rsidRPr="00D5512B">
        <w:rPr>
          <w:lang w:val="en-AU"/>
        </w:rPr>
        <w:t xml:space="preserve"> </w:t>
      </w:r>
      <w:bookmarkEnd w:id="3"/>
      <w:r w:rsidR="00F712D0" w:rsidRPr="00D5512B">
        <w:rPr>
          <w:lang w:val="en-AU"/>
        </w:rPr>
        <w:t>(Online Gambling Inquiry)</w:t>
      </w:r>
      <w:r w:rsidR="00C04607" w:rsidRPr="00D5512B">
        <w:rPr>
          <w:lang w:val="en-AU"/>
        </w:rPr>
        <w:t>,</w:t>
      </w:r>
      <w:r w:rsidRPr="00D5512B">
        <w:rPr>
          <w:lang w:val="en-AU"/>
        </w:rPr>
        <w:t xml:space="preserve"> and</w:t>
      </w:r>
    </w:p>
    <w:p w14:paraId="4CCE97A5" w14:textId="20A80818" w:rsidR="00950AA8" w:rsidRPr="00D5512B" w:rsidRDefault="00950AA8" w:rsidP="00981FA2">
      <w:pPr>
        <w:pStyle w:val="Bullet1"/>
        <w:spacing w:after="0"/>
        <w:rPr>
          <w:lang w:val="en-AU"/>
        </w:rPr>
      </w:pPr>
      <w:r w:rsidRPr="00D5512B">
        <w:rPr>
          <w:lang w:val="en-AU"/>
        </w:rPr>
        <w:t xml:space="preserve">the operation of </w:t>
      </w:r>
      <w:r w:rsidR="00A11781" w:rsidRPr="00D5512B">
        <w:rPr>
          <w:lang w:val="en-AU"/>
        </w:rPr>
        <w:t>BetStop – the National Self Exclusion Register (</w:t>
      </w:r>
      <w:r w:rsidRPr="00D5512B">
        <w:rPr>
          <w:lang w:val="en-AU"/>
        </w:rPr>
        <w:t>NSER</w:t>
      </w:r>
      <w:r w:rsidR="00A11781" w:rsidRPr="00D5512B">
        <w:rPr>
          <w:lang w:val="en-AU"/>
        </w:rPr>
        <w:t>)</w:t>
      </w:r>
      <w:r w:rsidRPr="00D5512B">
        <w:rPr>
          <w:lang w:val="en-AU"/>
        </w:rPr>
        <w:t>.</w:t>
      </w:r>
    </w:p>
    <w:p w14:paraId="4CEBF0B1" w14:textId="6873ACDB" w:rsidR="000F6F47" w:rsidRPr="00D5512B" w:rsidRDefault="000F6F47" w:rsidP="00714E19">
      <w:pPr>
        <w:pStyle w:val="Heading2"/>
      </w:pPr>
      <w:bookmarkStart w:id="4" w:name="_Toc215647738"/>
      <w:r w:rsidRPr="00D5512B">
        <w:lastRenderedPageBreak/>
        <w:t xml:space="preserve">Consultation </w:t>
      </w:r>
      <w:r w:rsidR="00C04607" w:rsidRPr="00D5512B">
        <w:t>p</w:t>
      </w:r>
      <w:r w:rsidRPr="00D5512B">
        <w:t>rocess</w:t>
      </w:r>
      <w:bookmarkEnd w:id="4"/>
    </w:p>
    <w:p w14:paraId="127D8C2C" w14:textId="5F492302" w:rsidR="000F6F47" w:rsidRPr="00D5512B" w:rsidRDefault="000F6F47" w:rsidP="000F6F47">
      <w:r w:rsidRPr="00D5512B">
        <w:t xml:space="preserve">On 15 July 2024, the department </w:t>
      </w:r>
      <w:r w:rsidR="00F857D6" w:rsidRPr="00D5512B">
        <w:t>released</w:t>
      </w:r>
      <w:r w:rsidRPr="00D5512B">
        <w:t xml:space="preserve"> an Issues Paper to targeted stakeholders </w:t>
      </w:r>
      <w:r w:rsidR="0055004B" w:rsidRPr="00D5512B">
        <w:t xml:space="preserve">including </w:t>
      </w:r>
      <w:r w:rsidRPr="00D5512B">
        <w:t>industry, harm reduction advocates, academics, community and charity peak bodies, state and territor</w:t>
      </w:r>
      <w:r w:rsidR="00737831" w:rsidRPr="00D5512B">
        <w:t>y governments</w:t>
      </w:r>
      <w:r w:rsidRPr="00D5512B">
        <w:t xml:space="preserve">, and relevant </w:t>
      </w:r>
      <w:r w:rsidR="0055004B" w:rsidRPr="00D5512B">
        <w:t xml:space="preserve">Commonwealth </w:t>
      </w:r>
      <w:r w:rsidRPr="00D5512B">
        <w:t>agencies.</w:t>
      </w:r>
    </w:p>
    <w:p w14:paraId="75772D9A" w14:textId="50639415" w:rsidR="000F6F47" w:rsidRPr="00D5512B" w:rsidRDefault="000F6F47" w:rsidP="000F6F47">
      <w:r w:rsidRPr="00D5512B">
        <w:t>The Issues Paper invited stakeholder</w:t>
      </w:r>
      <w:r w:rsidR="00F857D6" w:rsidRPr="00D5512B">
        <w:t xml:space="preserve">s to provide </w:t>
      </w:r>
      <w:r w:rsidRPr="00D5512B">
        <w:t>feedback on 3 issues:</w:t>
      </w:r>
    </w:p>
    <w:p w14:paraId="781D60EE" w14:textId="21F89A0E" w:rsidR="000F6F47" w:rsidRPr="00D5512B" w:rsidRDefault="000F6F47" w:rsidP="006F0098">
      <w:pPr>
        <w:pStyle w:val="ListParagraph"/>
        <w:numPr>
          <w:ilvl w:val="0"/>
          <w:numId w:val="15"/>
        </w:numPr>
      </w:pPr>
      <w:r w:rsidRPr="00D5512B">
        <w:t xml:space="preserve">Whether online keno and </w:t>
      </w:r>
      <w:r w:rsidR="00AE1EDA" w:rsidRPr="00D5512B">
        <w:t>foreign-matched</w:t>
      </w:r>
      <w:r w:rsidRPr="00D5512B">
        <w:t xml:space="preserve"> lottery products are consistent with the intent of the IGA and the government’s harm minimisation policy objectives</w:t>
      </w:r>
      <w:r w:rsidR="00C04607" w:rsidRPr="00D5512B">
        <w:t>.</w:t>
      </w:r>
    </w:p>
    <w:p w14:paraId="1A1C918F" w14:textId="40622CD1" w:rsidR="000F6F47" w:rsidRPr="00D5512B" w:rsidRDefault="000F6F47" w:rsidP="006F0098">
      <w:pPr>
        <w:pStyle w:val="ListParagraph"/>
        <w:numPr>
          <w:ilvl w:val="0"/>
          <w:numId w:val="15"/>
        </w:numPr>
      </w:pPr>
      <w:r w:rsidRPr="00D5512B">
        <w:t xml:space="preserve">The impacts of online keno and </w:t>
      </w:r>
      <w:r w:rsidR="00AE1EDA" w:rsidRPr="00D5512B">
        <w:t>foreign-matched</w:t>
      </w:r>
      <w:r w:rsidRPr="00D5512B">
        <w:t xml:space="preserve"> lottery products, particularly any evidence of gambling harm risks to Australian consumers</w:t>
      </w:r>
      <w:r w:rsidR="00C04607" w:rsidRPr="00D5512B">
        <w:t>.</w:t>
      </w:r>
    </w:p>
    <w:p w14:paraId="5508E19B" w14:textId="66A54BFD" w:rsidR="000F6F47" w:rsidRPr="00D5512B" w:rsidRDefault="000F6F47" w:rsidP="006F0098">
      <w:pPr>
        <w:pStyle w:val="ListParagraph"/>
        <w:numPr>
          <w:ilvl w:val="0"/>
          <w:numId w:val="15"/>
        </w:numPr>
      </w:pPr>
      <w:bookmarkStart w:id="5" w:name="_Hlk214978230"/>
      <w:r w:rsidRPr="00D5512B">
        <w:t>Whether policy options, including credit and digital payment bans or other restrictions</w:t>
      </w:r>
      <w:r w:rsidR="008E6558">
        <w:t>,</w:t>
      </w:r>
      <w:r w:rsidRPr="00D5512B">
        <w:t xml:space="preserve"> should be applied to these products.</w:t>
      </w:r>
    </w:p>
    <w:bookmarkEnd w:id="5"/>
    <w:p w14:paraId="34D2F580" w14:textId="77B0CE27" w:rsidR="000075AC" w:rsidRPr="00D5512B" w:rsidRDefault="00F857D6" w:rsidP="00885B45">
      <w:pPr>
        <w:sectPr w:rsidR="000075AC" w:rsidRPr="00D5512B" w:rsidSect="00701000">
          <w:headerReference w:type="even" r:id="rId28"/>
          <w:headerReference w:type="default" r:id="rId29"/>
          <w:headerReference w:type="first" r:id="rId30"/>
          <w:pgSz w:w="11906" w:h="16838" w:code="9"/>
          <w:pgMar w:top="1021" w:right="1021" w:bottom="1021" w:left="1021" w:header="340" w:footer="397" w:gutter="0"/>
          <w:cols w:space="708"/>
          <w:docGrid w:linePitch="360"/>
        </w:sectPr>
      </w:pPr>
      <w:r w:rsidRPr="00D5512B">
        <w:t xml:space="preserve">Consultation closed on 31 October </w:t>
      </w:r>
      <w:r w:rsidR="008E6558" w:rsidRPr="00D5512B">
        <w:t>2024,</w:t>
      </w:r>
      <w:r w:rsidRPr="00D5512B">
        <w:t xml:space="preserve"> and the department received 32 submissions. Over the course of the consultation period</w:t>
      </w:r>
      <w:r w:rsidR="00F44DF8" w:rsidRPr="00D5512B">
        <w:t>,</w:t>
      </w:r>
      <w:r w:rsidRPr="00D5512B">
        <w:t xml:space="preserve"> the department </w:t>
      </w:r>
      <w:r w:rsidR="007866B8" w:rsidRPr="00D5512B">
        <w:t xml:space="preserve">conducted </w:t>
      </w:r>
      <w:r w:rsidR="009E3163" w:rsidRPr="00D5512B">
        <w:t xml:space="preserve">several </w:t>
      </w:r>
      <w:r w:rsidR="007866B8" w:rsidRPr="00D5512B">
        <w:t>meeting</w:t>
      </w:r>
      <w:r w:rsidR="00EE7D32" w:rsidRPr="00D5512B">
        <w:t>s</w:t>
      </w:r>
      <w:r w:rsidR="007866B8" w:rsidRPr="00D5512B">
        <w:t xml:space="preserve"> with </w:t>
      </w:r>
      <w:r w:rsidRPr="00D5512B">
        <w:t>targeted stakeholder</w:t>
      </w:r>
      <w:r w:rsidR="00F44DF8" w:rsidRPr="00D5512B">
        <w:t xml:space="preserve"> groups</w:t>
      </w:r>
      <w:r w:rsidRPr="00D5512B">
        <w:t xml:space="preserve">. </w:t>
      </w:r>
      <w:bookmarkStart w:id="6" w:name="_Hlk159929407"/>
      <w:bookmarkStart w:id="7" w:name="_Hlk159929398"/>
    </w:p>
    <w:bookmarkEnd w:id="6"/>
    <w:bookmarkEnd w:id="7"/>
    <w:p w14:paraId="1746E272" w14:textId="77777777" w:rsidR="00AD7703" w:rsidRPr="00D5512B" w:rsidRDefault="00AD7703">
      <w:pPr>
        <w:suppressAutoHyphens w:val="0"/>
      </w:pPr>
      <w:r w:rsidRPr="00D5512B">
        <w:br w:type="page"/>
      </w:r>
    </w:p>
    <w:p w14:paraId="1569DDCC" w14:textId="25D8B9A9" w:rsidR="002464F9" w:rsidRPr="00D5512B" w:rsidRDefault="002464F9" w:rsidP="002464F9">
      <w:pPr>
        <w:pStyle w:val="Heading1"/>
      </w:pPr>
      <w:bookmarkStart w:id="8" w:name="_Toc215647739"/>
      <w:r w:rsidRPr="00D5512B">
        <w:lastRenderedPageBreak/>
        <w:t xml:space="preserve">Online </w:t>
      </w:r>
      <w:r w:rsidR="00981FA2" w:rsidRPr="00D5512B">
        <w:t>k</w:t>
      </w:r>
      <w:r w:rsidRPr="00D5512B">
        <w:t>eno</w:t>
      </w:r>
      <w:bookmarkEnd w:id="8"/>
    </w:p>
    <w:p w14:paraId="196E9F4C" w14:textId="77777777" w:rsidR="00A171C3" w:rsidRPr="00D5512B" w:rsidRDefault="00A171C3" w:rsidP="00714E19">
      <w:pPr>
        <w:pStyle w:val="Heading2"/>
      </w:pPr>
      <w:bookmarkStart w:id="9" w:name="_Toc215647740"/>
      <w:r w:rsidRPr="00D5512B">
        <w:t>Overview</w:t>
      </w:r>
      <w:bookmarkEnd w:id="9"/>
    </w:p>
    <w:p w14:paraId="43E1E553" w14:textId="024F3C97" w:rsidR="00E06824" w:rsidRPr="00D5512B" w:rsidRDefault="00FD1A3B" w:rsidP="00E06824">
      <w:r w:rsidRPr="00D5512B">
        <w:t>Traditionally, keno has been available as an in-venue game</w:t>
      </w:r>
      <w:r w:rsidR="00CD24CF" w:rsidRPr="00D5512B">
        <w:t xml:space="preserve"> in clubs, pubs, hotels and casinos</w:t>
      </w:r>
      <w:r w:rsidR="00981FA2" w:rsidRPr="00D5512B">
        <w:t>,</w:t>
      </w:r>
      <w:r w:rsidR="00CD24CF" w:rsidRPr="00D5512B">
        <w:t xml:space="preserve"> </w:t>
      </w:r>
      <w:r w:rsidRPr="00D5512B">
        <w:t xml:space="preserve">and </w:t>
      </w:r>
      <w:r w:rsidR="00F23049" w:rsidRPr="00D5512B">
        <w:t xml:space="preserve">is </w:t>
      </w:r>
      <w:r w:rsidRPr="00D5512B">
        <w:t>licenced</w:t>
      </w:r>
      <w:r w:rsidR="00F23049" w:rsidRPr="00D5512B">
        <w:t xml:space="preserve"> and regulated</w:t>
      </w:r>
      <w:r w:rsidRPr="00D5512B">
        <w:t xml:space="preserve"> </w:t>
      </w:r>
      <w:r w:rsidR="00F23049" w:rsidRPr="00D5512B">
        <w:t xml:space="preserve">by </w:t>
      </w:r>
      <w:r w:rsidRPr="00D5512B">
        <w:t xml:space="preserve">state and territory </w:t>
      </w:r>
      <w:r w:rsidR="00F23049" w:rsidRPr="00D5512B">
        <w:t>governments</w:t>
      </w:r>
      <w:r w:rsidRPr="00D5512B">
        <w:t>. More recently it has been made available online to consumer</w:t>
      </w:r>
      <w:r w:rsidR="0035263B" w:rsidRPr="00D5512B">
        <w:t>s</w:t>
      </w:r>
      <w:r w:rsidRPr="00D5512B">
        <w:t xml:space="preserve"> </w:t>
      </w:r>
      <w:bookmarkStart w:id="10" w:name="_Hlk211504317"/>
      <w:r w:rsidR="00E654FB" w:rsidRPr="00D5512B">
        <w:t xml:space="preserve">via licences issued in </w:t>
      </w:r>
      <w:r w:rsidR="009773C6" w:rsidRPr="00D5512B">
        <w:t>Victoria, the Northern Territory and the Australian Capital Territory</w:t>
      </w:r>
      <w:bookmarkEnd w:id="10"/>
      <w:r w:rsidR="009773C6" w:rsidRPr="00D5512B">
        <w:t>.</w:t>
      </w:r>
      <w:r w:rsidR="00565A63" w:rsidRPr="00D5512B" w:rsidDel="00565A63">
        <w:t xml:space="preserve"> </w:t>
      </w:r>
    </w:p>
    <w:p w14:paraId="4086AF9B" w14:textId="77777777" w:rsidR="0055004B" w:rsidRPr="00D5512B" w:rsidRDefault="0055004B" w:rsidP="0055004B">
      <w:pPr>
        <w:pStyle w:val="Box2Heading"/>
        <w:rPr>
          <w:lang w:val="en-AU"/>
        </w:rPr>
      </w:pPr>
      <w:r w:rsidRPr="00D5512B">
        <w:rPr>
          <w:lang w:val="en-AU"/>
        </w:rPr>
        <w:t>What is online keno?</w:t>
      </w:r>
    </w:p>
    <w:p w14:paraId="0A0B93AB" w14:textId="77777777" w:rsidR="0055004B" w:rsidRPr="00D5512B" w:rsidRDefault="0055004B" w:rsidP="0055004B">
      <w:pPr>
        <w:pStyle w:val="Box2Heading"/>
        <w:rPr>
          <w:b w:val="0"/>
          <w:lang w:val="en-AU"/>
        </w:rPr>
      </w:pPr>
      <w:r w:rsidRPr="00D5512B">
        <w:rPr>
          <w:b w:val="0"/>
          <w:lang w:val="en-AU"/>
        </w:rPr>
        <w:t xml:space="preserve">Online keno is a game of chance, drawn every 3 minutes that offers players the opportunity to win prizes by selecting numbers and matching them with the drawn numbers. </w:t>
      </w:r>
    </w:p>
    <w:p w14:paraId="56FBB7B4" w14:textId="508032A7" w:rsidR="0055004B" w:rsidRPr="00D5512B" w:rsidRDefault="0055004B" w:rsidP="0055004B">
      <w:pPr>
        <w:pStyle w:val="Box2Heading"/>
        <w:rPr>
          <w:b w:val="0"/>
          <w:lang w:val="en-AU" w:eastAsia="en-AU"/>
        </w:rPr>
      </w:pPr>
      <w:r w:rsidRPr="00D5512B">
        <w:rPr>
          <w:b w:val="0"/>
          <w:lang w:val="en-AU"/>
        </w:rPr>
        <w:t>Players select a set of numbers (usually 10-20 numbers) from 1-80 and bet that their numbers will match any of</w:t>
      </w:r>
      <w:r w:rsidRPr="00D5512B">
        <w:rPr>
          <w:b w:val="0"/>
          <w:lang w:val="en-AU" w:eastAsia="en-AU"/>
        </w:rPr>
        <w:t xml:space="preserve"> the 20 numbers that are randomly selected from the group of 1-80.</w:t>
      </w:r>
    </w:p>
    <w:p w14:paraId="4EDDFBEB" w14:textId="2709E3CB" w:rsidR="005054A7" w:rsidRPr="00D5512B" w:rsidRDefault="005054A7" w:rsidP="00A171C3">
      <w:r w:rsidRPr="00D5512B">
        <w:t xml:space="preserve">As part of the current statutory review into </w:t>
      </w:r>
      <w:r w:rsidR="00F712D0" w:rsidRPr="00D5512B">
        <w:t xml:space="preserve">BetStop – the National Self-Exclusion Register (the </w:t>
      </w:r>
      <w:r w:rsidRPr="00D5512B">
        <w:t>NSER</w:t>
      </w:r>
      <w:r w:rsidR="00F712D0" w:rsidRPr="00D5512B">
        <w:t>)</w:t>
      </w:r>
      <w:r w:rsidRPr="00D5512B">
        <w:t xml:space="preserve"> the former Minister for Communications asked that the Terms of Reference for the NSER </w:t>
      </w:r>
      <w:r w:rsidR="00747ABD" w:rsidRPr="00D5512B">
        <w:t>r</w:t>
      </w:r>
      <w:r w:rsidRPr="00D5512B">
        <w:t>eview be expanded to explore the feasibility of extending the NSER’s coverage to online keno products and services.</w:t>
      </w:r>
      <w:r w:rsidR="00A11781" w:rsidRPr="00D5512B">
        <w:t xml:space="preserve"> </w:t>
      </w:r>
      <w:r w:rsidR="0035263B" w:rsidRPr="00D5512B">
        <w:t xml:space="preserve">The NSER allows </w:t>
      </w:r>
      <w:r w:rsidR="00A11781" w:rsidRPr="00D5512B">
        <w:t xml:space="preserve">Australians </w:t>
      </w:r>
      <w:r w:rsidR="00F23049" w:rsidRPr="00D5512B">
        <w:t xml:space="preserve">to </w:t>
      </w:r>
      <w:r w:rsidR="009E27DE" w:rsidRPr="00D5512B">
        <w:t>self-exclude</w:t>
      </w:r>
      <w:r w:rsidR="00A11781" w:rsidRPr="00D5512B">
        <w:t xml:space="preserve"> from online wagering services (primarily online sports and race betting services) with a single registration. The NSER </w:t>
      </w:r>
      <w:r w:rsidR="00F23049" w:rsidRPr="00D5512B">
        <w:t xml:space="preserve">review </w:t>
      </w:r>
      <w:r w:rsidR="00A11781" w:rsidRPr="00D5512B">
        <w:t xml:space="preserve">report is due to the Minister for Communications, the Hon Anika Wells MP, </w:t>
      </w:r>
      <w:r w:rsidR="00D756C0" w:rsidRPr="00D5512B">
        <w:t>in February</w:t>
      </w:r>
      <w:r w:rsidR="00A11781" w:rsidRPr="00D5512B">
        <w:t xml:space="preserve"> 2026.</w:t>
      </w:r>
    </w:p>
    <w:p w14:paraId="29F32DAD" w14:textId="67C94D79" w:rsidR="00A171C3" w:rsidRPr="00D5512B" w:rsidRDefault="002075AE" w:rsidP="00BC164C">
      <w:pPr>
        <w:pStyle w:val="Introduction"/>
      </w:pPr>
      <w:r w:rsidRPr="00D5512B">
        <w:t>National regulation and p</w:t>
      </w:r>
      <w:r w:rsidR="00A171C3" w:rsidRPr="00D5512B">
        <w:t>roviders</w:t>
      </w:r>
    </w:p>
    <w:p w14:paraId="65F2A098" w14:textId="30ADF9E4" w:rsidR="002075AE" w:rsidRPr="00D5512B" w:rsidRDefault="002075AE" w:rsidP="002075AE">
      <w:r w:rsidRPr="00D5512B">
        <w:t xml:space="preserve">Online keno is an ‘excluded lottery service’ under section 8D of the IGA. As a result, this product is exempt from </w:t>
      </w:r>
      <w:proofErr w:type="gramStart"/>
      <w:r w:rsidRPr="00D5512B">
        <w:t>a number of</w:t>
      </w:r>
      <w:proofErr w:type="gramEnd"/>
      <w:r w:rsidRPr="00D5512B">
        <w:t xml:space="preserve"> consumer protection measures implemented in recent years, including the credit card ban and the NSER.</w:t>
      </w:r>
    </w:p>
    <w:p w14:paraId="712C21EF" w14:textId="77777777" w:rsidR="00A171C3" w:rsidRPr="00D5512B" w:rsidRDefault="00A171C3" w:rsidP="00A171C3">
      <w:r w:rsidRPr="00D5512B">
        <w:t>Online keno is offered by 3 licenced providers in Australia:</w:t>
      </w:r>
    </w:p>
    <w:p w14:paraId="451EB0BB" w14:textId="6DB16727" w:rsidR="00D93BED" w:rsidRPr="00D5512B" w:rsidRDefault="00D93BED" w:rsidP="0055004B">
      <w:pPr>
        <w:pStyle w:val="Bullet1"/>
        <w:rPr>
          <w:lang w:val="en-AU"/>
        </w:rPr>
      </w:pPr>
      <w:proofErr w:type="spellStart"/>
      <w:r w:rsidRPr="00D5512B">
        <w:rPr>
          <w:lang w:val="en-AU"/>
        </w:rPr>
        <w:t>Annexio</w:t>
      </w:r>
      <w:proofErr w:type="spellEnd"/>
      <w:r w:rsidRPr="00D5512B">
        <w:rPr>
          <w:lang w:val="en-AU"/>
        </w:rPr>
        <w:t xml:space="preserve"> Australia Pty Ltd (</w:t>
      </w:r>
      <w:proofErr w:type="spellStart"/>
      <w:r w:rsidRPr="00D5512B">
        <w:rPr>
          <w:lang w:val="en-AU"/>
        </w:rPr>
        <w:t>LottoGo</w:t>
      </w:r>
      <w:proofErr w:type="spellEnd"/>
      <w:r w:rsidRPr="00D5512B">
        <w:rPr>
          <w:lang w:val="en-AU"/>
        </w:rPr>
        <w:t>)</w:t>
      </w:r>
      <w:r w:rsidR="00173CCD" w:rsidRPr="00D5512B">
        <w:rPr>
          <w:lang w:val="en-AU"/>
        </w:rPr>
        <w:t xml:space="preserve"> – licenced in the Northern Territory</w:t>
      </w:r>
    </w:p>
    <w:p w14:paraId="456EC6C8" w14:textId="060E3FBF" w:rsidR="00D93BED" w:rsidRPr="00D5512B" w:rsidRDefault="00D93BED" w:rsidP="0055004B">
      <w:pPr>
        <w:pStyle w:val="Bullet1"/>
        <w:rPr>
          <w:lang w:val="en-AU"/>
        </w:rPr>
      </w:pPr>
      <w:proofErr w:type="spellStart"/>
      <w:r w:rsidRPr="00D5512B">
        <w:rPr>
          <w:lang w:val="en-AU"/>
        </w:rPr>
        <w:t>Lottoland</w:t>
      </w:r>
      <w:proofErr w:type="spellEnd"/>
      <w:r w:rsidRPr="00D5512B">
        <w:rPr>
          <w:lang w:val="en-AU"/>
        </w:rPr>
        <w:t xml:space="preserve"> (</w:t>
      </w:r>
      <w:proofErr w:type="spellStart"/>
      <w:r w:rsidRPr="00D5512B">
        <w:rPr>
          <w:lang w:val="en-AU"/>
        </w:rPr>
        <w:t>KenoGo</w:t>
      </w:r>
      <w:proofErr w:type="spellEnd"/>
      <w:r w:rsidRPr="00D5512B">
        <w:rPr>
          <w:lang w:val="en-AU"/>
        </w:rPr>
        <w:t>)</w:t>
      </w:r>
      <w:r w:rsidR="00173CCD" w:rsidRPr="00D5512B">
        <w:rPr>
          <w:lang w:val="en-AU"/>
        </w:rPr>
        <w:t xml:space="preserve"> – licenced in Victoria</w:t>
      </w:r>
    </w:p>
    <w:p w14:paraId="45CCC01F" w14:textId="3D7245F9" w:rsidR="00D93BED" w:rsidRPr="00D5512B" w:rsidRDefault="00D93BED" w:rsidP="0055004B">
      <w:pPr>
        <w:pStyle w:val="Bullet1"/>
        <w:rPr>
          <w:lang w:val="en-AU"/>
        </w:rPr>
      </w:pPr>
      <w:r w:rsidRPr="00D5512B">
        <w:rPr>
          <w:lang w:val="en-AU"/>
        </w:rPr>
        <w:t>The Lottery Corporation (Keno Online Pty Ltd)</w:t>
      </w:r>
      <w:r w:rsidR="00173CCD" w:rsidRPr="00D5512B">
        <w:rPr>
          <w:lang w:val="en-AU"/>
        </w:rPr>
        <w:t xml:space="preserve"> – licenced in Victoria and the Australian Capital Territory.</w:t>
      </w:r>
    </w:p>
    <w:p w14:paraId="72F80DC2" w14:textId="4E891474" w:rsidR="00623EBC" w:rsidRPr="00D5512B" w:rsidRDefault="00623EBC" w:rsidP="00623EBC">
      <w:r w:rsidRPr="00D5512B">
        <w:t xml:space="preserve">While licenced in the Northern Territory and Victoria, </w:t>
      </w:r>
      <w:proofErr w:type="spellStart"/>
      <w:r w:rsidRPr="00D5512B">
        <w:t>LottoGo</w:t>
      </w:r>
      <w:proofErr w:type="spellEnd"/>
      <w:r w:rsidRPr="00D5512B">
        <w:t xml:space="preserve"> and </w:t>
      </w:r>
      <w:proofErr w:type="spellStart"/>
      <w:r w:rsidRPr="00D5512B">
        <w:t>KenoGo</w:t>
      </w:r>
      <w:proofErr w:type="spellEnd"/>
      <w:r w:rsidRPr="00D5512B">
        <w:t xml:space="preserve"> are advertised and offered to consumers Australia-wide. </w:t>
      </w:r>
    </w:p>
    <w:p w14:paraId="35F1BF2A" w14:textId="2B7ADA8D" w:rsidR="00225A49" w:rsidRPr="00D5512B" w:rsidRDefault="00447572" w:rsidP="00161CA1">
      <w:pPr>
        <w:rPr>
          <w:i/>
        </w:rPr>
      </w:pPr>
      <w:r w:rsidRPr="00D5512B">
        <w:rPr>
          <w:i/>
        </w:rPr>
        <w:t>Northern Territory</w:t>
      </w:r>
    </w:p>
    <w:p w14:paraId="2DFACE3C" w14:textId="4C6B1808" w:rsidR="00447572" w:rsidRPr="00D5512B" w:rsidRDefault="00623EBC" w:rsidP="00161CA1">
      <w:r w:rsidRPr="00D5512B">
        <w:t xml:space="preserve">In the Northern Territory, online keno is licenced under the </w:t>
      </w:r>
      <w:r w:rsidRPr="00D5512B">
        <w:rPr>
          <w:i/>
        </w:rPr>
        <w:t>Gaming Control Act 1996</w:t>
      </w:r>
      <w:r w:rsidRPr="00D5512B">
        <w:t xml:space="preserve"> via an online gaming licence. Licensed operators must comply with the N</w:t>
      </w:r>
      <w:r w:rsidR="0055004B" w:rsidRPr="00D5512B">
        <w:t>orthern Territory</w:t>
      </w:r>
      <w:r w:rsidRPr="00D5512B">
        <w:t xml:space="preserve"> Code of Practice for Responsible Service of Online Gambling 2019, which provides guidance on responsible gambling practices, and harm minimisation strategies. </w:t>
      </w:r>
    </w:p>
    <w:p w14:paraId="794F06BB" w14:textId="3F71B10F" w:rsidR="00447572" w:rsidRPr="00D5512B" w:rsidRDefault="00447572" w:rsidP="00161CA1">
      <w:pPr>
        <w:rPr>
          <w:i/>
        </w:rPr>
      </w:pPr>
      <w:r w:rsidRPr="00D5512B">
        <w:rPr>
          <w:i/>
        </w:rPr>
        <w:t>Victoria</w:t>
      </w:r>
    </w:p>
    <w:p w14:paraId="07A2646B" w14:textId="585CDB7D" w:rsidR="00447572" w:rsidRPr="00D5512B" w:rsidRDefault="00BC164C" w:rsidP="00161CA1">
      <w:r w:rsidRPr="00D5512B">
        <w:t xml:space="preserve">In Victoria, </w:t>
      </w:r>
      <w:r w:rsidR="00981FA2" w:rsidRPr="00D5512B">
        <w:t xml:space="preserve">both </w:t>
      </w:r>
      <w:r w:rsidR="00447572" w:rsidRPr="00D5512B">
        <w:t>online and in-venue</w:t>
      </w:r>
      <w:r w:rsidR="00981FA2" w:rsidRPr="00D5512B">
        <w:t xml:space="preserve"> </w:t>
      </w:r>
      <w:r w:rsidR="005E0300" w:rsidRPr="00D5512B">
        <w:t>k</w:t>
      </w:r>
      <w:r w:rsidR="00447572" w:rsidRPr="00D5512B">
        <w:t xml:space="preserve">eno licences are issued in line with the </w:t>
      </w:r>
      <w:r w:rsidR="00447572" w:rsidRPr="00D5512B">
        <w:rPr>
          <w:i/>
        </w:rPr>
        <w:t>Gambling Regulation Act 2003</w:t>
      </w:r>
      <w:r w:rsidR="00447572" w:rsidRPr="00D5512B">
        <w:t xml:space="preserve">, and are each authorised to conduct online keno. </w:t>
      </w:r>
      <w:proofErr w:type="spellStart"/>
      <w:r w:rsidR="00447572" w:rsidRPr="00D5512B">
        <w:t>Lottoland</w:t>
      </w:r>
      <w:proofErr w:type="spellEnd"/>
      <w:r w:rsidR="00447572" w:rsidRPr="00D5512B">
        <w:t xml:space="preserve"> uses this licen</w:t>
      </w:r>
      <w:r w:rsidR="0055004B" w:rsidRPr="00D5512B">
        <w:t>c</w:t>
      </w:r>
      <w:r w:rsidR="00447572" w:rsidRPr="00D5512B">
        <w:t xml:space="preserve">e to sell online keno to residents of other jurisdictions. Both online keno providers have been issued 20-year licences until 2042 and </w:t>
      </w:r>
      <w:r w:rsidRPr="00D5512B">
        <w:t>must</w:t>
      </w:r>
      <w:r w:rsidR="00447572" w:rsidRPr="00D5512B">
        <w:t xml:space="preserve"> adhere to the </w:t>
      </w:r>
      <w:r w:rsidR="00623EBC" w:rsidRPr="00D5512B">
        <w:t>Ministerial Direction</w:t>
      </w:r>
      <w:r w:rsidR="00AF786D" w:rsidRPr="00D5512B">
        <w:t xml:space="preserve"> </w:t>
      </w:r>
      <w:r w:rsidR="00623EBC" w:rsidRPr="00D5512B">
        <w:t>– harm minimisation requirements for online keno providers</w:t>
      </w:r>
      <w:r w:rsidR="00AF786D" w:rsidRPr="00D5512B">
        <w:rPr>
          <w:rStyle w:val="FootnoteReference"/>
        </w:rPr>
        <w:footnoteReference w:id="2"/>
      </w:r>
      <w:r w:rsidR="00447572" w:rsidRPr="00D5512B">
        <w:t>.</w:t>
      </w:r>
    </w:p>
    <w:p w14:paraId="4A9F3A01" w14:textId="558F3BD5" w:rsidR="00447572" w:rsidRPr="00D5512B" w:rsidRDefault="00447572" w:rsidP="00161CA1">
      <w:pPr>
        <w:rPr>
          <w:i/>
        </w:rPr>
      </w:pPr>
      <w:r w:rsidRPr="00D5512B">
        <w:rPr>
          <w:i/>
        </w:rPr>
        <w:lastRenderedPageBreak/>
        <w:t>Australian Capital Territory</w:t>
      </w:r>
    </w:p>
    <w:p w14:paraId="60C45A6B" w14:textId="0D3206B5" w:rsidR="00225A49" w:rsidRPr="00D5512B" w:rsidRDefault="00623EBC" w:rsidP="00161CA1">
      <w:r w:rsidRPr="00D5512B">
        <w:t xml:space="preserve">Online keno is allowed in the Australian Capital Territory in accordance with the </w:t>
      </w:r>
      <w:r w:rsidRPr="00D5512B">
        <w:rPr>
          <w:i/>
        </w:rPr>
        <w:t>Lotteries Act 1964</w:t>
      </w:r>
      <w:r w:rsidRPr="00D5512B">
        <w:t xml:space="preserve"> and is regulated by the ACT Gambling and Racing Commission.</w:t>
      </w:r>
      <w:r w:rsidRPr="00D5512B" w:rsidDel="00623EBC">
        <w:t xml:space="preserve"> </w:t>
      </w:r>
    </w:p>
    <w:p w14:paraId="5AF33A74" w14:textId="23B6FDE2" w:rsidR="00E54BF3" w:rsidRPr="00D5512B" w:rsidRDefault="00394CFB" w:rsidP="00BC164C">
      <w:pPr>
        <w:pStyle w:val="Introduction"/>
      </w:pPr>
      <w:r w:rsidRPr="00D5512B">
        <w:t xml:space="preserve">International </w:t>
      </w:r>
      <w:r w:rsidR="00D756C0" w:rsidRPr="00D5512B">
        <w:t>r</w:t>
      </w:r>
      <w:r w:rsidRPr="00D5512B">
        <w:t>egulation</w:t>
      </w:r>
      <w:r w:rsidR="00B03858" w:rsidRPr="00D5512B">
        <w:t xml:space="preserve"> </w:t>
      </w:r>
    </w:p>
    <w:p w14:paraId="6350B749" w14:textId="10F1D971" w:rsidR="009E1B44" w:rsidRPr="00D5512B" w:rsidRDefault="009E1B44" w:rsidP="00371707">
      <w:r w:rsidRPr="00D5512B">
        <w:t xml:space="preserve">The regulation of keno and the timing of draws in some international jurisdictions </w:t>
      </w:r>
      <w:r w:rsidR="003D3185" w:rsidRPr="00D5512B">
        <w:t xml:space="preserve">varies from </w:t>
      </w:r>
      <w:r w:rsidRPr="00D5512B">
        <w:t>Australia.</w:t>
      </w:r>
      <w:r w:rsidR="00475957" w:rsidRPr="00D5512B">
        <w:t xml:space="preserve"> </w:t>
      </w:r>
    </w:p>
    <w:p w14:paraId="3E6FE74F" w14:textId="28B454D0" w:rsidR="00E43906" w:rsidRPr="00D5512B" w:rsidRDefault="00E43906" w:rsidP="00371707">
      <w:r w:rsidRPr="00D5512B">
        <w:t>In Sweden, Belgium and Norway, keno is offered through state</w:t>
      </w:r>
      <w:r w:rsidR="00BC164C" w:rsidRPr="00D5512B">
        <w:t>-</w:t>
      </w:r>
      <w:r w:rsidRPr="00D5512B">
        <w:t xml:space="preserve">run lotteries, with one draw </w:t>
      </w:r>
      <w:r w:rsidR="003D3185" w:rsidRPr="00D5512B">
        <w:t xml:space="preserve">available </w:t>
      </w:r>
      <w:r w:rsidRPr="00D5512B">
        <w:t xml:space="preserve">per day online </w:t>
      </w:r>
      <w:r w:rsidR="00F13D09" w:rsidRPr="00D5512B">
        <w:t xml:space="preserve">or </w:t>
      </w:r>
      <w:r w:rsidRPr="00D5512B">
        <w:t xml:space="preserve">in-store. </w:t>
      </w:r>
      <w:r w:rsidR="009E1B44" w:rsidRPr="00D5512B">
        <w:t>This is</w:t>
      </w:r>
      <w:r w:rsidRPr="00D5512B">
        <w:t xml:space="preserve"> regulated by their respective national gambling authorities</w:t>
      </w:r>
      <w:r w:rsidR="00EC453C" w:rsidRPr="00D5512B">
        <w:t>:</w:t>
      </w:r>
      <w:r w:rsidRPr="00D5512B">
        <w:t xml:space="preserve"> </w:t>
      </w:r>
      <w:r w:rsidR="00EC453C" w:rsidRPr="00D5512B">
        <w:t xml:space="preserve">the </w:t>
      </w:r>
      <w:r w:rsidRPr="00D5512B">
        <w:t>Swedish Gambling Authority (</w:t>
      </w:r>
      <w:proofErr w:type="spellStart"/>
      <w:r w:rsidRPr="00D5512B">
        <w:t>Spelinspektionen</w:t>
      </w:r>
      <w:proofErr w:type="spellEnd"/>
      <w:r w:rsidRPr="00D5512B">
        <w:t>)</w:t>
      </w:r>
      <w:r w:rsidR="00737831" w:rsidRPr="00D5512B">
        <w:t>,</w:t>
      </w:r>
      <w:r w:rsidRPr="00D5512B">
        <w:t xml:space="preserve"> the Belgian Gaming Commission</w:t>
      </w:r>
      <w:r w:rsidR="00737831" w:rsidRPr="00D5512B">
        <w:t>,</w:t>
      </w:r>
      <w:r w:rsidRPr="00D5512B">
        <w:t xml:space="preserve"> and the Norwegian Gambling Authority. </w:t>
      </w:r>
    </w:p>
    <w:p w14:paraId="01BD1E13" w14:textId="2EDD5499" w:rsidR="00585FBA" w:rsidRPr="00D5512B" w:rsidRDefault="00585FBA" w:rsidP="00585FBA">
      <w:r w:rsidRPr="00D5512B">
        <w:t>In New Zealand, the Keno Rules 2025</w:t>
      </w:r>
      <w:r w:rsidRPr="00D5512B">
        <w:rPr>
          <w:rStyle w:val="FootnoteReference"/>
          <w:iCs/>
        </w:rPr>
        <w:footnoteReference w:id="3"/>
      </w:r>
      <w:r w:rsidR="00737831" w:rsidRPr="00D5512B">
        <w:rPr>
          <w:i/>
        </w:rPr>
        <w:t>,</w:t>
      </w:r>
      <w:r w:rsidRPr="00D5512B">
        <w:t xml:space="preserve"> </w:t>
      </w:r>
      <w:r w:rsidR="009E1B44" w:rsidRPr="00D5512B">
        <w:t xml:space="preserve">made under the </w:t>
      </w:r>
      <w:r w:rsidR="009E1B44" w:rsidRPr="00D5512B">
        <w:rPr>
          <w:i/>
        </w:rPr>
        <w:t>Gambling Act 2003</w:t>
      </w:r>
      <w:r w:rsidR="009E1B44" w:rsidRPr="00D5512B">
        <w:t xml:space="preserve">, do not mandate a specific number of </w:t>
      </w:r>
      <w:proofErr w:type="gramStart"/>
      <w:r w:rsidR="009E1B44" w:rsidRPr="00D5512B">
        <w:t>keno</w:t>
      </w:r>
      <w:proofErr w:type="gramEnd"/>
      <w:r w:rsidR="009E1B44" w:rsidRPr="00D5512B">
        <w:t xml:space="preserve"> draws. The </w:t>
      </w:r>
      <w:r w:rsidRPr="00D5512B">
        <w:t>New Zealand Lotteries Commission</w:t>
      </w:r>
      <w:r w:rsidR="00BC164C" w:rsidRPr="00D5512B">
        <w:t xml:space="preserve"> determines the frequency and duration of games</w:t>
      </w:r>
      <w:r w:rsidR="00A56E0B" w:rsidRPr="00D5512B">
        <w:t xml:space="preserve">. </w:t>
      </w:r>
      <w:r w:rsidR="00F13D09" w:rsidRPr="00D5512B">
        <w:t xml:space="preserve">Keno draws are currently available 4 times a day at 10:00 am, 1:00 pm, 3:00 pm and 6:00 pm. Players can purchase tickets for these draws in-store or online. </w:t>
      </w:r>
      <w:r w:rsidR="009E1B44" w:rsidRPr="00D5512B">
        <w:t xml:space="preserve">The current number of </w:t>
      </w:r>
      <w:r w:rsidR="00EC453C" w:rsidRPr="00D5512B">
        <w:t xml:space="preserve">4 daily </w:t>
      </w:r>
      <w:r w:rsidR="009E1B44" w:rsidRPr="00D5512B">
        <w:t xml:space="preserve">draws has been in place since 2014. </w:t>
      </w:r>
      <w:r w:rsidR="00EC453C" w:rsidRPr="00D5512B">
        <w:t>Previously,</w:t>
      </w:r>
      <w:r w:rsidR="009E1B44" w:rsidRPr="00D5512B">
        <w:t xml:space="preserve"> keno was av</w:t>
      </w:r>
      <w:r w:rsidR="005B435A" w:rsidRPr="00D5512B">
        <w:t>ailable twice a day.</w:t>
      </w:r>
    </w:p>
    <w:p w14:paraId="4F3767D0" w14:textId="1B7301EA" w:rsidR="00585FBA" w:rsidRPr="00D5512B" w:rsidRDefault="00585FBA" w:rsidP="00585FBA">
      <w:pPr>
        <w:rPr>
          <w:vertAlign w:val="superscript"/>
        </w:rPr>
      </w:pPr>
      <w:r w:rsidRPr="00D5512B">
        <w:t xml:space="preserve">In France, </w:t>
      </w:r>
      <w:r w:rsidR="00A56E0B" w:rsidRPr="00D5512B">
        <w:t xml:space="preserve">there are </w:t>
      </w:r>
      <w:r w:rsidRPr="00D5512B">
        <w:t xml:space="preserve">currently </w:t>
      </w:r>
      <w:r w:rsidR="005B435A" w:rsidRPr="00D5512B">
        <w:t>2</w:t>
      </w:r>
      <w:r w:rsidR="00BC164C" w:rsidRPr="00D5512B">
        <w:t xml:space="preserve"> daily</w:t>
      </w:r>
      <w:r w:rsidRPr="00D5512B">
        <w:t xml:space="preserve"> keno draws</w:t>
      </w:r>
      <w:r w:rsidR="00BC164C" w:rsidRPr="00D5512B">
        <w:t>:</w:t>
      </w:r>
      <w:r w:rsidRPr="00D5512B">
        <w:t xml:space="preserve"> a midday draw and an evening draw. </w:t>
      </w:r>
      <w:r w:rsidR="00A56E0B" w:rsidRPr="00D5512B">
        <w:t>However, f</w:t>
      </w:r>
      <w:r w:rsidRPr="00D5512B">
        <w:t>rom November 2025</w:t>
      </w:r>
      <w:r w:rsidR="00A56E0B" w:rsidRPr="00D5512B">
        <w:t>, the number of daily</w:t>
      </w:r>
      <w:r w:rsidRPr="00D5512B">
        <w:t xml:space="preserve"> keno draws will be reduced to one.</w:t>
      </w:r>
      <w:r w:rsidRPr="00D5512B">
        <w:rPr>
          <w:rStyle w:val="FootnoteReference"/>
        </w:rPr>
        <w:footnoteReference w:id="4"/>
      </w:r>
      <w:r w:rsidRPr="00D5512B">
        <w:t xml:space="preserve"> </w:t>
      </w:r>
      <w:r w:rsidR="00FC4945" w:rsidRPr="00D5512B">
        <w:t xml:space="preserve">Additional changes to the game design will also be </w:t>
      </w:r>
      <w:r w:rsidR="00A56E0B" w:rsidRPr="00D5512B">
        <w:t>implemented</w:t>
      </w:r>
      <w:r w:rsidR="00FC4945" w:rsidRPr="00D5512B">
        <w:t>,</w:t>
      </w:r>
      <w:r w:rsidR="00A56E0B" w:rsidRPr="00D5512B">
        <w:t xml:space="preserve"> </w:t>
      </w:r>
      <w:r w:rsidRPr="00D5512B">
        <w:t>includ</w:t>
      </w:r>
      <w:r w:rsidR="00A56E0B" w:rsidRPr="00D5512B">
        <w:t xml:space="preserve">ing </w:t>
      </w:r>
      <w:r w:rsidR="00BC164C" w:rsidRPr="00D5512B">
        <w:t>reducing</w:t>
      </w:r>
      <w:r w:rsidRPr="00D5512B">
        <w:t xml:space="preserve"> the grid </w:t>
      </w:r>
      <w:r w:rsidR="00FC4945" w:rsidRPr="00D5512B">
        <w:t xml:space="preserve">size </w:t>
      </w:r>
      <w:r w:rsidRPr="00D5512B">
        <w:t>to 16 numbers drawn from 56</w:t>
      </w:r>
      <w:r w:rsidR="00A56E0B" w:rsidRPr="00D5512B">
        <w:t xml:space="preserve"> (</w:t>
      </w:r>
      <w:r w:rsidR="00FC4945" w:rsidRPr="00D5512B">
        <w:t>down from the c</w:t>
      </w:r>
      <w:r w:rsidRPr="00D5512B">
        <w:t xml:space="preserve">urrent 20 </w:t>
      </w:r>
      <w:r w:rsidR="00A56E0B" w:rsidRPr="00D5512B">
        <w:t xml:space="preserve">numbers </w:t>
      </w:r>
      <w:r w:rsidRPr="00D5512B">
        <w:t>drawn from 70</w:t>
      </w:r>
      <w:r w:rsidR="00A56E0B" w:rsidRPr="00D5512B">
        <w:t>)</w:t>
      </w:r>
      <w:r w:rsidR="00FC4945" w:rsidRPr="00D5512B">
        <w:t>.</w:t>
      </w:r>
      <w:r w:rsidR="00BC164C" w:rsidRPr="00D5512B">
        <w:rPr>
          <w:vertAlign w:val="superscript"/>
        </w:rPr>
        <w:t>2</w:t>
      </w:r>
      <w:r w:rsidR="00E43906" w:rsidRPr="00D5512B">
        <w:rPr>
          <w:rStyle w:val="FootnoteReference"/>
        </w:rPr>
        <w:t xml:space="preserve"> </w:t>
      </w:r>
      <w:r w:rsidR="00FC4945" w:rsidRPr="00D5512B">
        <w:t xml:space="preserve">Further, </w:t>
      </w:r>
      <w:r w:rsidRPr="00D5512B">
        <w:t>the proportion of stakes allocated to winners will d</w:t>
      </w:r>
      <w:r w:rsidR="00FC4945" w:rsidRPr="00D5512B">
        <w:t>ecrease</w:t>
      </w:r>
      <w:r w:rsidRPr="00D5512B">
        <w:t xml:space="preserve"> from 65.5% to 59.5%.</w:t>
      </w:r>
      <w:r w:rsidR="00BC164C" w:rsidRPr="00D5512B">
        <w:rPr>
          <w:vertAlign w:val="superscript"/>
        </w:rPr>
        <w:t>2</w:t>
      </w:r>
    </w:p>
    <w:p w14:paraId="40166223" w14:textId="70F98916" w:rsidR="002464F9" w:rsidRPr="00D5512B" w:rsidRDefault="00E33899" w:rsidP="00714E19">
      <w:pPr>
        <w:pStyle w:val="Heading2"/>
      </w:pPr>
      <w:bookmarkStart w:id="11" w:name="_Toc215647741"/>
      <w:r w:rsidRPr="00D5512B">
        <w:t xml:space="preserve">Stakeholder </w:t>
      </w:r>
      <w:r w:rsidR="00873743" w:rsidRPr="00D5512B">
        <w:t>views</w:t>
      </w:r>
      <w:bookmarkEnd w:id="11"/>
    </w:p>
    <w:p w14:paraId="2BAF52EF" w14:textId="77777777" w:rsidR="00083015" w:rsidRPr="00D5512B" w:rsidRDefault="00083015" w:rsidP="00BC164C">
      <w:pPr>
        <w:pStyle w:val="Introduction"/>
      </w:pPr>
      <w:r w:rsidRPr="00D5512B">
        <w:t>Alignment with IGA intent and harm minimisation policy objectives</w:t>
      </w:r>
    </w:p>
    <w:p w14:paraId="000D57F8" w14:textId="77777777" w:rsidR="00083015" w:rsidRPr="00D5512B" w:rsidRDefault="00083015" w:rsidP="00083015">
      <w:pPr>
        <w:rPr>
          <w:rFonts w:cstheme="minorHAnsi"/>
        </w:rPr>
      </w:pPr>
      <w:r w:rsidRPr="00D5512B">
        <w:rPr>
          <w:rFonts w:cstheme="minorHAnsi"/>
        </w:rPr>
        <w:t xml:space="preserve">Submissions to the review provided divergent views on the benefits and harms associated with online keno. </w:t>
      </w:r>
    </w:p>
    <w:p w14:paraId="1AF480F7" w14:textId="05438CAA" w:rsidR="00083015" w:rsidRPr="00D5512B" w:rsidRDefault="00083015" w:rsidP="00083015">
      <w:pPr>
        <w:pStyle w:val="ListLegal1"/>
        <w:numPr>
          <w:ilvl w:val="0"/>
          <w:numId w:val="0"/>
        </w:numPr>
        <w:rPr>
          <w:lang w:val="en-AU"/>
        </w:rPr>
      </w:pPr>
      <w:r w:rsidRPr="00D5512B">
        <w:rPr>
          <w:lang w:val="en-AU"/>
        </w:rPr>
        <w:t>Wagering providers, traditional lottery providers, harm reduction advocates, academics, community groups and most</w:t>
      </w:r>
      <w:r w:rsidR="00737831" w:rsidRPr="00D5512B">
        <w:rPr>
          <w:lang w:val="en-AU"/>
        </w:rPr>
        <w:t xml:space="preserve"> state and territory</w:t>
      </w:r>
      <w:r w:rsidRPr="00D5512B">
        <w:rPr>
          <w:lang w:val="en-AU"/>
        </w:rPr>
        <w:t xml:space="preserve"> </w:t>
      </w:r>
      <w:r w:rsidR="006B1E39" w:rsidRPr="00D5512B">
        <w:rPr>
          <w:lang w:val="en-AU"/>
        </w:rPr>
        <w:t xml:space="preserve">jurisdictions </w:t>
      </w:r>
      <w:r w:rsidRPr="00D5512B">
        <w:rPr>
          <w:lang w:val="en-AU"/>
        </w:rPr>
        <w:t xml:space="preserve">that provided submissions to the review </w:t>
      </w:r>
      <w:r w:rsidR="00981FA2" w:rsidRPr="00D5512B">
        <w:rPr>
          <w:lang w:val="en-AU"/>
        </w:rPr>
        <w:t>expressed</w:t>
      </w:r>
      <w:r w:rsidRPr="00D5512B">
        <w:rPr>
          <w:lang w:val="en-AU"/>
        </w:rPr>
        <w:t xml:space="preserve"> that the high frequency and high spend characteristics of online keno is inconsistent with the intent of the IGA.</w:t>
      </w:r>
    </w:p>
    <w:p w14:paraId="442E8EA1" w14:textId="0C95256F" w:rsidR="00981FA2" w:rsidRPr="00D5512B" w:rsidRDefault="00083015" w:rsidP="00981FA2">
      <w:pPr>
        <w:pStyle w:val="ListLegal1"/>
        <w:numPr>
          <w:ilvl w:val="0"/>
          <w:numId w:val="0"/>
        </w:numPr>
        <w:rPr>
          <w:lang w:val="en-AU"/>
        </w:rPr>
      </w:pPr>
      <w:r w:rsidRPr="00D5512B">
        <w:rPr>
          <w:lang w:val="en-AU"/>
        </w:rPr>
        <w:t xml:space="preserve">Harm reduction advocates, community groups and </w:t>
      </w:r>
      <w:r w:rsidR="00C119AC" w:rsidRPr="00D5512B">
        <w:rPr>
          <w:lang w:val="en-AU"/>
        </w:rPr>
        <w:t>some</w:t>
      </w:r>
      <w:r w:rsidRPr="00D5512B">
        <w:rPr>
          <w:lang w:val="en-AU"/>
        </w:rPr>
        <w:t xml:space="preserve"> state regulators </w:t>
      </w:r>
      <w:r w:rsidR="00737831" w:rsidRPr="00D5512B">
        <w:rPr>
          <w:lang w:val="en-AU"/>
        </w:rPr>
        <w:t xml:space="preserve">suggested </w:t>
      </w:r>
      <w:r w:rsidRPr="00D5512B">
        <w:rPr>
          <w:lang w:val="en-AU"/>
        </w:rPr>
        <w:t>that the definition of an ‘excluded lottery service’ in the IGA</w:t>
      </w:r>
      <w:r w:rsidRPr="00D5512B">
        <w:rPr>
          <w:b/>
          <w:lang w:val="en-AU"/>
        </w:rPr>
        <w:t xml:space="preserve"> </w:t>
      </w:r>
      <w:r w:rsidRPr="00D5512B">
        <w:rPr>
          <w:lang w:val="en-AU"/>
        </w:rPr>
        <w:t>is no longer fit for purpose</w:t>
      </w:r>
      <w:r w:rsidR="00F57F34" w:rsidRPr="008B585C">
        <w:rPr>
          <w:lang w:val="en-AU"/>
        </w:rPr>
        <w:t>. Some</w:t>
      </w:r>
      <w:r w:rsidR="005E54E6" w:rsidRPr="008B585C">
        <w:rPr>
          <w:lang w:val="en-AU"/>
        </w:rPr>
        <w:t xml:space="preserve"> stakeholders </w:t>
      </w:r>
      <w:r w:rsidR="00737831" w:rsidRPr="008B585C">
        <w:rPr>
          <w:lang w:val="en-AU"/>
        </w:rPr>
        <w:t xml:space="preserve">suggested that </w:t>
      </w:r>
      <w:r w:rsidR="005E54E6" w:rsidRPr="008B585C">
        <w:rPr>
          <w:lang w:val="en-AU"/>
        </w:rPr>
        <w:t xml:space="preserve">the Minister </w:t>
      </w:r>
      <w:r w:rsidR="00355F0C" w:rsidRPr="008B585C">
        <w:rPr>
          <w:lang w:val="en-AU"/>
        </w:rPr>
        <w:t>sh</w:t>
      </w:r>
      <w:r w:rsidR="005E54E6" w:rsidRPr="008B585C">
        <w:rPr>
          <w:lang w:val="en-AU"/>
        </w:rPr>
        <w:t xml:space="preserve">ould use the </w:t>
      </w:r>
      <w:r w:rsidRPr="008B585C">
        <w:rPr>
          <w:lang w:val="en-AU"/>
        </w:rPr>
        <w:t>instrument</w:t>
      </w:r>
      <w:r w:rsidR="00BC164C" w:rsidRPr="008B585C">
        <w:rPr>
          <w:lang w:val="en-AU"/>
        </w:rPr>
        <w:t>-</w:t>
      </w:r>
      <w:r w:rsidRPr="008B585C">
        <w:rPr>
          <w:lang w:val="en-AU"/>
        </w:rPr>
        <w:t>making powers</w:t>
      </w:r>
      <w:r w:rsidR="00F57F34" w:rsidRPr="008B585C">
        <w:rPr>
          <w:lang w:val="en-AU"/>
        </w:rPr>
        <w:t xml:space="preserve"> </w:t>
      </w:r>
      <w:r w:rsidR="00BC164C" w:rsidRPr="008B585C">
        <w:rPr>
          <w:lang w:val="en-AU"/>
        </w:rPr>
        <w:t>of the</w:t>
      </w:r>
      <w:r w:rsidR="00F57F34" w:rsidRPr="008B585C">
        <w:rPr>
          <w:lang w:val="en-AU"/>
        </w:rPr>
        <w:t xml:space="preserve"> IGA</w:t>
      </w:r>
      <w:r w:rsidRPr="008B585C">
        <w:rPr>
          <w:lang w:val="en-AU"/>
        </w:rPr>
        <w:t xml:space="preserve"> to </w:t>
      </w:r>
      <w:r w:rsidR="008145A1" w:rsidRPr="008B585C">
        <w:rPr>
          <w:lang w:val="en-AU"/>
        </w:rPr>
        <w:t xml:space="preserve">amend the definition and </w:t>
      </w:r>
      <w:r w:rsidRPr="008B585C">
        <w:rPr>
          <w:lang w:val="en-AU"/>
        </w:rPr>
        <w:t>impose conditions on such services.</w:t>
      </w:r>
      <w:r w:rsidRPr="00D5512B">
        <w:rPr>
          <w:lang w:val="en-AU"/>
        </w:rPr>
        <w:t xml:space="preserve"> </w:t>
      </w:r>
      <w:r w:rsidR="00981FA2" w:rsidRPr="00D5512B">
        <w:rPr>
          <w:rFonts w:cstheme="minorHAnsi"/>
          <w:lang w:val="en-AU"/>
        </w:rPr>
        <w:t xml:space="preserve">However, some online keno operators expressed that their products have a lower harm profile compared to online wagering (betting on sports and racing) and </w:t>
      </w:r>
      <w:r w:rsidR="00981FA2" w:rsidRPr="00D5512B">
        <w:rPr>
          <w:lang w:val="en-AU"/>
        </w:rPr>
        <w:t>consider that the current definition of an ‘excluded lottery service’ is fit for purpose.</w:t>
      </w:r>
    </w:p>
    <w:p w14:paraId="0A8762E7" w14:textId="5FA960AA" w:rsidR="00083015" w:rsidRPr="00D5512B" w:rsidRDefault="00083015" w:rsidP="00083015">
      <w:pPr>
        <w:pStyle w:val="ListLegal1"/>
        <w:numPr>
          <w:ilvl w:val="0"/>
          <w:numId w:val="0"/>
        </w:numPr>
        <w:rPr>
          <w:lang w:val="en-AU"/>
        </w:rPr>
      </w:pPr>
      <w:r w:rsidRPr="00D5512B">
        <w:rPr>
          <w:lang w:val="en-AU"/>
        </w:rPr>
        <w:t xml:space="preserve">Online keno operators and some state regulators </w:t>
      </w:r>
      <w:r w:rsidR="00CF419C" w:rsidRPr="00D5512B">
        <w:rPr>
          <w:lang w:val="en-AU"/>
        </w:rPr>
        <w:t>did not suggest</w:t>
      </w:r>
      <w:r w:rsidRPr="00D5512B">
        <w:rPr>
          <w:lang w:val="en-AU"/>
        </w:rPr>
        <w:t xml:space="preserve"> new restrictions, submitting that online keno businesses are already subject to harm reduction rules </w:t>
      </w:r>
      <w:r w:rsidR="00BC164C" w:rsidRPr="00D5512B">
        <w:rPr>
          <w:lang w:val="en-AU"/>
        </w:rPr>
        <w:t xml:space="preserve">in Victoria and the Northern Territory </w:t>
      </w:r>
      <w:r w:rsidRPr="00D5512B">
        <w:rPr>
          <w:lang w:val="en-AU"/>
        </w:rPr>
        <w:t>as part of their licensing obligations.</w:t>
      </w:r>
    </w:p>
    <w:p w14:paraId="561AFD52" w14:textId="069754B2" w:rsidR="00083015" w:rsidRPr="00D5512B" w:rsidRDefault="00083015" w:rsidP="00083015">
      <w:r w:rsidRPr="00D5512B">
        <w:t xml:space="preserve">Some industry stakeholders pointed to successive Parliamentary inquiries, including the </w:t>
      </w:r>
      <w:r w:rsidR="001734C0" w:rsidRPr="00D5512B">
        <w:t>Online Gambling Inquiry</w:t>
      </w:r>
      <w:r w:rsidRPr="00D5512B">
        <w:t xml:space="preserve">, </w:t>
      </w:r>
      <w:r w:rsidR="00F57F34" w:rsidRPr="00D5512B">
        <w:t xml:space="preserve">which </w:t>
      </w:r>
      <w:r w:rsidRPr="00D5512B">
        <w:t>heard evidence from industry and newsagency peak bodies that</w:t>
      </w:r>
      <w:r w:rsidR="003C543B" w:rsidRPr="00D5512B">
        <w:t xml:space="preserve"> traditional</w:t>
      </w:r>
      <w:r w:rsidRPr="00D5512B">
        <w:t xml:space="preserve"> lotteries present a lower risk of gambling harm than other gambling products and should be exempt from further restrictions.</w:t>
      </w:r>
      <w:r w:rsidRPr="00D5512B">
        <w:rPr>
          <w:rStyle w:val="FootnoteReference"/>
        </w:rPr>
        <w:footnoteReference w:id="5"/>
      </w:r>
      <w:r w:rsidR="00BC164C" w:rsidRPr="00D5512B">
        <w:rPr>
          <w:vertAlign w:val="superscript"/>
        </w:rPr>
        <w:t>,</w:t>
      </w:r>
      <w:r w:rsidR="00BC164C" w:rsidRPr="00D5512B">
        <w:rPr>
          <w:rStyle w:val="FootnoteReference"/>
        </w:rPr>
        <w:footnoteReference w:id="6"/>
      </w:r>
      <w:r w:rsidRPr="00D5512B">
        <w:t xml:space="preserve"> </w:t>
      </w:r>
    </w:p>
    <w:p w14:paraId="64751697" w14:textId="7F7E87B0" w:rsidR="00083015" w:rsidRPr="00D5512B" w:rsidRDefault="00083015" w:rsidP="00981FA2">
      <w:pPr>
        <w:spacing w:after="0"/>
      </w:pPr>
      <w:r w:rsidRPr="00D5512B">
        <w:rPr>
          <w:rFonts w:cstheme="minorHAnsi"/>
        </w:rPr>
        <w:lastRenderedPageBreak/>
        <w:t>Other</w:t>
      </w:r>
      <w:r w:rsidRPr="00D5512B">
        <w:t xml:space="preserve"> stakeholders noted that online keno diverts revenue away from a range of recipients, including the states and territories, which contribute to charitable causes and other services such as health and education infrastructure</w:t>
      </w:r>
      <w:r w:rsidR="00981FA2" w:rsidRPr="00D5512B">
        <w:t>,</w:t>
      </w:r>
      <w:r w:rsidRPr="00D5512B">
        <w:t xml:space="preserve"> in-venue </w:t>
      </w:r>
      <w:r w:rsidR="005E0300" w:rsidRPr="00D5512B">
        <w:t>k</w:t>
      </w:r>
      <w:r w:rsidRPr="00D5512B">
        <w:t>eno providers</w:t>
      </w:r>
      <w:r w:rsidR="00981FA2" w:rsidRPr="00D5512B">
        <w:t>,</w:t>
      </w:r>
      <w:r w:rsidRPr="00D5512B">
        <w:t xml:space="preserve"> newsagency small business owners</w:t>
      </w:r>
      <w:r w:rsidR="00981FA2" w:rsidRPr="00D5512B">
        <w:t>,</w:t>
      </w:r>
      <w:r w:rsidRPr="00D5512B">
        <w:t xml:space="preserve"> and traditional lottery providers.</w:t>
      </w:r>
      <w:r w:rsidR="004D2DDD" w:rsidRPr="00D5512B">
        <w:t xml:space="preserve">  Stakeholders suggest</w:t>
      </w:r>
      <w:r w:rsidR="00737831" w:rsidRPr="00D5512B">
        <w:t>ed</w:t>
      </w:r>
      <w:r w:rsidR="004D2DDD" w:rsidRPr="00D5512B">
        <w:t xml:space="preserve"> this could lead to lower state and territory government revenues, lottery retailer commissions and fewer jobs</w:t>
      </w:r>
      <w:r w:rsidR="00F57F34" w:rsidRPr="00D5512B">
        <w:t>.</w:t>
      </w:r>
    </w:p>
    <w:p w14:paraId="7AF09CF5" w14:textId="77777777" w:rsidR="00083015" w:rsidRPr="00D5512B" w:rsidRDefault="00083015" w:rsidP="00BC164C">
      <w:pPr>
        <w:pStyle w:val="Introduction"/>
      </w:pPr>
      <w:r w:rsidRPr="00D5512B">
        <w:t>Impacts and evidence of gambling harm</w:t>
      </w:r>
    </w:p>
    <w:p w14:paraId="69ACEDDC" w14:textId="54BC07C5" w:rsidR="00083015" w:rsidRPr="00D5512B" w:rsidRDefault="00083015" w:rsidP="00083015">
      <w:pPr>
        <w:pStyle w:val="ListLegal1"/>
        <w:numPr>
          <w:ilvl w:val="0"/>
          <w:numId w:val="0"/>
        </w:numPr>
        <w:rPr>
          <w:lang w:val="en-AU"/>
        </w:rPr>
      </w:pPr>
      <w:r w:rsidRPr="00D5512B">
        <w:rPr>
          <w:lang w:val="en-AU"/>
        </w:rPr>
        <w:t xml:space="preserve">Some community groups and one state regulator outlined examples of consumer harms from online keno products, including financial losses, spending more than planned, chasing losses, high credit card debt and allegations of aggressive direct marketing. </w:t>
      </w:r>
    </w:p>
    <w:p w14:paraId="2A2E0909" w14:textId="4058E253" w:rsidR="00083015" w:rsidRPr="00D5512B" w:rsidRDefault="00083015" w:rsidP="00083015">
      <w:pPr>
        <w:pStyle w:val="ListLegal1"/>
        <w:numPr>
          <w:ilvl w:val="0"/>
          <w:numId w:val="0"/>
        </w:numPr>
        <w:rPr>
          <w:lang w:val="en-AU"/>
        </w:rPr>
      </w:pPr>
      <w:r w:rsidRPr="00D5512B">
        <w:rPr>
          <w:lang w:val="en-AU"/>
        </w:rPr>
        <w:t>Other community organisations noted that there is a traditional view amongst</w:t>
      </w:r>
      <w:r w:rsidR="005F7EDB" w:rsidRPr="00D5512B">
        <w:rPr>
          <w:lang w:val="en-AU"/>
        </w:rPr>
        <w:t xml:space="preserve"> their</w:t>
      </w:r>
      <w:r w:rsidRPr="00D5512B">
        <w:rPr>
          <w:lang w:val="en-AU"/>
        </w:rPr>
        <w:t xml:space="preserve"> clients that harms from online keno and lotteries are either not real or less harmful than other forms of gambling, which can reduce people’s willingness to seek professional help.</w:t>
      </w:r>
    </w:p>
    <w:p w14:paraId="7653F88A" w14:textId="4472DD73" w:rsidR="00C5119D" w:rsidRPr="00D5512B" w:rsidRDefault="00083015" w:rsidP="00C5119D">
      <w:pPr>
        <w:pStyle w:val="ListLegal1"/>
        <w:numPr>
          <w:ilvl w:val="0"/>
          <w:numId w:val="0"/>
        </w:numPr>
        <w:rPr>
          <w:lang w:val="en-AU"/>
        </w:rPr>
      </w:pPr>
      <w:r w:rsidRPr="00D5512B">
        <w:rPr>
          <w:lang w:val="en-AU"/>
        </w:rPr>
        <w:t>Harm reduction advocates, wagering providers, academics</w:t>
      </w:r>
      <w:r w:rsidR="00BC164C" w:rsidRPr="00D5512B">
        <w:rPr>
          <w:lang w:val="en-AU"/>
        </w:rPr>
        <w:t>,</w:t>
      </w:r>
      <w:r w:rsidRPr="00D5512B">
        <w:rPr>
          <w:lang w:val="en-AU"/>
        </w:rPr>
        <w:t xml:space="preserve"> and some regulators </w:t>
      </w:r>
      <w:r w:rsidR="00737831" w:rsidRPr="00D5512B">
        <w:rPr>
          <w:lang w:val="en-AU"/>
        </w:rPr>
        <w:t>submitted</w:t>
      </w:r>
      <w:r w:rsidRPr="00D5512B">
        <w:rPr>
          <w:lang w:val="en-AU"/>
        </w:rPr>
        <w:t xml:space="preserve"> that the potential harms from online keno have been understated.</w:t>
      </w:r>
      <w:r w:rsidR="00C5119D" w:rsidRPr="00D5512B">
        <w:rPr>
          <w:lang w:val="en-AU"/>
        </w:rPr>
        <w:t xml:space="preserve"> Numerous stakeholders recognised the potential for gambling harms from online keno products and called for more research to better understand the risk profile.</w:t>
      </w:r>
    </w:p>
    <w:p w14:paraId="57CFF2CE" w14:textId="38AD6931" w:rsidR="00083015" w:rsidRPr="00D5512B" w:rsidRDefault="00AE6316" w:rsidP="00083015">
      <w:r w:rsidRPr="00D5512B">
        <w:rPr>
          <w:rFonts w:cstheme="minorHAnsi"/>
        </w:rPr>
        <w:t>Submissions from a</w:t>
      </w:r>
      <w:r w:rsidR="00083015" w:rsidRPr="00D5512B">
        <w:rPr>
          <w:rFonts w:cstheme="minorHAnsi"/>
        </w:rPr>
        <w:t>cademics consider</w:t>
      </w:r>
      <w:r w:rsidRPr="00D5512B">
        <w:rPr>
          <w:rFonts w:cstheme="minorHAnsi"/>
        </w:rPr>
        <w:t>ed</w:t>
      </w:r>
      <w:r w:rsidR="00083015" w:rsidRPr="00D5512B">
        <w:rPr>
          <w:rFonts w:cstheme="minorHAnsi"/>
        </w:rPr>
        <w:t xml:space="preserve"> that </w:t>
      </w:r>
      <w:r w:rsidR="00083015" w:rsidRPr="00D5512B">
        <w:t xml:space="preserve">activities that permit high frequency participation are more likely to be associated with harm and more readily facilitate problematic, addictive behaviour, such as loss chasing, with higher risk products typically providing players with the opportunity for fast-paced, repetitive and chance-based games </w:t>
      </w:r>
      <w:r w:rsidR="0026518E" w:rsidRPr="00D5512B">
        <w:t xml:space="preserve">that </w:t>
      </w:r>
      <w:r w:rsidR="00083015" w:rsidRPr="00D5512B">
        <w:t>are available 24 hours a day.</w:t>
      </w:r>
    </w:p>
    <w:p w14:paraId="5FA2BB53" w14:textId="1F0AA79E" w:rsidR="00083015" w:rsidRPr="00D5512B" w:rsidRDefault="00D11EB4" w:rsidP="00083015">
      <w:r w:rsidRPr="00D5512B">
        <w:rPr>
          <w:rFonts w:cstheme="minorHAnsi"/>
        </w:rPr>
        <w:t>H</w:t>
      </w:r>
      <w:r w:rsidR="00083015" w:rsidRPr="00D5512B">
        <w:rPr>
          <w:rFonts w:cstheme="minorHAnsi"/>
        </w:rPr>
        <w:t>arm minimisation advocates raised concerns about the high frequency and spending limit</w:t>
      </w:r>
      <w:r w:rsidR="00164BBE" w:rsidRPr="00D5512B">
        <w:rPr>
          <w:rFonts w:cstheme="minorHAnsi"/>
        </w:rPr>
        <w:t>s</w:t>
      </w:r>
      <w:r w:rsidR="00083015" w:rsidRPr="00D5512B">
        <w:rPr>
          <w:rFonts w:cstheme="minorHAnsi"/>
        </w:rPr>
        <w:t xml:space="preserve"> offered by online keno products. Submissions to the Senate Standing Committee </w:t>
      </w:r>
      <w:r w:rsidR="0026518E" w:rsidRPr="00D5512B">
        <w:t>that</w:t>
      </w:r>
      <w:r w:rsidR="00083015" w:rsidRPr="00D5512B">
        <w:rPr>
          <w:rFonts w:cstheme="minorHAnsi"/>
        </w:rPr>
        <w:t xml:space="preserve"> recommended this review argued that online keno allows consumers to spend up to $1,000 every 3 minutes, equating </w:t>
      </w:r>
      <w:r w:rsidR="0026518E" w:rsidRPr="00D5512B">
        <w:rPr>
          <w:rFonts w:cstheme="minorHAnsi"/>
        </w:rPr>
        <w:t xml:space="preserve">to </w:t>
      </w:r>
      <w:r w:rsidR="00083015" w:rsidRPr="00D5512B">
        <w:rPr>
          <w:rFonts w:cstheme="minorHAnsi"/>
        </w:rPr>
        <w:t xml:space="preserve">up to $20,000 per hour, and </w:t>
      </w:r>
      <w:r w:rsidR="00083015" w:rsidRPr="00D5512B">
        <w:t>some platforms allow players to pre-pay for up to 50 games and play multiple games simultaneously.</w:t>
      </w:r>
      <w:r w:rsidR="00083015" w:rsidRPr="00D5512B">
        <w:rPr>
          <w:rStyle w:val="FootnoteReference"/>
        </w:rPr>
        <w:footnoteReference w:id="7"/>
      </w:r>
      <w:r w:rsidR="00083015" w:rsidRPr="00D5512B">
        <w:t xml:space="preserve"> </w:t>
      </w:r>
    </w:p>
    <w:p w14:paraId="00F94DFA" w14:textId="0D869DCA" w:rsidR="00083015" w:rsidRPr="00D5512B" w:rsidRDefault="00083015" w:rsidP="00D11EB4">
      <w:pPr>
        <w:pStyle w:val="ListLegal1"/>
        <w:numPr>
          <w:ilvl w:val="0"/>
          <w:numId w:val="0"/>
        </w:numPr>
        <w:spacing w:before="160"/>
        <w:rPr>
          <w:lang w:val="en-AU"/>
        </w:rPr>
      </w:pPr>
      <w:r w:rsidRPr="00D5512B">
        <w:rPr>
          <w:lang w:val="en-AU"/>
        </w:rPr>
        <w:t xml:space="preserve">Financial Counselling Australia, for example, noted in its </w:t>
      </w:r>
      <w:r w:rsidR="0015015A" w:rsidRPr="00D5512B">
        <w:rPr>
          <w:lang w:val="en-AU"/>
        </w:rPr>
        <w:t>submission</w:t>
      </w:r>
      <w:r w:rsidRPr="00D5512B">
        <w:rPr>
          <w:lang w:val="en-AU"/>
        </w:rPr>
        <w:t>:</w:t>
      </w:r>
    </w:p>
    <w:p w14:paraId="773115BB" w14:textId="77777777" w:rsidR="00083015" w:rsidRPr="00D5512B" w:rsidRDefault="00083015" w:rsidP="00E243A1">
      <w:pPr>
        <w:pStyle w:val="Quote"/>
      </w:pPr>
      <w:r w:rsidRPr="00D5512B">
        <w:t>We were taken aback to discover that 56 per cent (of its counsellors) were ‘very concerned’ (about ‘lottery product harm’), with this result ranking above casinos, and way above offshore gambling in terms of concern.</w:t>
      </w:r>
      <w:r w:rsidRPr="00D5512B">
        <w:rPr>
          <w:rStyle w:val="FootnoteReference"/>
          <w:i/>
        </w:rPr>
        <w:footnoteReference w:id="8"/>
      </w:r>
    </w:p>
    <w:p w14:paraId="311BA3B1" w14:textId="6FDAFBE5" w:rsidR="00083015" w:rsidRPr="00D5512B" w:rsidRDefault="00083015" w:rsidP="00714E19">
      <w:pPr>
        <w:pStyle w:val="Introduction"/>
      </w:pPr>
      <w:r w:rsidRPr="00D5512B">
        <w:t xml:space="preserve">Extension of other harm minimisation measures to </w:t>
      </w:r>
      <w:r w:rsidR="0020322F" w:rsidRPr="00D5512B">
        <w:t>online keno</w:t>
      </w:r>
      <w:r w:rsidRPr="00D5512B">
        <w:t xml:space="preserve"> </w:t>
      </w:r>
    </w:p>
    <w:p w14:paraId="0C638CF4" w14:textId="25AACE00" w:rsidR="00083015" w:rsidRPr="00D5512B" w:rsidRDefault="00083015" w:rsidP="00D11EB4">
      <w:pPr>
        <w:pStyle w:val="ListLegal1"/>
        <w:numPr>
          <w:ilvl w:val="0"/>
          <w:numId w:val="0"/>
        </w:numPr>
        <w:spacing w:after="0"/>
        <w:rPr>
          <w:lang w:val="en-AU"/>
        </w:rPr>
      </w:pPr>
      <w:r w:rsidRPr="00D5512B">
        <w:rPr>
          <w:lang w:val="en-AU"/>
        </w:rPr>
        <w:t>In the interests of protecting consumers and ensuring a level regulatory playing field, harm reduction advocates, academics, wagering providers, community groups</w:t>
      </w:r>
      <w:r w:rsidR="00E243A1" w:rsidRPr="00D5512B">
        <w:rPr>
          <w:lang w:val="en-AU"/>
        </w:rPr>
        <w:t>,</w:t>
      </w:r>
      <w:r w:rsidRPr="00D5512B">
        <w:rPr>
          <w:lang w:val="en-AU"/>
        </w:rPr>
        <w:t xml:space="preserve"> and some state regulators argued that online keno should be subject to the same restrictions as other licensed online wagering providers, such as the NSER and banning credit cards as a payment option.</w:t>
      </w:r>
      <w:r w:rsidR="00FB5DFB" w:rsidRPr="00D5512B">
        <w:rPr>
          <w:lang w:val="en-AU"/>
        </w:rPr>
        <w:t xml:space="preserve"> As noted above, </w:t>
      </w:r>
      <w:r w:rsidR="0020322F" w:rsidRPr="00D5512B">
        <w:rPr>
          <w:lang w:val="en-AU"/>
        </w:rPr>
        <w:t xml:space="preserve">an </w:t>
      </w:r>
      <w:r w:rsidR="00FB5DFB" w:rsidRPr="00D5512B">
        <w:rPr>
          <w:lang w:val="en-AU"/>
        </w:rPr>
        <w:t xml:space="preserve">extension of the NSER </w:t>
      </w:r>
      <w:r w:rsidR="0020322F" w:rsidRPr="00D5512B">
        <w:rPr>
          <w:lang w:val="en-AU"/>
        </w:rPr>
        <w:t xml:space="preserve">to online keno products and services </w:t>
      </w:r>
      <w:r w:rsidR="00FB5DFB" w:rsidRPr="00D5512B">
        <w:rPr>
          <w:lang w:val="en-AU"/>
        </w:rPr>
        <w:t>is being considered as part of the statutory review</w:t>
      </w:r>
      <w:r w:rsidR="0020322F" w:rsidRPr="00D5512B">
        <w:rPr>
          <w:lang w:val="en-AU"/>
        </w:rPr>
        <w:t xml:space="preserve"> of the NSER</w:t>
      </w:r>
      <w:r w:rsidR="00FB5DFB" w:rsidRPr="00D5512B">
        <w:rPr>
          <w:lang w:val="en-AU"/>
        </w:rPr>
        <w:t xml:space="preserve">. </w:t>
      </w:r>
    </w:p>
    <w:p w14:paraId="62232356" w14:textId="0D0B3109" w:rsidR="00083015" w:rsidRPr="00D5512B" w:rsidRDefault="003D6F1C" w:rsidP="00BC164C">
      <w:pPr>
        <w:pStyle w:val="Introduction"/>
      </w:pPr>
      <w:r w:rsidRPr="00D5512B">
        <w:t xml:space="preserve">Additional observations on online keno </w:t>
      </w:r>
    </w:p>
    <w:p w14:paraId="7EA6F1F1" w14:textId="6DDA544C" w:rsidR="0020322F" w:rsidRPr="00D5512B" w:rsidRDefault="0020322F" w:rsidP="00083015">
      <w:r w:rsidRPr="00D5512B">
        <w:t xml:space="preserve">Some industry stakeholders raised concerns about the expansion of online keno, </w:t>
      </w:r>
      <w:r w:rsidR="004E40B2" w:rsidRPr="00D5512B">
        <w:t xml:space="preserve">its </w:t>
      </w:r>
      <w:r w:rsidRPr="00D5512B">
        <w:t>impact on traditional lotteries and in-venue keno, and the increase in</w:t>
      </w:r>
      <w:r w:rsidR="004E40B2" w:rsidRPr="00D5512B">
        <w:t xml:space="preserve"> online keno</w:t>
      </w:r>
      <w:r w:rsidRPr="00D5512B">
        <w:t xml:space="preserve"> advertising generally. </w:t>
      </w:r>
    </w:p>
    <w:p w14:paraId="790F8B02" w14:textId="3429D46D" w:rsidR="00083015" w:rsidRPr="00D5512B" w:rsidRDefault="00083015" w:rsidP="00083015">
      <w:r w:rsidRPr="00D5512B">
        <w:t xml:space="preserve">Advertising regulation in Australia is intended to strike a balance between legitimate commercial interest and appropriate community safeguards. Online keno is currently </w:t>
      </w:r>
      <w:r w:rsidR="004354D9" w:rsidRPr="00D5512B">
        <w:t xml:space="preserve">advertised </w:t>
      </w:r>
      <w:r w:rsidRPr="00D5512B">
        <w:t>widely to Australians with</w:t>
      </w:r>
      <w:r w:rsidR="00E243A1" w:rsidRPr="00D5512B">
        <w:t>out</w:t>
      </w:r>
      <w:r w:rsidRPr="00D5512B">
        <w:t xml:space="preserve"> restriction on volume or placement. Keno advertising has increased significantly in recent years, including </w:t>
      </w:r>
      <w:r w:rsidRPr="00D5512B">
        <w:lastRenderedPageBreak/>
        <w:t xml:space="preserve">during live sports on television and radio and family programming. In 2024, the Nielsen Ad Intel estimated TV media spend for the </w:t>
      </w:r>
      <w:r w:rsidR="00737831" w:rsidRPr="00D5512B">
        <w:t>k</w:t>
      </w:r>
      <w:r w:rsidRPr="00D5512B">
        <w:t>eno category was $7.4 million</w:t>
      </w:r>
      <w:r w:rsidR="004354D9" w:rsidRPr="00D5512B">
        <w:t xml:space="preserve">, </w:t>
      </w:r>
      <w:r w:rsidRPr="00D5512B">
        <w:t>up from $4.3 million in 2023.</w:t>
      </w:r>
    </w:p>
    <w:p w14:paraId="0B639EC4" w14:textId="5AD3CFF9" w:rsidR="005802A3" w:rsidRPr="00D5512B" w:rsidRDefault="00083015" w:rsidP="00484AB2">
      <w:r w:rsidRPr="00D5512B">
        <w:t>Some state regulators raised constitutional cross-border and licensing issues. For example, multiple state regulators noted that they are prevented from legislating to restrict trade in this area due to the constitutional guarantee of free interstate trade under section 92 of the Australian Constitution. The</w:t>
      </w:r>
      <w:r w:rsidR="00D11EB4" w:rsidRPr="00D5512B">
        <w:t> </w:t>
      </w:r>
      <w:r w:rsidRPr="00D5512B">
        <w:t xml:space="preserve">regulators called on the </w:t>
      </w:r>
      <w:r w:rsidR="00103AF9" w:rsidRPr="00D5512B">
        <w:t>Australian G</w:t>
      </w:r>
      <w:r w:rsidRPr="00D5512B">
        <w:t>overnment to introduce national harm minimisation regulations.</w:t>
      </w:r>
    </w:p>
    <w:p w14:paraId="6B3F3357" w14:textId="77777777" w:rsidR="00873743" w:rsidRPr="00D5512B" w:rsidRDefault="00873743">
      <w:pPr>
        <w:suppressAutoHyphens w:val="0"/>
        <w:rPr>
          <w:rFonts w:asciiTheme="majorHAnsi" w:eastAsiaTheme="majorEastAsia" w:hAnsiTheme="majorHAnsi" w:cstheme="majorBidi"/>
          <w:color w:val="081E3E" w:themeColor="text2"/>
          <w:sz w:val="44"/>
          <w:szCs w:val="32"/>
        </w:rPr>
      </w:pPr>
      <w:r w:rsidRPr="00D5512B">
        <w:br w:type="page"/>
      </w:r>
    </w:p>
    <w:p w14:paraId="28BE0EE6" w14:textId="4B9D43CF" w:rsidR="002464F9" w:rsidRPr="00D5512B" w:rsidRDefault="00AE1EDA" w:rsidP="00714E19">
      <w:pPr>
        <w:pStyle w:val="Heading1"/>
        <w:spacing w:before="240"/>
      </w:pPr>
      <w:bookmarkStart w:id="12" w:name="_Toc215647742"/>
      <w:r w:rsidRPr="00D5512B">
        <w:lastRenderedPageBreak/>
        <w:t>Foreign-matched</w:t>
      </w:r>
      <w:r w:rsidR="00103AF9" w:rsidRPr="00D5512B">
        <w:t xml:space="preserve"> lotteries</w:t>
      </w:r>
      <w:bookmarkEnd w:id="12"/>
    </w:p>
    <w:p w14:paraId="0B63A677" w14:textId="39995B68" w:rsidR="00394CFB" w:rsidRPr="00D5512B" w:rsidRDefault="002464F9" w:rsidP="00714E19">
      <w:pPr>
        <w:pStyle w:val="Heading2"/>
      </w:pPr>
      <w:bookmarkStart w:id="13" w:name="_Toc215647743"/>
      <w:r w:rsidRPr="00D5512B">
        <w:t>Overview</w:t>
      </w:r>
      <w:bookmarkEnd w:id="13"/>
    </w:p>
    <w:p w14:paraId="4B54740E" w14:textId="41894D7A" w:rsidR="001F6E9E" w:rsidRPr="00D5512B" w:rsidRDefault="00AE1EDA" w:rsidP="001965BD">
      <w:r w:rsidRPr="00D5512B">
        <w:t>Foreign-matched</w:t>
      </w:r>
      <w:r w:rsidR="00F13D09" w:rsidRPr="00D5512B">
        <w:t xml:space="preserve"> lotteries are an emerging product that provide </w:t>
      </w:r>
      <w:r w:rsidR="003516B4" w:rsidRPr="00D5512B">
        <w:t xml:space="preserve">Australians with </w:t>
      </w:r>
      <w:r w:rsidR="00F13D09" w:rsidRPr="00D5512B">
        <w:t>access to overseas lottery draws multiple times a week</w:t>
      </w:r>
      <w:r w:rsidR="003516B4" w:rsidRPr="00D5512B">
        <w:t xml:space="preserve">, when they would otherwise be ineligible to do so, including Powerball and Mega Millions in the United States of America, </w:t>
      </w:r>
      <w:proofErr w:type="spellStart"/>
      <w:r w:rsidR="003516B4" w:rsidRPr="00D5512B">
        <w:t>SuperEnalotto</w:t>
      </w:r>
      <w:proofErr w:type="spellEnd"/>
      <w:r w:rsidR="003516B4" w:rsidRPr="00D5512B">
        <w:t xml:space="preserve"> in Italy, and EuroMillions in the United Kingdom, France and Spain.</w:t>
      </w:r>
      <w:r w:rsidR="00F13D09" w:rsidRPr="00D5512B">
        <w:t xml:space="preserve"> </w:t>
      </w:r>
    </w:p>
    <w:p w14:paraId="75D59635" w14:textId="46ABB1F6" w:rsidR="00795BA2" w:rsidRPr="00D5512B" w:rsidRDefault="00795BA2" w:rsidP="00E243A1">
      <w:pPr>
        <w:pStyle w:val="Box2Heading"/>
        <w:rPr>
          <w:lang w:val="en-AU"/>
        </w:rPr>
      </w:pPr>
      <w:r w:rsidRPr="00D5512B">
        <w:rPr>
          <w:lang w:val="en-AU"/>
        </w:rPr>
        <w:t xml:space="preserve">What are </w:t>
      </w:r>
      <w:r w:rsidR="002F6105" w:rsidRPr="00D5512B">
        <w:rPr>
          <w:lang w:val="en-AU"/>
        </w:rPr>
        <w:t>foreign-matched</w:t>
      </w:r>
      <w:r w:rsidRPr="00D5512B">
        <w:rPr>
          <w:lang w:val="en-AU"/>
        </w:rPr>
        <w:t xml:space="preserve"> lotteries?</w:t>
      </w:r>
    </w:p>
    <w:p w14:paraId="5D2A5C85" w14:textId="558004C5" w:rsidR="00E243A1" w:rsidRPr="00D5512B" w:rsidRDefault="00E243A1" w:rsidP="00E243A1">
      <w:pPr>
        <w:pStyle w:val="Box2Heading"/>
        <w:rPr>
          <w:b w:val="0"/>
          <w:lang w:val="en-AU"/>
        </w:rPr>
      </w:pPr>
      <w:r w:rsidRPr="00D5512B">
        <w:rPr>
          <w:b w:val="0"/>
          <w:lang w:val="en-AU"/>
        </w:rPr>
        <w:t>Customers pick</w:t>
      </w:r>
      <w:r w:rsidR="00C23104" w:rsidRPr="00D5512B">
        <w:rPr>
          <w:b w:val="0"/>
          <w:lang w:val="en-AU"/>
        </w:rPr>
        <w:t xml:space="preserve"> lottery</w:t>
      </w:r>
      <w:r w:rsidRPr="00D5512B">
        <w:rPr>
          <w:b w:val="0"/>
          <w:lang w:val="en-AU"/>
        </w:rPr>
        <w:t xml:space="preserve"> numbers through a licensed Australian</w:t>
      </w:r>
      <w:r w:rsidR="00C23104" w:rsidRPr="00D5512B">
        <w:rPr>
          <w:b w:val="0"/>
          <w:lang w:val="en-AU"/>
        </w:rPr>
        <w:t xml:space="preserve"> foreign-matched lottery</w:t>
      </w:r>
      <w:r w:rsidRPr="00D5512B">
        <w:rPr>
          <w:b w:val="0"/>
          <w:lang w:val="en-AU"/>
        </w:rPr>
        <w:t xml:space="preserve"> service provider’s app or website. The service provider purchases a ticket in the overseas jurisdiction where the lottery is held with those same</w:t>
      </w:r>
      <w:r w:rsidR="00C23104" w:rsidRPr="00D5512B">
        <w:rPr>
          <w:b w:val="0"/>
          <w:lang w:val="en-AU"/>
        </w:rPr>
        <w:t xml:space="preserve"> lottery</w:t>
      </w:r>
      <w:r w:rsidRPr="00D5512B">
        <w:rPr>
          <w:b w:val="0"/>
          <w:lang w:val="en-AU"/>
        </w:rPr>
        <w:t xml:space="preserve"> numbers, and the customer receives a scanned copy of the ticket. The service provider owns the overseas ticket and will pay out any prizes won from the matched ticket to the customer, minus any taxes imposed by the foreign government on the foreign lottery winnings.</w:t>
      </w:r>
      <w:r w:rsidR="009F6E5E" w:rsidRPr="00D5512B">
        <w:rPr>
          <w:b w:val="0"/>
          <w:lang w:val="en-AU"/>
        </w:rPr>
        <w:t xml:space="preserve"> The outcome of the draw is determined solely on chance</w:t>
      </w:r>
      <w:r w:rsidR="00D11EB4" w:rsidRPr="00D5512B">
        <w:rPr>
          <w:b w:val="0"/>
          <w:bCs/>
          <w:lang w:val="en-AU"/>
        </w:rPr>
        <w:t>,</w:t>
      </w:r>
      <w:r w:rsidR="009F6E5E" w:rsidRPr="00D5512B">
        <w:rPr>
          <w:b w:val="0"/>
          <w:lang w:val="en-AU"/>
        </w:rPr>
        <w:t xml:space="preserve"> and prizes are entirely funded by the successful draw of that ticket’s numbers.</w:t>
      </w:r>
    </w:p>
    <w:p w14:paraId="18B86442" w14:textId="6C92F769" w:rsidR="00394CFB" w:rsidRPr="00D5512B" w:rsidRDefault="002075AE" w:rsidP="00BC164C">
      <w:pPr>
        <w:pStyle w:val="Introduction"/>
      </w:pPr>
      <w:r w:rsidRPr="00D5512B">
        <w:t>National regulation and p</w:t>
      </w:r>
      <w:r w:rsidR="00394CFB" w:rsidRPr="00D5512B">
        <w:t>roviders</w:t>
      </w:r>
    </w:p>
    <w:p w14:paraId="14E94048" w14:textId="47341DDA" w:rsidR="003516B4" w:rsidRPr="00D5512B" w:rsidRDefault="003516B4" w:rsidP="002075AE">
      <w:r w:rsidRPr="00D5512B">
        <w:t xml:space="preserve">Like online keno, </w:t>
      </w:r>
      <w:r w:rsidR="00AE1EDA" w:rsidRPr="00D5512B">
        <w:t>foreign-matched</w:t>
      </w:r>
      <w:r w:rsidR="002075AE" w:rsidRPr="00D5512B">
        <w:t xml:space="preserve"> lotteries are an ‘excluded lottery service’ under the IGA. As a result, this product is </w:t>
      </w:r>
      <w:r w:rsidRPr="00D5512B">
        <w:t xml:space="preserve">also </w:t>
      </w:r>
      <w:r w:rsidR="002075AE" w:rsidRPr="00D5512B">
        <w:t>exempt from consumer protection measures</w:t>
      </w:r>
      <w:r w:rsidRPr="00D5512B">
        <w:t>.</w:t>
      </w:r>
    </w:p>
    <w:p w14:paraId="633EB9BB" w14:textId="390D8B4C" w:rsidR="003516B4" w:rsidRPr="00D5512B" w:rsidRDefault="00AE1EDA" w:rsidP="003516B4">
      <w:r w:rsidRPr="00D5512B">
        <w:t>Foreign-matched</w:t>
      </w:r>
      <w:r w:rsidR="003516B4" w:rsidRPr="00D5512B">
        <w:t xml:space="preserve"> lotteries are offered by several operators in Australia:</w:t>
      </w:r>
    </w:p>
    <w:p w14:paraId="78682EFF" w14:textId="77777777" w:rsidR="003516B4" w:rsidRPr="00D5512B" w:rsidRDefault="003516B4" w:rsidP="00E243A1">
      <w:pPr>
        <w:pStyle w:val="Bullet1"/>
        <w:rPr>
          <w:lang w:val="en-AU"/>
        </w:rPr>
      </w:pPr>
      <w:proofErr w:type="spellStart"/>
      <w:r w:rsidRPr="00D5512B">
        <w:rPr>
          <w:lang w:val="en-AU"/>
        </w:rPr>
        <w:t>Annexio</w:t>
      </w:r>
      <w:proofErr w:type="spellEnd"/>
      <w:r w:rsidRPr="00D5512B">
        <w:rPr>
          <w:lang w:val="en-AU"/>
        </w:rPr>
        <w:t xml:space="preserve"> Australia Pty Ltd (</w:t>
      </w:r>
      <w:proofErr w:type="spellStart"/>
      <w:r w:rsidRPr="00D5512B">
        <w:rPr>
          <w:lang w:val="en-AU"/>
        </w:rPr>
        <w:t>LottoGo</w:t>
      </w:r>
      <w:proofErr w:type="spellEnd"/>
      <w:r w:rsidRPr="00D5512B">
        <w:rPr>
          <w:lang w:val="en-AU"/>
        </w:rPr>
        <w:t>)</w:t>
      </w:r>
    </w:p>
    <w:p w14:paraId="4FDFD456" w14:textId="77777777" w:rsidR="003516B4" w:rsidRPr="00D5512B" w:rsidRDefault="003516B4" w:rsidP="00E243A1">
      <w:pPr>
        <w:pStyle w:val="Bullet1"/>
        <w:rPr>
          <w:lang w:val="en-AU"/>
        </w:rPr>
      </w:pPr>
      <w:proofErr w:type="spellStart"/>
      <w:r w:rsidRPr="00D5512B">
        <w:rPr>
          <w:lang w:val="en-AU"/>
        </w:rPr>
        <w:t>Gaineroo</w:t>
      </w:r>
      <w:proofErr w:type="spellEnd"/>
      <w:r w:rsidRPr="00D5512B">
        <w:rPr>
          <w:lang w:val="en-AU"/>
        </w:rPr>
        <w:t xml:space="preserve"> Pty Ltd (The Lotter) </w:t>
      </w:r>
    </w:p>
    <w:p w14:paraId="35FA9C4F" w14:textId="77777777" w:rsidR="003516B4" w:rsidRPr="00D5512B" w:rsidRDefault="003516B4" w:rsidP="00E243A1">
      <w:pPr>
        <w:pStyle w:val="Bullet1"/>
        <w:rPr>
          <w:lang w:val="en-AU"/>
        </w:rPr>
      </w:pPr>
      <w:r w:rsidRPr="00D5512B">
        <w:rPr>
          <w:lang w:val="en-AU"/>
        </w:rPr>
        <w:t>Multimedia Lotteries Pty Ltd (</w:t>
      </w:r>
      <w:proofErr w:type="spellStart"/>
      <w:r w:rsidRPr="00D5512B">
        <w:rPr>
          <w:lang w:val="en-AU"/>
        </w:rPr>
        <w:t>LottoHQ</w:t>
      </w:r>
      <w:proofErr w:type="spellEnd"/>
      <w:r w:rsidRPr="00D5512B">
        <w:rPr>
          <w:lang w:val="en-AU"/>
        </w:rPr>
        <w:t xml:space="preserve">) </w:t>
      </w:r>
    </w:p>
    <w:p w14:paraId="278B6591" w14:textId="47738679" w:rsidR="003516B4" w:rsidRPr="00D5512B" w:rsidRDefault="003516B4" w:rsidP="00E243A1">
      <w:pPr>
        <w:pStyle w:val="Bullet1"/>
        <w:rPr>
          <w:lang w:val="en-AU"/>
        </w:rPr>
      </w:pPr>
      <w:r w:rsidRPr="00D5512B">
        <w:rPr>
          <w:lang w:val="en-AU"/>
        </w:rPr>
        <w:t>The Global Players Network (The Lottery Office)</w:t>
      </w:r>
    </w:p>
    <w:p w14:paraId="43BE6C1B" w14:textId="217C0EB6" w:rsidR="00792A1D" w:rsidRPr="00D5512B" w:rsidRDefault="00792A1D" w:rsidP="00B05160">
      <w:pPr>
        <w:rPr>
          <w:i/>
        </w:rPr>
      </w:pPr>
      <w:r w:rsidRPr="00D5512B">
        <w:rPr>
          <w:i/>
        </w:rPr>
        <w:t xml:space="preserve">Northern Territory </w:t>
      </w:r>
    </w:p>
    <w:p w14:paraId="45313B46" w14:textId="2EF08791" w:rsidR="003516B4" w:rsidRPr="00D5512B" w:rsidRDefault="000126DB" w:rsidP="003516B4">
      <w:r w:rsidRPr="00D5512B">
        <w:t xml:space="preserve">All </w:t>
      </w:r>
      <w:r w:rsidR="00AE1EDA" w:rsidRPr="00D5512B">
        <w:t>foreign-matched</w:t>
      </w:r>
      <w:r w:rsidRPr="00D5512B">
        <w:t xml:space="preserve"> lottery providers are licenced and regulated in the Northern Territory</w:t>
      </w:r>
      <w:r w:rsidR="00792A1D" w:rsidRPr="00D5512B">
        <w:t xml:space="preserve"> under the </w:t>
      </w:r>
      <w:r w:rsidR="00792A1D" w:rsidRPr="00D5512B">
        <w:rPr>
          <w:rFonts w:asciiTheme="majorHAnsi" w:hAnsiTheme="majorHAnsi" w:cstheme="majorHAnsi"/>
          <w:i/>
          <w:color w:val="auto"/>
        </w:rPr>
        <w:t>Gaming</w:t>
      </w:r>
      <w:r w:rsidR="00E243A1" w:rsidRPr="00D5512B">
        <w:rPr>
          <w:rFonts w:asciiTheme="majorHAnsi" w:hAnsiTheme="majorHAnsi" w:cstheme="majorHAnsi"/>
          <w:i/>
          <w:color w:val="auto"/>
        </w:rPr>
        <w:t> </w:t>
      </w:r>
      <w:r w:rsidR="00792A1D" w:rsidRPr="00D5512B">
        <w:rPr>
          <w:rFonts w:asciiTheme="majorHAnsi" w:hAnsiTheme="majorHAnsi" w:cstheme="majorHAnsi"/>
          <w:i/>
          <w:color w:val="auto"/>
        </w:rPr>
        <w:t>Control Act 1993</w:t>
      </w:r>
      <w:r w:rsidRPr="00D5512B">
        <w:t xml:space="preserve">. </w:t>
      </w:r>
      <w:r w:rsidR="00AE1EDA" w:rsidRPr="00D5512B">
        <w:t>Foreign-matched</w:t>
      </w:r>
      <w:r w:rsidR="00792A1D" w:rsidRPr="00D5512B">
        <w:t xml:space="preserve"> lottery providers must comply with the N</w:t>
      </w:r>
      <w:r w:rsidR="00E243A1" w:rsidRPr="00D5512B">
        <w:t>orthern Territory</w:t>
      </w:r>
      <w:r w:rsidR="00792A1D" w:rsidRPr="00D5512B">
        <w:t xml:space="preserve"> Code of Practice for Responsible Service of Online Gambling 2019, which provides guidance on responsible gambling practices, and harm minimisation strategies.</w:t>
      </w:r>
    </w:p>
    <w:p w14:paraId="472B7C75" w14:textId="26F0AA5C" w:rsidR="00394CFB" w:rsidRPr="00D5512B" w:rsidRDefault="00B03858" w:rsidP="00BC164C">
      <w:pPr>
        <w:pStyle w:val="Introduction"/>
      </w:pPr>
      <w:r w:rsidRPr="00D5512B">
        <w:t xml:space="preserve">International </w:t>
      </w:r>
      <w:r w:rsidR="006D44AE" w:rsidRPr="00D5512B">
        <w:t>r</w:t>
      </w:r>
      <w:r w:rsidRPr="00D5512B">
        <w:t>egulation</w:t>
      </w:r>
    </w:p>
    <w:p w14:paraId="64E8F1A0" w14:textId="07022B64" w:rsidR="006E0E01" w:rsidRPr="00D5512B" w:rsidRDefault="006E0E01" w:rsidP="00E11823">
      <w:r w:rsidRPr="00D5512B">
        <w:t xml:space="preserve">With increasing international involvement in local lottery markets, some overseas jurisdictions have </w:t>
      </w:r>
      <w:r w:rsidR="003464CE" w:rsidRPr="00D5512B">
        <w:t>acted</w:t>
      </w:r>
      <w:r w:rsidRPr="00D5512B">
        <w:t xml:space="preserve"> to regulate </w:t>
      </w:r>
      <w:r w:rsidR="008373BD" w:rsidRPr="00D5512B">
        <w:t xml:space="preserve">and restrict </w:t>
      </w:r>
      <w:r w:rsidR="00AE1EDA" w:rsidRPr="00D5512B">
        <w:t>foreign-matched</w:t>
      </w:r>
      <w:r w:rsidRPr="00D5512B">
        <w:t xml:space="preserve"> lotteries. </w:t>
      </w:r>
    </w:p>
    <w:p w14:paraId="258E3A40" w14:textId="3A6BB2EE" w:rsidR="0015015A" w:rsidRPr="00D5512B" w:rsidRDefault="0015015A" w:rsidP="0015015A">
      <w:bookmarkStart w:id="14" w:name="_Hlk212536113"/>
      <w:r w:rsidRPr="00D5512B">
        <w:t xml:space="preserve">In the United States of America, gambling is regulated </w:t>
      </w:r>
      <w:r w:rsidR="00714E19" w:rsidRPr="00D5512B">
        <w:t>by states</w:t>
      </w:r>
      <w:r w:rsidRPr="00D5512B">
        <w:t>.</w:t>
      </w:r>
      <w:r w:rsidR="00714E19" w:rsidRPr="00D5512B">
        <w:t xml:space="preserve"> Many</w:t>
      </w:r>
      <w:r w:rsidRPr="00D5512B">
        <w:t xml:space="preserve"> states have implemented measures to regulate </w:t>
      </w:r>
      <w:r w:rsidR="00AE1EDA" w:rsidRPr="00D5512B">
        <w:t>foreign-matched</w:t>
      </w:r>
      <w:r w:rsidRPr="00D5512B">
        <w:t xml:space="preserve"> lotteries, with Texas,</w:t>
      </w:r>
      <w:r w:rsidRPr="00D5512B">
        <w:rPr>
          <w:rStyle w:val="FootnoteReference"/>
        </w:rPr>
        <w:footnoteReference w:id="9"/>
      </w:r>
      <w:r w:rsidRPr="00D5512B">
        <w:t xml:space="preserve"> Indiana,</w:t>
      </w:r>
      <w:r w:rsidRPr="00D5512B">
        <w:rPr>
          <w:rStyle w:val="FootnoteReference"/>
        </w:rPr>
        <w:footnoteReference w:id="10"/>
      </w:r>
      <w:r w:rsidRPr="00D5512B">
        <w:t xml:space="preserve"> Virginia</w:t>
      </w:r>
      <w:r w:rsidR="00E243A1" w:rsidRPr="00D5512B">
        <w:t>,</w:t>
      </w:r>
      <w:r w:rsidRPr="00D5512B">
        <w:rPr>
          <w:rStyle w:val="FootnoteReference"/>
        </w:rPr>
        <w:footnoteReference w:id="11"/>
      </w:r>
      <w:r w:rsidRPr="00D5512B">
        <w:t xml:space="preserve"> and Wisconsin</w:t>
      </w:r>
      <w:r w:rsidRPr="00D5512B">
        <w:rPr>
          <w:rStyle w:val="FootnoteReference"/>
        </w:rPr>
        <w:footnoteReference w:id="12"/>
      </w:r>
      <w:r w:rsidRPr="00D5512B">
        <w:t xml:space="preserve"> all banning this service.</w:t>
      </w:r>
      <w:r w:rsidR="00714E19" w:rsidRPr="00D5512B">
        <w:t xml:space="preserve"> </w:t>
      </w:r>
      <w:r w:rsidRPr="00D5512B">
        <w:lastRenderedPageBreak/>
        <w:t>Meanwhile, Arizona,</w:t>
      </w:r>
      <w:r w:rsidRPr="00D5512B">
        <w:rPr>
          <w:rStyle w:val="FootnoteReference"/>
        </w:rPr>
        <w:footnoteReference w:id="13"/>
      </w:r>
      <w:r w:rsidRPr="00D5512B">
        <w:t xml:space="preserve"> New York</w:t>
      </w:r>
      <w:r w:rsidR="00E243A1" w:rsidRPr="00D5512B">
        <w:t>,</w:t>
      </w:r>
      <w:r w:rsidRPr="00D5512B">
        <w:rPr>
          <w:rStyle w:val="FootnoteReference"/>
        </w:rPr>
        <w:footnoteReference w:id="14"/>
      </w:r>
      <w:r w:rsidRPr="00D5512B">
        <w:t xml:space="preserve"> and New Jersey</w:t>
      </w:r>
      <w:r w:rsidRPr="00D5512B">
        <w:rPr>
          <w:rStyle w:val="FootnoteReference"/>
        </w:rPr>
        <w:footnoteReference w:id="15"/>
      </w:r>
      <w:r w:rsidRPr="00D5512B">
        <w:t xml:space="preserve"> have established formal regulations for these services, requiring operators to obtain a licence or official registration to operate legally.</w:t>
      </w:r>
    </w:p>
    <w:bookmarkEnd w:id="14"/>
    <w:p w14:paraId="33F927CB" w14:textId="4364781A" w:rsidR="00353E61" w:rsidRPr="00D5512B" w:rsidRDefault="00353E61" w:rsidP="00E11823">
      <w:r w:rsidRPr="00D5512B">
        <w:t>In Oregon, the Lottery Commission has proposed new rules to prohibit lottery retailers from working wi</w:t>
      </w:r>
      <w:r w:rsidR="006E0E01" w:rsidRPr="00D5512B">
        <w:t>th operators</w:t>
      </w:r>
      <w:r w:rsidRPr="00D5512B">
        <w:t xml:space="preserve"> who facilitate</w:t>
      </w:r>
      <w:r w:rsidR="006E0E01" w:rsidRPr="00D5512B">
        <w:t xml:space="preserve"> lottery</w:t>
      </w:r>
      <w:r w:rsidRPr="00D5512B">
        <w:t xml:space="preserve"> ticket purchases</w:t>
      </w:r>
      <w:r w:rsidR="007A7C52" w:rsidRPr="00D5512B">
        <w:t xml:space="preserve"> outside of</w:t>
      </w:r>
      <w:r w:rsidRPr="00D5512B">
        <w:t xml:space="preserve"> Oregon. </w:t>
      </w:r>
      <w:r w:rsidR="007A7C52" w:rsidRPr="00D5512B">
        <w:t xml:space="preserve">The proposed regulations also </w:t>
      </w:r>
      <w:r w:rsidRPr="00D5512B">
        <w:t>introduc</w:t>
      </w:r>
      <w:r w:rsidR="007A7C52" w:rsidRPr="00D5512B">
        <w:t>e</w:t>
      </w:r>
      <w:r w:rsidRPr="00D5512B">
        <w:t xml:space="preserve"> stringent integrity requirements for</w:t>
      </w:r>
      <w:r w:rsidR="007A7C52" w:rsidRPr="00D5512B">
        <w:t xml:space="preserve"> </w:t>
      </w:r>
      <w:r w:rsidR="00AE1EDA" w:rsidRPr="00D5512B">
        <w:t>foreign-matched</w:t>
      </w:r>
      <w:r w:rsidR="00FB5DFB" w:rsidRPr="00D5512B">
        <w:t xml:space="preserve"> lottery services</w:t>
      </w:r>
      <w:r w:rsidR="007A7C52" w:rsidRPr="00D5512B">
        <w:t xml:space="preserve"> operating exclusively within </w:t>
      </w:r>
      <w:r w:rsidR="00E243A1" w:rsidRPr="00D5512B">
        <w:t>Oregon</w:t>
      </w:r>
      <w:r w:rsidRPr="00D5512B">
        <w:t>.</w:t>
      </w:r>
      <w:r w:rsidR="00714E19" w:rsidRPr="00D5512B">
        <w:rPr>
          <w:rStyle w:val="FootnoteReference"/>
        </w:rPr>
        <w:t xml:space="preserve"> </w:t>
      </w:r>
      <w:r w:rsidR="00714E19" w:rsidRPr="00D5512B">
        <w:rPr>
          <w:rStyle w:val="FootnoteReference"/>
        </w:rPr>
        <w:footnoteReference w:id="16"/>
      </w:r>
    </w:p>
    <w:p w14:paraId="0777D8C3" w14:textId="26369AF7" w:rsidR="002464F9" w:rsidRPr="00D5512B" w:rsidRDefault="00873743" w:rsidP="00714E19">
      <w:pPr>
        <w:pStyle w:val="Heading2"/>
      </w:pPr>
      <w:bookmarkStart w:id="15" w:name="_Toc215647744"/>
      <w:r w:rsidRPr="00D5512B">
        <w:t>S</w:t>
      </w:r>
      <w:r w:rsidR="004B0EF2" w:rsidRPr="00D5512B">
        <w:t>takeholder views</w:t>
      </w:r>
      <w:bookmarkEnd w:id="15"/>
    </w:p>
    <w:p w14:paraId="615E7C83" w14:textId="0DEBD745" w:rsidR="00083015" w:rsidRPr="00D5512B" w:rsidRDefault="00083015" w:rsidP="00BC164C">
      <w:pPr>
        <w:pStyle w:val="Introduction"/>
      </w:pPr>
      <w:r w:rsidRPr="00D5512B">
        <w:t>Alignment with IGA intent and harm minimisation policy objectives</w:t>
      </w:r>
    </w:p>
    <w:p w14:paraId="0A3828CC" w14:textId="2501BA21" w:rsidR="0065046F" w:rsidRPr="00D5512B" w:rsidRDefault="00083015" w:rsidP="00083015">
      <w:r w:rsidRPr="00D5512B">
        <w:t xml:space="preserve">All </w:t>
      </w:r>
      <w:r w:rsidR="00AE1EDA" w:rsidRPr="00D5512B">
        <w:t>foreign-matched</w:t>
      </w:r>
      <w:r w:rsidRPr="00D5512B">
        <w:t xml:space="preserve"> lottery providers were of the view that the current definition of an ‘excluded lottery service’ under the IGA is fit for purpose. Other stakeholders </w:t>
      </w:r>
      <w:r w:rsidR="00E243A1" w:rsidRPr="00D5512B">
        <w:t>had divergent views</w:t>
      </w:r>
      <w:r w:rsidRPr="00D5512B">
        <w:t>, with many noting the lack of research into the harm profile</w:t>
      </w:r>
      <w:r w:rsidR="003464CE" w:rsidRPr="00D5512B">
        <w:t xml:space="preserve"> of </w:t>
      </w:r>
      <w:r w:rsidR="00AE1EDA" w:rsidRPr="00D5512B">
        <w:t>foreign-matched</w:t>
      </w:r>
      <w:r w:rsidR="003464CE" w:rsidRPr="00D5512B">
        <w:t xml:space="preserve"> lotteries. </w:t>
      </w:r>
      <w:r w:rsidR="00C23104" w:rsidRPr="00D5512B">
        <w:t>In 2005,</w:t>
      </w:r>
      <w:r w:rsidR="00070686" w:rsidRPr="00D5512B" w:rsidDel="00C23104">
        <w:t xml:space="preserve"> </w:t>
      </w:r>
      <w:r w:rsidR="00AE1EDA" w:rsidRPr="00D5512B">
        <w:t>foreign-matched</w:t>
      </w:r>
      <w:r w:rsidR="003635EE" w:rsidRPr="00D5512B">
        <w:t xml:space="preserve"> lotter</w:t>
      </w:r>
      <w:r w:rsidR="00C23104" w:rsidRPr="00D5512B">
        <w:t xml:space="preserve">ies were only emerging as a product and </w:t>
      </w:r>
      <w:r w:rsidR="00E34878" w:rsidRPr="00D5512B">
        <w:t xml:space="preserve">were </w:t>
      </w:r>
      <w:r w:rsidR="00C23104" w:rsidRPr="00D5512B">
        <w:t>therefore not considered</w:t>
      </w:r>
      <w:r w:rsidR="00070686" w:rsidRPr="00D5512B" w:rsidDel="00C23104">
        <w:t xml:space="preserve"> </w:t>
      </w:r>
      <w:r w:rsidR="00C23104" w:rsidRPr="00D5512B">
        <w:t>during</w:t>
      </w:r>
      <w:r w:rsidR="00070686" w:rsidRPr="00D5512B">
        <w:t xml:space="preserve"> the drafting of the IGA</w:t>
      </w:r>
      <w:r w:rsidRPr="00D5512B">
        <w:t>.</w:t>
      </w:r>
    </w:p>
    <w:p w14:paraId="14E67722" w14:textId="018A78B3" w:rsidR="001B6E92" w:rsidRPr="00D5512B" w:rsidRDefault="00083015" w:rsidP="00083015">
      <w:r w:rsidRPr="00D5512B">
        <w:t xml:space="preserve">Some stakeholders </w:t>
      </w:r>
      <w:r w:rsidR="00402780" w:rsidRPr="00D5512B">
        <w:t>noted</w:t>
      </w:r>
      <w:r w:rsidR="00070686" w:rsidRPr="00D5512B">
        <w:t xml:space="preserve"> what they perceived as similarities between</w:t>
      </w:r>
      <w:r w:rsidRPr="00D5512B">
        <w:t xml:space="preserve"> </w:t>
      </w:r>
      <w:r w:rsidR="00AE1EDA" w:rsidRPr="00D5512B">
        <w:t>foreign-matched</w:t>
      </w:r>
      <w:r w:rsidRPr="00D5512B">
        <w:t xml:space="preserve"> lotteries </w:t>
      </w:r>
      <w:r w:rsidR="00070686" w:rsidRPr="00D5512B">
        <w:t xml:space="preserve">and </w:t>
      </w:r>
      <w:r w:rsidRPr="00D5512B">
        <w:t xml:space="preserve">‘synthetic </w:t>
      </w:r>
      <w:proofErr w:type="gramStart"/>
      <w:r w:rsidRPr="00D5512B">
        <w:t>lotteries’</w:t>
      </w:r>
      <w:proofErr w:type="gramEnd"/>
      <w:r w:rsidR="00070686" w:rsidRPr="00D5512B">
        <w:t>.</w:t>
      </w:r>
      <w:r w:rsidR="00250B3B" w:rsidRPr="00D5512B">
        <w:t xml:space="preserve"> </w:t>
      </w:r>
      <w:r w:rsidR="00070686" w:rsidRPr="00D5512B">
        <w:t xml:space="preserve">A synthetic lottery </w:t>
      </w:r>
      <w:r w:rsidR="005066D6" w:rsidRPr="00D5512B">
        <w:t>allows customers to</w:t>
      </w:r>
      <w:r w:rsidR="00070686" w:rsidRPr="00D5512B">
        <w:t xml:space="preserve"> </w:t>
      </w:r>
      <w:r w:rsidRPr="00D5512B">
        <w:t xml:space="preserve">bet on the outcome of </w:t>
      </w:r>
      <w:r w:rsidR="00070686" w:rsidRPr="00D5512B">
        <w:t>domestic and international lotteries</w:t>
      </w:r>
      <w:r w:rsidR="009F6E5E" w:rsidRPr="00D5512B">
        <w:t>, without buying an official ticket</w:t>
      </w:r>
      <w:r w:rsidR="001B6E92" w:rsidRPr="00D5512B">
        <w:t>.</w:t>
      </w:r>
      <w:r w:rsidR="009F6E5E" w:rsidRPr="00D5512B">
        <w:t xml:space="preserve"> The provider pays out the prizes based on the outcome of the lottery draw, with the winnings coming from the provider not the lottery.</w:t>
      </w:r>
      <w:r w:rsidRPr="00D5512B">
        <w:t xml:space="preserve"> </w:t>
      </w:r>
      <w:r w:rsidR="009F6E5E" w:rsidRPr="00D5512B">
        <w:t>The</w:t>
      </w:r>
      <w:r w:rsidR="009F6E5E" w:rsidRPr="00D5512B">
        <w:rPr>
          <w:i/>
        </w:rPr>
        <w:t xml:space="preserve"> Interactive Gambling Amendment (Lottery Betting) Bill 2018</w:t>
      </w:r>
      <w:r w:rsidR="009F6E5E" w:rsidRPr="00D5512B">
        <w:t xml:space="preserve"> introduced a ban on synthetic lotteries as they are contrary to the intent of the IGA and provide little taxation revenue and no benefits to Australians. </w:t>
      </w:r>
    </w:p>
    <w:p w14:paraId="3FA2FEF5" w14:textId="20A1CB29" w:rsidR="00083015" w:rsidRPr="00D5512B" w:rsidRDefault="00083015" w:rsidP="00BC164C">
      <w:pPr>
        <w:pStyle w:val="Introduction"/>
      </w:pPr>
      <w:r w:rsidRPr="00D5512B">
        <w:t>Impacts and evidence of gambling harm</w:t>
      </w:r>
    </w:p>
    <w:p w14:paraId="0C0F642D" w14:textId="72270342" w:rsidR="00083015" w:rsidRPr="00D5512B" w:rsidRDefault="00083015" w:rsidP="00083015">
      <w:r w:rsidRPr="00D5512B">
        <w:t xml:space="preserve">The harms associated with online lotteries such as </w:t>
      </w:r>
      <w:r w:rsidR="00AE1EDA" w:rsidRPr="00D5512B">
        <w:t>foreign-matched</w:t>
      </w:r>
      <w:r w:rsidRPr="00D5512B">
        <w:t xml:space="preserve"> lotteries are not well understood. Harm reduction advocates, academics</w:t>
      </w:r>
      <w:r w:rsidR="00714E19" w:rsidRPr="00D5512B">
        <w:t>,</w:t>
      </w:r>
      <w:r w:rsidRPr="00D5512B">
        <w:t xml:space="preserve"> and some regulators argued </w:t>
      </w:r>
      <w:r w:rsidR="005956C3" w:rsidRPr="00D5512B">
        <w:t>the</w:t>
      </w:r>
      <w:r w:rsidRPr="00D5512B">
        <w:t xml:space="preserve"> </w:t>
      </w:r>
      <w:r w:rsidR="00C23104" w:rsidRPr="00D5512B">
        <w:t>exceptions</w:t>
      </w:r>
      <w:r w:rsidR="000126DB" w:rsidRPr="00D5512B">
        <w:t xml:space="preserve"> that allow online</w:t>
      </w:r>
      <w:r w:rsidRPr="00D5512B">
        <w:t xml:space="preserve"> lotteries</w:t>
      </w:r>
      <w:r w:rsidR="000126DB" w:rsidRPr="00D5512B">
        <w:t xml:space="preserve"> to be excluded from legislated consumer protection measures</w:t>
      </w:r>
      <w:r w:rsidRPr="00D5512B">
        <w:t xml:space="preserve"> should not be allowed. </w:t>
      </w:r>
      <w:r w:rsidR="00402780" w:rsidRPr="00D5512B">
        <w:t xml:space="preserve">These </w:t>
      </w:r>
      <w:r w:rsidR="00714E19" w:rsidRPr="00D5512B">
        <w:t>stakeholders</w:t>
      </w:r>
      <w:r w:rsidRPr="00D5512B">
        <w:t xml:space="preserve"> also called for </w:t>
      </w:r>
      <w:r w:rsidR="00402780" w:rsidRPr="00D5512B">
        <w:t>targeted</w:t>
      </w:r>
      <w:r w:rsidRPr="00D5512B">
        <w:t xml:space="preserve"> research to understand potential harms from online lotteries, including </w:t>
      </w:r>
      <w:r w:rsidR="00AE1EDA" w:rsidRPr="00D5512B">
        <w:t>foreign-matched</w:t>
      </w:r>
      <w:r w:rsidRPr="00D5512B">
        <w:t xml:space="preserve"> lotteries. </w:t>
      </w:r>
      <w:r w:rsidR="00402780" w:rsidRPr="00D5512B">
        <w:t>Th</w:t>
      </w:r>
      <w:r w:rsidR="008979B0" w:rsidRPr="00D5512B">
        <w:t>ey consider that this</w:t>
      </w:r>
      <w:r w:rsidR="00402780" w:rsidRPr="00D5512B">
        <w:t xml:space="preserve"> research should be used to inform any changes to regulatory setting</w:t>
      </w:r>
      <w:r w:rsidR="008979B0" w:rsidRPr="00D5512B">
        <w:t>s</w:t>
      </w:r>
      <w:r w:rsidR="00402780" w:rsidRPr="00D5512B">
        <w:t>.</w:t>
      </w:r>
    </w:p>
    <w:p w14:paraId="4582C66C" w14:textId="5B8174A9" w:rsidR="00083015" w:rsidRPr="00D5512B" w:rsidRDefault="00012409" w:rsidP="00083015">
      <w:r w:rsidRPr="00D5512B">
        <w:t xml:space="preserve">Due to </w:t>
      </w:r>
      <w:r w:rsidR="00520C01" w:rsidRPr="00D5512B">
        <w:t xml:space="preserve">the lack of </w:t>
      </w:r>
      <w:r w:rsidR="008979B0" w:rsidRPr="00D5512B">
        <w:t xml:space="preserve">available </w:t>
      </w:r>
      <w:r w:rsidR="00520C01" w:rsidRPr="00D5512B">
        <w:t>data, t</w:t>
      </w:r>
      <w:r w:rsidR="00083015" w:rsidRPr="00D5512B">
        <w:t xml:space="preserve">he review could not identify a different harm profile or customer spending profile for </w:t>
      </w:r>
      <w:r w:rsidR="00AE1EDA" w:rsidRPr="00D5512B">
        <w:t>foreign-matched</w:t>
      </w:r>
      <w:r w:rsidR="00083015" w:rsidRPr="00D5512B">
        <w:t xml:space="preserve"> lotteries compared to Australian-exclusive lotteries. </w:t>
      </w:r>
      <w:r w:rsidR="00520C01" w:rsidRPr="00D5512B">
        <w:t>However, i</w:t>
      </w:r>
      <w:r w:rsidR="00083015" w:rsidRPr="00D5512B">
        <w:t xml:space="preserve">t is acknowledged that </w:t>
      </w:r>
      <w:r w:rsidR="009D25FB" w:rsidRPr="00D5512B">
        <w:t xml:space="preserve">international </w:t>
      </w:r>
      <w:r w:rsidR="00714E19" w:rsidRPr="00D5512B">
        <w:t>lotteries</w:t>
      </w:r>
      <w:r w:rsidR="00083015" w:rsidRPr="00D5512B">
        <w:t xml:space="preserve"> </w:t>
      </w:r>
      <w:r w:rsidR="00520C01" w:rsidRPr="00D5512B">
        <w:t>often have larger jackpots than those in Australia</w:t>
      </w:r>
      <w:r w:rsidR="00083015" w:rsidRPr="00D5512B">
        <w:t>, which could provide an incentive for customers to</w:t>
      </w:r>
      <w:r w:rsidR="00FB23A4">
        <w:t xml:space="preserve"> spend more than intended</w:t>
      </w:r>
      <w:r w:rsidR="00083015" w:rsidRPr="00D5512B">
        <w:t xml:space="preserve">. </w:t>
      </w:r>
    </w:p>
    <w:p w14:paraId="6B70D8AB" w14:textId="77777777" w:rsidR="005F7EDB" w:rsidRPr="00D5512B" w:rsidRDefault="00083015" w:rsidP="00083015">
      <w:r w:rsidRPr="00D5512B">
        <w:t>One state regulator stated in its submission</w:t>
      </w:r>
      <w:r w:rsidR="005F7EDB" w:rsidRPr="00D5512B">
        <w:t>:</w:t>
      </w:r>
    </w:p>
    <w:p w14:paraId="6E643CDA" w14:textId="7D5A054E" w:rsidR="005F7EDB" w:rsidRPr="00D5512B" w:rsidRDefault="005F7EDB" w:rsidP="00C5119D">
      <w:pPr>
        <w:pStyle w:val="Quote"/>
        <w:spacing w:after="0"/>
      </w:pPr>
      <w:r w:rsidRPr="00D5512B">
        <w:t>There is also some evidence that suggest</w:t>
      </w:r>
      <w:r w:rsidR="00D5512B">
        <w:t>s</w:t>
      </w:r>
      <w:r w:rsidRPr="00D5512B">
        <w:t xml:space="preserve"> large jackpots motivate play, intensify betting behaviour and lead to players exceeding pre-commitment intentions. Foreign-matched lotteries may therefore present a higher risk than traditional Australian-based lotteries that have lower jackpots.</w:t>
      </w:r>
      <w:r w:rsidR="00083015" w:rsidRPr="00D5512B">
        <w:t xml:space="preserve"> </w:t>
      </w:r>
    </w:p>
    <w:p w14:paraId="6D1D55F1" w14:textId="559CABE3" w:rsidR="00083015" w:rsidRPr="00D5512B" w:rsidRDefault="00083015" w:rsidP="00BC164C">
      <w:pPr>
        <w:pStyle w:val="Introduction"/>
      </w:pPr>
      <w:r w:rsidRPr="00D5512B">
        <w:t xml:space="preserve">Extension of other harm minimisation measures to </w:t>
      </w:r>
      <w:r w:rsidR="00AE1EDA" w:rsidRPr="00D5512B">
        <w:t>foreign-matched</w:t>
      </w:r>
      <w:r w:rsidRPr="00D5512B">
        <w:t xml:space="preserve"> lotteries</w:t>
      </w:r>
    </w:p>
    <w:p w14:paraId="7C3422F4" w14:textId="178F8FF7" w:rsidR="00083015" w:rsidRPr="00D5512B" w:rsidRDefault="00083015" w:rsidP="00083015">
      <w:r w:rsidRPr="00D5512B">
        <w:t xml:space="preserve">Stakeholders generally support extending the credit card ban to </w:t>
      </w:r>
      <w:r w:rsidR="00AE1EDA" w:rsidRPr="00D5512B">
        <w:t>foreign-matched</w:t>
      </w:r>
      <w:r w:rsidRPr="00D5512B">
        <w:t xml:space="preserve"> lotteries. Most operators noted consumers generally make low spend deposits using credit cards, with most preferring to use debit cards</w:t>
      </w:r>
      <w:r w:rsidR="007E5550" w:rsidRPr="00D5512B">
        <w:t>.</w:t>
      </w:r>
      <w:r w:rsidR="00D125B9" w:rsidRPr="00D5512B">
        <w:t xml:space="preserve"> </w:t>
      </w:r>
      <w:r w:rsidR="007E5550" w:rsidRPr="00D5512B">
        <w:t>H</w:t>
      </w:r>
      <w:r w:rsidR="00D125B9" w:rsidRPr="00D5512B">
        <w:t>owever</w:t>
      </w:r>
      <w:r w:rsidR="007E5550" w:rsidRPr="00D5512B">
        <w:t>,</w:t>
      </w:r>
      <w:r w:rsidR="00D125B9" w:rsidRPr="00D5512B">
        <w:t xml:space="preserve"> a </w:t>
      </w:r>
      <w:r w:rsidR="00AE1EDA" w:rsidRPr="00D5512B">
        <w:t>foreign-matched</w:t>
      </w:r>
      <w:r w:rsidR="00D125B9" w:rsidRPr="00D5512B">
        <w:t xml:space="preserve"> lottery provider expressed a ban would impact </w:t>
      </w:r>
      <w:r w:rsidR="00072AA3" w:rsidRPr="00D5512B">
        <w:t>its</w:t>
      </w:r>
      <w:r w:rsidR="00D125B9" w:rsidRPr="00D5512B">
        <w:t xml:space="preserve"> business revenue, stating that any change should apply to all lottery types to ensure competition is equal</w:t>
      </w:r>
      <w:r w:rsidRPr="00D5512B">
        <w:t xml:space="preserve">. </w:t>
      </w:r>
    </w:p>
    <w:p w14:paraId="772DE78B" w14:textId="69CE14CE" w:rsidR="00083015" w:rsidRPr="00D5512B" w:rsidRDefault="00083015" w:rsidP="00083015">
      <w:r w:rsidRPr="00D5512B">
        <w:lastRenderedPageBreak/>
        <w:t>Wagering providers, harm reduction advocates, community groups</w:t>
      </w:r>
      <w:r w:rsidR="001D556D" w:rsidRPr="00D5512B">
        <w:t xml:space="preserve">, </w:t>
      </w:r>
      <w:r w:rsidRPr="00D5512B">
        <w:t xml:space="preserve">some state </w:t>
      </w:r>
      <w:r w:rsidR="00FE3815" w:rsidRPr="00D5512B">
        <w:t xml:space="preserve">and territory </w:t>
      </w:r>
      <w:r w:rsidR="008979B0" w:rsidRPr="00D5512B">
        <w:t>regulators</w:t>
      </w:r>
      <w:r w:rsidR="001D556D" w:rsidRPr="00D5512B">
        <w:t>,</w:t>
      </w:r>
      <w:r w:rsidR="008979B0" w:rsidRPr="00D5512B">
        <w:t xml:space="preserve"> </w:t>
      </w:r>
      <w:r w:rsidRPr="00D5512B">
        <w:t xml:space="preserve">and </w:t>
      </w:r>
      <w:r w:rsidR="00072AA3" w:rsidRPr="00D5512B">
        <w:t>Commonwealth</w:t>
      </w:r>
      <w:r w:rsidRPr="00D5512B">
        <w:t xml:space="preserve"> </w:t>
      </w:r>
      <w:r w:rsidR="005956C3" w:rsidRPr="00D5512B">
        <w:t xml:space="preserve">agencies </w:t>
      </w:r>
      <w:r w:rsidRPr="00D5512B">
        <w:t xml:space="preserve">reiterated that online lotteries, including </w:t>
      </w:r>
      <w:r w:rsidR="00AE1EDA" w:rsidRPr="00D5512B">
        <w:t>foreign-matched</w:t>
      </w:r>
      <w:r w:rsidRPr="00D5512B">
        <w:t xml:space="preserve"> lotteries, should be subject to the same harm reduction framework that currently applies to online wagering services.</w:t>
      </w:r>
    </w:p>
    <w:p w14:paraId="631B0AD2" w14:textId="039ADBD0" w:rsidR="00083015" w:rsidRPr="00D5512B" w:rsidRDefault="00AE1EDA" w:rsidP="00083015">
      <w:r w:rsidRPr="00D5512B">
        <w:t>Foreign-matched</w:t>
      </w:r>
      <w:r w:rsidR="00083015" w:rsidRPr="00D5512B">
        <w:t xml:space="preserve"> lottery providers submitted that under the N</w:t>
      </w:r>
      <w:r w:rsidR="00737831" w:rsidRPr="00D5512B">
        <w:t xml:space="preserve">orthern </w:t>
      </w:r>
      <w:r w:rsidR="00083015" w:rsidRPr="00D5512B">
        <w:t>T</w:t>
      </w:r>
      <w:r w:rsidR="00737831" w:rsidRPr="00D5512B">
        <w:t>erritory</w:t>
      </w:r>
      <w:r w:rsidR="00083015" w:rsidRPr="00D5512B">
        <w:t xml:space="preserve"> Code of Practice for Responsible Service of Online Gambling 2019, they are required to offer consumer protection measures</w:t>
      </w:r>
      <w:r w:rsidR="00012409" w:rsidRPr="00D5512B">
        <w:t>, including self-exclusion, deposit limits, monthly activity statements and voluntary pre-commitments</w:t>
      </w:r>
      <w:r w:rsidR="004216AD" w:rsidRPr="00D5512B">
        <w:t xml:space="preserve"> to all their customers</w:t>
      </w:r>
      <w:r w:rsidR="00083015" w:rsidRPr="00D5512B">
        <w:t>.</w:t>
      </w:r>
    </w:p>
    <w:p w14:paraId="0B6DB481" w14:textId="07A8867A" w:rsidR="00083015" w:rsidRPr="00D5512B" w:rsidRDefault="003D6F1C" w:rsidP="00BC164C">
      <w:pPr>
        <w:pStyle w:val="Introduction"/>
      </w:pPr>
      <w:r w:rsidRPr="00D5512B">
        <w:t xml:space="preserve">Additional observations on </w:t>
      </w:r>
      <w:r w:rsidR="00AE1EDA" w:rsidRPr="00D5512B">
        <w:t>foreign-matched</w:t>
      </w:r>
      <w:r w:rsidRPr="00D5512B">
        <w:t xml:space="preserve"> lotteries</w:t>
      </w:r>
    </w:p>
    <w:p w14:paraId="3C7E30FC" w14:textId="567BF754" w:rsidR="00083015" w:rsidRPr="00D5512B" w:rsidRDefault="00083015" w:rsidP="00083015">
      <w:r w:rsidRPr="00D5512B">
        <w:t xml:space="preserve">All </w:t>
      </w:r>
      <w:r w:rsidR="00AE1EDA" w:rsidRPr="00D5512B">
        <w:t>foreign-matched</w:t>
      </w:r>
      <w:r w:rsidRPr="00D5512B">
        <w:t xml:space="preserve"> lottery providers advised that all winnings had been paid to customers, noting they have formal </w:t>
      </w:r>
      <w:r w:rsidR="000126DB" w:rsidRPr="00D5512B">
        <w:t>license</w:t>
      </w:r>
      <w:r w:rsidRPr="00D5512B">
        <w:t xml:space="preserve"> conditions </w:t>
      </w:r>
      <w:r w:rsidR="00072AA3" w:rsidRPr="00D5512B">
        <w:t>under Northern Territory regulations.</w:t>
      </w:r>
      <w:r w:rsidR="00502CE0" w:rsidRPr="00D5512B">
        <w:t xml:space="preserve"> </w:t>
      </w:r>
    </w:p>
    <w:p w14:paraId="5029F9E7" w14:textId="7267A797" w:rsidR="00083015" w:rsidRPr="00D5512B" w:rsidRDefault="00083015" w:rsidP="00083015">
      <w:r w:rsidRPr="00D5512B">
        <w:t>There have been no large jackpot payouts in Australia</w:t>
      </w:r>
      <w:r w:rsidR="00502CE0" w:rsidRPr="00D5512B">
        <w:t xml:space="preserve"> to date</w:t>
      </w:r>
      <w:r w:rsidRPr="00D5512B">
        <w:t xml:space="preserve">, but smaller payouts have proceeded without </w:t>
      </w:r>
      <w:r w:rsidR="00012409" w:rsidRPr="00D5512B">
        <w:t>issue</w:t>
      </w:r>
      <w:r w:rsidRPr="00D5512B">
        <w:t xml:space="preserve">. </w:t>
      </w:r>
      <w:r w:rsidR="00957EF7" w:rsidRPr="00D5512B">
        <w:t xml:space="preserve">In </w:t>
      </w:r>
      <w:r w:rsidR="00737831" w:rsidRPr="00D5512B">
        <w:t xml:space="preserve">its </w:t>
      </w:r>
      <w:r w:rsidR="00957EF7" w:rsidRPr="00D5512B">
        <w:t xml:space="preserve">submission to the review, </w:t>
      </w:r>
      <w:r w:rsidRPr="00D5512B">
        <w:t>the N</w:t>
      </w:r>
      <w:r w:rsidR="00012409" w:rsidRPr="00D5512B">
        <w:t xml:space="preserve">orthern </w:t>
      </w:r>
      <w:r w:rsidRPr="00D5512B">
        <w:t>T</w:t>
      </w:r>
      <w:r w:rsidR="00012409" w:rsidRPr="00D5512B">
        <w:t>erritory</w:t>
      </w:r>
      <w:r w:rsidRPr="00D5512B">
        <w:t xml:space="preserve"> regulator </w:t>
      </w:r>
      <w:r w:rsidR="00957EF7" w:rsidRPr="00D5512B">
        <w:t xml:space="preserve">advised </w:t>
      </w:r>
      <w:r w:rsidR="00502CE0" w:rsidRPr="00D5512B">
        <w:t xml:space="preserve">that </w:t>
      </w:r>
      <w:r w:rsidR="00957EF7" w:rsidRPr="00D5512B">
        <w:t xml:space="preserve">any </w:t>
      </w:r>
      <w:r w:rsidR="00072AA3" w:rsidRPr="00D5512B">
        <w:t>consumer complaints</w:t>
      </w:r>
      <w:r w:rsidRPr="00D5512B">
        <w:t xml:space="preserve"> about </w:t>
      </w:r>
      <w:r w:rsidR="00AE1EDA" w:rsidRPr="00D5512B">
        <w:t>foreign-matched</w:t>
      </w:r>
      <w:r w:rsidRPr="00D5512B">
        <w:t xml:space="preserve"> lotteries have been related to issues around customer identity verification. </w:t>
      </w:r>
      <w:r w:rsidR="00957EF7" w:rsidRPr="00D5512B">
        <w:t xml:space="preserve">The regulator advised </w:t>
      </w:r>
      <w:r w:rsidR="00502CE0" w:rsidRPr="00D5512B">
        <w:t xml:space="preserve">that </w:t>
      </w:r>
      <w:r w:rsidR="00957EF7" w:rsidRPr="00D5512B">
        <w:t>consumers received their winnings from the</w:t>
      </w:r>
      <w:r w:rsidRPr="00D5512B">
        <w:t xml:space="preserve"> </w:t>
      </w:r>
      <w:r w:rsidR="00AE1EDA" w:rsidRPr="00D5512B">
        <w:t>foreign-matched</w:t>
      </w:r>
      <w:r w:rsidR="00502CE0" w:rsidRPr="00D5512B">
        <w:t xml:space="preserve"> lottery </w:t>
      </w:r>
      <w:r w:rsidRPr="00D5512B">
        <w:t xml:space="preserve">providers once </w:t>
      </w:r>
      <w:r w:rsidR="00957EF7" w:rsidRPr="00D5512B">
        <w:t xml:space="preserve">the consumer identity verification requirements </w:t>
      </w:r>
      <w:r w:rsidR="00502CE0" w:rsidRPr="00D5512B">
        <w:t>were</w:t>
      </w:r>
      <w:r w:rsidRPr="00D5512B">
        <w:t xml:space="preserve"> resolved.  </w:t>
      </w:r>
    </w:p>
    <w:p w14:paraId="1D7E0781" w14:textId="75973C1F" w:rsidR="00EF1A8A" w:rsidRPr="00D5512B" w:rsidRDefault="004E40B2" w:rsidP="00EF1A8A">
      <w:r w:rsidRPr="00D5512B">
        <w:t>A foreign-matched lottery provider also stated that if there was no regulated way for Australian consumers to buy tickets in overseas lotteries, there would be no licensing or protections for consumers, including the non-payment of winnings by the service provider. The provider suggested that any future policy should consider these consequences.</w:t>
      </w:r>
    </w:p>
    <w:p w14:paraId="18E805AF" w14:textId="77777777" w:rsidR="006D45A2" w:rsidRPr="00D5512B" w:rsidRDefault="006D45A2">
      <w:pPr>
        <w:suppressAutoHyphens w:val="0"/>
        <w:rPr>
          <w:rFonts w:asciiTheme="majorHAnsi" w:eastAsiaTheme="majorEastAsia" w:hAnsiTheme="majorHAnsi" w:cstheme="majorBidi"/>
          <w:color w:val="081E3E" w:themeColor="text2"/>
          <w:sz w:val="44"/>
          <w:szCs w:val="32"/>
        </w:rPr>
      </w:pPr>
      <w:r w:rsidRPr="00D5512B">
        <w:br w:type="page"/>
      </w:r>
    </w:p>
    <w:p w14:paraId="6A3D7C8D" w14:textId="323F8545" w:rsidR="002464F9" w:rsidRPr="00D5512B" w:rsidRDefault="00BA6F46" w:rsidP="00EF1A8A">
      <w:pPr>
        <w:pStyle w:val="Heading1"/>
      </w:pPr>
      <w:bookmarkStart w:id="16" w:name="_Toc215647745"/>
      <w:r w:rsidRPr="00D5512B">
        <w:lastRenderedPageBreak/>
        <w:t xml:space="preserve">Policy </w:t>
      </w:r>
      <w:r w:rsidR="003B2940" w:rsidRPr="00D5512B">
        <w:t>options</w:t>
      </w:r>
      <w:bookmarkEnd w:id="16"/>
    </w:p>
    <w:p w14:paraId="4C1FF656" w14:textId="5532E5D5" w:rsidR="00B33043" w:rsidRPr="00D5512B" w:rsidRDefault="003101B7" w:rsidP="004F3505">
      <w:pPr>
        <w:rPr>
          <w:spacing w:val="-2"/>
        </w:rPr>
      </w:pPr>
      <w:r w:rsidRPr="00D5512B">
        <w:rPr>
          <w:spacing w:val="-2"/>
        </w:rPr>
        <w:t xml:space="preserve">The </w:t>
      </w:r>
      <w:r w:rsidR="00167501" w:rsidRPr="00D5512B">
        <w:rPr>
          <w:spacing w:val="-2"/>
        </w:rPr>
        <w:t>I</w:t>
      </w:r>
      <w:r w:rsidRPr="00D5512B">
        <w:rPr>
          <w:spacing w:val="-2"/>
        </w:rPr>
        <w:t xml:space="preserve">ssues </w:t>
      </w:r>
      <w:r w:rsidR="00167501" w:rsidRPr="00D5512B">
        <w:rPr>
          <w:spacing w:val="-2"/>
        </w:rPr>
        <w:t>P</w:t>
      </w:r>
      <w:r w:rsidRPr="00D5512B">
        <w:rPr>
          <w:spacing w:val="-2"/>
        </w:rPr>
        <w:t>aper called for</w:t>
      </w:r>
      <w:r w:rsidR="00F437A5" w:rsidRPr="00D5512B">
        <w:rPr>
          <w:spacing w:val="-2"/>
        </w:rPr>
        <w:t xml:space="preserve"> feedback on</w:t>
      </w:r>
      <w:r w:rsidRPr="00D5512B">
        <w:rPr>
          <w:spacing w:val="-2"/>
        </w:rPr>
        <w:t xml:space="preserve"> harm minimisation measures that could be applied to online keno and </w:t>
      </w:r>
      <w:r w:rsidR="00AE1EDA" w:rsidRPr="00D5512B">
        <w:rPr>
          <w:spacing w:val="-2"/>
        </w:rPr>
        <w:t>foreign-matched</w:t>
      </w:r>
      <w:r w:rsidRPr="00D5512B">
        <w:rPr>
          <w:spacing w:val="-2"/>
        </w:rPr>
        <w:t xml:space="preserve"> lotter</w:t>
      </w:r>
      <w:r w:rsidR="00F437A5" w:rsidRPr="00D5512B">
        <w:rPr>
          <w:spacing w:val="-2"/>
        </w:rPr>
        <w:t>y products</w:t>
      </w:r>
      <w:r w:rsidRPr="00D5512B">
        <w:rPr>
          <w:spacing w:val="-2"/>
        </w:rPr>
        <w:t xml:space="preserve">. </w:t>
      </w:r>
      <w:r w:rsidR="00F437A5" w:rsidRPr="00D5512B">
        <w:rPr>
          <w:spacing w:val="-2"/>
        </w:rPr>
        <w:t>S</w:t>
      </w:r>
      <w:r w:rsidR="00AC143A" w:rsidRPr="00D5512B">
        <w:rPr>
          <w:spacing w:val="-2"/>
        </w:rPr>
        <w:t>ubmissions</w:t>
      </w:r>
      <w:r w:rsidR="00F437A5" w:rsidRPr="00D5512B">
        <w:rPr>
          <w:spacing w:val="-2"/>
        </w:rPr>
        <w:t xml:space="preserve"> </w:t>
      </w:r>
      <w:r w:rsidR="00B979D3" w:rsidRPr="00D5512B">
        <w:rPr>
          <w:spacing w:val="-2"/>
        </w:rPr>
        <w:t>made by</w:t>
      </w:r>
      <w:r w:rsidR="00BE14A2" w:rsidRPr="00D5512B">
        <w:rPr>
          <w:spacing w:val="-2"/>
        </w:rPr>
        <w:t xml:space="preserve"> industry, harm reduction advocates, academics, community and charity peak bodies, state and territory governments, and relevant Commonwealth agencies, </w:t>
      </w:r>
      <w:r w:rsidRPr="00D5512B">
        <w:rPr>
          <w:spacing w:val="-2"/>
        </w:rPr>
        <w:t>suggested</w:t>
      </w:r>
      <w:r w:rsidR="00AC143A" w:rsidRPr="00D5512B">
        <w:rPr>
          <w:spacing w:val="-2"/>
        </w:rPr>
        <w:t xml:space="preserve"> a range of potential </w:t>
      </w:r>
      <w:r w:rsidR="00EF1A8A" w:rsidRPr="00D5512B">
        <w:rPr>
          <w:spacing w:val="-2"/>
        </w:rPr>
        <w:t xml:space="preserve">policy </w:t>
      </w:r>
      <w:r w:rsidR="00AC143A" w:rsidRPr="00D5512B">
        <w:rPr>
          <w:spacing w:val="-2"/>
        </w:rPr>
        <w:t>action</w:t>
      </w:r>
      <w:r w:rsidR="00BC0BEB" w:rsidRPr="00D5512B">
        <w:rPr>
          <w:spacing w:val="-2"/>
        </w:rPr>
        <w:t>s</w:t>
      </w:r>
      <w:r w:rsidR="00484AB2" w:rsidRPr="00D5512B">
        <w:rPr>
          <w:spacing w:val="-2"/>
        </w:rPr>
        <w:t xml:space="preserve"> for consideration </w:t>
      </w:r>
      <w:r w:rsidR="00217BF2" w:rsidRPr="00D5512B">
        <w:rPr>
          <w:spacing w:val="-2"/>
        </w:rPr>
        <w:t>by government</w:t>
      </w:r>
      <w:r w:rsidR="004F3505" w:rsidRPr="00D5512B">
        <w:rPr>
          <w:spacing w:val="-2"/>
        </w:rPr>
        <w:t>, including a full ban on online keno and foreign-matched lotteries</w:t>
      </w:r>
      <w:r w:rsidR="00BC0BEB" w:rsidRPr="00D5512B">
        <w:rPr>
          <w:spacing w:val="-2"/>
        </w:rPr>
        <w:t xml:space="preserve">. </w:t>
      </w:r>
      <w:r w:rsidR="004F3505" w:rsidRPr="00D5512B">
        <w:rPr>
          <w:spacing w:val="-2"/>
        </w:rPr>
        <w:t>The department recommends the below actions</w:t>
      </w:r>
      <w:r w:rsidR="008F3AE6" w:rsidRPr="00D5512B">
        <w:rPr>
          <w:spacing w:val="-2"/>
        </w:rPr>
        <w:t xml:space="preserve"> based on </w:t>
      </w:r>
      <w:r w:rsidR="005206F8" w:rsidRPr="00D5512B">
        <w:rPr>
          <w:spacing w:val="-2"/>
        </w:rPr>
        <w:t xml:space="preserve">the policy objectives </w:t>
      </w:r>
      <w:r w:rsidR="005206F8">
        <w:rPr>
          <w:spacing w:val="-2"/>
        </w:rPr>
        <w:t xml:space="preserve">and intent </w:t>
      </w:r>
      <w:r w:rsidR="005206F8" w:rsidRPr="00D5512B">
        <w:rPr>
          <w:spacing w:val="-2"/>
        </w:rPr>
        <w:t xml:space="preserve">of </w:t>
      </w:r>
      <w:r w:rsidR="005206F8">
        <w:rPr>
          <w:spacing w:val="-2"/>
        </w:rPr>
        <w:t>the IGA</w:t>
      </w:r>
      <w:r w:rsidR="005206F8" w:rsidRPr="00D5512B">
        <w:rPr>
          <w:spacing w:val="-2"/>
        </w:rPr>
        <w:t xml:space="preserve"> </w:t>
      </w:r>
      <w:r w:rsidR="005206F8">
        <w:rPr>
          <w:spacing w:val="-2"/>
        </w:rPr>
        <w:t xml:space="preserve">and </w:t>
      </w:r>
      <w:proofErr w:type="gramStart"/>
      <w:r w:rsidR="005206F8">
        <w:rPr>
          <w:spacing w:val="-2"/>
        </w:rPr>
        <w:t>in light of</w:t>
      </w:r>
      <w:proofErr w:type="gramEnd"/>
      <w:r w:rsidR="005206F8">
        <w:rPr>
          <w:spacing w:val="-2"/>
        </w:rPr>
        <w:t xml:space="preserve"> this </w:t>
      </w:r>
      <w:r w:rsidR="008F3AE6" w:rsidRPr="00D5512B">
        <w:rPr>
          <w:spacing w:val="-2"/>
        </w:rPr>
        <w:t xml:space="preserve">stakeholder </w:t>
      </w:r>
      <w:r w:rsidR="008B585C" w:rsidRPr="00D5512B">
        <w:rPr>
          <w:spacing w:val="-2"/>
        </w:rPr>
        <w:t>consultation.</w:t>
      </w:r>
      <w:r w:rsidR="008F3AE6" w:rsidRPr="00D5512B">
        <w:rPr>
          <w:spacing w:val="-2"/>
        </w:rPr>
        <w:t xml:space="preserve"> </w:t>
      </w:r>
    </w:p>
    <w:p w14:paraId="730E8C7E" w14:textId="40C12ADE" w:rsidR="004B0EF2" w:rsidRPr="00D5512B" w:rsidRDefault="004B0EF2" w:rsidP="008F3AE6">
      <w:pPr>
        <w:pStyle w:val="Heading2"/>
      </w:pPr>
      <w:bookmarkStart w:id="17" w:name="_Toc215647746"/>
      <w:r w:rsidRPr="00D5512B">
        <w:t>Extending existing consumer protections</w:t>
      </w:r>
      <w:bookmarkEnd w:id="17"/>
    </w:p>
    <w:p w14:paraId="3C0EF2D2" w14:textId="49A95560" w:rsidR="004B0EF2" w:rsidRPr="00D5512B" w:rsidRDefault="004B0EF2" w:rsidP="004B0EF2">
      <w:pPr>
        <w:rPr>
          <w:color w:val="377B88"/>
          <w:sz w:val="26"/>
        </w:rPr>
      </w:pPr>
      <w:r w:rsidRPr="00D5512B">
        <w:rPr>
          <w:color w:val="377B88"/>
          <w:sz w:val="26"/>
        </w:rPr>
        <w:t>Credit card ban</w:t>
      </w:r>
    </w:p>
    <w:p w14:paraId="7E572177" w14:textId="3D4002BE" w:rsidR="00521762" w:rsidRPr="00D5512B" w:rsidRDefault="001D685D" w:rsidP="00521762">
      <w:r w:rsidRPr="00D5512B">
        <w:t>The d</w:t>
      </w:r>
      <w:r w:rsidR="001A7554" w:rsidRPr="00D5512B">
        <w:t>epartment recommends</w:t>
      </w:r>
      <w:r w:rsidR="009650FE" w:rsidRPr="00D5512B">
        <w:t xml:space="preserve"> </w:t>
      </w:r>
      <w:r w:rsidR="004B0EF2" w:rsidRPr="00D5512B">
        <w:t>prohibit</w:t>
      </w:r>
      <w:r w:rsidR="003B2940" w:rsidRPr="00D5512B">
        <w:t>ing</w:t>
      </w:r>
      <w:r w:rsidR="004B0EF2" w:rsidRPr="00D5512B">
        <w:t xml:space="preserve"> the use of credit card payments for online keno</w:t>
      </w:r>
      <w:r w:rsidR="00344642" w:rsidRPr="00D5512B">
        <w:t xml:space="preserve"> and foreign-matched lotteries</w:t>
      </w:r>
      <w:r w:rsidR="004B0EF2" w:rsidRPr="00D5512B">
        <w:t xml:space="preserve">. </w:t>
      </w:r>
      <w:r w:rsidR="00C10A2F" w:rsidRPr="00D5512B">
        <w:t xml:space="preserve">This </w:t>
      </w:r>
      <w:r w:rsidR="003C322E" w:rsidRPr="00D5512B">
        <w:t>would extend existing r</w:t>
      </w:r>
      <w:r w:rsidR="001A64A3" w:rsidRPr="00D5512B">
        <w:t>ules that</w:t>
      </w:r>
      <w:r w:rsidR="003C322E" w:rsidRPr="00D5512B">
        <w:t xml:space="preserve"> prohibit the use of credit card payments for wagering services and help</w:t>
      </w:r>
      <w:r w:rsidR="00521762" w:rsidRPr="00D5512B">
        <w:t xml:space="preserve"> limit credit debt and financial hardship for</w:t>
      </w:r>
      <w:r w:rsidR="0001208E" w:rsidRPr="00D5512B">
        <w:t xml:space="preserve"> the most vulnerable</w:t>
      </w:r>
      <w:r w:rsidR="00521762" w:rsidRPr="00D5512B">
        <w:t xml:space="preserve"> consumers. </w:t>
      </w:r>
      <w:r w:rsidR="005B323D" w:rsidRPr="00D5512B">
        <w:t xml:space="preserve">While some harm minimisation measures apply to providers at the state or territory level as part of their licensing conditions, extending the credit card ban to online keno and </w:t>
      </w:r>
      <w:r w:rsidR="002F6105" w:rsidRPr="00D5512B">
        <w:t>foreign-matched</w:t>
      </w:r>
      <w:r w:rsidR="005B323D" w:rsidRPr="00D5512B">
        <w:t xml:space="preserve"> lotteries would create nationally consistent regulations. </w:t>
      </w:r>
    </w:p>
    <w:p w14:paraId="310CFF04" w14:textId="6600E958" w:rsidR="00521762" w:rsidRPr="00D5512B" w:rsidRDefault="003C322E" w:rsidP="00521762">
      <w:r w:rsidRPr="00D5512B">
        <w:t>Extending the b</w:t>
      </w:r>
      <w:r w:rsidR="00521762" w:rsidRPr="00D5512B">
        <w:t>an</w:t>
      </w:r>
      <w:r w:rsidRPr="00D5512B">
        <w:t xml:space="preserve"> on </w:t>
      </w:r>
      <w:r w:rsidR="00521762" w:rsidRPr="00D5512B">
        <w:t xml:space="preserve">the use of credit cards </w:t>
      </w:r>
      <w:r w:rsidRPr="00D5512B">
        <w:t>to</w:t>
      </w:r>
      <w:r w:rsidR="00521762" w:rsidRPr="00D5512B">
        <w:t xml:space="preserve"> </w:t>
      </w:r>
      <w:r w:rsidRPr="00D5512B">
        <w:t>online keno and foreign-matched lotteries</w:t>
      </w:r>
      <w:r w:rsidR="00C10A2F" w:rsidRPr="00D5512B">
        <w:t xml:space="preserve"> </w:t>
      </w:r>
      <w:r w:rsidR="00FB23A4">
        <w:t xml:space="preserve">also </w:t>
      </w:r>
      <w:r w:rsidR="00FB23A4" w:rsidRPr="00D5512B">
        <w:t xml:space="preserve">recognises the potentially higher harm profile associated with these services </w:t>
      </w:r>
      <w:r w:rsidR="00FB23A4">
        <w:t xml:space="preserve">and </w:t>
      </w:r>
      <w:r w:rsidRPr="00D5512B">
        <w:t>reflects</w:t>
      </w:r>
      <w:r w:rsidR="00521762" w:rsidRPr="00D5512B">
        <w:t xml:space="preserve"> </w:t>
      </w:r>
      <w:r w:rsidR="00072F3E" w:rsidRPr="00D5512B">
        <w:t xml:space="preserve">stakeholder </w:t>
      </w:r>
      <w:r w:rsidR="00C10A2F" w:rsidRPr="00D5512B">
        <w:t xml:space="preserve">submissions to </w:t>
      </w:r>
      <w:r w:rsidR="005810C4" w:rsidRPr="00D5512B">
        <w:t>the review</w:t>
      </w:r>
      <w:r w:rsidR="00C529F4" w:rsidRPr="00D5512B">
        <w:t>.</w:t>
      </w:r>
      <w:r w:rsidR="008F3AE6" w:rsidRPr="00D5512B">
        <w:t xml:space="preserve"> </w:t>
      </w:r>
    </w:p>
    <w:p w14:paraId="32F610F2" w14:textId="7D858901" w:rsidR="00C10A2F" w:rsidRPr="00D5512B" w:rsidRDefault="00C10A2F" w:rsidP="004B0EF2">
      <w:r w:rsidRPr="00D5512B">
        <w:t xml:space="preserve">This </w:t>
      </w:r>
      <w:r w:rsidR="003C322E" w:rsidRPr="00D5512B">
        <w:t>policy recommendation is also</w:t>
      </w:r>
      <w:r w:rsidRPr="00D5512B">
        <w:t xml:space="preserve"> consistent with the findings of the final report from the Senate Standing Committee on Environment and Communications’ inquiry into the </w:t>
      </w:r>
      <w:r w:rsidRPr="00D5512B">
        <w:rPr>
          <w:i/>
          <w:iCs/>
        </w:rPr>
        <w:t>Interactive Gambling Amendment (Credit Card and Other Measures) Bill 2023</w:t>
      </w:r>
      <w:r w:rsidRPr="00D5512B">
        <w:t xml:space="preserve">. </w:t>
      </w:r>
    </w:p>
    <w:p w14:paraId="6D74DA91" w14:textId="36DAD79B" w:rsidR="004B0EF2" w:rsidRPr="00D5512B" w:rsidRDefault="004B0EF2" w:rsidP="004B0EF2">
      <w:r w:rsidRPr="00D5512B">
        <w:t xml:space="preserve">Consultation with </w:t>
      </w:r>
      <w:r w:rsidR="00836856" w:rsidRPr="00D5512B">
        <w:t xml:space="preserve">states and territories and </w:t>
      </w:r>
      <w:r w:rsidRPr="00D5512B">
        <w:t xml:space="preserve">industry </w:t>
      </w:r>
      <w:r w:rsidR="008F3AE6" w:rsidRPr="00D5512B">
        <w:t>is needed</w:t>
      </w:r>
      <w:r w:rsidRPr="00D5512B">
        <w:t xml:space="preserve"> on </w:t>
      </w:r>
      <w:r w:rsidR="003C322E" w:rsidRPr="00D5512B">
        <w:t>legislation</w:t>
      </w:r>
      <w:r w:rsidRPr="00D5512B">
        <w:t xml:space="preserve"> to </w:t>
      </w:r>
      <w:r w:rsidR="003C322E" w:rsidRPr="00D5512B">
        <w:t>extend</w:t>
      </w:r>
      <w:r w:rsidRPr="00D5512B">
        <w:t xml:space="preserve"> </w:t>
      </w:r>
      <w:r w:rsidR="003C322E" w:rsidRPr="00D5512B">
        <w:t>the</w:t>
      </w:r>
      <w:r w:rsidRPr="00D5512B">
        <w:t xml:space="preserve"> ban</w:t>
      </w:r>
      <w:r w:rsidR="001A7554" w:rsidRPr="00D5512B">
        <w:t xml:space="preserve">. </w:t>
      </w:r>
      <w:r w:rsidR="008D3E94" w:rsidRPr="00D5512B">
        <w:t>This w</w:t>
      </w:r>
      <w:r w:rsidR="001A7554" w:rsidRPr="00D5512B">
        <w:t xml:space="preserve">ould </w:t>
      </w:r>
      <w:r w:rsidR="008F3AE6" w:rsidRPr="00D5512B">
        <w:t xml:space="preserve">also </w:t>
      </w:r>
      <w:r w:rsidRPr="00D5512B">
        <w:t>consider any adverse impact on lotteries offered by not-for-profits, charities and Australian newsagents.</w:t>
      </w:r>
    </w:p>
    <w:p w14:paraId="4094A318" w14:textId="3B28D7DB" w:rsidR="004B0EF2" w:rsidRPr="00D5512B" w:rsidRDefault="004B0EF2" w:rsidP="004B0EF2">
      <w:pPr>
        <w:rPr>
          <w:color w:val="377B88"/>
          <w:sz w:val="26"/>
        </w:rPr>
      </w:pPr>
      <w:r w:rsidRPr="00D5512B">
        <w:rPr>
          <w:color w:val="377B88"/>
          <w:sz w:val="26"/>
        </w:rPr>
        <w:t>The NSER</w:t>
      </w:r>
    </w:p>
    <w:p w14:paraId="4830560E" w14:textId="2AE092B6" w:rsidR="007D4010" w:rsidRPr="00D5512B" w:rsidRDefault="00880704">
      <w:r w:rsidRPr="00D5512B">
        <w:t>Pending the outcomes of the NSER review, t</w:t>
      </w:r>
      <w:r w:rsidR="00CA46EB" w:rsidRPr="00D5512B">
        <w:t xml:space="preserve">he </w:t>
      </w:r>
      <w:r w:rsidR="001A7554" w:rsidRPr="00D5512B">
        <w:t>department recommends</w:t>
      </w:r>
      <w:r w:rsidR="003C322E" w:rsidRPr="00D5512B">
        <w:t xml:space="preserve"> </w:t>
      </w:r>
      <w:r w:rsidR="00CA46EB" w:rsidRPr="00D5512B">
        <w:t>extend</w:t>
      </w:r>
      <w:r w:rsidR="00F00069">
        <w:t>ing</w:t>
      </w:r>
      <w:r w:rsidR="00CA46EB" w:rsidRPr="00D5512B">
        <w:t xml:space="preserve"> </w:t>
      </w:r>
      <w:r w:rsidR="003C322E" w:rsidRPr="00D5512B">
        <w:t xml:space="preserve">the </w:t>
      </w:r>
      <w:r w:rsidR="00CA46EB" w:rsidRPr="00D5512B">
        <w:t>operation of the NSER to online keno.</w:t>
      </w:r>
      <w:r w:rsidR="005B323D" w:rsidRPr="00D5512B">
        <w:t xml:space="preserve"> This would </w:t>
      </w:r>
      <w:r w:rsidR="0001208E" w:rsidRPr="00D5512B">
        <w:t>contribute to consistent regulation and</w:t>
      </w:r>
      <w:r w:rsidR="003C322E" w:rsidRPr="00D5512B">
        <w:t xml:space="preserve"> would </w:t>
      </w:r>
      <w:r w:rsidR="005B323D" w:rsidRPr="00D5512B">
        <w:t xml:space="preserve">allow Australians to self-exclude for </w:t>
      </w:r>
      <w:r w:rsidR="003C322E" w:rsidRPr="00D5512B">
        <w:t xml:space="preserve">more gambling </w:t>
      </w:r>
      <w:r w:rsidR="005B323D" w:rsidRPr="00D5512B">
        <w:t xml:space="preserve">services with a single registration. </w:t>
      </w:r>
    </w:p>
    <w:p w14:paraId="094CE1E1" w14:textId="517AF2FB" w:rsidR="00220A9E" w:rsidRPr="00D5512B" w:rsidRDefault="0001208E">
      <w:r w:rsidRPr="00D5512B">
        <w:t>H</w:t>
      </w:r>
      <w:r w:rsidR="007D4010" w:rsidRPr="00D5512B">
        <w:t xml:space="preserve">arm reduction advocates and </w:t>
      </w:r>
      <w:r w:rsidR="003C322E" w:rsidRPr="00D5512B">
        <w:t>w</w:t>
      </w:r>
      <w:r w:rsidR="00A83620" w:rsidRPr="00D5512B">
        <w:t>agering service providers</w:t>
      </w:r>
      <w:r w:rsidR="003C322E" w:rsidRPr="00D5512B">
        <w:t xml:space="preserve"> </w:t>
      </w:r>
      <w:r w:rsidRPr="00D5512B">
        <w:t>support extending the NSER to online keno products</w:t>
      </w:r>
      <w:r w:rsidR="00A83620" w:rsidRPr="00D5512B">
        <w:t xml:space="preserve">. It would also be welcomed by </w:t>
      </w:r>
      <w:r w:rsidR="007D4010" w:rsidRPr="00D5512B">
        <w:t xml:space="preserve">Australians who have already taken steps to manage their gambling through self-exclusion from other forms of </w:t>
      </w:r>
      <w:r w:rsidR="003C322E" w:rsidRPr="00D5512B">
        <w:t>gambling</w:t>
      </w:r>
      <w:r w:rsidR="005810C4" w:rsidRPr="00D5512B">
        <w:t>.</w:t>
      </w:r>
    </w:p>
    <w:p w14:paraId="4DEF74B0" w14:textId="02F29A32" w:rsidR="004B0EF2" w:rsidRPr="00D5512B" w:rsidRDefault="008F3AE6" w:rsidP="008F3AE6">
      <w:r w:rsidRPr="00D5512B">
        <w:t>If this option is pursued, t</w:t>
      </w:r>
      <w:r w:rsidR="00173E6D" w:rsidRPr="00D5512B">
        <w:t xml:space="preserve">he department would </w:t>
      </w:r>
      <w:r w:rsidR="00D5512B">
        <w:t xml:space="preserve">need to </w:t>
      </w:r>
      <w:r w:rsidR="00173E6D" w:rsidRPr="00D5512B">
        <w:t>work with the</w:t>
      </w:r>
      <w:r w:rsidR="00220A9E" w:rsidRPr="00D5512B">
        <w:t xml:space="preserve"> ACMA </w:t>
      </w:r>
      <w:r w:rsidR="00173E6D" w:rsidRPr="00D5512B">
        <w:t>as well as industry to ensure organisations are able to integrate their customer account systems with the NSER</w:t>
      </w:r>
      <w:r w:rsidR="002F6105" w:rsidRPr="00D5512B">
        <w:t xml:space="preserve">. </w:t>
      </w:r>
    </w:p>
    <w:p w14:paraId="0CF5759E" w14:textId="7CD943D8" w:rsidR="004B0EF2" w:rsidRPr="00D5512B" w:rsidRDefault="004B0EF2" w:rsidP="004B0EF2">
      <w:pPr>
        <w:rPr>
          <w:color w:val="377B88"/>
          <w:sz w:val="26"/>
        </w:rPr>
      </w:pPr>
      <w:r w:rsidRPr="00D5512B">
        <w:rPr>
          <w:color w:val="377B88"/>
          <w:sz w:val="26"/>
        </w:rPr>
        <w:t>Advertising restrictions</w:t>
      </w:r>
    </w:p>
    <w:p w14:paraId="72023CAF" w14:textId="0AB7AC02" w:rsidR="005206F8" w:rsidRDefault="001D685D" w:rsidP="004B0EF2">
      <w:r w:rsidRPr="00D5512B">
        <w:t>The d</w:t>
      </w:r>
      <w:r w:rsidR="001A7554" w:rsidRPr="00D5512B">
        <w:t xml:space="preserve">epartment recommends </w:t>
      </w:r>
      <w:r w:rsidR="00880704" w:rsidRPr="00D5512B">
        <w:t>extend</w:t>
      </w:r>
      <w:r w:rsidR="003B2940" w:rsidRPr="00D5512B">
        <w:t>ing</w:t>
      </w:r>
      <w:r w:rsidR="00880704" w:rsidRPr="00D5512B">
        <w:t xml:space="preserve"> current advertising restrictions in place for interactive wagering services under the </w:t>
      </w:r>
      <w:r w:rsidR="00A83620" w:rsidRPr="00D5512B">
        <w:rPr>
          <w:i/>
          <w:iCs/>
        </w:rPr>
        <w:t>Broadcasting Services Act 1992</w:t>
      </w:r>
      <w:r w:rsidR="00880704" w:rsidRPr="00D5512B">
        <w:t xml:space="preserve"> and </w:t>
      </w:r>
      <w:r w:rsidR="00C7719A" w:rsidRPr="00D5512B">
        <w:t>Broadcasting Codes of Practice</w:t>
      </w:r>
      <w:r w:rsidR="001A7554" w:rsidRPr="00D5512B">
        <w:t xml:space="preserve"> to online keno. </w:t>
      </w:r>
      <w:r w:rsidR="00D754DE" w:rsidRPr="00D5512B">
        <w:t>The review found that online keno advertising</w:t>
      </w:r>
      <w:r w:rsidR="005206F8">
        <w:t xml:space="preserve"> has grown exponentially and that this may be because it</w:t>
      </w:r>
      <w:r w:rsidR="00D754DE" w:rsidRPr="00D5512B">
        <w:t>is not subject to the same restrictions as wagering</w:t>
      </w:r>
      <w:r w:rsidR="005206F8">
        <w:t xml:space="preserve"> advertising</w:t>
      </w:r>
      <w:r w:rsidR="00D754DE" w:rsidRPr="00D5512B">
        <w:t>.</w:t>
      </w:r>
      <w:r w:rsidR="00A05F1F" w:rsidRPr="00D5512B">
        <w:t xml:space="preserve"> </w:t>
      </w:r>
      <w:r w:rsidR="005206F8">
        <w:t>Online k</w:t>
      </w:r>
      <w:r w:rsidR="005206F8" w:rsidRPr="005206F8">
        <w:t>eno advertising has increased significantly in recent years, including during live sports on television and radio</w:t>
      </w:r>
      <w:r w:rsidR="005206F8">
        <w:t>,</w:t>
      </w:r>
      <w:r w:rsidR="005206F8" w:rsidRPr="005206F8">
        <w:t xml:space="preserve"> and family programming.</w:t>
      </w:r>
    </w:p>
    <w:p w14:paraId="3B1F8DCD" w14:textId="30B83604" w:rsidR="005206F8" w:rsidRDefault="00A05F1F" w:rsidP="004B0EF2">
      <w:r w:rsidRPr="00D5512B">
        <w:t xml:space="preserve">Applying the same restrictions would alleviate concerns about </w:t>
      </w:r>
      <w:r w:rsidR="005206F8">
        <w:t>the impact of advertising on consumer behaviour and that the harm profile of online keno is underappreciated</w:t>
      </w:r>
      <w:r w:rsidRPr="00D5512B">
        <w:t xml:space="preserve">. </w:t>
      </w:r>
    </w:p>
    <w:p w14:paraId="6B42D9B5" w14:textId="3CAB2F02" w:rsidR="00867F43" w:rsidRPr="00D5512B" w:rsidRDefault="005206F8" w:rsidP="004B0EF2">
      <w:r>
        <w:t>Further c</w:t>
      </w:r>
      <w:r w:rsidRPr="00D5512B">
        <w:t xml:space="preserve">onsultation </w:t>
      </w:r>
      <w:r w:rsidR="0099489E" w:rsidRPr="00D5512B">
        <w:t xml:space="preserve">is needed on implementation of this recommendation. </w:t>
      </w:r>
    </w:p>
    <w:p w14:paraId="4EE99DA3" w14:textId="430C26FB" w:rsidR="007D4010" w:rsidRPr="00D5512B" w:rsidRDefault="00867F43" w:rsidP="004B0EF2">
      <w:r w:rsidRPr="00D5512B">
        <w:lastRenderedPageBreak/>
        <w:t xml:space="preserve">The department does not recommend extending </w:t>
      </w:r>
      <w:r w:rsidR="007D4010" w:rsidRPr="00D5512B">
        <w:t>these restrictions to foreign-matched lotteries</w:t>
      </w:r>
      <w:r w:rsidRPr="00D5512B">
        <w:t>.</w:t>
      </w:r>
      <w:r w:rsidR="007D4010" w:rsidRPr="00D5512B">
        <w:t xml:space="preserve"> </w:t>
      </w:r>
      <w:r w:rsidRPr="00D5512B">
        <w:t>Applying restrictions to foreign-matched lotteries</w:t>
      </w:r>
      <w:r w:rsidR="007D4010" w:rsidRPr="00D5512B">
        <w:t xml:space="preserve"> may cause confusion with domestic lotteries</w:t>
      </w:r>
      <w:r w:rsidR="00173E6D" w:rsidRPr="00D5512B">
        <w:t>, which are</w:t>
      </w:r>
      <w:r w:rsidR="007D4010" w:rsidRPr="00D5512B">
        <w:t xml:space="preserve"> not subject to the same restrictions. </w:t>
      </w:r>
    </w:p>
    <w:p w14:paraId="74235744" w14:textId="6CA9C43A" w:rsidR="00056029" w:rsidRPr="00D5512B" w:rsidRDefault="00FB23A4" w:rsidP="008D3E94">
      <w:pPr>
        <w:pStyle w:val="Heading2"/>
        <w:rPr>
          <w:rFonts w:asciiTheme="minorHAnsi" w:eastAsiaTheme="minorHAnsi" w:hAnsiTheme="minorHAnsi" w:cstheme="minorBidi"/>
          <w:szCs w:val="22"/>
        </w:rPr>
      </w:pPr>
      <w:bookmarkStart w:id="18" w:name="_Toc215647747"/>
      <w:r>
        <w:t>Further</w:t>
      </w:r>
      <w:r w:rsidR="00056029" w:rsidRPr="00D5512B">
        <w:t xml:space="preserve"> research</w:t>
      </w:r>
      <w:bookmarkEnd w:id="18"/>
    </w:p>
    <w:p w14:paraId="4EAD88CF" w14:textId="24A14538" w:rsidR="007D4010" w:rsidRPr="00D5512B" w:rsidRDefault="001D685D" w:rsidP="002C46F9">
      <w:pPr>
        <w:suppressAutoHyphens w:val="0"/>
      </w:pPr>
      <w:r w:rsidRPr="00D5512B">
        <w:t xml:space="preserve">The department </w:t>
      </w:r>
      <w:r w:rsidR="003B2940" w:rsidRPr="00D5512B">
        <w:t>consider</w:t>
      </w:r>
      <w:r w:rsidR="00FB23A4">
        <w:t>s that further</w:t>
      </w:r>
      <w:r w:rsidR="00FB23A4" w:rsidRPr="00D5512B">
        <w:t xml:space="preserve"> </w:t>
      </w:r>
      <w:r w:rsidRPr="00D5512B">
        <w:t xml:space="preserve">research </w:t>
      </w:r>
      <w:r w:rsidR="00FB23A4">
        <w:t xml:space="preserve">is needed </w:t>
      </w:r>
      <w:r w:rsidRPr="00D5512B">
        <w:t>to understand the risk profile of online lotteries,</w:t>
      </w:r>
      <w:r w:rsidR="00D2157E" w:rsidRPr="00D5512B">
        <w:t xml:space="preserve"> including online keno and</w:t>
      </w:r>
      <w:r w:rsidRPr="00D5512B">
        <w:t xml:space="preserve"> foreign-matched lotteries</w:t>
      </w:r>
      <w:r w:rsidR="00FB23A4">
        <w:t xml:space="preserve"> before further restrictions are imposed</w:t>
      </w:r>
      <w:r w:rsidRPr="00D5512B">
        <w:t xml:space="preserve">. </w:t>
      </w:r>
      <w:r w:rsidR="00FB23A4">
        <w:t xml:space="preserve">In line with findings </w:t>
      </w:r>
      <w:r w:rsidR="002F6105" w:rsidRPr="00D5512B">
        <w:t>by</w:t>
      </w:r>
      <w:r w:rsidR="00B7049B" w:rsidRPr="00D5512B">
        <w:t xml:space="preserve"> </w:t>
      </w:r>
      <w:proofErr w:type="gramStart"/>
      <w:r w:rsidR="002F6105" w:rsidRPr="00D5512B">
        <w:t xml:space="preserve">a </w:t>
      </w:r>
      <w:r w:rsidR="00B7049B" w:rsidRPr="00D5512B">
        <w:t>number of</w:t>
      </w:r>
      <w:proofErr w:type="gramEnd"/>
      <w:r w:rsidR="00B7049B" w:rsidRPr="00D5512B">
        <w:t xml:space="preserve"> earlier </w:t>
      </w:r>
      <w:r w:rsidR="002F6105" w:rsidRPr="00D5512B">
        <w:t xml:space="preserve">Parliamentary </w:t>
      </w:r>
      <w:r w:rsidR="00B7049B" w:rsidRPr="00D5512B">
        <w:t xml:space="preserve">inquiries, including </w:t>
      </w:r>
      <w:r w:rsidR="00867F43" w:rsidRPr="00D5512B">
        <w:t xml:space="preserve">the </w:t>
      </w:r>
      <w:r w:rsidR="00B7049B" w:rsidRPr="00D5512B">
        <w:t>Online Gambling Inquiry</w:t>
      </w:r>
      <w:r w:rsidR="002F6105" w:rsidRPr="00D5512B">
        <w:t xml:space="preserve">, this review confirms there is merit in additional research and collecting specific data on online </w:t>
      </w:r>
      <w:r w:rsidR="00FB23A4">
        <w:t>lotteries</w:t>
      </w:r>
      <w:r w:rsidR="00FB23A4" w:rsidRPr="00D5512B">
        <w:t xml:space="preserve"> </w:t>
      </w:r>
      <w:r w:rsidR="002F6105" w:rsidRPr="00D5512B">
        <w:t>in Australia to enable informed government consideration for any future policy actions</w:t>
      </w:r>
      <w:r w:rsidR="00D5512B" w:rsidRPr="00D5512B">
        <w:t xml:space="preserve"> and whether further regulation is required</w:t>
      </w:r>
      <w:r w:rsidR="002F6105" w:rsidRPr="00D5512B">
        <w:t xml:space="preserve">. </w:t>
      </w:r>
    </w:p>
    <w:p w14:paraId="444240AE" w14:textId="41513384" w:rsidR="00A05F1F" w:rsidRPr="00D5512B" w:rsidRDefault="00A05F1F" w:rsidP="002C46F9">
      <w:pPr>
        <w:suppressAutoHyphens w:val="0"/>
      </w:pPr>
      <w:r w:rsidRPr="00D5512B">
        <w:t>There are differing views about the impacts of foreign-matched lotteries. As such, more evidence is needed to understand the risk profile of these lotteries and how they may differ to domestic land-based lotteries to inform future consideration of regulation</w:t>
      </w:r>
      <w:r w:rsidR="0001208E" w:rsidRPr="00D5512B">
        <w:t xml:space="preserve">, including whether the regulatory costs of extending advertising restrictions or the NSER to foreign-matched lotteries are commensurate with the harms. </w:t>
      </w:r>
    </w:p>
    <w:p w14:paraId="14878E79" w14:textId="18811E5D" w:rsidR="001D685D" w:rsidRPr="00D5512B" w:rsidRDefault="006D5F23">
      <w:pPr>
        <w:suppressAutoHyphens w:val="0"/>
        <w:rPr>
          <w:rFonts w:asciiTheme="majorHAnsi" w:eastAsiaTheme="majorEastAsia" w:hAnsiTheme="majorHAnsi" w:cstheme="majorBidi"/>
          <w:color w:val="081E3E" w:themeColor="text2"/>
          <w:sz w:val="44"/>
          <w:szCs w:val="32"/>
        </w:rPr>
      </w:pPr>
      <w:r w:rsidRPr="00D5512B">
        <w:t xml:space="preserve">Targeted research and data would </w:t>
      </w:r>
      <w:r w:rsidR="002C46F9" w:rsidRPr="00D5512B">
        <w:t xml:space="preserve">also </w:t>
      </w:r>
      <w:r w:rsidRPr="00D5512B">
        <w:t>support a</w:t>
      </w:r>
      <w:r w:rsidR="0011107D" w:rsidRPr="00D5512B">
        <w:t xml:space="preserve"> better</w:t>
      </w:r>
      <w:r w:rsidRPr="00D5512B">
        <w:t xml:space="preserve"> understanding of current and projected harm</w:t>
      </w:r>
      <w:r w:rsidR="002C46F9" w:rsidRPr="00D5512B">
        <w:t>s</w:t>
      </w:r>
      <w:r w:rsidRPr="00D5512B">
        <w:t xml:space="preserve">. </w:t>
      </w:r>
      <w:r w:rsidR="0011107D" w:rsidRPr="00D5512B">
        <w:t>T</w:t>
      </w:r>
      <w:r w:rsidR="001D685D" w:rsidRPr="00D5512B">
        <w:t>raditional lotteries</w:t>
      </w:r>
      <w:r w:rsidR="0011107D" w:rsidRPr="00D5512B">
        <w:t xml:space="preserve"> are</w:t>
      </w:r>
      <w:r w:rsidR="001D685D" w:rsidRPr="00D5512B">
        <w:t xml:space="preserve"> generally</w:t>
      </w:r>
      <w:r w:rsidR="0011107D" w:rsidRPr="00D5512B">
        <w:t xml:space="preserve"> considered to</w:t>
      </w:r>
      <w:r w:rsidR="001D685D" w:rsidRPr="00D5512B">
        <w:t xml:space="preserve"> pose a lower risk of harm than other gambling products</w:t>
      </w:r>
      <w:r w:rsidR="00A05F1F" w:rsidRPr="00D5512B">
        <w:t>.</w:t>
      </w:r>
      <w:r w:rsidR="001D685D" w:rsidRPr="00D5512B">
        <w:t xml:space="preserve"> </w:t>
      </w:r>
      <w:r w:rsidR="00A05F1F" w:rsidRPr="00D5512B">
        <w:t>H</w:t>
      </w:r>
      <w:r w:rsidR="0011107D" w:rsidRPr="00D5512B">
        <w:t>owever</w:t>
      </w:r>
      <w:r w:rsidR="00A05F1F" w:rsidRPr="00D5512B">
        <w:t>,</w:t>
      </w:r>
      <w:r w:rsidR="001D685D" w:rsidRPr="00D5512B">
        <w:t xml:space="preserve"> this</w:t>
      </w:r>
      <w:r w:rsidR="00A05F1F" w:rsidRPr="00D5512B">
        <w:t xml:space="preserve"> view</w:t>
      </w:r>
      <w:r w:rsidR="001D685D" w:rsidRPr="00D5512B">
        <w:t xml:space="preserve"> </w:t>
      </w:r>
      <w:r w:rsidR="00A05F1F" w:rsidRPr="00D5512B">
        <w:t>is</w:t>
      </w:r>
      <w:r w:rsidR="001D685D" w:rsidRPr="00D5512B">
        <w:t xml:space="preserve"> contested by gambling harm reduction advocates</w:t>
      </w:r>
      <w:r w:rsidR="00A05F1F" w:rsidRPr="00D5512B">
        <w:t xml:space="preserve"> who argue that the frequency and accessibility of online keno </w:t>
      </w:r>
      <w:proofErr w:type="gramStart"/>
      <w:r w:rsidR="00A05F1F" w:rsidRPr="00D5512B">
        <w:t>draws</w:t>
      </w:r>
      <w:proofErr w:type="gramEnd"/>
      <w:r w:rsidR="00A05F1F" w:rsidRPr="00D5512B">
        <w:t xml:space="preserve"> increases the risk</w:t>
      </w:r>
      <w:r w:rsidR="001D685D" w:rsidRPr="00D5512B">
        <w:t>. Numerous stakeholder</w:t>
      </w:r>
      <w:r w:rsidR="00867F43" w:rsidRPr="00D5512B">
        <w:t xml:space="preserve"> submissions</w:t>
      </w:r>
      <w:r w:rsidR="001D685D" w:rsidRPr="00D5512B">
        <w:t xml:space="preserve"> to the </w:t>
      </w:r>
      <w:r w:rsidR="002C46F9" w:rsidRPr="00D5512B">
        <w:t>r</w:t>
      </w:r>
      <w:r w:rsidR="001D685D" w:rsidRPr="00D5512B">
        <w:t>eview recognised the potential for gambling harms and called for more research to better understand the risk profile</w:t>
      </w:r>
      <w:r w:rsidR="00A05F1F" w:rsidRPr="00D5512B">
        <w:t xml:space="preserve"> associated with this game design. </w:t>
      </w:r>
      <w:r w:rsidR="001D685D" w:rsidRPr="00D5512B">
        <w:br w:type="page"/>
      </w:r>
    </w:p>
    <w:p w14:paraId="79CDEE23" w14:textId="7BA56E5B" w:rsidR="00011B86" w:rsidRPr="00D5512B" w:rsidRDefault="00BB3AAC" w:rsidP="00AC349D">
      <w:pPr>
        <w:pStyle w:val="AppendixHeading1"/>
        <w:numPr>
          <w:ilvl w:val="0"/>
          <w:numId w:val="0"/>
        </w:numPr>
      </w:pPr>
      <w:bookmarkStart w:id="19" w:name="_Toc215647748"/>
      <w:r w:rsidRPr="00D5512B">
        <w:lastRenderedPageBreak/>
        <w:t>Appendix</w:t>
      </w:r>
      <w:r w:rsidR="00011B86" w:rsidRPr="00D5512B">
        <w:t xml:space="preserve"> A </w:t>
      </w:r>
      <w:r w:rsidR="00A00134" w:rsidRPr="00D5512B">
        <w:t>–</w:t>
      </w:r>
      <w:r w:rsidRPr="00D5512B">
        <w:t xml:space="preserve"> </w:t>
      </w:r>
      <w:r w:rsidR="00011B86" w:rsidRPr="00D5512B">
        <w:t xml:space="preserve">Regulatory </w:t>
      </w:r>
      <w:r w:rsidR="007E1AC5" w:rsidRPr="00D5512B">
        <w:t>f</w:t>
      </w:r>
      <w:r w:rsidR="00011B86" w:rsidRPr="00D5512B">
        <w:t>ramework</w:t>
      </w:r>
      <w:bookmarkEnd w:id="19"/>
    </w:p>
    <w:p w14:paraId="3BD84B9E" w14:textId="08F0CDA6" w:rsidR="00011B86" w:rsidRPr="00D5512B" w:rsidRDefault="00011B86" w:rsidP="007E1AC5">
      <w:r w:rsidRPr="00D5512B">
        <w:t>The intent of the IGA is to minimise the scope of problem gambling in Australia by limiting the types of interactive gambling services available to Australians. The key offence provisions</w:t>
      </w:r>
      <w:r w:rsidR="00A00134" w:rsidRPr="00D5512B">
        <w:t xml:space="preserve"> of the IGA</w:t>
      </w:r>
      <w:r w:rsidRPr="00D5512B">
        <w:t xml:space="preserve"> apply to the offering of prohibited interactive gambling services (including online blackjack, roulette and poker, which are played for money or anything else of value) or unlicen</w:t>
      </w:r>
      <w:r w:rsidR="00E14220" w:rsidRPr="00D5512B">
        <w:t>s</w:t>
      </w:r>
      <w:r w:rsidRPr="00D5512B">
        <w:t xml:space="preserve">ed regulated gambling services to consumers in Australia. </w:t>
      </w:r>
    </w:p>
    <w:p w14:paraId="71936E2A" w14:textId="371C657C" w:rsidR="007E1AC5" w:rsidRPr="00D5512B" w:rsidRDefault="00011B86" w:rsidP="007E1AC5">
      <w:pPr>
        <w:spacing w:after="120"/>
      </w:pPr>
      <w:r w:rsidRPr="00D5512B">
        <w:t>In 201</w:t>
      </w:r>
      <w:r w:rsidR="00A00134" w:rsidRPr="00D5512B">
        <w:t>8,</w:t>
      </w:r>
      <w:r w:rsidRPr="00D5512B">
        <w:t xml:space="preserve"> the </w:t>
      </w:r>
      <w:r w:rsidRPr="00D5512B">
        <w:rPr>
          <w:i/>
        </w:rPr>
        <w:t>Interactive Gambling Amendment (Lottery Betting) Act 2018</w:t>
      </w:r>
      <w:r w:rsidRPr="00D5512B">
        <w:t xml:space="preserve"> was introduced to ban the provision of ‘synthetic’ lottery betting services (betting on the outcome of a lottery) to customers physically present in Australia. It also clarified that </w:t>
      </w:r>
      <w:r w:rsidR="00A00134" w:rsidRPr="00D5512B">
        <w:t xml:space="preserve">a </w:t>
      </w:r>
      <w:r w:rsidRPr="00D5512B">
        <w:t>‘keno-type lottery’</w:t>
      </w:r>
      <w:r w:rsidR="00A00134" w:rsidRPr="00D5512B">
        <w:t xml:space="preserve"> is an example of a lottery,</w:t>
      </w:r>
      <w:r w:rsidRPr="00D5512B">
        <w:t xml:space="preserve"> effectively prohibiting bets on the outcome of keno draws.</w:t>
      </w:r>
    </w:p>
    <w:p w14:paraId="791D0090" w14:textId="5A1452BD" w:rsidR="00A00134" w:rsidRPr="00D5512B" w:rsidRDefault="00A41EE9" w:rsidP="00A00134">
      <w:pPr>
        <w:pStyle w:val="Box2Heading"/>
        <w:rPr>
          <w:lang w:val="en-AU"/>
        </w:rPr>
      </w:pPr>
      <w:r w:rsidRPr="00D5512B">
        <w:rPr>
          <w:lang w:val="en-AU"/>
        </w:rPr>
        <w:t xml:space="preserve">Section </w:t>
      </w:r>
      <w:r w:rsidR="00A00134" w:rsidRPr="00D5512B">
        <w:rPr>
          <w:lang w:val="en-AU"/>
        </w:rPr>
        <w:t xml:space="preserve">4 – Definitions </w:t>
      </w:r>
    </w:p>
    <w:p w14:paraId="68AB91F7" w14:textId="77777777" w:rsidR="00A00134" w:rsidRPr="00D5512B" w:rsidRDefault="00A00134" w:rsidP="00A00134">
      <w:pPr>
        <w:pStyle w:val="Box2Heading"/>
        <w:rPr>
          <w:b w:val="0"/>
          <w:lang w:val="en-AU"/>
        </w:rPr>
      </w:pPr>
      <w:r w:rsidRPr="00D5512B">
        <w:rPr>
          <w:b w:val="0"/>
          <w:i/>
          <w:lang w:val="en-AU"/>
        </w:rPr>
        <w:t>lottery</w:t>
      </w:r>
      <w:r w:rsidRPr="00D5512B">
        <w:rPr>
          <w:b w:val="0"/>
          <w:lang w:val="en-AU"/>
        </w:rPr>
        <w:t xml:space="preserve"> includes an electronic lottery. </w:t>
      </w:r>
    </w:p>
    <w:p w14:paraId="28D26B3C" w14:textId="190BA21A" w:rsidR="00A00134" w:rsidRPr="00D5512B" w:rsidRDefault="00A00134" w:rsidP="00A00134">
      <w:pPr>
        <w:pStyle w:val="Box2Heading"/>
        <w:rPr>
          <w:b w:val="0"/>
          <w:lang w:val="en-AU"/>
        </w:rPr>
      </w:pPr>
      <w:r w:rsidRPr="00D5512B">
        <w:rPr>
          <w:b w:val="0"/>
          <w:lang w:val="en-AU"/>
        </w:rPr>
        <w:t>Note: A keno-type lottery is an example of a lottery.</w:t>
      </w:r>
    </w:p>
    <w:tbl>
      <w:tblPr>
        <w:tblStyle w:val="TableGrid"/>
        <w:tblW w:w="0" w:type="auto"/>
        <w:shd w:val="clear" w:color="auto" w:fill="F2F6E8" w:themeFill="accent5" w:themeFillTint="33"/>
        <w:tblLook w:val="04A0" w:firstRow="1" w:lastRow="0" w:firstColumn="1" w:lastColumn="0" w:noHBand="0" w:noVBand="1"/>
      </w:tblPr>
      <w:tblGrid>
        <w:gridCol w:w="9854"/>
      </w:tblGrid>
      <w:tr w:rsidR="00011B86" w:rsidRPr="00D5512B" w14:paraId="5DC74BFF" w14:textId="77777777" w:rsidTr="00011B86">
        <w:tc>
          <w:tcPr>
            <w:tcW w:w="9854" w:type="dxa"/>
            <w:tcBorders>
              <w:top w:val="nil"/>
              <w:left w:val="nil"/>
              <w:bottom w:val="nil"/>
              <w:right w:val="nil"/>
            </w:tcBorders>
            <w:shd w:val="clear" w:color="auto" w:fill="F2F6E8" w:themeFill="accent5" w:themeFillTint="33"/>
            <w:hideMark/>
          </w:tcPr>
          <w:p w14:paraId="7BF76AC0" w14:textId="5DE2F4E6" w:rsidR="00011B86" w:rsidRPr="00D5512B" w:rsidRDefault="00011B86">
            <w:pPr>
              <w:pStyle w:val="Bullet1"/>
              <w:numPr>
                <w:ilvl w:val="0"/>
                <w:numId w:val="0"/>
              </w:numPr>
              <w:spacing w:before="160" w:after="160"/>
              <w:ind w:left="284" w:hanging="284"/>
              <w:rPr>
                <w:lang w:val="en-AU"/>
              </w:rPr>
            </w:pPr>
          </w:p>
        </w:tc>
      </w:tr>
    </w:tbl>
    <w:p w14:paraId="41BB6667" w14:textId="6A57D714" w:rsidR="00011B86" w:rsidRPr="00D5512B" w:rsidRDefault="00011B86" w:rsidP="00011B86">
      <w:r w:rsidRPr="00D5512B">
        <w:t>Subsection 8</w:t>
      </w:r>
      <w:proofErr w:type="gramStart"/>
      <w:r w:rsidRPr="00D5512B">
        <w:t>D(</w:t>
      </w:r>
      <w:proofErr w:type="gramEnd"/>
      <w:r w:rsidRPr="00D5512B">
        <w:t>1) of the IGA provides that an ‘excluded lottery service’ is a service for the conduct and supply of tickets for a lottery (including an electronic lottery but excluding online scratch or online instant lotteries). The ordinary dictionary meaning of 'lottery' is relevant to section 8D.</w:t>
      </w:r>
    </w:p>
    <w:p w14:paraId="789098A3" w14:textId="2C8F77FD" w:rsidR="00A00134" w:rsidRPr="00D5512B" w:rsidRDefault="00A41EE9" w:rsidP="00A00134">
      <w:pPr>
        <w:pStyle w:val="Box2Heading"/>
        <w:rPr>
          <w:lang w:val="en-AU"/>
        </w:rPr>
      </w:pPr>
      <w:r w:rsidRPr="00D5512B">
        <w:rPr>
          <w:lang w:val="en-AU"/>
        </w:rPr>
        <w:t xml:space="preserve">Section </w:t>
      </w:r>
      <w:r w:rsidR="00A00134" w:rsidRPr="00D5512B">
        <w:rPr>
          <w:lang w:val="en-AU"/>
        </w:rPr>
        <w:t xml:space="preserve">8D – Excluded lottery service </w:t>
      </w:r>
    </w:p>
    <w:p w14:paraId="5E3CAA70" w14:textId="77777777" w:rsidR="00A00134" w:rsidRPr="00D5512B" w:rsidRDefault="00A00134" w:rsidP="00A00134">
      <w:pPr>
        <w:pStyle w:val="Box2Heading"/>
        <w:rPr>
          <w:b w:val="0"/>
          <w:lang w:val="en-AU"/>
        </w:rPr>
      </w:pPr>
      <w:r w:rsidRPr="00D5512B">
        <w:rPr>
          <w:b w:val="0"/>
          <w:lang w:val="en-AU"/>
        </w:rPr>
        <w:t xml:space="preserve">1. For the purposes of this Act, an </w:t>
      </w:r>
      <w:r w:rsidRPr="00D5512B">
        <w:rPr>
          <w:b w:val="0"/>
          <w:i/>
          <w:lang w:val="en-AU"/>
        </w:rPr>
        <w:t>excluded lottery service</w:t>
      </w:r>
      <w:r w:rsidRPr="00D5512B">
        <w:rPr>
          <w:b w:val="0"/>
          <w:lang w:val="en-AU"/>
        </w:rPr>
        <w:t xml:space="preserve"> is:</w:t>
      </w:r>
    </w:p>
    <w:p w14:paraId="58636307" w14:textId="239EF14F" w:rsidR="00A00134" w:rsidRPr="00D5512B" w:rsidRDefault="00A00134" w:rsidP="00A00134">
      <w:pPr>
        <w:pStyle w:val="Box2Heading"/>
        <w:rPr>
          <w:b w:val="0"/>
          <w:lang w:val="en-AU"/>
        </w:rPr>
      </w:pPr>
      <w:r w:rsidRPr="00D5512B">
        <w:rPr>
          <w:b w:val="0"/>
          <w:lang w:val="en-AU"/>
        </w:rPr>
        <w:t xml:space="preserve">     a. a service for the conduct of a lottery; or</w:t>
      </w:r>
    </w:p>
    <w:p w14:paraId="77DAE34C" w14:textId="605A72A4" w:rsidR="00A00134" w:rsidRPr="00D5512B" w:rsidRDefault="00A00134" w:rsidP="00A00134">
      <w:pPr>
        <w:pStyle w:val="Box2Heading"/>
        <w:rPr>
          <w:b w:val="0"/>
          <w:lang w:val="en-AU"/>
        </w:rPr>
      </w:pPr>
      <w:r w:rsidRPr="00D5512B">
        <w:rPr>
          <w:b w:val="0"/>
          <w:lang w:val="en-AU"/>
        </w:rPr>
        <w:t xml:space="preserve">     b. a service for the supply of lottery tickets.</w:t>
      </w:r>
    </w:p>
    <w:p w14:paraId="234EE00F" w14:textId="77777777" w:rsidR="00A00134" w:rsidRPr="00D5512B" w:rsidRDefault="00A00134" w:rsidP="00A00134">
      <w:pPr>
        <w:pStyle w:val="Box2Heading"/>
        <w:rPr>
          <w:b w:val="0"/>
          <w:lang w:val="en-AU"/>
        </w:rPr>
      </w:pPr>
      <w:r w:rsidRPr="00D5512B">
        <w:rPr>
          <w:b w:val="0"/>
          <w:lang w:val="en-AU"/>
        </w:rPr>
        <w:t>1A. Subsection (1) does not apply to a service unless such other conditions (if any) as are specified in the regulations have been satisfied.</w:t>
      </w:r>
    </w:p>
    <w:p w14:paraId="23F66642" w14:textId="77777777" w:rsidR="00A00134" w:rsidRPr="00D5512B" w:rsidRDefault="00A00134" w:rsidP="00A00134">
      <w:pPr>
        <w:pStyle w:val="Box2Heading"/>
        <w:rPr>
          <w:b w:val="0"/>
          <w:lang w:val="en-AU"/>
        </w:rPr>
      </w:pPr>
      <w:r w:rsidRPr="00D5512B">
        <w:rPr>
          <w:b w:val="0"/>
          <w:lang w:val="en-AU"/>
        </w:rPr>
        <w:t>1B. Without limiting subsection (1A), a condition specified in regulations made for the purposes of that subsection may provide that the lottery must not be:</w:t>
      </w:r>
    </w:p>
    <w:p w14:paraId="3EBDBE67" w14:textId="0B2EC996" w:rsidR="00A00134" w:rsidRPr="00D5512B" w:rsidRDefault="00A00134" w:rsidP="00A00134">
      <w:pPr>
        <w:pStyle w:val="Box2Heading"/>
        <w:rPr>
          <w:b w:val="0"/>
          <w:lang w:val="en-AU"/>
        </w:rPr>
      </w:pPr>
      <w:r w:rsidRPr="00D5512B">
        <w:rPr>
          <w:b w:val="0"/>
          <w:lang w:val="en-AU"/>
        </w:rPr>
        <w:t xml:space="preserve">     a. a highly repetitive or frequently drawn form of a keno type lottery; or</w:t>
      </w:r>
    </w:p>
    <w:p w14:paraId="103E59C0" w14:textId="672F43D1" w:rsidR="00A00134" w:rsidRPr="00D5512B" w:rsidRDefault="00A00134" w:rsidP="00A00134">
      <w:pPr>
        <w:pStyle w:val="Box2Heading"/>
        <w:rPr>
          <w:b w:val="0"/>
          <w:lang w:val="en-AU"/>
        </w:rPr>
      </w:pPr>
      <w:r w:rsidRPr="00D5512B">
        <w:rPr>
          <w:b w:val="0"/>
          <w:lang w:val="en-AU"/>
        </w:rPr>
        <w:t xml:space="preserve">     b. a similar lottery.</w:t>
      </w:r>
    </w:p>
    <w:p w14:paraId="4305D68B" w14:textId="77777777" w:rsidR="00A00134" w:rsidRPr="00D5512B" w:rsidRDefault="00A00134" w:rsidP="00A00134">
      <w:pPr>
        <w:pStyle w:val="Box2Heading"/>
        <w:rPr>
          <w:b w:val="0"/>
          <w:lang w:val="en-AU"/>
        </w:rPr>
      </w:pPr>
      <w:r w:rsidRPr="00D5512B">
        <w:rPr>
          <w:b w:val="0"/>
          <w:lang w:val="en-AU"/>
        </w:rPr>
        <w:t>2. Subsection (1) does not apply to an electronic form of:</w:t>
      </w:r>
    </w:p>
    <w:p w14:paraId="52046A63" w14:textId="323EB403" w:rsidR="00A00134" w:rsidRPr="00D5512B" w:rsidRDefault="00A00134" w:rsidP="00A00134">
      <w:pPr>
        <w:pStyle w:val="Box2Heading"/>
        <w:rPr>
          <w:b w:val="0"/>
          <w:lang w:val="en-AU"/>
        </w:rPr>
      </w:pPr>
      <w:r w:rsidRPr="00D5512B">
        <w:rPr>
          <w:b w:val="0"/>
          <w:lang w:val="en-AU"/>
        </w:rPr>
        <w:t xml:space="preserve">    a. scratch lottery; or</w:t>
      </w:r>
    </w:p>
    <w:p w14:paraId="132A0913" w14:textId="07BF4930" w:rsidR="004A3726" w:rsidRPr="00A00134" w:rsidRDefault="00A00134" w:rsidP="00A00134">
      <w:pPr>
        <w:pStyle w:val="Box2Heading"/>
        <w:rPr>
          <w:b w:val="0"/>
          <w:bCs/>
          <w:lang w:val="en-AU"/>
        </w:rPr>
      </w:pPr>
      <w:r w:rsidRPr="00D5512B">
        <w:rPr>
          <w:b w:val="0"/>
          <w:lang w:val="en-AU"/>
        </w:rPr>
        <w:t xml:space="preserve">    b. </w:t>
      </w:r>
      <w:proofErr w:type="gramStart"/>
      <w:r w:rsidRPr="00D5512B">
        <w:rPr>
          <w:b w:val="0"/>
          <w:lang w:val="en-AU"/>
        </w:rPr>
        <w:t>other</w:t>
      </w:r>
      <w:proofErr w:type="gramEnd"/>
      <w:r w:rsidRPr="00D5512B">
        <w:rPr>
          <w:b w:val="0"/>
          <w:lang w:val="en-AU"/>
        </w:rPr>
        <w:t xml:space="preserve"> instant lottery.</w:t>
      </w:r>
    </w:p>
    <w:sectPr w:rsidR="004A3726" w:rsidRPr="00A00134" w:rsidSect="000075AC">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CA3F" w14:textId="77777777" w:rsidR="00FB4B13" w:rsidRDefault="00FB4B13" w:rsidP="008456D5">
      <w:pPr>
        <w:spacing w:before="0" w:after="0"/>
      </w:pPr>
      <w:r>
        <w:separator/>
      </w:r>
    </w:p>
  </w:endnote>
  <w:endnote w:type="continuationSeparator" w:id="0">
    <w:p w14:paraId="1A6FB0C1" w14:textId="77777777" w:rsidR="00FB4B13" w:rsidRDefault="00FB4B13" w:rsidP="008456D5">
      <w:pPr>
        <w:spacing w:before="0" w:after="0"/>
      </w:pPr>
      <w:r>
        <w:continuationSeparator/>
      </w:r>
    </w:p>
  </w:endnote>
  <w:endnote w:type="continuationNotice" w:id="1">
    <w:p w14:paraId="2DD96164" w14:textId="77777777" w:rsidR="00FB4B13" w:rsidRDefault="00FB4B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B321" w14:textId="7872774B" w:rsidR="0055004B" w:rsidRDefault="0055004B">
    <w:pPr>
      <w:pStyle w:val="Footer"/>
    </w:pPr>
    <w:r>
      <w:rPr>
        <w:noProof/>
      </w:rPr>
      <mc:AlternateContent>
        <mc:Choice Requires="wps">
          <w:drawing>
            <wp:anchor distT="0" distB="0" distL="0" distR="0" simplePos="0" relativeHeight="251661312" behindDoc="0" locked="0" layoutInCell="1" allowOverlap="1" wp14:anchorId="5A5770E1" wp14:editId="541370F9">
              <wp:simplePos x="635" y="635"/>
              <wp:positionH relativeFrom="page">
                <wp:align>center</wp:align>
              </wp:positionH>
              <wp:positionV relativeFrom="page">
                <wp:align>bottom</wp:align>
              </wp:positionV>
              <wp:extent cx="643255" cy="509270"/>
              <wp:effectExtent l="0" t="0" r="4445" b="0"/>
              <wp:wrapNone/>
              <wp:docPr id="50635882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A369D26" w14:textId="0C3791CD"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770E1" id="_x0000_t202" coordsize="21600,21600" o:spt="202" path="m,l,21600r21600,l21600,xe">
              <v:stroke joinstyle="miter"/>
              <v:path gradientshapeok="t" o:connecttype="rect"/>
            </v:shapetype>
            <v:shape id="Text Box 8" o:spid="_x0000_s1027" type="#_x0000_t202" alt="OFFICIAL" style="position:absolute;margin-left:0;margin-top:0;width:50.65pt;height:40.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" filled="f" stroked="f">
              <v:textbox style="mso-fit-shape-to-text:t" inset="0,0,0,15pt">
                <w:txbxContent>
                  <w:p w14:paraId="2A369D26" w14:textId="0C3791CD"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4382" w14:textId="02B4A96A" w:rsidR="00737831" w:rsidRPr="003C67CE" w:rsidRDefault="00737831" w:rsidP="00D86E40">
    <w:pPr>
      <w:pStyle w:val="SecurityMark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4D0" w14:textId="2E6150A7" w:rsidR="00737831" w:rsidRDefault="0055004B" w:rsidP="00BA24FB">
    <w:pPr>
      <w:pStyle w:val="Footer"/>
      <w:spacing w:before="360"/>
    </w:pPr>
    <w:r>
      <w:rPr>
        <w:noProof/>
      </w:rPr>
      <mc:AlternateContent>
        <mc:Choice Requires="wps">
          <w:drawing>
            <wp:anchor distT="0" distB="0" distL="0" distR="0" simplePos="0" relativeHeight="251659264" behindDoc="0" locked="0" layoutInCell="1" allowOverlap="1" wp14:anchorId="665FE3C4" wp14:editId="58B733FC">
              <wp:simplePos x="635" y="635"/>
              <wp:positionH relativeFrom="page">
                <wp:align>center</wp:align>
              </wp:positionH>
              <wp:positionV relativeFrom="page">
                <wp:align>bottom</wp:align>
              </wp:positionV>
              <wp:extent cx="643255" cy="509270"/>
              <wp:effectExtent l="0" t="0" r="4445" b="0"/>
              <wp:wrapNone/>
              <wp:docPr id="11071887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C6B3BAB" w14:textId="68DCF219"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5FE3C4" id="_x0000_t202" coordsize="21600,21600" o:spt="202" path="m,l,21600r21600,l21600,xe">
              <v:stroke joinstyle="miter"/>
              <v:path gradientshapeok="t" o:connecttype="rect"/>
            </v:shapetype>
            <v:shape id="Text Box 7" o:spid="_x0000_s1029" type="#_x0000_t202" alt="OFFICIAL" style="position:absolute;margin-left:0;margin-top:0;width:50.65pt;height:40.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6C6B3BAB" w14:textId="68DCF219"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v:textbox>
              <w10:wrap anchorx="page" anchory="page"/>
            </v:shape>
          </w:pict>
        </mc:Fallback>
      </mc:AlternateContent>
    </w:r>
  </w:p>
  <w:p w14:paraId="3A634695" w14:textId="77777777" w:rsidR="00737831" w:rsidRDefault="002E79A8" w:rsidP="00827492">
    <w:pPr>
      <w:pStyle w:val="SecurityMarker"/>
    </w:pPr>
    <w:sdt>
      <w:sdtPr>
        <w:alias w:val="Status"/>
        <w:tag w:val=""/>
        <w:id w:val="-1420637097"/>
        <w:placeholder>
          <w:docPart w:val="B6B8BB60E6984ED58ECA95E7E15D38EA"/>
        </w:placeholder>
        <w:dataBinding w:prefixMappings="xmlns:ns0='http://purl.org/dc/elements/1.1/' xmlns:ns1='http://schemas.openxmlformats.org/package/2006/metadata/core-properties' " w:xpath="/ns1:coreProperties[1]/ns1:contentStatus[1]" w:storeItemID="{6C3C8BC8-F283-45AE-878A-BAB7291924A1}"/>
        <w:text/>
      </w:sdtPr>
      <w:sdtEndPr/>
      <w:sdtContent>
        <w:r w:rsidR="00737831">
          <w:t>OFFICIAL / OFFICIAL: SENSITIVE / PROTECTEDSELECT THE CLASSIFICATION MARKER ABOVE THAT APPLIES TO YOUR DOCUMENT, THEN DELETE THE OTHERS AND THIS TEXT&gt;</w:t>
        </w:r>
      </w:sdtContent>
    </w:sdt>
    <w:r w:rsidR="00737831">
      <w:rPr>
        <w:noProof/>
        <w:lang w:eastAsia="en-AU"/>
      </w:rPr>
      <mc:AlternateContent>
        <mc:Choice Requires="wps">
          <w:drawing>
            <wp:inline distT="0" distB="0" distL="0" distR="0" wp14:anchorId="4B836E68" wp14:editId="11A8F9E1">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564868B2" w14:textId="77777777" w:rsidR="00737831" w:rsidRDefault="00737831"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32E564AF" w14:textId="77777777" w:rsidR="00737831" w:rsidRPr="00077FE0" w:rsidRDefault="00737831"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4B836E68" id="Text Box 10" o:spid="_x0000_s1030"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filled="f" stroked="f" strokeweight=".5pt">
              <v:textbox inset="0,0,18mm,7mm">
                <w:txbxContent>
                  <w:p w14:paraId="564868B2" w14:textId="77777777" w:rsidR="00737831" w:rsidRDefault="00737831"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32E564AF" w14:textId="77777777" w:rsidR="00737831" w:rsidRPr="00077FE0" w:rsidRDefault="00737831" w:rsidP="00827492">
                    <w:pPr>
                      <w:pStyle w:val="SecurityMark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3B47" w14:textId="3511676C" w:rsidR="00737831" w:rsidRPr="003C67CE" w:rsidRDefault="0055004B" w:rsidP="00D86E40">
    <w:pPr>
      <w:pStyle w:val="SecurityMarker"/>
      <w:ind w:left="0"/>
    </w:pPr>
    <w:r w:rsidRPr="003C67CE">
      <w:t xml:space="preserve"> </w:t>
    </w:r>
  </w:p>
  <w:p w14:paraId="2DB8DFAC" w14:textId="77777777" w:rsidR="00737831" w:rsidRDefault="00737831" w:rsidP="00C3007A">
    <w:pPr>
      <w:framePr w:w="11907" w:h="284" w:hSpace="181" w:wrap="around" w:vAnchor="page" w:hAnchor="page" w:yAlign="bottom"/>
      <w:spacing w:before="0" w:after="0"/>
    </w:pPr>
    <w:r>
      <w:rPr>
        <w:noProof/>
        <w:lang w:eastAsia="en-AU"/>
      </w:rPr>
      <w:drawing>
        <wp:inline distT="0" distB="0" distL="0" distR="0" wp14:anchorId="47CD7299" wp14:editId="2FB23565">
          <wp:extent cx="7562850" cy="179922"/>
          <wp:effectExtent l="0" t="0" r="0" b="0"/>
          <wp:docPr id="1015080725" name="Picture 1015080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8698AE6" w14:textId="687D140F" w:rsidR="00737831" w:rsidRPr="00654E6E" w:rsidRDefault="002E79A8" w:rsidP="005A6DAA">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FE1B99">
          <w:rPr>
            <w:color w:val="auto"/>
            <w:sz w:val="18"/>
            <w:szCs w:val="18"/>
            <w:lang w:val="en-US"/>
          </w:rPr>
          <w:t>Review into the regulation of Online Keno and Foreign-Matched Lotteries</w:t>
        </w:r>
      </w:sdtContent>
    </w:sdt>
    <w:r w:rsidR="00737831" w:rsidRPr="00654E6E">
      <w:rPr>
        <w:color w:val="auto"/>
        <w:sz w:val="18"/>
        <w:szCs w:val="18"/>
        <w:lang w:val="en-US"/>
      </w:rPr>
      <w:tab/>
      <w:t xml:space="preserve">Page </w:t>
    </w:r>
    <w:r w:rsidR="00737831" w:rsidRPr="0055004B">
      <w:rPr>
        <w:b/>
        <w:bCs/>
        <w:color w:val="auto"/>
        <w:sz w:val="18"/>
        <w:szCs w:val="18"/>
        <w:lang w:val="en-US"/>
      </w:rPr>
      <w:fldChar w:fldCharType="begin"/>
    </w:r>
    <w:r w:rsidR="00737831" w:rsidRPr="0055004B">
      <w:rPr>
        <w:b/>
        <w:bCs/>
        <w:color w:val="auto"/>
        <w:sz w:val="18"/>
        <w:szCs w:val="18"/>
        <w:lang w:val="en-US"/>
      </w:rPr>
      <w:instrText xml:space="preserve"> PAGE   \* MERGEFORMAT </w:instrText>
    </w:r>
    <w:r w:rsidR="00737831" w:rsidRPr="0055004B">
      <w:rPr>
        <w:b/>
        <w:bCs/>
        <w:color w:val="auto"/>
        <w:sz w:val="18"/>
        <w:szCs w:val="18"/>
        <w:lang w:val="en-US"/>
      </w:rPr>
      <w:fldChar w:fldCharType="separate"/>
    </w:r>
    <w:r w:rsidR="00737831" w:rsidRPr="0055004B">
      <w:rPr>
        <w:b/>
        <w:bCs/>
        <w:color w:val="auto"/>
        <w:sz w:val="18"/>
        <w:szCs w:val="18"/>
        <w:lang w:val="en-US"/>
      </w:rPr>
      <w:t>2</w:t>
    </w:r>
    <w:r w:rsidR="00737831" w:rsidRPr="0055004B">
      <w:rPr>
        <w:b/>
        <w:bCs/>
        <w:noProof/>
        <w:color w:val="auto"/>
        <w:sz w:val="18"/>
        <w:szCs w:val="18"/>
        <w:lang w:val="en-US"/>
      </w:rPr>
      <w:fldChar w:fldCharType="end"/>
    </w:r>
    <w:r w:rsidR="00737831" w:rsidRPr="00654E6E">
      <w:rPr>
        <w:noProof/>
        <w:color w:val="auto"/>
        <w:sz w:val="18"/>
        <w:szCs w:val="18"/>
        <w:lang w:val="en-US"/>
      </w:rPr>
      <w:t xml:space="preserve"> of </w:t>
    </w:r>
    <w:r w:rsidR="00737831" w:rsidRPr="0055004B">
      <w:rPr>
        <w:b/>
        <w:bCs/>
        <w:noProof/>
        <w:color w:val="auto"/>
        <w:sz w:val="18"/>
        <w:szCs w:val="18"/>
        <w:lang w:val="en-US"/>
      </w:rPr>
      <w:fldChar w:fldCharType="begin"/>
    </w:r>
    <w:r w:rsidR="00737831" w:rsidRPr="0055004B">
      <w:rPr>
        <w:b/>
        <w:bCs/>
        <w:noProof/>
        <w:color w:val="auto"/>
        <w:sz w:val="18"/>
        <w:szCs w:val="18"/>
        <w:lang w:val="en-US"/>
      </w:rPr>
      <w:instrText xml:space="preserve"> NUMPAGES   \* MERGEFORMAT </w:instrText>
    </w:r>
    <w:r w:rsidR="00737831" w:rsidRPr="0055004B">
      <w:rPr>
        <w:b/>
        <w:bCs/>
        <w:noProof/>
        <w:color w:val="auto"/>
        <w:sz w:val="18"/>
        <w:szCs w:val="18"/>
        <w:lang w:val="en-US"/>
      </w:rPr>
      <w:fldChar w:fldCharType="separate"/>
    </w:r>
    <w:r w:rsidR="00737831" w:rsidRPr="0055004B">
      <w:rPr>
        <w:b/>
        <w:bCs/>
        <w:noProof/>
        <w:color w:val="auto"/>
        <w:sz w:val="18"/>
        <w:szCs w:val="18"/>
        <w:lang w:val="en-US"/>
      </w:rPr>
      <w:t>12</w:t>
    </w:r>
    <w:r w:rsidR="00737831" w:rsidRPr="0055004B">
      <w:rPr>
        <w:b/>
        <w:bCs/>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0089" w14:textId="77777777" w:rsidR="00FB4B13" w:rsidRPr="005912BE" w:rsidRDefault="00FB4B13" w:rsidP="005912BE">
      <w:pPr>
        <w:spacing w:before="300"/>
        <w:rPr>
          <w:color w:val="008089" w:themeColor="accent2"/>
        </w:rPr>
      </w:pPr>
      <w:r w:rsidRPr="004063DE">
        <w:rPr>
          <w:color w:val="004044" w:themeColor="accent2" w:themeShade="80"/>
        </w:rPr>
        <w:t>----------</w:t>
      </w:r>
    </w:p>
  </w:footnote>
  <w:footnote w:type="continuationSeparator" w:id="0">
    <w:p w14:paraId="4C1242DB" w14:textId="77777777" w:rsidR="00FB4B13" w:rsidRDefault="00FB4B13" w:rsidP="008456D5">
      <w:pPr>
        <w:spacing w:before="0" w:after="0"/>
      </w:pPr>
      <w:r>
        <w:continuationSeparator/>
      </w:r>
    </w:p>
  </w:footnote>
  <w:footnote w:type="continuationNotice" w:id="1">
    <w:p w14:paraId="3558C966" w14:textId="77777777" w:rsidR="00FB4B13" w:rsidRDefault="00FB4B13">
      <w:pPr>
        <w:spacing w:before="0" w:after="0"/>
      </w:pPr>
    </w:p>
  </w:footnote>
  <w:footnote w:id="2">
    <w:p w14:paraId="2828448C" w14:textId="1BFE99BA" w:rsidR="00AF786D" w:rsidRDefault="00AF786D">
      <w:pPr>
        <w:pStyle w:val="FootnoteText"/>
      </w:pPr>
      <w:r>
        <w:rPr>
          <w:rStyle w:val="FootnoteReference"/>
        </w:rPr>
        <w:footnoteRef/>
      </w:r>
      <w:r>
        <w:t xml:space="preserve"> </w:t>
      </w:r>
      <w:r w:rsidRPr="00AF786D">
        <w:t>Minister for Consumer Affairs, Gaming and Liquor Regulation</w:t>
      </w:r>
      <w:r>
        <w:t xml:space="preserve"> (Vic), </w:t>
      </w:r>
      <w:hyperlink r:id="rId1" w:history="1">
        <w:r w:rsidRPr="008F3AE6">
          <w:rPr>
            <w:rStyle w:val="Hyperlink"/>
            <w:i/>
            <w:iCs/>
          </w:rPr>
          <w:t>Ministerial direction for harm minimisation</w:t>
        </w:r>
      </w:hyperlink>
      <w:r>
        <w:t xml:space="preserve">, </w:t>
      </w:r>
      <w:r w:rsidR="00D72F61">
        <w:t xml:space="preserve">Victorian Government, </w:t>
      </w:r>
      <w:r>
        <w:t>13 April 2022</w:t>
      </w:r>
    </w:p>
  </w:footnote>
  <w:footnote w:id="3">
    <w:p w14:paraId="48181472" w14:textId="5A546EC6" w:rsidR="00737831" w:rsidRDefault="00737831" w:rsidP="00585FBA">
      <w:pPr>
        <w:pStyle w:val="FootnoteText"/>
      </w:pPr>
      <w:r>
        <w:rPr>
          <w:rStyle w:val="FootnoteReference"/>
        </w:rPr>
        <w:footnoteRef/>
      </w:r>
      <w:r>
        <w:t xml:space="preserve"> </w:t>
      </w:r>
      <w:r w:rsidRPr="00A56439">
        <w:t>New Zealand Lotteries Commission</w:t>
      </w:r>
      <w:r>
        <w:t xml:space="preserve">, </w:t>
      </w:r>
      <w:hyperlink r:id="rId2" w:history="1">
        <w:r w:rsidRPr="00E11823">
          <w:rPr>
            <w:rStyle w:val="Hyperlink"/>
            <w:rFonts w:eastAsia="Times New Roman"/>
            <w:i/>
          </w:rPr>
          <w:t>Keno Rules 2025</w:t>
        </w:r>
      </w:hyperlink>
      <w:r>
        <w:rPr>
          <w:rStyle w:val="Hyperlink"/>
          <w:rFonts w:eastAsia="Times New Roman"/>
          <w:color w:val="auto"/>
          <w:u w:val="none"/>
        </w:rPr>
        <w:t>,</w:t>
      </w:r>
      <w:r w:rsidRPr="00A56439">
        <w:t xml:space="preserve"> </w:t>
      </w:r>
      <w:r>
        <w:t xml:space="preserve">New Zealand Government, 2025. </w:t>
      </w:r>
    </w:p>
  </w:footnote>
  <w:footnote w:id="4">
    <w:p w14:paraId="5ED528FD" w14:textId="3130389F" w:rsidR="00737831" w:rsidRDefault="00737831" w:rsidP="00585FBA">
      <w:pPr>
        <w:pStyle w:val="FootnoteText"/>
      </w:pPr>
      <w:r>
        <w:rPr>
          <w:rStyle w:val="FootnoteReference"/>
        </w:rPr>
        <w:footnoteRef/>
      </w:r>
      <w:r>
        <w:t xml:space="preserve"> National Gaming Authority, </w:t>
      </w:r>
      <w:hyperlink r:id="rId3" w:history="1">
        <w:r w:rsidRPr="00E11823">
          <w:rPr>
            <w:rStyle w:val="Hyperlink"/>
            <w:i/>
          </w:rPr>
          <w:t>Décision n°2025-021</w:t>
        </w:r>
      </w:hyperlink>
      <w:r>
        <w:t xml:space="preserve">, French Republic, 2025. </w:t>
      </w:r>
    </w:p>
  </w:footnote>
  <w:footnote w:id="5">
    <w:p w14:paraId="1F07F5C2" w14:textId="7BA0F5F6" w:rsidR="00737831" w:rsidRDefault="00737831" w:rsidP="00BC164C">
      <w:pPr>
        <w:pStyle w:val="FootnoteText"/>
        <w:ind w:left="0" w:firstLine="0"/>
      </w:pPr>
      <w:r>
        <w:rPr>
          <w:rStyle w:val="FootnoteReference"/>
        </w:rPr>
        <w:footnoteRef/>
      </w:r>
      <w:r>
        <w:t xml:space="preserve">  </w:t>
      </w:r>
      <w:hyperlink r:id="rId4" w:history="1">
        <w:r w:rsidRPr="008206B0">
          <w:rPr>
            <w:rStyle w:val="Hyperlink"/>
          </w:rPr>
          <w:t>House of Representatives Inquiry into online gambling harms and its impacts on those experiencing gambling harms</w:t>
        </w:r>
      </w:hyperlink>
      <w:r>
        <w:t xml:space="preserve"> report: </w:t>
      </w:r>
      <w:r w:rsidR="00BC164C">
        <w:br/>
      </w:r>
      <w:r w:rsidRPr="008206B0">
        <w:t>You win some, you lose more</w:t>
      </w:r>
      <w:r>
        <w:t xml:space="preserve">, June 2023, p.127. </w:t>
      </w:r>
    </w:p>
  </w:footnote>
  <w:footnote w:id="6">
    <w:p w14:paraId="4BBC32C8" w14:textId="77777777" w:rsidR="00BC164C" w:rsidRPr="009A71D9" w:rsidRDefault="00BC164C" w:rsidP="00BC164C">
      <w:pPr>
        <w:pStyle w:val="FootnoteText"/>
        <w:rPr>
          <w:rStyle w:val="Hyperlink"/>
        </w:rPr>
      </w:pPr>
      <w:r>
        <w:rPr>
          <w:rStyle w:val="FootnoteReference"/>
        </w:rPr>
        <w:footnoteRef/>
      </w:r>
      <w:r>
        <w:t xml:space="preserve"> </w:t>
      </w:r>
      <w:r>
        <w:fldChar w:fldCharType="begin"/>
      </w:r>
      <w:r>
        <w:instrText xml:space="preserve"> HYPERLINK "https://www.aph.gov.au/Parliamentary_Business/Committees/Joint/Corporations_and_Financial_Services/Onlinegambling/Report" </w:instrText>
      </w:r>
      <w:r>
        <w:fldChar w:fldCharType="separate"/>
      </w:r>
      <w:r w:rsidRPr="009A71D9">
        <w:rPr>
          <w:rStyle w:val="Hyperlink"/>
        </w:rPr>
        <w:t xml:space="preserve">Parliamentary Joint Committee on Corporations and Financial Services inquiry </w:t>
      </w:r>
      <w:r>
        <w:rPr>
          <w:rStyle w:val="Hyperlink"/>
        </w:rPr>
        <w:t xml:space="preserve">report </w:t>
      </w:r>
      <w:r w:rsidRPr="009A71D9">
        <w:rPr>
          <w:rStyle w:val="Hyperlink"/>
        </w:rPr>
        <w:t xml:space="preserve">into the regulation of the use of financial </w:t>
      </w:r>
    </w:p>
    <w:p w14:paraId="723DEF3B" w14:textId="0DF5086A" w:rsidR="00BC164C" w:rsidRDefault="00BC164C" w:rsidP="00BC164C">
      <w:pPr>
        <w:pStyle w:val="FootnoteText"/>
      </w:pPr>
      <w:r w:rsidRPr="009A71D9">
        <w:rPr>
          <w:rStyle w:val="Hyperlink"/>
        </w:rPr>
        <w:t>services such as credit cards and digital wallets for online gambling in Australia</w:t>
      </w:r>
      <w:r>
        <w:fldChar w:fldCharType="end"/>
      </w:r>
      <w:r>
        <w:t>,</w:t>
      </w:r>
      <w:r w:rsidRPr="009A71D9">
        <w:t xml:space="preserve"> </w:t>
      </w:r>
      <w:r>
        <w:t>November 2021, p.18-20.</w:t>
      </w:r>
    </w:p>
  </w:footnote>
  <w:footnote w:id="7">
    <w:p w14:paraId="0F6BD1D2" w14:textId="77777777" w:rsidR="00737831" w:rsidRDefault="00737831" w:rsidP="00E243A1">
      <w:pPr>
        <w:pStyle w:val="FootnoteText"/>
        <w:ind w:left="0" w:firstLine="0"/>
      </w:pPr>
      <w:r>
        <w:rPr>
          <w:rStyle w:val="FootnoteReference"/>
        </w:rPr>
        <w:footnoteRef/>
      </w:r>
      <w:r>
        <w:t xml:space="preserve"> I</w:t>
      </w:r>
      <w:r w:rsidRPr="00724ED3">
        <w:t>nquiry by the Senate Standing Committee on Environment and Communications into the Interactive Gambling Amendment (Credit Card and Other Measures) Bill 2023</w:t>
      </w:r>
      <w:r>
        <w:t xml:space="preserve"> (October 2023), p.14-16.</w:t>
      </w:r>
    </w:p>
  </w:footnote>
  <w:footnote w:id="8">
    <w:p w14:paraId="365D1D90" w14:textId="77777777" w:rsidR="00737831" w:rsidRDefault="00737831" w:rsidP="00E243A1">
      <w:pPr>
        <w:pStyle w:val="FootnoteText"/>
        <w:ind w:left="0" w:firstLine="0"/>
      </w:pPr>
      <w:r>
        <w:rPr>
          <w:rStyle w:val="FootnoteReference"/>
        </w:rPr>
        <w:footnoteRef/>
      </w:r>
      <w:r>
        <w:t xml:space="preserve"> </w:t>
      </w:r>
      <w:r w:rsidRPr="000674FB">
        <w:t>Financial Counselling Australia</w:t>
      </w:r>
      <w:r>
        <w:t>: Interactive Gambling Amendment (Credit and Other Measures) Bill 2023 (focus on lotteries carveout and vouchers), Environment and Communications Legislation Committee inquiry, 28 September 2023, p.5-6.</w:t>
      </w:r>
    </w:p>
  </w:footnote>
  <w:footnote w:id="9">
    <w:p w14:paraId="3EE52CA3" w14:textId="77777777" w:rsidR="0015015A" w:rsidRDefault="0015015A" w:rsidP="0015015A">
      <w:pPr>
        <w:pStyle w:val="FootnoteText"/>
      </w:pPr>
      <w:r>
        <w:rPr>
          <w:rStyle w:val="FootnoteReference"/>
        </w:rPr>
        <w:footnoteRef/>
      </w:r>
      <w:r>
        <w:t xml:space="preserve"> Texas Lottery, </w:t>
      </w:r>
      <w:hyperlink r:id="rId5" w:history="1">
        <w:r w:rsidRPr="00E11823">
          <w:rPr>
            <w:rStyle w:val="Hyperlink"/>
            <w:i/>
          </w:rPr>
          <w:t>Texas Lottery Commission Policy Statement on the Prohibition of Lottery Ticket Courier Services</w:t>
        </w:r>
      </w:hyperlink>
      <w:r>
        <w:t xml:space="preserve">, Texas Department of Licensing and Regulation, 2025.  </w:t>
      </w:r>
    </w:p>
  </w:footnote>
  <w:footnote w:id="10">
    <w:p w14:paraId="2F7FC8B4" w14:textId="77777777" w:rsidR="0015015A" w:rsidRDefault="0015015A" w:rsidP="0015015A">
      <w:pPr>
        <w:pStyle w:val="FootnoteText"/>
      </w:pPr>
      <w:r>
        <w:rPr>
          <w:rStyle w:val="FootnoteReference"/>
        </w:rPr>
        <w:footnoteRef/>
      </w:r>
      <w:r>
        <w:t xml:space="preserve"> </w:t>
      </w:r>
      <w:hyperlink r:id="rId6" w:history="1">
        <w:r w:rsidRPr="00E11823">
          <w:rPr>
            <w:rStyle w:val="Hyperlink"/>
            <w:i/>
          </w:rPr>
          <w:t>Indiana House Bill 1053</w:t>
        </w:r>
      </w:hyperlink>
      <w:r>
        <w:t xml:space="preserve">, Indiana, 2025.  </w:t>
      </w:r>
    </w:p>
  </w:footnote>
  <w:footnote w:id="11">
    <w:p w14:paraId="16BC1A36" w14:textId="77777777" w:rsidR="0015015A" w:rsidRDefault="0015015A" w:rsidP="0015015A">
      <w:pPr>
        <w:pStyle w:val="FootnoteText"/>
      </w:pPr>
      <w:r>
        <w:rPr>
          <w:rStyle w:val="FootnoteReference"/>
        </w:rPr>
        <w:footnoteRef/>
      </w:r>
      <w:r>
        <w:t xml:space="preserve"> </w:t>
      </w:r>
      <w:hyperlink r:id="rId7" w:history="1">
        <w:r w:rsidRPr="00E11823">
          <w:rPr>
            <w:rStyle w:val="Hyperlink"/>
            <w:i/>
          </w:rPr>
          <w:t>§ 58.1-4014. Price of tickets or shares; who may sell; penalty</w:t>
        </w:r>
      </w:hyperlink>
      <w:r>
        <w:t xml:space="preserve">, Virginia, 2025. </w:t>
      </w:r>
    </w:p>
  </w:footnote>
  <w:footnote w:id="12">
    <w:p w14:paraId="49464303" w14:textId="77777777" w:rsidR="0015015A" w:rsidRDefault="0015015A" w:rsidP="0015015A">
      <w:pPr>
        <w:pStyle w:val="FootnoteText"/>
      </w:pPr>
      <w:r>
        <w:rPr>
          <w:rStyle w:val="FootnoteReference"/>
        </w:rPr>
        <w:footnoteRef/>
      </w:r>
      <w:r>
        <w:t xml:space="preserve"> </w:t>
      </w:r>
      <w:hyperlink r:id="rId8" w:history="1">
        <w:r w:rsidRPr="00371707">
          <w:rPr>
            <w:rStyle w:val="Hyperlink"/>
            <w:i/>
          </w:rPr>
          <w:t>Wisconsin Statutes § 565.17</w:t>
        </w:r>
      </w:hyperlink>
      <w:r>
        <w:t xml:space="preserve">, Wisconsin, 2024. </w:t>
      </w:r>
    </w:p>
  </w:footnote>
  <w:footnote w:id="13">
    <w:p w14:paraId="10266029" w14:textId="77777777" w:rsidR="0015015A" w:rsidRDefault="0015015A" w:rsidP="0015015A">
      <w:pPr>
        <w:pStyle w:val="FootnoteText"/>
      </w:pPr>
      <w:r>
        <w:rPr>
          <w:rStyle w:val="FootnoteReference"/>
        </w:rPr>
        <w:footnoteRef/>
      </w:r>
      <w:r>
        <w:t xml:space="preserve"> Arizona Lottery, </w:t>
      </w:r>
      <w:hyperlink r:id="rId9" w:history="1">
        <w:r w:rsidRPr="00E11823">
          <w:rPr>
            <w:rStyle w:val="Hyperlink"/>
            <w:i/>
          </w:rPr>
          <w:t>Article 11. Lottery Courier Service</w:t>
        </w:r>
      </w:hyperlink>
      <w:r>
        <w:t>, Arizona, 2025.</w:t>
      </w:r>
    </w:p>
  </w:footnote>
  <w:footnote w:id="14">
    <w:p w14:paraId="4DB7EA14" w14:textId="77777777" w:rsidR="0015015A" w:rsidRDefault="0015015A" w:rsidP="0015015A">
      <w:pPr>
        <w:pStyle w:val="FootnoteText"/>
      </w:pPr>
      <w:r>
        <w:rPr>
          <w:rStyle w:val="FootnoteReference"/>
        </w:rPr>
        <w:footnoteRef/>
      </w:r>
      <w:r>
        <w:t xml:space="preserve"> Gaming Commission, </w:t>
      </w:r>
      <w:hyperlink r:id="rId10" w:history="1">
        <w:r w:rsidRPr="00E11823">
          <w:rPr>
            <w:rStyle w:val="Hyperlink"/>
            <w:i/>
          </w:rPr>
          <w:t>NYCRR Title 9, Executive</w:t>
        </w:r>
      </w:hyperlink>
      <w:r>
        <w:t>, New York State, 2025.</w:t>
      </w:r>
    </w:p>
  </w:footnote>
  <w:footnote w:id="15">
    <w:p w14:paraId="239BED17" w14:textId="77777777" w:rsidR="0015015A" w:rsidRDefault="0015015A" w:rsidP="0015015A">
      <w:pPr>
        <w:pStyle w:val="FootnoteText"/>
      </w:pPr>
      <w:r>
        <w:rPr>
          <w:rStyle w:val="FootnoteReference"/>
        </w:rPr>
        <w:footnoteRef/>
      </w:r>
      <w:r>
        <w:t xml:space="preserve"> </w:t>
      </w:r>
      <w:hyperlink r:id="rId11" w:history="1">
        <w:r w:rsidRPr="00E11823">
          <w:rPr>
            <w:rStyle w:val="Hyperlink"/>
            <w:i/>
          </w:rPr>
          <w:t>NJ Rev Statutes Section 5:9-14.3</w:t>
        </w:r>
      </w:hyperlink>
      <w:r>
        <w:t xml:space="preserve">, New Jersey, 2024. </w:t>
      </w:r>
    </w:p>
  </w:footnote>
  <w:footnote w:id="16">
    <w:p w14:paraId="12FB8C8B" w14:textId="77777777" w:rsidR="00714E19" w:rsidRPr="006E0E01" w:rsidRDefault="00714E19" w:rsidP="00714E19">
      <w:pPr>
        <w:pStyle w:val="FootnoteText"/>
      </w:pPr>
      <w:r>
        <w:rPr>
          <w:rStyle w:val="FootnoteReference"/>
        </w:rPr>
        <w:footnoteRef/>
      </w:r>
      <w:r>
        <w:t xml:space="preserve"> Oregon Lottery, </w:t>
      </w:r>
      <w:hyperlink r:id="rId12" w:history="1">
        <w:r w:rsidRPr="006408EF">
          <w:rPr>
            <w:rStyle w:val="Hyperlink"/>
            <w:i/>
          </w:rPr>
          <w:t>Proposed Rule Change</w:t>
        </w:r>
      </w:hyperlink>
      <w:r w:rsidRPr="006408EF">
        <w:rPr>
          <w:rStyle w:val="Hyperlink"/>
          <w:color w:val="auto"/>
          <w:u w:val="none"/>
        </w:rPr>
        <w:t xml:space="preserve">, </w:t>
      </w:r>
      <w:r>
        <w:rPr>
          <w:rStyle w:val="Hyperlink"/>
          <w:color w:val="auto"/>
          <w:u w:val="none"/>
        </w:rPr>
        <w:t xml:space="preserve">Oregon Lottery Commission, </w:t>
      </w:r>
      <w:r w:rsidRPr="006408EF">
        <w:rPr>
          <w:rStyle w:val="Hyperlink"/>
          <w:color w:val="auto"/>
          <w:u w:val="none"/>
        </w:rPr>
        <w:t>2025</w:t>
      </w:r>
      <w:r>
        <w:rPr>
          <w:rStyle w:val="Hyperlink"/>
          <w:color w:val="auto"/>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02F3" w14:textId="59E35EA4" w:rsidR="0055004B" w:rsidRDefault="0055004B">
    <w:pPr>
      <w:pStyle w:val="Header"/>
    </w:pPr>
    <w:r>
      <w:rPr>
        <w:noProof/>
      </w:rPr>
      <mc:AlternateContent>
        <mc:Choice Requires="wps">
          <w:drawing>
            <wp:anchor distT="0" distB="0" distL="0" distR="0" simplePos="0" relativeHeight="251655168" behindDoc="0" locked="0" layoutInCell="1" allowOverlap="1" wp14:anchorId="54E5D2A4" wp14:editId="65E6C9BD">
              <wp:simplePos x="635" y="635"/>
              <wp:positionH relativeFrom="page">
                <wp:align>center</wp:align>
              </wp:positionH>
              <wp:positionV relativeFrom="page">
                <wp:align>top</wp:align>
              </wp:positionV>
              <wp:extent cx="643255" cy="509270"/>
              <wp:effectExtent l="0" t="0" r="4445" b="5080"/>
              <wp:wrapNone/>
              <wp:docPr id="16265509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8475BB2" w14:textId="44959FC5"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5D2A4"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58475BB2" w14:textId="44959FC5"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ACB" w14:textId="02B28E07" w:rsidR="00737831" w:rsidRDefault="00737831" w:rsidP="00D86E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EC87" w14:textId="7504F2CB" w:rsidR="00737831" w:rsidRDefault="0055004B" w:rsidP="00546218">
    <w:pPr>
      <w:pStyle w:val="Header"/>
      <w:spacing w:after="1320"/>
    </w:pPr>
    <w:r>
      <w:rPr>
        <w:noProof/>
      </w:rPr>
      <mc:AlternateContent>
        <mc:Choice Requires="wps">
          <w:drawing>
            <wp:anchor distT="0" distB="0" distL="0" distR="0" simplePos="0" relativeHeight="251653120" behindDoc="0" locked="0" layoutInCell="1" allowOverlap="1" wp14:anchorId="707D0B33" wp14:editId="75EAE7A7">
              <wp:simplePos x="635" y="635"/>
              <wp:positionH relativeFrom="page">
                <wp:align>center</wp:align>
              </wp:positionH>
              <wp:positionV relativeFrom="page">
                <wp:align>top</wp:align>
              </wp:positionV>
              <wp:extent cx="643255" cy="509270"/>
              <wp:effectExtent l="0" t="0" r="4445" b="5080"/>
              <wp:wrapNone/>
              <wp:docPr id="12855973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282BA80" w14:textId="0C3981EA"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D0B33"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40.1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j6Dw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qpJPhuk3UB1oKQ9HvoOTy4Zar0TAJ+GJYNqD&#10;RIuPdGgDXcnhZHFWg//1P3/MJ9wpyllHgim5JUVzZn5Y4iNqKxnjm3ya080P7s1g2F17ByTDMb0I&#10;J5MZ89AMpvbQvpCcF7ERhYSV1K7kOJh3eFQuPQepFouURDJyAld27WQsHeGKWD73L8K7E+BITD3A&#10;oCZRvML9mBv/DG6xQ0I/kRKhPQJ5QpwkmLg6PZeo8T/vKevyqOe/AQ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Br00j6DwIAABwE&#10;AAAOAAAAAAAAAAAAAAAAAC4CAABkcnMvZTJvRG9jLnhtbFBLAQItABQABgAIAAAAIQCHkF3J2QAA&#10;AAQBAAAPAAAAAAAAAAAAAAAAAGkEAABkcnMvZG93bnJldi54bWxQSwUGAAAAAAQABADzAAAAbwUA&#10;AAAA&#10;" filled="f" stroked="f">
              <v:textbox style="mso-fit-shape-to-text:t" inset="0,15pt,0,0">
                <w:txbxContent>
                  <w:p w14:paraId="2282BA80" w14:textId="0C3981EA"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CC90" w14:textId="5AE782C2" w:rsidR="00371068" w:rsidRDefault="003710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8E80" w14:textId="7E903D17" w:rsidR="00737831" w:rsidRDefault="00737831" w:rsidP="00D86E40">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F75E" w14:textId="16FF4ADB" w:rsidR="00371068" w:rsidRDefault="003710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E284" w14:textId="40592E62" w:rsidR="00371068" w:rsidRDefault="003710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9FA3" w14:textId="385540A4" w:rsidR="00737831" w:rsidRPr="0055004B" w:rsidRDefault="00737831" w:rsidP="005500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0409" w14:textId="7E849BC7" w:rsidR="00737831" w:rsidRDefault="0055004B" w:rsidP="00827492">
    <w:pPr>
      <w:pStyle w:val="SecurityMarker"/>
    </w:pPr>
    <w:r>
      <w:rPr>
        <w:noProof/>
      </w:rPr>
      <mc:AlternateContent>
        <mc:Choice Requires="wps">
          <w:drawing>
            <wp:anchor distT="0" distB="0" distL="0" distR="0" simplePos="0" relativeHeight="251657216" behindDoc="0" locked="0" layoutInCell="1" allowOverlap="1" wp14:anchorId="200ACB31" wp14:editId="09844474">
              <wp:simplePos x="635" y="635"/>
              <wp:positionH relativeFrom="page">
                <wp:align>center</wp:align>
              </wp:positionH>
              <wp:positionV relativeFrom="page">
                <wp:align>top</wp:align>
              </wp:positionV>
              <wp:extent cx="643255" cy="509270"/>
              <wp:effectExtent l="0" t="0" r="4445" b="5080"/>
              <wp:wrapNone/>
              <wp:docPr id="731702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AFE3494" w14:textId="5533BA87"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ACB31" id="_x0000_t202" coordsize="21600,21600" o:spt="202" path="m,l,21600r21600,l21600,xe">
              <v:stroke joinstyle="miter"/>
              <v:path gradientshapeok="t" o:connecttype="rect"/>
            </v:shapetype>
            <v:shape id="Text Box 5" o:spid="_x0000_s1031" type="#_x0000_t202" alt="OFFICIAL" style="position:absolute;left:0;text-align:left;margin-left:0;margin-top:0;width:50.65pt;height:40.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0AFE3494" w14:textId="5533BA87" w:rsidR="0055004B" w:rsidRPr="0055004B" w:rsidRDefault="0055004B" w:rsidP="0055004B">
                    <w:pPr>
                      <w:spacing w:after="0"/>
                      <w:rPr>
                        <w:rFonts w:ascii="Calibri" w:eastAsia="Calibri" w:hAnsi="Calibri" w:cs="Calibri"/>
                        <w:noProof/>
                        <w:color w:val="FF0000"/>
                        <w:sz w:val="28"/>
                        <w:szCs w:val="28"/>
                      </w:rPr>
                    </w:pPr>
                    <w:r w:rsidRPr="0055004B">
                      <w:rPr>
                        <w:rFonts w:ascii="Calibri" w:eastAsia="Calibri" w:hAnsi="Calibri" w:cs="Calibri"/>
                        <w:noProof/>
                        <w:color w:val="FF0000"/>
                        <w:sz w:val="28"/>
                        <w:szCs w:val="28"/>
                      </w:rPr>
                      <w:t>OFFICIAL</w:t>
                    </w:r>
                  </w:p>
                </w:txbxContent>
              </v:textbox>
              <w10:wrap anchorx="page" anchory="page"/>
            </v:shape>
          </w:pict>
        </mc:Fallback>
      </mc:AlternateContent>
    </w:r>
  </w:p>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EndPr/>
    <w:sdtContent>
      <w:p w14:paraId="65CA094C" w14:textId="77777777" w:rsidR="00737831" w:rsidRDefault="00737831" w:rsidP="00827492">
        <w:pPr>
          <w:pStyle w:val="SecurityMarker"/>
        </w:pPr>
        <w:r>
          <w:t>OFFICIAL / OFFICIAL: SENSITIVE / PROTECTEDSELECT THE CLASSIFICATION MARKER ABOVE THAT APPLIES TO YOUR DOCUMENT, THEN DELETE THE OTHERS AND THIS TEXT&gt;</w:t>
        </w:r>
      </w:p>
    </w:sdtContent>
  </w:sdt>
  <w:p w14:paraId="50CBC860" w14:textId="1C7BF15E" w:rsidR="00737831" w:rsidRDefault="00944101" w:rsidP="00BA24FB">
    <w:pPr>
      <w:pStyle w:val="Header"/>
      <w:spacing w:after="720"/>
    </w:pPr>
    <w:fldSimple w:instr=" STYLEREF  &quot;Heading 1&quot; \l  \* MERGEFORMAT ">
      <w:r>
        <w:rPr>
          <w:noProof/>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2" w15:restartNumberingAfterBreak="0">
    <w:nsid w:val="FFFFFF81"/>
    <w:multiLevelType w:val="singleLevel"/>
    <w:tmpl w:val="9C7CAF1C"/>
    <w:styleLink w:val="NumberedHeadings"/>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F61C3D32"/>
    <w:styleLink w:val="AppendixNumbers"/>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605E6B"/>
    <w:multiLevelType w:val="hybridMultilevel"/>
    <w:tmpl w:val="ECDA1B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621AED"/>
    <w:multiLevelType w:val="singleLevel"/>
    <w:tmpl w:val="9C7CAF1C"/>
    <w:numStyleLink w:val="NumberedHeadings"/>
  </w:abstractNum>
  <w:abstractNum w:abstractNumId="9" w15:restartNumberingAfterBreak="0">
    <w:nsid w:val="176A7BB7"/>
    <w:multiLevelType w:val="hybridMultilevel"/>
    <w:tmpl w:val="970E722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452D8E"/>
    <w:multiLevelType w:val="hybridMultilevel"/>
    <w:tmpl w:val="CBDE80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EE4C03"/>
    <w:multiLevelType w:val="hybridMultilevel"/>
    <w:tmpl w:val="C6A4F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A51938"/>
    <w:multiLevelType w:val="singleLevel"/>
    <w:tmpl w:val="F61C3D32"/>
    <w:numStyleLink w:val="AppendixNumbers"/>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5BF7A0F"/>
    <w:multiLevelType w:val="hybridMultilevel"/>
    <w:tmpl w:val="B1D2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61D64"/>
    <w:multiLevelType w:val="hybridMultilevel"/>
    <w:tmpl w:val="A55E99C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FC0DE8"/>
    <w:multiLevelType w:val="hybridMultilevel"/>
    <w:tmpl w:val="21F4DE40"/>
    <w:lvl w:ilvl="0" w:tplc="3CCEFA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304470"/>
    <w:multiLevelType w:val="hybridMultilevel"/>
    <w:tmpl w:val="88D49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C33BB1"/>
    <w:multiLevelType w:val="hybridMultilevel"/>
    <w:tmpl w:val="67C8FBEA"/>
    <w:lvl w:ilvl="0" w:tplc="7E7833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A646A00"/>
    <w:multiLevelType w:val="hybridMultilevel"/>
    <w:tmpl w:val="7646F8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207C60"/>
    <w:multiLevelType w:val="hybridMultilevel"/>
    <w:tmpl w:val="87DA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431D53"/>
    <w:multiLevelType w:val="hybridMultilevel"/>
    <w:tmpl w:val="6AFCC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5353AB"/>
    <w:multiLevelType w:val="hybridMultilevel"/>
    <w:tmpl w:val="49689D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E824F1"/>
    <w:multiLevelType w:val="hybridMultilevel"/>
    <w:tmpl w:val="4AE00784"/>
    <w:lvl w:ilvl="0" w:tplc="84E483B6">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554E84"/>
    <w:multiLevelType w:val="multilevel"/>
    <w:tmpl w:val="8FCE6D18"/>
    <w:styleLink w:val="ListLegal"/>
    <w:lvl w:ilvl="0">
      <w:start w:val="1"/>
      <w:numFmt w:val="decimal"/>
      <w:pStyle w:val="ListLegal1"/>
      <w:lvlText w:val="%1."/>
      <w:lvlJc w:val="left"/>
      <w:pPr>
        <w:ind w:left="568" w:hanging="284"/>
      </w:pPr>
      <w:rPr>
        <w:rFonts w:hint="default"/>
      </w:rPr>
    </w:lvl>
    <w:lvl w:ilvl="1">
      <w:start w:val="1"/>
      <w:numFmt w:val="lowerLetter"/>
      <w:pStyle w:val="ListLegal2"/>
      <w:lvlText w:val="%2."/>
      <w:lvlJc w:val="left"/>
      <w:pPr>
        <w:ind w:left="852" w:hanging="284"/>
      </w:pPr>
      <w:rPr>
        <w:rFonts w:hint="default"/>
      </w:rPr>
    </w:lvl>
    <w:lvl w:ilvl="2">
      <w:start w:val="1"/>
      <w:numFmt w:val="lowerRoman"/>
      <w:pStyle w:val="ListLegal3"/>
      <w:lvlText w:val="%3."/>
      <w:lvlJc w:val="left"/>
      <w:pPr>
        <w:ind w:left="1136" w:hanging="284"/>
      </w:pPr>
      <w:rPr>
        <w:rFonts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5" w:hanging="281"/>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num w:numId="1" w16cid:durableId="872570761">
    <w:abstractNumId w:val="5"/>
  </w:num>
  <w:num w:numId="2" w16cid:durableId="304089845">
    <w:abstractNumId w:val="3"/>
  </w:num>
  <w:num w:numId="3" w16cid:durableId="284315531">
    <w:abstractNumId w:val="2"/>
  </w:num>
  <w:num w:numId="4" w16cid:durableId="882406797">
    <w:abstractNumId w:val="4"/>
  </w:num>
  <w:num w:numId="5" w16cid:durableId="649331839">
    <w:abstractNumId w:val="1"/>
  </w:num>
  <w:num w:numId="6" w16cid:durableId="1297643903">
    <w:abstractNumId w:val="0"/>
  </w:num>
  <w:num w:numId="7" w16cid:durableId="1579318907">
    <w:abstractNumId w:val="13"/>
  </w:num>
  <w:num w:numId="8" w16cid:durableId="1460226966">
    <w:abstractNumId w:val="6"/>
  </w:num>
  <w:num w:numId="9" w16cid:durableId="669527264">
    <w:abstractNumId w:val="8"/>
  </w:num>
  <w:num w:numId="10" w16cid:durableId="1535999093">
    <w:abstractNumId w:val="12"/>
  </w:num>
  <w:num w:numId="11" w16cid:durableId="1508406416">
    <w:abstractNumId w:val="21"/>
  </w:num>
  <w:num w:numId="12" w16cid:durableId="1872839686">
    <w:abstractNumId w:val="22"/>
  </w:num>
  <w:num w:numId="13" w16cid:durableId="1335231033">
    <w:abstractNumId w:val="17"/>
  </w:num>
  <w:num w:numId="14" w16cid:durableId="944385078">
    <w:abstractNumId w:val="14"/>
  </w:num>
  <w:num w:numId="15" w16cid:durableId="2043288748">
    <w:abstractNumId w:val="7"/>
  </w:num>
  <w:num w:numId="16" w16cid:durableId="1336686345">
    <w:abstractNumId w:val="23"/>
  </w:num>
  <w:num w:numId="17" w16cid:durableId="1475827100">
    <w:abstractNumId w:val="26"/>
    <w:lvlOverride w:ilvl="0">
      <w:startOverride w:val="1"/>
    </w:lvlOverride>
    <w:lvlOverride w:ilvl="1">
      <w:startOverride w:val="1"/>
    </w:lvlOverride>
  </w:num>
  <w:num w:numId="18" w16cid:durableId="302319135">
    <w:abstractNumId w:val="19"/>
  </w:num>
  <w:num w:numId="19" w16cid:durableId="516507950">
    <w:abstractNumId w:val="10"/>
  </w:num>
  <w:num w:numId="20" w16cid:durableId="272788942">
    <w:abstractNumId w:val="18"/>
  </w:num>
  <w:num w:numId="21" w16cid:durableId="1231422166">
    <w:abstractNumId w:val="24"/>
  </w:num>
  <w:num w:numId="22" w16cid:durableId="1889223473">
    <w:abstractNumId w:val="25"/>
  </w:num>
  <w:num w:numId="23" w16cid:durableId="229316416">
    <w:abstractNumId w:val="26"/>
  </w:num>
  <w:num w:numId="24" w16cid:durableId="49885498">
    <w:abstractNumId w:val="9"/>
  </w:num>
  <w:num w:numId="25" w16cid:durableId="1120077125">
    <w:abstractNumId w:val="15"/>
  </w:num>
  <w:num w:numId="26" w16cid:durableId="1239292894">
    <w:abstractNumId w:val="20"/>
  </w:num>
  <w:num w:numId="27" w16cid:durableId="1649623876">
    <w:abstractNumId w:val="13"/>
  </w:num>
  <w:num w:numId="28" w16cid:durableId="1759017683">
    <w:abstractNumId w:val="11"/>
  </w:num>
  <w:num w:numId="29" w16cid:durableId="146677791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DC"/>
    <w:rsid w:val="00001FD9"/>
    <w:rsid w:val="00004596"/>
    <w:rsid w:val="00005EF6"/>
    <w:rsid w:val="00006824"/>
    <w:rsid w:val="000075AC"/>
    <w:rsid w:val="00011B86"/>
    <w:rsid w:val="0001208E"/>
    <w:rsid w:val="00012409"/>
    <w:rsid w:val="000126DB"/>
    <w:rsid w:val="0001430B"/>
    <w:rsid w:val="0001527A"/>
    <w:rsid w:val="00017B47"/>
    <w:rsid w:val="00027CBB"/>
    <w:rsid w:val="00031221"/>
    <w:rsid w:val="00035C23"/>
    <w:rsid w:val="00041240"/>
    <w:rsid w:val="0005041A"/>
    <w:rsid w:val="000547E3"/>
    <w:rsid w:val="00056029"/>
    <w:rsid w:val="00070686"/>
    <w:rsid w:val="0007133E"/>
    <w:rsid w:val="00072AA3"/>
    <w:rsid w:val="00072F3E"/>
    <w:rsid w:val="000749C1"/>
    <w:rsid w:val="00074C0B"/>
    <w:rsid w:val="00083015"/>
    <w:rsid w:val="000850A5"/>
    <w:rsid w:val="00085622"/>
    <w:rsid w:val="0008643C"/>
    <w:rsid w:val="000A023D"/>
    <w:rsid w:val="000A081A"/>
    <w:rsid w:val="000A39CF"/>
    <w:rsid w:val="000B24EC"/>
    <w:rsid w:val="000C6B2B"/>
    <w:rsid w:val="000D3548"/>
    <w:rsid w:val="000D4F08"/>
    <w:rsid w:val="000D591D"/>
    <w:rsid w:val="000E24BA"/>
    <w:rsid w:val="000E5674"/>
    <w:rsid w:val="000E7DEB"/>
    <w:rsid w:val="000F6F47"/>
    <w:rsid w:val="00101FD2"/>
    <w:rsid w:val="00103AF9"/>
    <w:rsid w:val="001041F2"/>
    <w:rsid w:val="0010592C"/>
    <w:rsid w:val="00110E0A"/>
    <w:rsid w:val="0011107D"/>
    <w:rsid w:val="0011152B"/>
    <w:rsid w:val="00115229"/>
    <w:rsid w:val="0012032D"/>
    <w:rsid w:val="00125FC7"/>
    <w:rsid w:val="0013321B"/>
    <w:rsid w:val="001349C6"/>
    <w:rsid w:val="00142ADD"/>
    <w:rsid w:val="00145DA1"/>
    <w:rsid w:val="00146C7F"/>
    <w:rsid w:val="0015015A"/>
    <w:rsid w:val="00152B4A"/>
    <w:rsid w:val="001614EB"/>
    <w:rsid w:val="00161CA1"/>
    <w:rsid w:val="00164BBE"/>
    <w:rsid w:val="00166AA5"/>
    <w:rsid w:val="00167501"/>
    <w:rsid w:val="0017010F"/>
    <w:rsid w:val="001729D1"/>
    <w:rsid w:val="001734C0"/>
    <w:rsid w:val="00173CCD"/>
    <w:rsid w:val="00173E6D"/>
    <w:rsid w:val="00175CF4"/>
    <w:rsid w:val="00176512"/>
    <w:rsid w:val="001803E3"/>
    <w:rsid w:val="00182521"/>
    <w:rsid w:val="00182653"/>
    <w:rsid w:val="001832D5"/>
    <w:rsid w:val="00191593"/>
    <w:rsid w:val="00191E25"/>
    <w:rsid w:val="001965BD"/>
    <w:rsid w:val="001A64A3"/>
    <w:rsid w:val="001A7554"/>
    <w:rsid w:val="001B6533"/>
    <w:rsid w:val="001B6E92"/>
    <w:rsid w:val="001C1C90"/>
    <w:rsid w:val="001C44CD"/>
    <w:rsid w:val="001D215A"/>
    <w:rsid w:val="001D4106"/>
    <w:rsid w:val="001D556D"/>
    <w:rsid w:val="001D685D"/>
    <w:rsid w:val="001E2CC9"/>
    <w:rsid w:val="001E4717"/>
    <w:rsid w:val="001E4B54"/>
    <w:rsid w:val="001E7AAD"/>
    <w:rsid w:val="001F1242"/>
    <w:rsid w:val="001F6E9E"/>
    <w:rsid w:val="00200428"/>
    <w:rsid w:val="00201B52"/>
    <w:rsid w:val="0020322F"/>
    <w:rsid w:val="00206DF0"/>
    <w:rsid w:val="002075AE"/>
    <w:rsid w:val="0021019B"/>
    <w:rsid w:val="00216AED"/>
    <w:rsid w:val="00217BF2"/>
    <w:rsid w:val="00220A9E"/>
    <w:rsid w:val="002254D5"/>
    <w:rsid w:val="00225A49"/>
    <w:rsid w:val="0022611D"/>
    <w:rsid w:val="00231A21"/>
    <w:rsid w:val="00233AF3"/>
    <w:rsid w:val="00242DAC"/>
    <w:rsid w:val="002455A4"/>
    <w:rsid w:val="002464F9"/>
    <w:rsid w:val="00250B3B"/>
    <w:rsid w:val="00256437"/>
    <w:rsid w:val="00262366"/>
    <w:rsid w:val="002632DE"/>
    <w:rsid w:val="0026518E"/>
    <w:rsid w:val="00267E8E"/>
    <w:rsid w:val="002812B0"/>
    <w:rsid w:val="00284164"/>
    <w:rsid w:val="00291050"/>
    <w:rsid w:val="002962B4"/>
    <w:rsid w:val="002B3569"/>
    <w:rsid w:val="002B7197"/>
    <w:rsid w:val="002C46F9"/>
    <w:rsid w:val="002D01AA"/>
    <w:rsid w:val="002E1ADA"/>
    <w:rsid w:val="002E3801"/>
    <w:rsid w:val="002E79A8"/>
    <w:rsid w:val="002F6105"/>
    <w:rsid w:val="00301F92"/>
    <w:rsid w:val="00302183"/>
    <w:rsid w:val="003027B4"/>
    <w:rsid w:val="003040A5"/>
    <w:rsid w:val="003101B7"/>
    <w:rsid w:val="00311E9F"/>
    <w:rsid w:val="0031773C"/>
    <w:rsid w:val="0032104E"/>
    <w:rsid w:val="00325690"/>
    <w:rsid w:val="003261CF"/>
    <w:rsid w:val="00344642"/>
    <w:rsid w:val="003446AC"/>
    <w:rsid w:val="003464CE"/>
    <w:rsid w:val="003503D5"/>
    <w:rsid w:val="003516B4"/>
    <w:rsid w:val="0035263B"/>
    <w:rsid w:val="00353E61"/>
    <w:rsid w:val="00355F0C"/>
    <w:rsid w:val="00362313"/>
    <w:rsid w:val="003635EE"/>
    <w:rsid w:val="00364C42"/>
    <w:rsid w:val="003665FD"/>
    <w:rsid w:val="00371068"/>
    <w:rsid w:val="00371707"/>
    <w:rsid w:val="003720DA"/>
    <w:rsid w:val="003720E9"/>
    <w:rsid w:val="00372AAC"/>
    <w:rsid w:val="00375C69"/>
    <w:rsid w:val="003865ED"/>
    <w:rsid w:val="003929DE"/>
    <w:rsid w:val="003931C7"/>
    <w:rsid w:val="00394CFB"/>
    <w:rsid w:val="00396242"/>
    <w:rsid w:val="003962E1"/>
    <w:rsid w:val="003A0BA3"/>
    <w:rsid w:val="003A493D"/>
    <w:rsid w:val="003B2940"/>
    <w:rsid w:val="003B37D0"/>
    <w:rsid w:val="003C322E"/>
    <w:rsid w:val="003C543B"/>
    <w:rsid w:val="003C625A"/>
    <w:rsid w:val="003D22EF"/>
    <w:rsid w:val="003D2713"/>
    <w:rsid w:val="003D3185"/>
    <w:rsid w:val="003D6F1C"/>
    <w:rsid w:val="003D7120"/>
    <w:rsid w:val="003E4FFD"/>
    <w:rsid w:val="003E508C"/>
    <w:rsid w:val="003F775D"/>
    <w:rsid w:val="00402780"/>
    <w:rsid w:val="004041A7"/>
    <w:rsid w:val="00404F1E"/>
    <w:rsid w:val="004063DE"/>
    <w:rsid w:val="00410101"/>
    <w:rsid w:val="0041039A"/>
    <w:rsid w:val="00411401"/>
    <w:rsid w:val="004136D0"/>
    <w:rsid w:val="004157A5"/>
    <w:rsid w:val="0041733B"/>
    <w:rsid w:val="00420F04"/>
    <w:rsid w:val="004216AD"/>
    <w:rsid w:val="0042391F"/>
    <w:rsid w:val="00424D3E"/>
    <w:rsid w:val="004268C1"/>
    <w:rsid w:val="00427ADB"/>
    <w:rsid w:val="004354D9"/>
    <w:rsid w:val="00445D6F"/>
    <w:rsid w:val="00445F06"/>
    <w:rsid w:val="00447572"/>
    <w:rsid w:val="00454D3E"/>
    <w:rsid w:val="00472BA7"/>
    <w:rsid w:val="00475957"/>
    <w:rsid w:val="00477E77"/>
    <w:rsid w:val="00484AB2"/>
    <w:rsid w:val="00490C79"/>
    <w:rsid w:val="004953B2"/>
    <w:rsid w:val="004A3726"/>
    <w:rsid w:val="004B0152"/>
    <w:rsid w:val="004B0EF2"/>
    <w:rsid w:val="004B2505"/>
    <w:rsid w:val="004B4FB5"/>
    <w:rsid w:val="004C67C5"/>
    <w:rsid w:val="004D1007"/>
    <w:rsid w:val="004D2DDD"/>
    <w:rsid w:val="004D4D67"/>
    <w:rsid w:val="004D6E2C"/>
    <w:rsid w:val="004E3399"/>
    <w:rsid w:val="004E40B2"/>
    <w:rsid w:val="004F3505"/>
    <w:rsid w:val="004F36D0"/>
    <w:rsid w:val="004F4CAA"/>
    <w:rsid w:val="00502451"/>
    <w:rsid w:val="00502CE0"/>
    <w:rsid w:val="00503F09"/>
    <w:rsid w:val="005054A7"/>
    <w:rsid w:val="005066D6"/>
    <w:rsid w:val="00510110"/>
    <w:rsid w:val="005113A2"/>
    <w:rsid w:val="00513B5E"/>
    <w:rsid w:val="0051577D"/>
    <w:rsid w:val="005206F8"/>
    <w:rsid w:val="00520C01"/>
    <w:rsid w:val="00521762"/>
    <w:rsid w:val="00522603"/>
    <w:rsid w:val="00523753"/>
    <w:rsid w:val="00530E92"/>
    <w:rsid w:val="00530F10"/>
    <w:rsid w:val="0053180F"/>
    <w:rsid w:val="00535938"/>
    <w:rsid w:val="00541213"/>
    <w:rsid w:val="00542A25"/>
    <w:rsid w:val="00544444"/>
    <w:rsid w:val="00545E0E"/>
    <w:rsid w:val="00546218"/>
    <w:rsid w:val="0055004B"/>
    <w:rsid w:val="00551A7F"/>
    <w:rsid w:val="00554D0F"/>
    <w:rsid w:val="00560256"/>
    <w:rsid w:val="00561F56"/>
    <w:rsid w:val="005652F8"/>
    <w:rsid w:val="00565A63"/>
    <w:rsid w:val="0057502D"/>
    <w:rsid w:val="005774AC"/>
    <w:rsid w:val="005802A3"/>
    <w:rsid w:val="005810C4"/>
    <w:rsid w:val="00585FBA"/>
    <w:rsid w:val="005912BE"/>
    <w:rsid w:val="0059480C"/>
    <w:rsid w:val="005956C3"/>
    <w:rsid w:val="005A5A2D"/>
    <w:rsid w:val="005A6352"/>
    <w:rsid w:val="005A6DAA"/>
    <w:rsid w:val="005B323D"/>
    <w:rsid w:val="005B435A"/>
    <w:rsid w:val="005B629E"/>
    <w:rsid w:val="005C0169"/>
    <w:rsid w:val="005E0300"/>
    <w:rsid w:val="005E13DB"/>
    <w:rsid w:val="005E3014"/>
    <w:rsid w:val="005E46B8"/>
    <w:rsid w:val="005E54E6"/>
    <w:rsid w:val="005F1D8B"/>
    <w:rsid w:val="005F794B"/>
    <w:rsid w:val="005F7EDB"/>
    <w:rsid w:val="006032B4"/>
    <w:rsid w:val="00610B5B"/>
    <w:rsid w:val="006125C6"/>
    <w:rsid w:val="00623A31"/>
    <w:rsid w:val="00623EBC"/>
    <w:rsid w:val="00624027"/>
    <w:rsid w:val="00624F97"/>
    <w:rsid w:val="006330E6"/>
    <w:rsid w:val="006408EF"/>
    <w:rsid w:val="006418C9"/>
    <w:rsid w:val="00644C45"/>
    <w:rsid w:val="00646420"/>
    <w:rsid w:val="0065046F"/>
    <w:rsid w:val="006528D5"/>
    <w:rsid w:val="0065603B"/>
    <w:rsid w:val="0065786E"/>
    <w:rsid w:val="00661964"/>
    <w:rsid w:val="00666D51"/>
    <w:rsid w:val="006676CA"/>
    <w:rsid w:val="00670D30"/>
    <w:rsid w:val="00680F13"/>
    <w:rsid w:val="006831A8"/>
    <w:rsid w:val="006926FA"/>
    <w:rsid w:val="00697721"/>
    <w:rsid w:val="00697E0E"/>
    <w:rsid w:val="006A1019"/>
    <w:rsid w:val="006B1E39"/>
    <w:rsid w:val="006B741A"/>
    <w:rsid w:val="006D44AE"/>
    <w:rsid w:val="006D45A2"/>
    <w:rsid w:val="006D5F23"/>
    <w:rsid w:val="006D700D"/>
    <w:rsid w:val="006E0E01"/>
    <w:rsid w:val="006E1ECA"/>
    <w:rsid w:val="006F0098"/>
    <w:rsid w:val="006F2F98"/>
    <w:rsid w:val="006F4AAB"/>
    <w:rsid w:val="00701000"/>
    <w:rsid w:val="00710C85"/>
    <w:rsid w:val="00712919"/>
    <w:rsid w:val="00714E19"/>
    <w:rsid w:val="0073372A"/>
    <w:rsid w:val="00737831"/>
    <w:rsid w:val="00740289"/>
    <w:rsid w:val="00746BEC"/>
    <w:rsid w:val="00747ABD"/>
    <w:rsid w:val="007560B7"/>
    <w:rsid w:val="007866B8"/>
    <w:rsid w:val="00792A1D"/>
    <w:rsid w:val="00795BA2"/>
    <w:rsid w:val="00796F82"/>
    <w:rsid w:val="007A05BE"/>
    <w:rsid w:val="007A7354"/>
    <w:rsid w:val="007A73F1"/>
    <w:rsid w:val="007A7C52"/>
    <w:rsid w:val="007B1491"/>
    <w:rsid w:val="007D364C"/>
    <w:rsid w:val="007D4010"/>
    <w:rsid w:val="007E1AC5"/>
    <w:rsid w:val="007E5550"/>
    <w:rsid w:val="007F10F4"/>
    <w:rsid w:val="007F545D"/>
    <w:rsid w:val="007F595D"/>
    <w:rsid w:val="00802B57"/>
    <w:rsid w:val="008032AD"/>
    <w:rsid w:val="008067A1"/>
    <w:rsid w:val="00806A1E"/>
    <w:rsid w:val="00807405"/>
    <w:rsid w:val="00811679"/>
    <w:rsid w:val="00813683"/>
    <w:rsid w:val="008145A1"/>
    <w:rsid w:val="00821F4D"/>
    <w:rsid w:val="00824E0C"/>
    <w:rsid w:val="00827492"/>
    <w:rsid w:val="00833D99"/>
    <w:rsid w:val="00836856"/>
    <w:rsid w:val="008373BD"/>
    <w:rsid w:val="0084160B"/>
    <w:rsid w:val="008456D5"/>
    <w:rsid w:val="00845C59"/>
    <w:rsid w:val="0084634B"/>
    <w:rsid w:val="008569E3"/>
    <w:rsid w:val="00865A08"/>
    <w:rsid w:val="00867F43"/>
    <w:rsid w:val="00873743"/>
    <w:rsid w:val="008758F7"/>
    <w:rsid w:val="00880704"/>
    <w:rsid w:val="00883627"/>
    <w:rsid w:val="00883661"/>
    <w:rsid w:val="00885B45"/>
    <w:rsid w:val="0089429E"/>
    <w:rsid w:val="008971BF"/>
    <w:rsid w:val="008979B0"/>
    <w:rsid w:val="008A0792"/>
    <w:rsid w:val="008A1887"/>
    <w:rsid w:val="008A39D7"/>
    <w:rsid w:val="008B36A5"/>
    <w:rsid w:val="008B585C"/>
    <w:rsid w:val="008B6A81"/>
    <w:rsid w:val="008C2EBB"/>
    <w:rsid w:val="008C3127"/>
    <w:rsid w:val="008D128B"/>
    <w:rsid w:val="008D1A06"/>
    <w:rsid w:val="008D3E94"/>
    <w:rsid w:val="008D70E3"/>
    <w:rsid w:val="008E092A"/>
    <w:rsid w:val="008E2A0D"/>
    <w:rsid w:val="008E34AB"/>
    <w:rsid w:val="008E400F"/>
    <w:rsid w:val="008E51E0"/>
    <w:rsid w:val="008E5BAB"/>
    <w:rsid w:val="008E6558"/>
    <w:rsid w:val="008F02A1"/>
    <w:rsid w:val="008F3AE6"/>
    <w:rsid w:val="00901573"/>
    <w:rsid w:val="00904157"/>
    <w:rsid w:val="0090741F"/>
    <w:rsid w:val="00915784"/>
    <w:rsid w:val="00920ADC"/>
    <w:rsid w:val="0092754B"/>
    <w:rsid w:val="00937307"/>
    <w:rsid w:val="0094021F"/>
    <w:rsid w:val="00943FCA"/>
    <w:rsid w:val="00944101"/>
    <w:rsid w:val="00950AA8"/>
    <w:rsid w:val="00950D63"/>
    <w:rsid w:val="00952274"/>
    <w:rsid w:val="00953594"/>
    <w:rsid w:val="00957EF7"/>
    <w:rsid w:val="009650FE"/>
    <w:rsid w:val="00970082"/>
    <w:rsid w:val="00971349"/>
    <w:rsid w:val="00971974"/>
    <w:rsid w:val="00973C6C"/>
    <w:rsid w:val="009773C6"/>
    <w:rsid w:val="00980839"/>
    <w:rsid w:val="00981FA2"/>
    <w:rsid w:val="00987614"/>
    <w:rsid w:val="00992711"/>
    <w:rsid w:val="0099489E"/>
    <w:rsid w:val="009A04F4"/>
    <w:rsid w:val="009A3BEB"/>
    <w:rsid w:val="009A6794"/>
    <w:rsid w:val="009B00F2"/>
    <w:rsid w:val="009B4485"/>
    <w:rsid w:val="009C2A2D"/>
    <w:rsid w:val="009D25FB"/>
    <w:rsid w:val="009D49E5"/>
    <w:rsid w:val="009D7CCE"/>
    <w:rsid w:val="009E1B44"/>
    <w:rsid w:val="009E27DE"/>
    <w:rsid w:val="009E3163"/>
    <w:rsid w:val="009E7751"/>
    <w:rsid w:val="009F4C8C"/>
    <w:rsid w:val="009F66AE"/>
    <w:rsid w:val="009F6E5E"/>
    <w:rsid w:val="009F7E01"/>
    <w:rsid w:val="00A00134"/>
    <w:rsid w:val="00A05F1F"/>
    <w:rsid w:val="00A070A2"/>
    <w:rsid w:val="00A11781"/>
    <w:rsid w:val="00A171C3"/>
    <w:rsid w:val="00A21BCB"/>
    <w:rsid w:val="00A260BD"/>
    <w:rsid w:val="00A3258C"/>
    <w:rsid w:val="00A33996"/>
    <w:rsid w:val="00A345D9"/>
    <w:rsid w:val="00A416E0"/>
    <w:rsid w:val="00A41EE9"/>
    <w:rsid w:val="00A41F62"/>
    <w:rsid w:val="00A56439"/>
    <w:rsid w:val="00A56794"/>
    <w:rsid w:val="00A567A1"/>
    <w:rsid w:val="00A56E0B"/>
    <w:rsid w:val="00A61EF3"/>
    <w:rsid w:val="00A66589"/>
    <w:rsid w:val="00A715B0"/>
    <w:rsid w:val="00A749F3"/>
    <w:rsid w:val="00A74E83"/>
    <w:rsid w:val="00A767C2"/>
    <w:rsid w:val="00A805C1"/>
    <w:rsid w:val="00A83620"/>
    <w:rsid w:val="00A836B2"/>
    <w:rsid w:val="00A9196B"/>
    <w:rsid w:val="00A95970"/>
    <w:rsid w:val="00AA2820"/>
    <w:rsid w:val="00AB18A6"/>
    <w:rsid w:val="00AB440C"/>
    <w:rsid w:val="00AB5D91"/>
    <w:rsid w:val="00AC0B71"/>
    <w:rsid w:val="00AC124D"/>
    <w:rsid w:val="00AC1302"/>
    <w:rsid w:val="00AC143A"/>
    <w:rsid w:val="00AC349D"/>
    <w:rsid w:val="00AC4EA2"/>
    <w:rsid w:val="00AD7703"/>
    <w:rsid w:val="00AE1EDA"/>
    <w:rsid w:val="00AE6316"/>
    <w:rsid w:val="00AF1ADC"/>
    <w:rsid w:val="00AF786D"/>
    <w:rsid w:val="00B002E0"/>
    <w:rsid w:val="00B028EC"/>
    <w:rsid w:val="00B03858"/>
    <w:rsid w:val="00B05160"/>
    <w:rsid w:val="00B06D96"/>
    <w:rsid w:val="00B16E06"/>
    <w:rsid w:val="00B22B46"/>
    <w:rsid w:val="00B33043"/>
    <w:rsid w:val="00B35F11"/>
    <w:rsid w:val="00B41D7F"/>
    <w:rsid w:val="00B42AC2"/>
    <w:rsid w:val="00B524A2"/>
    <w:rsid w:val="00B54E13"/>
    <w:rsid w:val="00B55C27"/>
    <w:rsid w:val="00B6135C"/>
    <w:rsid w:val="00B7049B"/>
    <w:rsid w:val="00B70E59"/>
    <w:rsid w:val="00B7203E"/>
    <w:rsid w:val="00B73B5E"/>
    <w:rsid w:val="00B947E7"/>
    <w:rsid w:val="00B979D3"/>
    <w:rsid w:val="00BA24FB"/>
    <w:rsid w:val="00BA6F46"/>
    <w:rsid w:val="00BB3AAC"/>
    <w:rsid w:val="00BC0BEB"/>
    <w:rsid w:val="00BC164C"/>
    <w:rsid w:val="00BC5E3C"/>
    <w:rsid w:val="00BC7813"/>
    <w:rsid w:val="00BD277C"/>
    <w:rsid w:val="00BD7A88"/>
    <w:rsid w:val="00BE14A2"/>
    <w:rsid w:val="00BE1978"/>
    <w:rsid w:val="00BE1C2E"/>
    <w:rsid w:val="00BF361A"/>
    <w:rsid w:val="00C04607"/>
    <w:rsid w:val="00C10A2F"/>
    <w:rsid w:val="00C119AC"/>
    <w:rsid w:val="00C151F5"/>
    <w:rsid w:val="00C167CF"/>
    <w:rsid w:val="00C23104"/>
    <w:rsid w:val="00C2465A"/>
    <w:rsid w:val="00C3007A"/>
    <w:rsid w:val="00C3147C"/>
    <w:rsid w:val="00C31634"/>
    <w:rsid w:val="00C343C0"/>
    <w:rsid w:val="00C41C7D"/>
    <w:rsid w:val="00C5119D"/>
    <w:rsid w:val="00C5209D"/>
    <w:rsid w:val="00C529F4"/>
    <w:rsid w:val="00C6224B"/>
    <w:rsid w:val="00C6432A"/>
    <w:rsid w:val="00C65B2C"/>
    <w:rsid w:val="00C72686"/>
    <w:rsid w:val="00C7719A"/>
    <w:rsid w:val="00C83B88"/>
    <w:rsid w:val="00CA3BFA"/>
    <w:rsid w:val="00CA46EB"/>
    <w:rsid w:val="00CB0D5F"/>
    <w:rsid w:val="00CC1322"/>
    <w:rsid w:val="00CD233E"/>
    <w:rsid w:val="00CD24CF"/>
    <w:rsid w:val="00CE38EC"/>
    <w:rsid w:val="00CF0113"/>
    <w:rsid w:val="00CF419C"/>
    <w:rsid w:val="00CF6CFD"/>
    <w:rsid w:val="00D02FB8"/>
    <w:rsid w:val="00D04F54"/>
    <w:rsid w:val="00D11838"/>
    <w:rsid w:val="00D11EB4"/>
    <w:rsid w:val="00D125B9"/>
    <w:rsid w:val="00D2157E"/>
    <w:rsid w:val="00D23A91"/>
    <w:rsid w:val="00D3776B"/>
    <w:rsid w:val="00D40D1C"/>
    <w:rsid w:val="00D5512B"/>
    <w:rsid w:val="00D5655E"/>
    <w:rsid w:val="00D72F61"/>
    <w:rsid w:val="00D754DE"/>
    <w:rsid w:val="00D756C0"/>
    <w:rsid w:val="00D85E75"/>
    <w:rsid w:val="00D86E40"/>
    <w:rsid w:val="00D87AD8"/>
    <w:rsid w:val="00D93BED"/>
    <w:rsid w:val="00D97943"/>
    <w:rsid w:val="00D97E1B"/>
    <w:rsid w:val="00DB44ED"/>
    <w:rsid w:val="00DB79F5"/>
    <w:rsid w:val="00DC0C3E"/>
    <w:rsid w:val="00DC377F"/>
    <w:rsid w:val="00DD0652"/>
    <w:rsid w:val="00DD0CD4"/>
    <w:rsid w:val="00DD3A20"/>
    <w:rsid w:val="00DE23B4"/>
    <w:rsid w:val="00DE4362"/>
    <w:rsid w:val="00DE4FE2"/>
    <w:rsid w:val="00E009BF"/>
    <w:rsid w:val="00E04908"/>
    <w:rsid w:val="00E0667E"/>
    <w:rsid w:val="00E06824"/>
    <w:rsid w:val="00E11823"/>
    <w:rsid w:val="00E127CF"/>
    <w:rsid w:val="00E14220"/>
    <w:rsid w:val="00E2352F"/>
    <w:rsid w:val="00E23718"/>
    <w:rsid w:val="00E243A1"/>
    <w:rsid w:val="00E33899"/>
    <w:rsid w:val="00E342AB"/>
    <w:rsid w:val="00E34878"/>
    <w:rsid w:val="00E34AD6"/>
    <w:rsid w:val="00E359C8"/>
    <w:rsid w:val="00E43906"/>
    <w:rsid w:val="00E50D64"/>
    <w:rsid w:val="00E54BF3"/>
    <w:rsid w:val="00E61997"/>
    <w:rsid w:val="00E652E9"/>
    <w:rsid w:val="00E654FB"/>
    <w:rsid w:val="00E67351"/>
    <w:rsid w:val="00E77D90"/>
    <w:rsid w:val="00E91452"/>
    <w:rsid w:val="00E93589"/>
    <w:rsid w:val="00E959CE"/>
    <w:rsid w:val="00EA3834"/>
    <w:rsid w:val="00EA49E3"/>
    <w:rsid w:val="00EB34AB"/>
    <w:rsid w:val="00EC0C1A"/>
    <w:rsid w:val="00EC119C"/>
    <w:rsid w:val="00EC453C"/>
    <w:rsid w:val="00EC5839"/>
    <w:rsid w:val="00EE37C9"/>
    <w:rsid w:val="00EE5DDE"/>
    <w:rsid w:val="00EE6EBB"/>
    <w:rsid w:val="00EE7860"/>
    <w:rsid w:val="00EE7D32"/>
    <w:rsid w:val="00EF1A8A"/>
    <w:rsid w:val="00EF442C"/>
    <w:rsid w:val="00F00069"/>
    <w:rsid w:val="00F0299F"/>
    <w:rsid w:val="00F07EF4"/>
    <w:rsid w:val="00F13D09"/>
    <w:rsid w:val="00F1428D"/>
    <w:rsid w:val="00F14487"/>
    <w:rsid w:val="00F22031"/>
    <w:rsid w:val="00F23049"/>
    <w:rsid w:val="00F26E12"/>
    <w:rsid w:val="00F33EF2"/>
    <w:rsid w:val="00F406F7"/>
    <w:rsid w:val="00F416DF"/>
    <w:rsid w:val="00F437A5"/>
    <w:rsid w:val="00F44DF8"/>
    <w:rsid w:val="00F5493C"/>
    <w:rsid w:val="00F55244"/>
    <w:rsid w:val="00F57F34"/>
    <w:rsid w:val="00F67CDB"/>
    <w:rsid w:val="00F712D0"/>
    <w:rsid w:val="00F8451E"/>
    <w:rsid w:val="00F8471C"/>
    <w:rsid w:val="00F857D6"/>
    <w:rsid w:val="00F857FC"/>
    <w:rsid w:val="00F87F51"/>
    <w:rsid w:val="00F90578"/>
    <w:rsid w:val="00F96C87"/>
    <w:rsid w:val="00F97150"/>
    <w:rsid w:val="00FA70BE"/>
    <w:rsid w:val="00FB0AF6"/>
    <w:rsid w:val="00FB23A4"/>
    <w:rsid w:val="00FB4B13"/>
    <w:rsid w:val="00FB5DFB"/>
    <w:rsid w:val="00FB7C89"/>
    <w:rsid w:val="00FC1CDF"/>
    <w:rsid w:val="00FC32B2"/>
    <w:rsid w:val="00FC34AF"/>
    <w:rsid w:val="00FC4945"/>
    <w:rsid w:val="00FD1A3B"/>
    <w:rsid w:val="00FD7076"/>
    <w:rsid w:val="00FE1B99"/>
    <w:rsid w:val="00FE3815"/>
    <w:rsid w:val="00FE4382"/>
    <w:rsid w:val="00FF7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4182"/>
  <w15:chartTrackingRefBased/>
  <w15:docId w15:val="{57981F13-9BF3-46A8-8214-076F353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53"/>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714E19"/>
    <w:pPr>
      <w:keepNext/>
      <w:keepLines/>
      <w:spacing w:before="24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CMA Footnote Text,ABA 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aliases w:val="ACMA Footnote Text Char,ABA 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714E19"/>
    <w:rPr>
      <w:rFonts w:asciiTheme="majorHAnsi" w:eastAsiaTheme="majorEastAsia" w:hAnsiTheme="majorHAnsi" w:cstheme="majorBidi"/>
      <w:color w:val="081E3E" w:themeColor="text2"/>
      <w:sz w:val="36"/>
      <w:szCs w:val="26"/>
    </w:rPr>
  </w:style>
  <w:style w:type="paragraph" w:customStyle="1" w:styleId="Introduction">
    <w:name w:val="Introduction"/>
    <w:basedOn w:val="Normal"/>
    <w:uiPriority w:val="2"/>
    <w:qFormat/>
    <w:rsid w:val="00BC164C"/>
    <w:pPr>
      <w:spacing w:before="240" w:after="120"/>
    </w:pPr>
    <w:rPr>
      <w:color w:val="377B88"/>
      <w:sz w:val="26"/>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7"/>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8"/>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7"/>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12"/>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2"/>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7"/>
      </w:numPr>
    </w:pPr>
  </w:style>
  <w:style w:type="numbering" w:customStyle="1" w:styleId="ListLegal">
    <w:name w:val="List Legal"/>
    <w:uiPriority w:val="99"/>
    <w:rsid w:val="00477E77"/>
    <w:pPr>
      <w:numPr>
        <w:numId w:val="23"/>
      </w:numPr>
    </w:pPr>
  </w:style>
  <w:style w:type="numbering" w:customStyle="1" w:styleId="ListNumbered">
    <w:name w:val="List Numbered"/>
    <w:uiPriority w:val="99"/>
    <w:rsid w:val="00477E77"/>
    <w:pPr>
      <w:numPr>
        <w:numId w:val="8"/>
      </w:numPr>
    </w:pPr>
  </w:style>
  <w:style w:type="paragraph" w:customStyle="1" w:styleId="Heading1Numbered">
    <w:name w:val="Heading 1 Numbered"/>
    <w:basedOn w:val="Heading1"/>
    <w:uiPriority w:val="10"/>
    <w:rsid w:val="003F775D"/>
    <w:pPr>
      <w:numPr>
        <w:numId w:val="9"/>
      </w:numPr>
    </w:pPr>
  </w:style>
  <w:style w:type="paragraph" w:customStyle="1" w:styleId="Heading2Numbered">
    <w:name w:val="Heading 2 Numbered"/>
    <w:basedOn w:val="Heading2"/>
    <w:uiPriority w:val="10"/>
    <w:rsid w:val="003F775D"/>
    <w:pPr>
      <w:numPr>
        <w:ilvl w:val="1"/>
        <w:numId w:val="9"/>
      </w:numPr>
    </w:pPr>
  </w:style>
  <w:style w:type="paragraph" w:customStyle="1" w:styleId="Heading3Numbered">
    <w:name w:val="Heading 3 Numbered"/>
    <w:basedOn w:val="Heading3"/>
    <w:uiPriority w:val="10"/>
    <w:rsid w:val="003F775D"/>
    <w:pPr>
      <w:numPr>
        <w:ilvl w:val="2"/>
        <w:numId w:val="9"/>
      </w:numPr>
    </w:pPr>
  </w:style>
  <w:style w:type="paragraph" w:customStyle="1" w:styleId="Heading4Numbered">
    <w:name w:val="Heading 4 Numbered"/>
    <w:basedOn w:val="Heading4"/>
    <w:uiPriority w:val="10"/>
    <w:rsid w:val="003F775D"/>
    <w:pPr>
      <w:numPr>
        <w:ilvl w:val="3"/>
        <w:numId w:val="9"/>
      </w:numPr>
    </w:pPr>
  </w:style>
  <w:style w:type="paragraph" w:customStyle="1" w:styleId="Heading5Numbered">
    <w:name w:val="Heading 5 Numbered"/>
    <w:basedOn w:val="Heading5"/>
    <w:uiPriority w:val="10"/>
    <w:rsid w:val="003F775D"/>
    <w:pPr>
      <w:numPr>
        <w:ilvl w:val="4"/>
        <w:numId w:val="9"/>
      </w:numPr>
    </w:pPr>
  </w:style>
  <w:style w:type="numbering" w:customStyle="1" w:styleId="NumberedHeadings">
    <w:name w:val="Numbered Headings"/>
    <w:uiPriority w:val="99"/>
    <w:rsid w:val="003F775D"/>
    <w:pPr>
      <w:numPr>
        <w:numId w:val="3"/>
      </w:numPr>
    </w:pPr>
  </w:style>
  <w:style w:type="paragraph" w:customStyle="1" w:styleId="AppendixHeading1">
    <w:name w:val="Appendix Heading 1"/>
    <w:basedOn w:val="Heading1"/>
    <w:uiPriority w:val="11"/>
    <w:qFormat/>
    <w:rsid w:val="0001430B"/>
    <w:pPr>
      <w:numPr>
        <w:numId w:val="10"/>
      </w:numPr>
    </w:pPr>
  </w:style>
  <w:style w:type="paragraph" w:customStyle="1" w:styleId="AppendixHeading2">
    <w:name w:val="Appendix Heading 2"/>
    <w:basedOn w:val="Heading2"/>
    <w:uiPriority w:val="11"/>
    <w:rsid w:val="0001430B"/>
    <w:pPr>
      <w:numPr>
        <w:ilvl w:val="1"/>
        <w:numId w:val="10"/>
      </w:numPr>
    </w:pPr>
  </w:style>
  <w:style w:type="paragraph" w:customStyle="1" w:styleId="AttachmentHeading1">
    <w:name w:val="Attachment Heading 1"/>
    <w:basedOn w:val="Heading1"/>
    <w:uiPriority w:val="11"/>
    <w:qFormat/>
    <w:rsid w:val="0001430B"/>
    <w:pPr>
      <w:numPr>
        <w:numId w:val="11"/>
      </w:numPr>
    </w:pPr>
  </w:style>
  <w:style w:type="paragraph" w:customStyle="1" w:styleId="AttachmentHeading2">
    <w:name w:val="Attachment Heading 2"/>
    <w:basedOn w:val="Heading2"/>
    <w:uiPriority w:val="11"/>
    <w:rsid w:val="0001430B"/>
    <w:pPr>
      <w:numPr>
        <w:ilvl w:val="1"/>
        <w:numId w:val="11"/>
      </w:numPr>
    </w:pPr>
  </w:style>
  <w:style w:type="numbering" w:customStyle="1" w:styleId="AppendixNumbers">
    <w:name w:val="Appendix Numbers"/>
    <w:uiPriority w:val="99"/>
    <w:rsid w:val="0001430B"/>
    <w:pPr>
      <w:numPr>
        <w:numId w:val="4"/>
      </w:numPr>
    </w:pPr>
  </w:style>
  <w:style w:type="numbering" w:customStyle="1" w:styleId="AttachmentNumbers">
    <w:name w:val="Attachment Numbers"/>
    <w:uiPriority w:val="99"/>
    <w:rsid w:val="0001430B"/>
    <w:pPr>
      <w:numPr>
        <w:numId w:val="11"/>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2"/>
      </w:numPr>
    </w:pPr>
    <w:rPr>
      <w:kern w:val="12"/>
      <w:sz w:val="20"/>
      <w:szCs w:val="20"/>
    </w:rPr>
  </w:style>
  <w:style w:type="numbering" w:customStyle="1" w:styleId="BoxedBullets">
    <w:name w:val="Boxed Bullets"/>
    <w:uiPriority w:val="99"/>
    <w:rsid w:val="009D7CCE"/>
    <w:pPr>
      <w:numPr>
        <w:numId w:val="12"/>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basedOn w:val="Normal"/>
    <w:uiPriority w:val="99"/>
    <w:unhideWhenUsed/>
    <w:qFormat/>
    <w:rsid w:val="000075AC"/>
    <w:pPr>
      <w:ind w:left="720"/>
      <w:contextualSpacing/>
    </w:pPr>
  </w:style>
  <w:style w:type="character" w:customStyle="1" w:styleId="charsectno">
    <w:name w:val="charsectno"/>
    <w:basedOn w:val="DefaultParagraphFont"/>
    <w:rsid w:val="00083015"/>
  </w:style>
  <w:style w:type="character" w:styleId="UnresolvedMention">
    <w:name w:val="Unresolved Mention"/>
    <w:basedOn w:val="DefaultParagraphFont"/>
    <w:uiPriority w:val="99"/>
    <w:semiHidden/>
    <w:unhideWhenUsed/>
    <w:rsid w:val="00D85E75"/>
    <w:rPr>
      <w:color w:val="605E5C"/>
      <w:shd w:val="clear" w:color="auto" w:fill="E1DFDD"/>
    </w:rPr>
  </w:style>
  <w:style w:type="paragraph" w:styleId="Revision">
    <w:name w:val="Revision"/>
    <w:hidden/>
    <w:uiPriority w:val="99"/>
    <w:semiHidden/>
    <w:rsid w:val="009E7751"/>
    <w:pPr>
      <w:spacing w:before="0" w:after="0"/>
    </w:pPr>
  </w:style>
  <w:style w:type="paragraph" w:styleId="EndnoteText">
    <w:name w:val="endnote text"/>
    <w:basedOn w:val="Normal"/>
    <w:link w:val="EndnoteTextChar"/>
    <w:uiPriority w:val="99"/>
    <w:semiHidden/>
    <w:unhideWhenUsed/>
    <w:rsid w:val="002F6105"/>
    <w:pPr>
      <w:spacing w:before="0" w:after="0"/>
    </w:pPr>
    <w:rPr>
      <w:sz w:val="20"/>
      <w:szCs w:val="20"/>
    </w:rPr>
  </w:style>
  <w:style w:type="character" w:customStyle="1" w:styleId="EndnoteTextChar">
    <w:name w:val="Endnote Text Char"/>
    <w:basedOn w:val="DefaultParagraphFont"/>
    <w:link w:val="EndnoteText"/>
    <w:uiPriority w:val="99"/>
    <w:semiHidden/>
    <w:rsid w:val="002F6105"/>
    <w:rPr>
      <w:sz w:val="20"/>
      <w:szCs w:val="20"/>
    </w:rPr>
  </w:style>
  <w:style w:type="character" w:styleId="EndnoteReference">
    <w:name w:val="endnote reference"/>
    <w:basedOn w:val="DefaultParagraphFont"/>
    <w:uiPriority w:val="99"/>
    <w:semiHidden/>
    <w:unhideWhenUsed/>
    <w:rsid w:val="002F61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371">
      <w:bodyDiv w:val="1"/>
      <w:marLeft w:val="0"/>
      <w:marRight w:val="0"/>
      <w:marTop w:val="0"/>
      <w:marBottom w:val="0"/>
      <w:divBdr>
        <w:top w:val="none" w:sz="0" w:space="0" w:color="auto"/>
        <w:left w:val="none" w:sz="0" w:space="0" w:color="auto"/>
        <w:bottom w:val="none" w:sz="0" w:space="0" w:color="auto"/>
        <w:right w:val="none" w:sz="0" w:space="0" w:color="auto"/>
      </w:divBdr>
    </w:div>
    <w:div w:id="663625540">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919489504">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46849522">
      <w:bodyDiv w:val="1"/>
      <w:marLeft w:val="0"/>
      <w:marRight w:val="0"/>
      <w:marTop w:val="0"/>
      <w:marBottom w:val="0"/>
      <w:divBdr>
        <w:top w:val="none" w:sz="0" w:space="0" w:color="auto"/>
        <w:left w:val="none" w:sz="0" w:space="0" w:color="auto"/>
        <w:bottom w:val="none" w:sz="0" w:space="0" w:color="auto"/>
        <w:right w:val="none" w:sz="0" w:space="0" w:color="auto"/>
      </w:divBdr>
    </w:div>
    <w:div w:id="16491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pmc.gov.au/resources/commonwealth-coat-arms-information-and-guideli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infrastructure.gov.au"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ublishing@communications.gov.au" TargetMode="External"/><Relationship Id="rId27" Type="http://schemas.openxmlformats.org/officeDocument/2006/relationships/header" Target="header6.xml"/><Relationship Id="rId30" Type="http://schemas.openxmlformats.org/officeDocument/2006/relationships/header" Target="header9.xml"/><Relationship Id="rId8" Type="http://schemas.openxmlformats.org/officeDocument/2006/relationships/settings" Target="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law.justia.com/codes/wisconsin/chapter-565/section-565-17/" TargetMode="External"/><Relationship Id="rId3" Type="http://schemas.openxmlformats.org/officeDocument/2006/relationships/hyperlink" Target="https://anj.fr/sites/default/files/2025-01/D%C3%A9cision%20n%C2%B02025-021_AU_K%C3%A9no_Ligne_PDV.pdf" TargetMode="External"/><Relationship Id="rId7" Type="http://schemas.openxmlformats.org/officeDocument/2006/relationships/hyperlink" Target="https://law.lis.virginia.gov/vacode/title58.1/chapter40/section58.1-4014/" TargetMode="External"/><Relationship Id="rId12" Type="http://schemas.openxmlformats.org/officeDocument/2006/relationships/hyperlink" Target="https://www.google.com/url?sa=t&amp;rct=j&amp;q=&amp;esrc=s&amp;source=web&amp;cd=&amp;cad=rja&amp;uact=8&amp;ved=2ahUKEwj8gq6ssdKPAxXPr1YBHWRoIyMQFnoECBoQAQ&amp;url=https%3A%2F%2Fwww.oregonlottery.org%2Ffor-retailers%2Fretailer-news%2F&amp;usg=AOvVaw0HVXoRIOuSmu9TwQ8p4ZnO&amp;opi=89978449" TargetMode="External"/><Relationship Id="rId2" Type="http://schemas.openxmlformats.org/officeDocument/2006/relationships/hyperlink" Target="https://www.legislation.govt.nz/regulation/public/2025/0175/latest/LMS1466709.html?search=qs_act%40bill%40regulation%40deemedreg_keno+rules+2025_resel_25_h&amp;p=1&amp;sr=1" TargetMode="External"/><Relationship Id="rId1" Type="http://schemas.openxmlformats.org/officeDocument/2006/relationships/hyperlink" Target="https://www.vgccc.vic.gov.au/sites/default/files/2024-11/mh_signed_keno_harm_minimisation_min_direction.pdf" TargetMode="External"/><Relationship Id="rId6" Type="http://schemas.openxmlformats.org/officeDocument/2006/relationships/hyperlink" Target="https://legiscan.com/IN/text/HB1053/id/3217703" TargetMode="External"/><Relationship Id="rId11" Type="http://schemas.openxmlformats.org/officeDocument/2006/relationships/hyperlink" Target="https://law.justia.com/codes/new-jersey/title-5/section-5-9-14-3/" TargetMode="External"/><Relationship Id="rId5" Type="http://schemas.openxmlformats.org/officeDocument/2006/relationships/hyperlink" Target="https://www.google.com/url?sa=t&amp;rct=j&amp;q=&amp;esrc=s&amp;source=web&amp;cd=&amp;ved=2ahUKEwjjw9LZi4eQAxXHY_UHHRc6IocQFnoECBgQAQ&amp;url=https%3A%2F%2Fwww.texaslottery.com%2Fexport%2Fsites%2Flottery%2FDocuments%2Flegal%2FTLC-COURIER-POLICY-DOCUMENT-V2-02242025.pdf&amp;usg=AOvVaw30Z2hCUKu1hUGbyBB2OHD9&amp;opi=89978449" TargetMode="External"/><Relationship Id="rId10" Type="http://schemas.openxmlformats.org/officeDocument/2006/relationships/hyperlink" Target="https://gaming.ny.gov/system/files/documents/2025/04/nysgcchapteriiilotteryupdated2025-04.pdf" TargetMode="External"/><Relationship Id="rId4" Type="http://schemas.openxmlformats.org/officeDocument/2006/relationships/hyperlink" Target="https://www.aph.gov.au/Parliamentary_Business/Committees/House/Social_Policy_and_Legal_Affairs/Onlinegamblingimpacts/Report" TargetMode="External"/><Relationship Id="rId9" Type="http://schemas.openxmlformats.org/officeDocument/2006/relationships/hyperlink" Target="https://www.google.com/url?sa=t&amp;rct=j&amp;q=&amp;esrc=s&amp;source=web&amp;cd=&amp;ved=2ahUKEwjp4smdlIeQAxV0r1YBHdMKEcQQFnoECBgQAQ&amp;url=https%3A%2F%2Fwww.arizonalottery.com%2Fmedia%2Fuznnpopa%2Fcomplete-proposed-lottery-courier-rules-for-submission-june-26-2025.pdf&amp;usg=AOvVaw0RL-ciFrA2mFz0hdH5nCGU&amp;opi=89978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A45D816C7E4CB9825F54732F836EA0"/>
        <w:category>
          <w:name w:val="General"/>
          <w:gallery w:val="placeholder"/>
        </w:category>
        <w:types>
          <w:type w:val="bbPlcHdr"/>
        </w:types>
        <w:behaviors>
          <w:behavior w:val="content"/>
        </w:behaviors>
        <w:guid w:val="{9E2DF2E4-5C95-4BF5-9ABF-4AB5A889A813}"/>
      </w:docPartPr>
      <w:docPartBody>
        <w:p w:rsidR="00A9783A" w:rsidRDefault="00A9783A">
          <w:pPr>
            <w:pStyle w:val="B4A45D816C7E4CB9825F54732F836EA0"/>
          </w:pPr>
          <w:r w:rsidRPr="00EC51DD">
            <w:rPr>
              <w:rStyle w:val="PlaceholderText"/>
            </w:rPr>
            <w:t>[Title]</w:t>
          </w:r>
        </w:p>
      </w:docPartBody>
    </w:docPart>
    <w:docPart>
      <w:docPartPr>
        <w:name w:val="B6B8BB60E6984ED58ECA95E7E15D38EA"/>
        <w:category>
          <w:name w:val="General"/>
          <w:gallery w:val="placeholder"/>
        </w:category>
        <w:types>
          <w:type w:val="bbPlcHdr"/>
        </w:types>
        <w:behaviors>
          <w:behavior w:val="content"/>
        </w:behaviors>
        <w:guid w:val="{749EB563-3BA8-4840-9265-FC08C689E8EF}"/>
      </w:docPartPr>
      <w:docPartBody>
        <w:p w:rsidR="00A9783A" w:rsidRDefault="00A9783A">
          <w:pPr>
            <w:pStyle w:val="B6B8BB60E6984ED58ECA95E7E15D38EA"/>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3A"/>
    <w:rsid w:val="00035C23"/>
    <w:rsid w:val="000A023D"/>
    <w:rsid w:val="000C250C"/>
    <w:rsid w:val="00133E50"/>
    <w:rsid w:val="00191E25"/>
    <w:rsid w:val="001E2CC9"/>
    <w:rsid w:val="002455A4"/>
    <w:rsid w:val="00260AFB"/>
    <w:rsid w:val="002812B0"/>
    <w:rsid w:val="002A18CD"/>
    <w:rsid w:val="003446AC"/>
    <w:rsid w:val="00355C5C"/>
    <w:rsid w:val="003665FD"/>
    <w:rsid w:val="003A1B6D"/>
    <w:rsid w:val="003C45C9"/>
    <w:rsid w:val="003E4FFD"/>
    <w:rsid w:val="003F1E1F"/>
    <w:rsid w:val="00421C4E"/>
    <w:rsid w:val="004A1694"/>
    <w:rsid w:val="004F4CAA"/>
    <w:rsid w:val="00550B73"/>
    <w:rsid w:val="00571001"/>
    <w:rsid w:val="005D6636"/>
    <w:rsid w:val="0067402E"/>
    <w:rsid w:val="00697E0E"/>
    <w:rsid w:val="006A1019"/>
    <w:rsid w:val="007212D3"/>
    <w:rsid w:val="007A7279"/>
    <w:rsid w:val="00854E63"/>
    <w:rsid w:val="00977360"/>
    <w:rsid w:val="009E68F8"/>
    <w:rsid w:val="00A172DF"/>
    <w:rsid w:val="00A836B2"/>
    <w:rsid w:val="00A94C8F"/>
    <w:rsid w:val="00A9783A"/>
    <w:rsid w:val="00AA2820"/>
    <w:rsid w:val="00AF1ADC"/>
    <w:rsid w:val="00B6135C"/>
    <w:rsid w:val="00BC7813"/>
    <w:rsid w:val="00C47417"/>
    <w:rsid w:val="00C8145C"/>
    <w:rsid w:val="00CA0926"/>
    <w:rsid w:val="00CD79A1"/>
    <w:rsid w:val="00D40D1C"/>
    <w:rsid w:val="00D77B6D"/>
    <w:rsid w:val="00E96151"/>
    <w:rsid w:val="00EE2398"/>
    <w:rsid w:val="00F406F7"/>
    <w:rsid w:val="00FA0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A45D816C7E4CB9825F54732F836EA0">
    <w:name w:val="B4A45D816C7E4CB9825F54732F836EA0"/>
  </w:style>
  <w:style w:type="paragraph" w:customStyle="1" w:styleId="B6B8BB60E6984ED58ECA95E7E15D38EA">
    <w:name w:val="B6B8BB60E6984ED58ECA95E7E15D3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48DB054-FBEB-4C72-96EE-CE8B390816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E852111AF78E438AE848762D22B405" ma:contentTypeVersion="" ma:contentTypeDescription="PDMS Document Site Content Type" ma:contentTypeScope="" ma:versionID="874ac04a4de1b2db259ea70893daee3f">
  <xsd:schema xmlns:xsd="http://www.w3.org/2001/XMLSchema" xmlns:xs="http://www.w3.org/2001/XMLSchema" xmlns:p="http://schemas.microsoft.com/office/2006/metadata/properties" xmlns:ns2="848DB054-FBEB-4C72-96EE-CE8B390816AE" targetNamespace="http://schemas.microsoft.com/office/2006/metadata/properties" ma:root="true" ma:fieldsID="376a58862bb2f62f178bb7804f0240f4" ns2:_="">
    <xsd:import namespace="848DB054-FBEB-4C72-96EE-CE8B390816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B054-FBEB-4C72-96EE-CE8B390816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3.xml><?xml version="1.0" encoding="utf-8"?>
<ds:datastoreItem xmlns:ds="http://schemas.openxmlformats.org/officeDocument/2006/customXml" ds:itemID="{E0104F21-22D1-459E-BE0C-B00BB74A5409}">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848DB054-FBEB-4C72-96EE-CE8B390816AE"/>
  </ds:schemaRefs>
</ds:datastoreItem>
</file>

<file path=customXml/itemProps4.xml><?xml version="1.0" encoding="utf-8"?>
<ds:datastoreItem xmlns:ds="http://schemas.openxmlformats.org/officeDocument/2006/customXml" ds:itemID="{77066F6A-0CC7-4122-A826-CDA30736A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B054-FBEB-4C72-96EE-CE8B3908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72D84C-C7DA-4A5E-98C6-E5F34F9EA3FB}">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Report portrait.dotx</Template>
  <TotalTime>5</TotalTime>
  <Pages>15</Pages>
  <Words>4578</Words>
  <Characters>26690</Characters>
  <Application>Microsoft Office Word</Application>
  <DocSecurity>0</DocSecurity>
  <Lines>413</Lines>
  <Paragraphs>183</Paragraphs>
  <ScaleCrop>false</ScaleCrop>
  <HeadingPairs>
    <vt:vector size="2" baseType="variant">
      <vt:variant>
        <vt:lpstr>Title</vt:lpstr>
      </vt:variant>
      <vt:variant>
        <vt:i4>1</vt:i4>
      </vt:variant>
    </vt:vector>
  </HeadingPairs>
  <TitlesOfParts>
    <vt:vector size="1" baseType="lpstr">
      <vt:lpstr>Review into the regulation of Online Keno and Foreign-Matched Lotteries</vt:lpstr>
    </vt:vector>
  </TitlesOfParts>
  <Company>Department of Infrastructure &amp; Regional Development</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into the regulation of Online Keno and Foreign-Matched Lotteries</dc:title>
  <dc:subject/>
  <dc:creator>Department of Infrastructure, Transport, Regional Development, Communication, Sport and the Arts</dc:creator>
  <cp:keywords>n.n</cp:keywords>
  <dc:description/>
  <cp:revision>8</cp:revision>
  <cp:lastPrinted>2025-12-01T03:17:00Z</cp:lastPrinted>
  <dcterms:created xsi:type="dcterms:W3CDTF">2025-12-02T22:32:00Z</dcterms:created>
  <dcterms:modified xsi:type="dcterms:W3CDTF">2026-01-06T03:59:00Z</dcterms:modified>
  <cp:category>mm/yyyy</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0x010100266966F133664895A6EE3632470D45F50082E852111AF78E438AE848762D22B405</vt:lpwstr>
  </property>
  <property fmtid="{D5CDD505-2E9C-101B-9397-08002B2CF9AE}" pid="3" name="ClassificationContentMarkingHeaderShapeIds">
    <vt:lpwstr>4ca0a8b0,60f332ac,674224f0,3e998d2a,45c7d55,67c689a1</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41fe5c01,1e2e6c25,1e318dee,68e37896</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