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8BCDB" w14:textId="77777777" w:rsidR="00844F58" w:rsidRPr="00844F58" w:rsidRDefault="00844F58" w:rsidP="00844F58">
      <w:pPr>
        <w:pStyle w:val="Heading1"/>
        <w:jc w:val="center"/>
        <w:rPr>
          <w:lang w:val="en-US"/>
        </w:rPr>
      </w:pPr>
      <w:r w:rsidRPr="00844F58">
        <w:rPr>
          <w:lang w:val="en-US"/>
        </w:rPr>
        <w:t>Terms of Reference</w:t>
      </w:r>
    </w:p>
    <w:p w14:paraId="08720D95" w14:textId="19C470A6" w:rsidR="0055146C" w:rsidRPr="00A343C7" w:rsidRDefault="00C0254C" w:rsidP="00AA0758">
      <w:pPr>
        <w:pStyle w:val="Heading2"/>
        <w:spacing w:after="120"/>
        <w:jc w:val="center"/>
        <w:rPr>
          <w:rFonts w:asciiTheme="minorHAnsi" w:hAnsiTheme="minorHAnsi" w:cstheme="minorHAnsi"/>
          <w:b/>
          <w:lang w:val="en-US"/>
        </w:rPr>
      </w:pPr>
      <w:r w:rsidRPr="00A343C7">
        <w:rPr>
          <w:rFonts w:asciiTheme="minorHAnsi" w:hAnsiTheme="minorHAnsi" w:cstheme="minorHAnsi"/>
          <w:b/>
          <w:lang w:val="en-US"/>
        </w:rPr>
        <w:t xml:space="preserve">Independent Review of Australia’s Domestic Commercial Vessel Safety Legislation, </w:t>
      </w:r>
      <w:r w:rsidR="007964F1">
        <w:rPr>
          <w:rFonts w:asciiTheme="minorHAnsi" w:hAnsiTheme="minorHAnsi" w:cstheme="minorHAnsi"/>
          <w:b/>
          <w:lang w:val="en-US"/>
        </w:rPr>
        <w:t>and Costs and Charging Arrangements</w:t>
      </w:r>
    </w:p>
    <w:p w14:paraId="1A7FAF73" w14:textId="77777777" w:rsidR="00A71CC0" w:rsidRPr="00A343C7" w:rsidRDefault="00A71CC0" w:rsidP="00A71CC0">
      <w:pPr>
        <w:pStyle w:val="Heading3"/>
        <w:rPr>
          <w:rFonts w:asciiTheme="minorHAnsi" w:hAnsiTheme="minorHAnsi" w:cstheme="minorHAnsi"/>
          <w:b/>
        </w:rPr>
      </w:pPr>
      <w:r w:rsidRPr="00A343C7">
        <w:rPr>
          <w:rFonts w:asciiTheme="minorHAnsi" w:hAnsiTheme="minorHAnsi" w:cstheme="minorHAnsi"/>
          <w:b/>
        </w:rPr>
        <w:t>Purpose</w:t>
      </w:r>
    </w:p>
    <w:p w14:paraId="2F7A8999" w14:textId="77777777" w:rsidR="00E11E6C" w:rsidRPr="00A343C7" w:rsidRDefault="0064179E" w:rsidP="0087219C">
      <w:pPr>
        <w:spacing w:after="120"/>
        <w:rPr>
          <w:rFonts w:cstheme="minorHAnsi"/>
        </w:rPr>
      </w:pPr>
      <w:r w:rsidRPr="00A343C7">
        <w:rPr>
          <w:rFonts w:cstheme="minorHAnsi"/>
        </w:rPr>
        <w:t xml:space="preserve">The Australian Government has commissioned an independent </w:t>
      </w:r>
      <w:r w:rsidR="00A71CC0" w:rsidRPr="00A343C7">
        <w:rPr>
          <w:rFonts w:cstheme="minorHAnsi"/>
        </w:rPr>
        <w:t xml:space="preserve">review </w:t>
      </w:r>
      <w:r w:rsidRPr="00A343C7">
        <w:rPr>
          <w:rFonts w:cstheme="minorHAnsi"/>
        </w:rPr>
        <w:t>to</w:t>
      </w:r>
      <w:r w:rsidR="00A71CC0" w:rsidRPr="00A343C7">
        <w:rPr>
          <w:rFonts w:cstheme="minorHAnsi"/>
        </w:rPr>
        <w:t xml:space="preserve"> consider</w:t>
      </w:r>
      <w:r w:rsidR="00AA0758" w:rsidRPr="00A343C7">
        <w:rPr>
          <w:rFonts w:cstheme="minorHAnsi"/>
        </w:rPr>
        <w:t xml:space="preserve"> </w:t>
      </w:r>
      <w:r w:rsidR="008F3A44" w:rsidRPr="00A343C7">
        <w:rPr>
          <w:rFonts w:cstheme="minorHAnsi"/>
        </w:rPr>
        <w:t xml:space="preserve">whether Australia’s </w:t>
      </w:r>
      <w:r w:rsidR="004A5C40" w:rsidRPr="00A343C7">
        <w:rPr>
          <w:rFonts w:cstheme="minorHAnsi"/>
        </w:rPr>
        <w:t xml:space="preserve">legal framework </w:t>
      </w:r>
      <w:r w:rsidR="00DC56C7" w:rsidRPr="00A343C7">
        <w:rPr>
          <w:rFonts w:cstheme="minorHAnsi"/>
        </w:rPr>
        <w:t xml:space="preserve">regulating the safety of domestic commercial vessels </w:t>
      </w:r>
      <w:r w:rsidR="00AA0758" w:rsidRPr="00A343C7">
        <w:rPr>
          <w:rFonts w:cstheme="minorHAnsi"/>
        </w:rPr>
        <w:t>is fit for purpose.</w:t>
      </w:r>
      <w:r w:rsidR="00D84021" w:rsidRPr="00A343C7">
        <w:rPr>
          <w:rFonts w:cstheme="minorHAnsi"/>
        </w:rPr>
        <w:t xml:space="preserve"> </w:t>
      </w:r>
    </w:p>
    <w:p w14:paraId="0AFD7C9D" w14:textId="77777777" w:rsidR="00A71CC0" w:rsidRPr="00A343C7" w:rsidRDefault="00AA0758" w:rsidP="0087219C">
      <w:pPr>
        <w:spacing w:after="120"/>
        <w:rPr>
          <w:rFonts w:cstheme="minorHAnsi"/>
        </w:rPr>
      </w:pPr>
      <w:r w:rsidRPr="00A343C7">
        <w:rPr>
          <w:rFonts w:cstheme="minorHAnsi"/>
        </w:rPr>
        <w:t xml:space="preserve">The review is also to consider </w:t>
      </w:r>
      <w:r w:rsidR="004A5C40" w:rsidRPr="00A343C7">
        <w:rPr>
          <w:rFonts w:cstheme="minorHAnsi"/>
        </w:rPr>
        <w:t xml:space="preserve">whether this regulatory framework is being delivered efficiently and effectively, </w:t>
      </w:r>
      <w:r w:rsidRPr="00A343C7">
        <w:rPr>
          <w:rFonts w:cstheme="minorHAnsi"/>
        </w:rPr>
        <w:t>and</w:t>
      </w:r>
      <w:r w:rsidR="004A5C40" w:rsidRPr="00A343C7">
        <w:rPr>
          <w:rFonts w:cstheme="minorHAnsi"/>
        </w:rPr>
        <w:t xml:space="preserve"> </w:t>
      </w:r>
      <w:r w:rsidRPr="00A343C7">
        <w:rPr>
          <w:rFonts w:cstheme="minorHAnsi"/>
        </w:rPr>
        <w:t xml:space="preserve">to consider </w:t>
      </w:r>
      <w:r w:rsidR="004A5C40" w:rsidRPr="00A343C7">
        <w:rPr>
          <w:rFonts w:cstheme="minorHAnsi"/>
        </w:rPr>
        <w:t>options for future cost recovery arrangements.</w:t>
      </w:r>
    </w:p>
    <w:p w14:paraId="39A25832" w14:textId="77777777" w:rsidR="004A5C40" w:rsidRPr="00A343C7" w:rsidRDefault="004A5C40" w:rsidP="004A5C40">
      <w:pPr>
        <w:pStyle w:val="Heading3"/>
        <w:rPr>
          <w:rFonts w:asciiTheme="minorHAnsi" w:hAnsiTheme="minorHAnsi" w:cstheme="minorHAnsi"/>
        </w:rPr>
      </w:pPr>
      <w:r w:rsidRPr="00A343C7">
        <w:rPr>
          <w:rFonts w:asciiTheme="minorHAnsi" w:hAnsiTheme="minorHAnsi" w:cstheme="minorHAnsi"/>
        </w:rPr>
        <w:t>Context</w:t>
      </w:r>
    </w:p>
    <w:p w14:paraId="241E42BE" w14:textId="77777777" w:rsidR="00103D19" w:rsidRPr="00A343C7" w:rsidRDefault="009815E7" w:rsidP="0087219C">
      <w:pPr>
        <w:spacing w:after="120"/>
        <w:rPr>
          <w:rFonts w:cstheme="minorHAnsi"/>
        </w:rPr>
      </w:pPr>
      <w:r w:rsidRPr="00A343C7">
        <w:rPr>
          <w:rFonts w:cstheme="minorHAnsi"/>
        </w:rPr>
        <w:t xml:space="preserve">Australia’s diverse maritime industries include tourism, transport and fishing operations. These businesses </w:t>
      </w:r>
      <w:r w:rsidR="00103D19" w:rsidRPr="00A343C7">
        <w:rPr>
          <w:rFonts w:cstheme="minorHAnsi"/>
        </w:rPr>
        <w:t>are</w:t>
      </w:r>
      <w:r w:rsidRPr="00A343C7">
        <w:rPr>
          <w:rFonts w:cstheme="minorHAnsi"/>
        </w:rPr>
        <w:t xml:space="preserve"> especially </w:t>
      </w:r>
      <w:r w:rsidR="00103D19" w:rsidRPr="00A343C7">
        <w:rPr>
          <w:rFonts w:cstheme="minorHAnsi"/>
        </w:rPr>
        <w:t xml:space="preserve">important </w:t>
      </w:r>
      <w:r w:rsidRPr="00A343C7">
        <w:rPr>
          <w:rFonts w:cstheme="minorHAnsi"/>
        </w:rPr>
        <w:t>in our coastal and regional communities</w:t>
      </w:r>
      <w:r w:rsidR="00103D19" w:rsidRPr="00A343C7">
        <w:rPr>
          <w:rFonts w:cstheme="minorHAnsi"/>
        </w:rPr>
        <w:t>, as well as to the whole Australian economy</w:t>
      </w:r>
      <w:r w:rsidRPr="00A343C7">
        <w:rPr>
          <w:rFonts w:cstheme="minorHAnsi"/>
        </w:rPr>
        <w:t xml:space="preserve">. </w:t>
      </w:r>
    </w:p>
    <w:p w14:paraId="37F33EED" w14:textId="77777777" w:rsidR="00A0250C" w:rsidRPr="00A343C7" w:rsidRDefault="00103D19" w:rsidP="0087219C">
      <w:pPr>
        <w:spacing w:after="120"/>
        <w:rPr>
          <w:rFonts w:cstheme="minorHAnsi"/>
        </w:rPr>
      </w:pPr>
      <w:r w:rsidRPr="00A343C7">
        <w:rPr>
          <w:rFonts w:cstheme="minorHAnsi"/>
        </w:rPr>
        <w:t xml:space="preserve">The Australian Government is committed to having </w:t>
      </w:r>
      <w:r w:rsidR="009815E7" w:rsidRPr="00A343C7">
        <w:rPr>
          <w:rFonts w:cstheme="minorHAnsi"/>
        </w:rPr>
        <w:t>an effective system of safety regulation</w:t>
      </w:r>
      <w:r w:rsidRPr="00A343C7">
        <w:rPr>
          <w:rFonts w:cstheme="minorHAnsi"/>
        </w:rPr>
        <w:t xml:space="preserve"> for vessels and seafarers across these industries. This is</w:t>
      </w:r>
      <w:r w:rsidR="009815E7" w:rsidRPr="00A343C7">
        <w:rPr>
          <w:rFonts w:cstheme="minorHAnsi"/>
        </w:rPr>
        <w:t xml:space="preserve"> important to </w:t>
      </w:r>
      <w:r w:rsidRPr="00A343C7">
        <w:rPr>
          <w:rFonts w:cstheme="minorHAnsi"/>
        </w:rPr>
        <w:t xml:space="preserve">ensure that passengers and crew are confident they will come home safely, and to </w:t>
      </w:r>
      <w:r w:rsidR="009815E7" w:rsidRPr="00A343C7">
        <w:rPr>
          <w:rFonts w:cstheme="minorHAnsi"/>
        </w:rPr>
        <w:t xml:space="preserve">support the </w:t>
      </w:r>
      <w:r w:rsidRPr="00A343C7">
        <w:rPr>
          <w:rFonts w:cstheme="minorHAnsi"/>
        </w:rPr>
        <w:t xml:space="preserve">productive </w:t>
      </w:r>
      <w:r w:rsidR="009815E7" w:rsidRPr="00A343C7">
        <w:rPr>
          <w:rFonts w:cstheme="minorHAnsi"/>
        </w:rPr>
        <w:t xml:space="preserve">contributions of </w:t>
      </w:r>
      <w:r w:rsidRPr="00A343C7">
        <w:rPr>
          <w:rFonts w:cstheme="minorHAnsi"/>
        </w:rPr>
        <w:t xml:space="preserve">our marine industries. As part of considering the effectiveness of our maritime safety regime, it is also important to consider how much it costs to deliver, and how it should be funded. </w:t>
      </w:r>
    </w:p>
    <w:p w14:paraId="09C1E404" w14:textId="77777777" w:rsidR="004A5C40" w:rsidRPr="00A343C7" w:rsidRDefault="004A5C40" w:rsidP="0087219C">
      <w:pPr>
        <w:spacing w:after="120"/>
        <w:rPr>
          <w:rFonts w:cstheme="minorHAnsi"/>
        </w:rPr>
      </w:pPr>
      <w:r w:rsidRPr="00A343C7">
        <w:rPr>
          <w:rFonts w:cstheme="minorHAnsi"/>
        </w:rPr>
        <w:t xml:space="preserve">The National System for Domestic Commercial Vessel Safety (National System) is Australia’s national regulatory framework to ensure the safe design, construction, equipping, crewing and operation of commercial, government and research vessels operating in Australian waters. </w:t>
      </w:r>
      <w:r w:rsidR="00103D19" w:rsidRPr="00A343C7">
        <w:rPr>
          <w:rFonts w:cstheme="minorHAnsi"/>
        </w:rPr>
        <w:t>Since mid</w:t>
      </w:r>
      <w:r w:rsidR="0087219C" w:rsidRPr="00A343C7">
        <w:rPr>
          <w:rFonts w:cstheme="minorHAnsi"/>
        </w:rPr>
        <w:noBreakHyphen/>
      </w:r>
      <w:r w:rsidR="00103D19" w:rsidRPr="00A343C7">
        <w:rPr>
          <w:rFonts w:cstheme="minorHAnsi"/>
        </w:rPr>
        <w:t>2018, t</w:t>
      </w:r>
      <w:r w:rsidRPr="00A343C7">
        <w:rPr>
          <w:rFonts w:cstheme="minorHAnsi"/>
        </w:rPr>
        <w:t xml:space="preserve">he National System </w:t>
      </w:r>
      <w:r w:rsidR="00103D19" w:rsidRPr="00A343C7">
        <w:rPr>
          <w:rFonts w:cstheme="minorHAnsi"/>
        </w:rPr>
        <w:t>ha</w:t>
      </w:r>
      <w:r w:rsidRPr="00A343C7">
        <w:rPr>
          <w:rFonts w:cstheme="minorHAnsi"/>
        </w:rPr>
        <w:t xml:space="preserve">s </w:t>
      </w:r>
      <w:r w:rsidR="00103D19" w:rsidRPr="00A343C7">
        <w:rPr>
          <w:rFonts w:cstheme="minorHAnsi"/>
        </w:rPr>
        <w:t xml:space="preserve">been </w:t>
      </w:r>
      <w:r w:rsidRPr="00A343C7">
        <w:rPr>
          <w:rFonts w:cstheme="minorHAnsi"/>
        </w:rPr>
        <w:t xml:space="preserve">delivered by the Australian Maritime Safety Authority (AMSA) under the </w:t>
      </w:r>
      <w:r w:rsidRPr="00A343C7">
        <w:rPr>
          <w:rFonts w:cstheme="minorHAnsi"/>
          <w:i/>
        </w:rPr>
        <w:t xml:space="preserve">Marine Safety (Domestic Commercial Vessel) National Law Act 2012 </w:t>
      </w:r>
      <w:r w:rsidRPr="00A343C7">
        <w:rPr>
          <w:rFonts w:cstheme="minorHAnsi"/>
        </w:rPr>
        <w:t>(National Law)</w:t>
      </w:r>
      <w:r w:rsidRPr="00A343C7">
        <w:rPr>
          <w:rFonts w:cstheme="minorHAnsi"/>
          <w:i/>
        </w:rPr>
        <w:t xml:space="preserve"> </w:t>
      </w:r>
      <w:r w:rsidRPr="00A343C7">
        <w:rPr>
          <w:rFonts w:cstheme="minorHAnsi"/>
        </w:rPr>
        <w:t xml:space="preserve">and related legislative instruments.  </w:t>
      </w:r>
    </w:p>
    <w:p w14:paraId="6E551FBA" w14:textId="77777777" w:rsidR="004A5C40" w:rsidRDefault="00DB0C90" w:rsidP="0087219C">
      <w:pPr>
        <w:spacing w:after="120"/>
        <w:rPr>
          <w:rFonts w:cstheme="minorHAnsi"/>
        </w:rPr>
      </w:pPr>
      <w:r w:rsidRPr="00A343C7">
        <w:rPr>
          <w:rFonts w:cstheme="minorHAnsi"/>
        </w:rPr>
        <w:t>This legislative and charging review fulfils the Government</w:t>
      </w:r>
      <w:r w:rsidR="00B3117C">
        <w:rPr>
          <w:rFonts w:cstheme="minorHAnsi"/>
        </w:rPr>
        <w:t>’s</w:t>
      </w:r>
      <w:r w:rsidRPr="00A343C7">
        <w:rPr>
          <w:rFonts w:cstheme="minorHAnsi"/>
        </w:rPr>
        <w:t xml:space="preserve"> commitments made in the context of </w:t>
      </w:r>
      <w:r w:rsidR="004A5C40" w:rsidRPr="00A343C7">
        <w:rPr>
          <w:rFonts w:cstheme="minorHAnsi"/>
        </w:rPr>
        <w:t xml:space="preserve">recent inquiries by Senate Committees and the Productivity Commission into aspects of maritime safety regulation, </w:t>
      </w:r>
      <w:r w:rsidRPr="00A343C7">
        <w:rPr>
          <w:rFonts w:cstheme="minorHAnsi"/>
        </w:rPr>
        <w:t>and in the context of AMSA taking responsibility for the National System in 2018.</w:t>
      </w:r>
    </w:p>
    <w:p w14:paraId="52AF1E34" w14:textId="77777777" w:rsidR="00CD4BAB" w:rsidRPr="00A343C7" w:rsidRDefault="0010249D" w:rsidP="0087219C">
      <w:pPr>
        <w:spacing w:after="120"/>
        <w:rPr>
          <w:rFonts w:cstheme="minorHAnsi"/>
        </w:rPr>
      </w:pPr>
      <w:r>
        <w:rPr>
          <w:rFonts w:cstheme="minorHAnsi"/>
        </w:rPr>
        <w:t>The review will be conducted in two stages, commencing with a review of the legislati</w:t>
      </w:r>
      <w:r w:rsidR="006B2AC8">
        <w:rPr>
          <w:rFonts w:cstheme="minorHAnsi"/>
        </w:rPr>
        <w:t>on</w:t>
      </w:r>
      <w:r>
        <w:rPr>
          <w:rFonts w:cstheme="minorHAnsi"/>
        </w:rPr>
        <w:t xml:space="preserve"> and followed by </w:t>
      </w:r>
      <w:r w:rsidR="006B2AC8">
        <w:rPr>
          <w:rFonts w:cstheme="minorHAnsi"/>
        </w:rPr>
        <w:t>a</w:t>
      </w:r>
      <w:r>
        <w:rPr>
          <w:rFonts w:cstheme="minorHAnsi"/>
        </w:rPr>
        <w:t xml:space="preserve"> review of AMSA’s costs and cha</w:t>
      </w:r>
      <w:r w:rsidR="006B2AC8">
        <w:rPr>
          <w:rFonts w:cstheme="minorHAnsi"/>
        </w:rPr>
        <w:t>r</w:t>
      </w:r>
      <w:r>
        <w:rPr>
          <w:rFonts w:cstheme="minorHAnsi"/>
        </w:rPr>
        <w:t>ges.</w:t>
      </w:r>
    </w:p>
    <w:p w14:paraId="23267FA4" w14:textId="77777777" w:rsidR="00A0250C" w:rsidRPr="00A343C7" w:rsidRDefault="00A0250C" w:rsidP="00A0250C">
      <w:pPr>
        <w:pStyle w:val="Heading3"/>
        <w:rPr>
          <w:rFonts w:asciiTheme="minorHAnsi" w:hAnsiTheme="minorHAnsi" w:cstheme="minorHAnsi"/>
          <w:b/>
        </w:rPr>
      </w:pPr>
      <w:r w:rsidRPr="00A343C7">
        <w:rPr>
          <w:rFonts w:asciiTheme="minorHAnsi" w:hAnsiTheme="minorHAnsi" w:cstheme="minorHAnsi"/>
          <w:b/>
        </w:rPr>
        <w:t>Scope</w:t>
      </w:r>
      <w:r w:rsidR="00D84021" w:rsidRPr="00A343C7">
        <w:rPr>
          <w:rFonts w:asciiTheme="minorHAnsi" w:hAnsiTheme="minorHAnsi" w:cstheme="minorHAnsi"/>
          <w:b/>
        </w:rPr>
        <w:t xml:space="preserve"> – Safety Legislation</w:t>
      </w:r>
    </w:p>
    <w:p w14:paraId="16FB8CC0" w14:textId="77777777" w:rsidR="00A0250C" w:rsidRPr="00A343C7" w:rsidRDefault="0087219C" w:rsidP="00D84021">
      <w:pPr>
        <w:spacing w:after="60"/>
        <w:rPr>
          <w:rFonts w:cstheme="minorHAnsi"/>
        </w:rPr>
      </w:pPr>
      <w:r w:rsidRPr="00A343C7">
        <w:rPr>
          <w:rFonts w:cstheme="minorHAnsi"/>
        </w:rPr>
        <w:t>In</w:t>
      </w:r>
      <w:r w:rsidR="00A0250C" w:rsidRPr="00A343C7">
        <w:rPr>
          <w:rFonts w:cstheme="minorHAnsi"/>
        </w:rPr>
        <w:t xml:space="preserve"> </w:t>
      </w:r>
      <w:r w:rsidR="00D12E78" w:rsidRPr="00A343C7">
        <w:rPr>
          <w:rFonts w:cstheme="minorHAnsi"/>
        </w:rPr>
        <w:t>assessing</w:t>
      </w:r>
      <w:r w:rsidR="00A0250C" w:rsidRPr="00A343C7">
        <w:rPr>
          <w:rFonts w:cstheme="minorHAnsi"/>
        </w:rPr>
        <w:t xml:space="preserve"> whether the National Law and related instruments are fit for purpose</w:t>
      </w:r>
      <w:r w:rsidR="001144A9">
        <w:rPr>
          <w:rFonts w:cstheme="minorHAnsi"/>
        </w:rPr>
        <w:t xml:space="preserve"> to a</w:t>
      </w:r>
      <w:r w:rsidR="008E5CF1">
        <w:rPr>
          <w:rFonts w:cstheme="minorHAnsi"/>
        </w:rPr>
        <w:t>c</w:t>
      </w:r>
      <w:r w:rsidR="001144A9">
        <w:rPr>
          <w:rFonts w:cstheme="minorHAnsi"/>
        </w:rPr>
        <w:t>hieve their safety objectives</w:t>
      </w:r>
      <w:r w:rsidR="00A0250C" w:rsidRPr="00A343C7">
        <w:rPr>
          <w:rFonts w:cstheme="minorHAnsi"/>
        </w:rPr>
        <w:t xml:space="preserve">, the review should </w:t>
      </w:r>
      <w:r w:rsidR="00D12E78" w:rsidRPr="00A343C7">
        <w:rPr>
          <w:rFonts w:cstheme="minorHAnsi"/>
        </w:rPr>
        <w:t>consider</w:t>
      </w:r>
      <w:r w:rsidR="00AA0758" w:rsidRPr="00A343C7">
        <w:rPr>
          <w:rFonts w:cstheme="minorHAnsi"/>
        </w:rPr>
        <w:t xml:space="preserve"> whether these laws</w:t>
      </w:r>
      <w:r w:rsidR="00385A00" w:rsidRPr="00A343C7">
        <w:rPr>
          <w:rFonts w:cstheme="minorHAnsi"/>
        </w:rPr>
        <w:t>:</w:t>
      </w:r>
    </w:p>
    <w:p w14:paraId="4B5350E1" w14:textId="77777777" w:rsidR="004A5C40" w:rsidRPr="00A343C7" w:rsidRDefault="00AA0758" w:rsidP="00D84021">
      <w:pPr>
        <w:pStyle w:val="ListParagraph"/>
        <w:numPr>
          <w:ilvl w:val="0"/>
          <w:numId w:val="3"/>
        </w:numPr>
        <w:spacing w:after="60"/>
        <w:ind w:left="357" w:hanging="357"/>
        <w:contextualSpacing w:val="0"/>
        <w:rPr>
          <w:rFonts w:cstheme="minorHAnsi"/>
        </w:rPr>
      </w:pPr>
      <w:proofErr w:type="gramStart"/>
      <w:r w:rsidRPr="00A343C7">
        <w:rPr>
          <w:rFonts w:cstheme="minorHAnsi"/>
          <w:b/>
        </w:rPr>
        <w:t>support</w:t>
      </w:r>
      <w:proofErr w:type="gramEnd"/>
      <w:r w:rsidRPr="00A343C7">
        <w:rPr>
          <w:rFonts w:cstheme="minorHAnsi"/>
          <w:b/>
        </w:rPr>
        <w:t xml:space="preserve"> safe vessel operations</w:t>
      </w:r>
      <w:r w:rsidR="00B62FD3" w:rsidRPr="00A343C7">
        <w:rPr>
          <w:rFonts w:cstheme="minorHAnsi"/>
          <w:b/>
        </w:rPr>
        <w:t xml:space="preserve"> – </w:t>
      </w:r>
      <w:r w:rsidR="00AF40D6" w:rsidRPr="00A343C7">
        <w:rPr>
          <w:rFonts w:cstheme="minorHAnsi"/>
        </w:rPr>
        <w:t>the</w:t>
      </w:r>
      <w:r w:rsidR="00AF40D6" w:rsidRPr="00A343C7">
        <w:rPr>
          <w:rFonts w:cstheme="minorHAnsi"/>
          <w:b/>
        </w:rPr>
        <w:t xml:space="preserve"> </w:t>
      </w:r>
      <w:r w:rsidR="00B62FD3" w:rsidRPr="00A343C7">
        <w:rPr>
          <w:rFonts w:cstheme="minorHAnsi"/>
        </w:rPr>
        <w:t xml:space="preserve">laws should support </w:t>
      </w:r>
      <w:r w:rsidR="0069716B" w:rsidRPr="00A343C7">
        <w:rPr>
          <w:rFonts w:cstheme="minorHAnsi"/>
        </w:rPr>
        <w:t>safe behaviour</w:t>
      </w:r>
      <w:r w:rsidR="00B45CA2">
        <w:rPr>
          <w:rFonts w:cstheme="minorHAnsi"/>
        </w:rPr>
        <w:t>,</w:t>
      </w:r>
      <w:r w:rsidR="0069716B" w:rsidRPr="00A343C7">
        <w:rPr>
          <w:rFonts w:cstheme="minorHAnsi"/>
        </w:rPr>
        <w:t xml:space="preserve"> </w:t>
      </w:r>
      <w:r w:rsidR="00B45CA2">
        <w:rPr>
          <w:rFonts w:cstheme="minorHAnsi"/>
        </w:rPr>
        <w:t xml:space="preserve">foster </w:t>
      </w:r>
      <w:r w:rsidR="0069716B" w:rsidRPr="00A343C7">
        <w:rPr>
          <w:rFonts w:cstheme="minorHAnsi"/>
        </w:rPr>
        <w:t>a safety culture</w:t>
      </w:r>
      <w:r w:rsidR="00B62FD3" w:rsidRPr="00A343C7">
        <w:rPr>
          <w:rFonts w:cstheme="minorHAnsi"/>
        </w:rPr>
        <w:t xml:space="preserve"> across industry</w:t>
      </w:r>
      <w:r w:rsidR="000171C7" w:rsidRPr="00A343C7">
        <w:rPr>
          <w:rFonts w:cstheme="minorHAnsi"/>
        </w:rPr>
        <w:t xml:space="preserve">, </w:t>
      </w:r>
      <w:r w:rsidR="00AF40D6" w:rsidRPr="00A343C7">
        <w:rPr>
          <w:rFonts w:cstheme="minorHAnsi"/>
        </w:rPr>
        <w:t xml:space="preserve">and </w:t>
      </w:r>
      <w:r w:rsidRPr="00A343C7">
        <w:rPr>
          <w:rFonts w:cstheme="minorHAnsi"/>
        </w:rPr>
        <w:t>encourag</w:t>
      </w:r>
      <w:r w:rsidR="00AF40D6" w:rsidRPr="00A343C7">
        <w:rPr>
          <w:rFonts w:cstheme="minorHAnsi"/>
        </w:rPr>
        <w:t>e</w:t>
      </w:r>
      <w:r w:rsidR="00B62FD3" w:rsidRPr="00A343C7">
        <w:rPr>
          <w:rFonts w:cstheme="minorHAnsi"/>
        </w:rPr>
        <w:t xml:space="preserve"> </w:t>
      </w:r>
      <w:r w:rsidRPr="00A343C7">
        <w:rPr>
          <w:rFonts w:cstheme="minorHAnsi"/>
        </w:rPr>
        <w:t>continuous improve</w:t>
      </w:r>
      <w:r w:rsidR="000E4EE1" w:rsidRPr="00A343C7">
        <w:rPr>
          <w:rFonts w:cstheme="minorHAnsi"/>
        </w:rPr>
        <w:t xml:space="preserve">ment and </w:t>
      </w:r>
      <w:r w:rsidRPr="00A343C7">
        <w:rPr>
          <w:rFonts w:cstheme="minorHAnsi"/>
        </w:rPr>
        <w:t>adopt</w:t>
      </w:r>
      <w:r w:rsidR="000E4EE1" w:rsidRPr="00A343C7">
        <w:rPr>
          <w:rFonts w:cstheme="minorHAnsi"/>
        </w:rPr>
        <w:t>ion of</w:t>
      </w:r>
      <w:r w:rsidRPr="00A343C7">
        <w:rPr>
          <w:rFonts w:cstheme="minorHAnsi"/>
        </w:rPr>
        <w:t xml:space="preserve"> best practice</w:t>
      </w:r>
      <w:r w:rsidR="000E4EE1" w:rsidRPr="00A343C7">
        <w:rPr>
          <w:rFonts w:cstheme="minorHAnsi"/>
        </w:rPr>
        <w:t>.</w:t>
      </w:r>
      <w:r w:rsidR="00B62FD3" w:rsidRPr="00A343C7">
        <w:rPr>
          <w:rFonts w:cstheme="minorHAnsi"/>
        </w:rPr>
        <w:t xml:space="preserve"> </w:t>
      </w:r>
      <w:r w:rsidR="003F71AA">
        <w:rPr>
          <w:rFonts w:cstheme="minorHAnsi"/>
        </w:rPr>
        <w:t xml:space="preserve">The laws should support people to have </w:t>
      </w:r>
      <w:r w:rsidR="00C10D12">
        <w:rPr>
          <w:rFonts w:cstheme="minorHAnsi"/>
        </w:rPr>
        <w:t xml:space="preserve">and maintain </w:t>
      </w:r>
      <w:r w:rsidR="003F71AA">
        <w:rPr>
          <w:rFonts w:cstheme="minorHAnsi"/>
        </w:rPr>
        <w:t>the skills need</w:t>
      </w:r>
      <w:r w:rsidR="00C10D12">
        <w:rPr>
          <w:rFonts w:cstheme="minorHAnsi"/>
        </w:rPr>
        <w:t>ed</w:t>
      </w:r>
      <w:r w:rsidR="003F71AA">
        <w:rPr>
          <w:rFonts w:cstheme="minorHAnsi"/>
        </w:rPr>
        <w:t xml:space="preserve"> to safely design, construct, equip, crew and operate vessels. </w:t>
      </w:r>
      <w:r w:rsidR="00B62FD3" w:rsidRPr="00A343C7">
        <w:rPr>
          <w:rFonts w:cstheme="minorHAnsi"/>
        </w:rPr>
        <w:t xml:space="preserve">The review should </w:t>
      </w:r>
      <w:r w:rsidR="00A10D0D" w:rsidRPr="00A343C7">
        <w:rPr>
          <w:rFonts w:cstheme="minorHAnsi"/>
        </w:rPr>
        <w:t xml:space="preserve">include comparison of safety </w:t>
      </w:r>
      <w:r w:rsidR="000171C7" w:rsidRPr="00A343C7">
        <w:rPr>
          <w:rFonts w:cstheme="minorHAnsi"/>
        </w:rPr>
        <w:t xml:space="preserve">outcomes </w:t>
      </w:r>
      <w:r w:rsidR="00A10D0D" w:rsidRPr="00A343C7">
        <w:rPr>
          <w:rFonts w:cstheme="minorHAnsi"/>
        </w:rPr>
        <w:t xml:space="preserve">across </w:t>
      </w:r>
      <w:r w:rsidR="000171C7" w:rsidRPr="00A343C7">
        <w:rPr>
          <w:rFonts w:cstheme="minorHAnsi"/>
        </w:rPr>
        <w:t>sectors</w:t>
      </w:r>
      <w:r w:rsidR="0069716B" w:rsidRPr="00A343C7">
        <w:rPr>
          <w:rFonts w:cstheme="minorHAnsi"/>
        </w:rPr>
        <w:t>.</w:t>
      </w:r>
    </w:p>
    <w:p w14:paraId="5652AB3E" w14:textId="77777777" w:rsidR="00D12E78" w:rsidRPr="00A343C7" w:rsidRDefault="00AB4202" w:rsidP="00D84021">
      <w:pPr>
        <w:pStyle w:val="ListParagraph"/>
        <w:numPr>
          <w:ilvl w:val="0"/>
          <w:numId w:val="3"/>
        </w:numPr>
        <w:spacing w:after="60"/>
        <w:ind w:left="357" w:hanging="357"/>
        <w:contextualSpacing w:val="0"/>
        <w:rPr>
          <w:rFonts w:cstheme="minorHAnsi"/>
        </w:rPr>
      </w:pPr>
      <w:proofErr w:type="gramStart"/>
      <w:r>
        <w:rPr>
          <w:rFonts w:cstheme="minorHAnsi"/>
          <w:b/>
        </w:rPr>
        <w:t>promote</w:t>
      </w:r>
      <w:proofErr w:type="gramEnd"/>
      <w:r w:rsidR="00D32F72">
        <w:rPr>
          <w:rFonts w:cstheme="minorHAnsi"/>
          <w:b/>
        </w:rPr>
        <w:t xml:space="preserve"> </w:t>
      </w:r>
      <w:r w:rsidR="00B62FD3" w:rsidRPr="00A343C7">
        <w:rPr>
          <w:rFonts w:cstheme="minorHAnsi"/>
          <w:b/>
        </w:rPr>
        <w:t xml:space="preserve">a risk-based approach – </w:t>
      </w:r>
      <w:r w:rsidR="00AF40D6" w:rsidRPr="00A343C7">
        <w:rPr>
          <w:rFonts w:cstheme="minorHAnsi"/>
        </w:rPr>
        <w:t>the</w:t>
      </w:r>
      <w:r w:rsidR="00AF40D6" w:rsidRPr="00A343C7">
        <w:rPr>
          <w:rFonts w:cstheme="minorHAnsi"/>
          <w:b/>
        </w:rPr>
        <w:t xml:space="preserve"> </w:t>
      </w:r>
      <w:r w:rsidR="00B62FD3" w:rsidRPr="00A343C7">
        <w:rPr>
          <w:rFonts w:cstheme="minorHAnsi"/>
        </w:rPr>
        <w:t>laws should impose safety</w:t>
      </w:r>
      <w:r w:rsidR="00B62FD3" w:rsidRPr="00A343C7">
        <w:rPr>
          <w:rFonts w:cstheme="minorHAnsi"/>
          <w:b/>
        </w:rPr>
        <w:t xml:space="preserve"> </w:t>
      </w:r>
      <w:r w:rsidR="00B62FD3" w:rsidRPr="00A343C7">
        <w:rPr>
          <w:rFonts w:cstheme="minorHAnsi"/>
        </w:rPr>
        <w:t>requirements proportionate to</w:t>
      </w:r>
      <w:r w:rsidR="00A10D0D" w:rsidRPr="00A343C7">
        <w:rPr>
          <w:rFonts w:cstheme="minorHAnsi"/>
        </w:rPr>
        <w:t xml:space="preserve"> the</w:t>
      </w:r>
      <w:r w:rsidR="00B62FD3" w:rsidRPr="00A343C7">
        <w:rPr>
          <w:rFonts w:cstheme="minorHAnsi"/>
        </w:rPr>
        <w:t xml:space="preserve"> risk </w:t>
      </w:r>
      <w:r w:rsidR="00A10D0D" w:rsidRPr="00A343C7">
        <w:rPr>
          <w:rFonts w:cstheme="minorHAnsi"/>
        </w:rPr>
        <w:t xml:space="preserve">of </w:t>
      </w:r>
      <w:r w:rsidR="00B62FD3" w:rsidRPr="00A343C7">
        <w:rPr>
          <w:rFonts w:cstheme="minorHAnsi"/>
        </w:rPr>
        <w:t>different operations</w:t>
      </w:r>
      <w:r w:rsidR="00D12E78" w:rsidRPr="00A343C7">
        <w:rPr>
          <w:rFonts w:cstheme="minorHAnsi"/>
        </w:rPr>
        <w:t>.</w:t>
      </w:r>
    </w:p>
    <w:p w14:paraId="3C804BC1" w14:textId="77777777" w:rsidR="000A4582" w:rsidRPr="00A343C7" w:rsidRDefault="000A4582" w:rsidP="00D84021">
      <w:pPr>
        <w:pStyle w:val="ListParagraph"/>
        <w:numPr>
          <w:ilvl w:val="0"/>
          <w:numId w:val="3"/>
        </w:numPr>
        <w:spacing w:after="60"/>
        <w:ind w:left="357" w:hanging="357"/>
        <w:contextualSpacing w:val="0"/>
        <w:rPr>
          <w:rFonts w:cstheme="minorHAnsi"/>
          <w:b/>
        </w:rPr>
      </w:pPr>
      <w:proofErr w:type="gramStart"/>
      <w:r w:rsidRPr="00A343C7">
        <w:rPr>
          <w:rFonts w:cstheme="minorHAnsi"/>
          <w:b/>
        </w:rPr>
        <w:t>minimise</w:t>
      </w:r>
      <w:proofErr w:type="gramEnd"/>
      <w:r w:rsidRPr="00A343C7">
        <w:rPr>
          <w:rFonts w:cstheme="minorHAnsi"/>
          <w:b/>
        </w:rPr>
        <w:t xml:space="preserve"> burden – </w:t>
      </w:r>
      <w:r w:rsidR="00425A3E" w:rsidRPr="00A343C7">
        <w:rPr>
          <w:rFonts w:cstheme="minorHAnsi"/>
        </w:rPr>
        <w:t>the law</w:t>
      </w:r>
      <w:r w:rsidR="00DC56C7" w:rsidRPr="00A343C7">
        <w:rPr>
          <w:rFonts w:cstheme="minorHAnsi"/>
        </w:rPr>
        <w:t>s</w:t>
      </w:r>
      <w:r w:rsidR="00425A3E" w:rsidRPr="00A343C7">
        <w:rPr>
          <w:rFonts w:cstheme="minorHAnsi"/>
        </w:rPr>
        <w:t xml:space="preserve"> should support safety outcomes in </w:t>
      </w:r>
      <w:r w:rsidR="00DC56C7" w:rsidRPr="00A343C7">
        <w:rPr>
          <w:rFonts w:cstheme="minorHAnsi"/>
        </w:rPr>
        <w:t xml:space="preserve">a </w:t>
      </w:r>
      <w:r w:rsidR="00425A3E" w:rsidRPr="00A343C7">
        <w:rPr>
          <w:rFonts w:cstheme="minorHAnsi"/>
        </w:rPr>
        <w:t xml:space="preserve">manner </w:t>
      </w:r>
      <w:r w:rsidR="00C825C7" w:rsidRPr="00A343C7">
        <w:rPr>
          <w:rFonts w:cstheme="minorHAnsi"/>
        </w:rPr>
        <w:t>that</w:t>
      </w:r>
      <w:r w:rsidR="00425A3E" w:rsidRPr="00A343C7">
        <w:rPr>
          <w:rFonts w:cstheme="minorHAnsi"/>
        </w:rPr>
        <w:t xml:space="preserve"> minimise</w:t>
      </w:r>
      <w:r w:rsidR="00C825C7" w:rsidRPr="00A343C7">
        <w:rPr>
          <w:rFonts w:cstheme="minorHAnsi"/>
        </w:rPr>
        <w:t>s</w:t>
      </w:r>
      <w:r w:rsidR="00425A3E" w:rsidRPr="00A343C7">
        <w:rPr>
          <w:rFonts w:cstheme="minorHAnsi"/>
        </w:rPr>
        <w:t xml:space="preserve"> regulatory and administrative burden for industry.</w:t>
      </w:r>
    </w:p>
    <w:p w14:paraId="20E709FA" w14:textId="77777777" w:rsidR="00A0250C" w:rsidRPr="00A343C7" w:rsidRDefault="00AF40D6" w:rsidP="00D84021">
      <w:pPr>
        <w:pStyle w:val="ListParagraph"/>
        <w:numPr>
          <w:ilvl w:val="0"/>
          <w:numId w:val="3"/>
        </w:numPr>
        <w:spacing w:after="60"/>
        <w:ind w:left="357" w:hanging="357"/>
        <w:contextualSpacing w:val="0"/>
        <w:rPr>
          <w:rFonts w:cstheme="minorHAnsi"/>
        </w:rPr>
      </w:pPr>
      <w:proofErr w:type="gramStart"/>
      <w:r w:rsidRPr="00A343C7">
        <w:rPr>
          <w:rFonts w:cstheme="minorHAnsi"/>
          <w:b/>
        </w:rPr>
        <w:t>are</w:t>
      </w:r>
      <w:proofErr w:type="gramEnd"/>
      <w:r w:rsidR="00B62FD3" w:rsidRPr="00A343C7">
        <w:rPr>
          <w:rFonts w:cstheme="minorHAnsi"/>
          <w:b/>
        </w:rPr>
        <w:t xml:space="preserve"> </w:t>
      </w:r>
      <w:r w:rsidR="00DC56C7" w:rsidRPr="00A343C7">
        <w:rPr>
          <w:rFonts w:cstheme="minorHAnsi"/>
          <w:b/>
        </w:rPr>
        <w:t>flexible</w:t>
      </w:r>
      <w:r w:rsidRPr="00A343C7">
        <w:rPr>
          <w:rFonts w:cstheme="minorHAnsi"/>
          <w:b/>
        </w:rPr>
        <w:t xml:space="preserve"> </w:t>
      </w:r>
      <w:r w:rsidR="00B62FD3" w:rsidRPr="00A343C7">
        <w:rPr>
          <w:rFonts w:cstheme="minorHAnsi"/>
        </w:rPr>
        <w:t xml:space="preserve">– </w:t>
      </w:r>
      <w:r w:rsidR="00CB6151">
        <w:rPr>
          <w:rFonts w:cstheme="minorHAnsi"/>
        </w:rPr>
        <w:t xml:space="preserve">the </w:t>
      </w:r>
      <w:r w:rsidRPr="00A343C7">
        <w:rPr>
          <w:rFonts w:cstheme="minorHAnsi"/>
        </w:rPr>
        <w:t xml:space="preserve">laws should </w:t>
      </w:r>
      <w:r w:rsidR="00385A00" w:rsidRPr="00A343C7">
        <w:rPr>
          <w:rFonts w:cstheme="minorHAnsi"/>
        </w:rPr>
        <w:t>cater to the diversity of regulated businesses,</w:t>
      </w:r>
      <w:r w:rsidR="00AB4202">
        <w:rPr>
          <w:rFonts w:cstheme="minorHAnsi"/>
        </w:rPr>
        <w:t xml:space="preserve"> individuals</w:t>
      </w:r>
      <w:r w:rsidR="00385A00" w:rsidRPr="00A343C7">
        <w:rPr>
          <w:rFonts w:cstheme="minorHAnsi"/>
        </w:rPr>
        <w:t xml:space="preserve"> and vessels, </w:t>
      </w:r>
      <w:r w:rsidRPr="006B2AC8">
        <w:rPr>
          <w:rFonts w:cstheme="minorHAnsi"/>
        </w:rPr>
        <w:t xml:space="preserve">and </w:t>
      </w:r>
      <w:r w:rsidR="00AB4202">
        <w:rPr>
          <w:rFonts w:cstheme="minorHAnsi"/>
        </w:rPr>
        <w:t>accommodate</w:t>
      </w:r>
      <w:r w:rsidR="00285696" w:rsidRPr="005D2965">
        <w:rPr>
          <w:rFonts w:cstheme="minorHAnsi"/>
        </w:rPr>
        <w:t xml:space="preserve"> </w:t>
      </w:r>
      <w:r w:rsidR="00385A00" w:rsidRPr="005D2965">
        <w:rPr>
          <w:rFonts w:cstheme="minorHAnsi"/>
        </w:rPr>
        <w:t xml:space="preserve">innovation and </w:t>
      </w:r>
      <w:r w:rsidRPr="005D2965">
        <w:rPr>
          <w:rFonts w:cstheme="minorHAnsi"/>
        </w:rPr>
        <w:t xml:space="preserve">changes in </w:t>
      </w:r>
      <w:r w:rsidR="000171C7" w:rsidRPr="005D2965">
        <w:rPr>
          <w:rFonts w:cstheme="minorHAnsi"/>
        </w:rPr>
        <w:t>technology</w:t>
      </w:r>
      <w:r w:rsidR="00385A00" w:rsidRPr="005D2965">
        <w:rPr>
          <w:rFonts w:cstheme="minorHAnsi"/>
        </w:rPr>
        <w:t>.</w:t>
      </w:r>
      <w:r w:rsidRPr="005D2965">
        <w:rPr>
          <w:rFonts w:cstheme="minorHAnsi"/>
        </w:rPr>
        <w:t xml:space="preserve"> </w:t>
      </w:r>
    </w:p>
    <w:p w14:paraId="5A766DA5" w14:textId="77777777" w:rsidR="00A0250C" w:rsidRPr="00A343C7" w:rsidRDefault="00AF40D6" w:rsidP="00D84021">
      <w:pPr>
        <w:pStyle w:val="ListParagraph"/>
        <w:numPr>
          <w:ilvl w:val="0"/>
          <w:numId w:val="3"/>
        </w:numPr>
        <w:spacing w:after="60"/>
        <w:contextualSpacing w:val="0"/>
        <w:rPr>
          <w:rFonts w:cstheme="minorHAnsi"/>
        </w:rPr>
      </w:pPr>
      <w:proofErr w:type="gramStart"/>
      <w:r w:rsidRPr="00A343C7">
        <w:rPr>
          <w:rFonts w:cstheme="minorHAnsi"/>
          <w:b/>
        </w:rPr>
        <w:t>are</w:t>
      </w:r>
      <w:proofErr w:type="gramEnd"/>
      <w:r w:rsidRPr="00A343C7">
        <w:rPr>
          <w:rFonts w:cstheme="minorHAnsi"/>
          <w:b/>
        </w:rPr>
        <w:t xml:space="preserve"> simple and transparent – </w:t>
      </w:r>
      <w:r w:rsidR="000A4582" w:rsidRPr="00A343C7">
        <w:rPr>
          <w:rFonts w:cstheme="minorHAnsi"/>
        </w:rPr>
        <w:t>the</w:t>
      </w:r>
      <w:r w:rsidR="000A4582" w:rsidRPr="00A343C7">
        <w:rPr>
          <w:rFonts w:cstheme="minorHAnsi"/>
          <w:b/>
        </w:rPr>
        <w:t xml:space="preserve"> </w:t>
      </w:r>
      <w:r w:rsidRPr="00A343C7">
        <w:rPr>
          <w:rFonts w:cstheme="minorHAnsi"/>
        </w:rPr>
        <w:t xml:space="preserve">laws </w:t>
      </w:r>
      <w:r w:rsidR="000A4582" w:rsidRPr="00A343C7">
        <w:rPr>
          <w:rFonts w:cstheme="minorHAnsi"/>
        </w:rPr>
        <w:t xml:space="preserve">should be </w:t>
      </w:r>
      <w:r w:rsidR="00A10D0D" w:rsidRPr="00A343C7">
        <w:rPr>
          <w:rFonts w:cstheme="minorHAnsi"/>
        </w:rPr>
        <w:t xml:space="preserve">informed by </w:t>
      </w:r>
      <w:r w:rsidR="00AB4202">
        <w:rPr>
          <w:rFonts w:cstheme="minorHAnsi"/>
        </w:rPr>
        <w:t>wide consultation</w:t>
      </w:r>
      <w:r w:rsidR="00A10D0D" w:rsidRPr="00A343C7">
        <w:rPr>
          <w:rFonts w:cstheme="minorHAnsi"/>
        </w:rPr>
        <w:t xml:space="preserve">, be </w:t>
      </w:r>
      <w:r w:rsidR="003F71AA" w:rsidRPr="00A343C7">
        <w:rPr>
          <w:rFonts w:cstheme="minorHAnsi"/>
        </w:rPr>
        <w:t>accessible</w:t>
      </w:r>
      <w:r w:rsidR="003F71AA">
        <w:rPr>
          <w:rFonts w:cstheme="minorHAnsi"/>
        </w:rPr>
        <w:t xml:space="preserve"> and</w:t>
      </w:r>
      <w:r w:rsidR="003F71AA" w:rsidRPr="00A343C7">
        <w:rPr>
          <w:rFonts w:cstheme="minorHAnsi"/>
        </w:rPr>
        <w:t xml:space="preserve"> </w:t>
      </w:r>
      <w:r w:rsidR="00E801E9" w:rsidRPr="00A343C7">
        <w:rPr>
          <w:rFonts w:cstheme="minorHAnsi"/>
        </w:rPr>
        <w:t>clear</w:t>
      </w:r>
      <w:r w:rsidR="00AB4202">
        <w:rPr>
          <w:rFonts w:cstheme="minorHAnsi"/>
        </w:rPr>
        <w:t>,</w:t>
      </w:r>
      <w:r w:rsidR="00D32F72">
        <w:rPr>
          <w:rFonts w:cstheme="minorHAnsi"/>
        </w:rPr>
        <w:t xml:space="preserve"> and </w:t>
      </w:r>
      <w:r w:rsidR="00D12E78" w:rsidRPr="00A343C7">
        <w:rPr>
          <w:rFonts w:cstheme="minorHAnsi"/>
        </w:rPr>
        <w:t xml:space="preserve">support </w:t>
      </w:r>
      <w:r w:rsidR="004D07A4">
        <w:rPr>
          <w:rFonts w:cstheme="minorHAnsi"/>
        </w:rPr>
        <w:t>operators</w:t>
      </w:r>
      <w:r w:rsidR="00D12E78" w:rsidRPr="00A343C7">
        <w:rPr>
          <w:rFonts w:cstheme="minorHAnsi"/>
        </w:rPr>
        <w:t xml:space="preserve"> </w:t>
      </w:r>
      <w:r w:rsidR="007C0106" w:rsidRPr="00A343C7">
        <w:rPr>
          <w:rFonts w:cstheme="minorHAnsi"/>
        </w:rPr>
        <w:t>to understand</w:t>
      </w:r>
      <w:r w:rsidR="00AB4202">
        <w:rPr>
          <w:rFonts w:cstheme="minorHAnsi"/>
        </w:rPr>
        <w:t xml:space="preserve"> and comply with</w:t>
      </w:r>
      <w:r w:rsidR="004D07A4">
        <w:rPr>
          <w:rFonts w:cstheme="minorHAnsi"/>
        </w:rPr>
        <w:t xml:space="preserve"> </w:t>
      </w:r>
      <w:r w:rsidR="000A4582" w:rsidRPr="00A343C7">
        <w:rPr>
          <w:rFonts w:cstheme="minorHAnsi"/>
        </w:rPr>
        <w:t>safety requirements that apply to them</w:t>
      </w:r>
      <w:r w:rsidR="00AB4202">
        <w:rPr>
          <w:rFonts w:cstheme="minorHAnsi"/>
        </w:rPr>
        <w:t>.</w:t>
      </w:r>
    </w:p>
    <w:p w14:paraId="0C594B21" w14:textId="77777777" w:rsidR="007C0106" w:rsidRPr="00A343C7" w:rsidRDefault="000A4582" w:rsidP="00D84021">
      <w:pPr>
        <w:pStyle w:val="ListParagraph"/>
        <w:numPr>
          <w:ilvl w:val="0"/>
          <w:numId w:val="3"/>
        </w:numPr>
        <w:spacing w:after="60"/>
        <w:ind w:left="357" w:hanging="357"/>
        <w:contextualSpacing w:val="0"/>
        <w:rPr>
          <w:rFonts w:cstheme="minorHAnsi"/>
        </w:rPr>
      </w:pPr>
      <w:proofErr w:type="gramStart"/>
      <w:r w:rsidRPr="00A343C7">
        <w:rPr>
          <w:rFonts w:cstheme="minorHAnsi"/>
          <w:b/>
        </w:rPr>
        <w:t>support</w:t>
      </w:r>
      <w:proofErr w:type="gramEnd"/>
      <w:r w:rsidRPr="00A343C7">
        <w:rPr>
          <w:rFonts w:cstheme="minorHAnsi"/>
          <w:b/>
        </w:rPr>
        <w:t xml:space="preserve"> </w:t>
      </w:r>
      <w:r w:rsidR="00A10D0D" w:rsidRPr="00A343C7">
        <w:rPr>
          <w:rFonts w:cstheme="minorHAnsi"/>
          <w:b/>
        </w:rPr>
        <w:t xml:space="preserve">effective </w:t>
      </w:r>
      <w:r w:rsidRPr="00A343C7">
        <w:rPr>
          <w:rFonts w:cstheme="minorHAnsi"/>
          <w:b/>
        </w:rPr>
        <w:t xml:space="preserve">compliance – </w:t>
      </w:r>
      <w:r w:rsidRPr="00A343C7">
        <w:rPr>
          <w:rFonts w:cstheme="minorHAnsi"/>
        </w:rPr>
        <w:t xml:space="preserve">the laws should </w:t>
      </w:r>
      <w:r w:rsidR="007E4BD9" w:rsidRPr="00A343C7">
        <w:rPr>
          <w:rFonts w:cstheme="minorHAnsi"/>
        </w:rPr>
        <w:t>provide an e</w:t>
      </w:r>
      <w:r w:rsidR="00A0250C" w:rsidRPr="00A343C7">
        <w:rPr>
          <w:rFonts w:cstheme="minorHAnsi"/>
        </w:rPr>
        <w:t xml:space="preserve">ffective </w:t>
      </w:r>
      <w:r w:rsidR="00D32F72">
        <w:rPr>
          <w:rFonts w:cstheme="minorHAnsi"/>
        </w:rPr>
        <w:t xml:space="preserve">and practical </w:t>
      </w:r>
      <w:r w:rsidR="007E4BD9" w:rsidRPr="00A343C7">
        <w:rPr>
          <w:rFonts w:cstheme="minorHAnsi"/>
        </w:rPr>
        <w:t xml:space="preserve">range of </w:t>
      </w:r>
      <w:r w:rsidR="00A0250C" w:rsidRPr="00A343C7">
        <w:rPr>
          <w:rFonts w:cstheme="minorHAnsi"/>
        </w:rPr>
        <w:t>compliance</w:t>
      </w:r>
      <w:r w:rsidR="007E4BD9" w:rsidRPr="00A343C7">
        <w:rPr>
          <w:rFonts w:cstheme="minorHAnsi"/>
        </w:rPr>
        <w:t xml:space="preserve"> </w:t>
      </w:r>
      <w:r w:rsidR="00D12E78" w:rsidRPr="00A343C7">
        <w:rPr>
          <w:rFonts w:cstheme="minorHAnsi"/>
        </w:rPr>
        <w:t xml:space="preserve">powers </w:t>
      </w:r>
      <w:r w:rsidR="007E4BD9" w:rsidRPr="00A343C7">
        <w:rPr>
          <w:rFonts w:cstheme="minorHAnsi"/>
        </w:rPr>
        <w:t>and enforcement tools</w:t>
      </w:r>
      <w:r w:rsidRPr="00A343C7">
        <w:rPr>
          <w:rFonts w:cstheme="minorHAnsi"/>
        </w:rPr>
        <w:t xml:space="preserve"> for AMSA</w:t>
      </w:r>
      <w:r w:rsidR="007E4BD9" w:rsidRPr="00A343C7">
        <w:rPr>
          <w:rFonts w:cstheme="minorHAnsi"/>
        </w:rPr>
        <w:t>.</w:t>
      </w:r>
      <w:r w:rsidR="00A0250C" w:rsidRPr="00A343C7">
        <w:rPr>
          <w:rFonts w:cstheme="minorHAnsi"/>
        </w:rPr>
        <w:t xml:space="preserve"> </w:t>
      </w:r>
    </w:p>
    <w:p w14:paraId="58A3F1F3" w14:textId="77777777" w:rsidR="00425A3E" w:rsidRPr="00A343C7" w:rsidRDefault="00425A3E" w:rsidP="00D84021">
      <w:pPr>
        <w:keepNext/>
        <w:spacing w:after="60"/>
        <w:rPr>
          <w:rFonts w:cstheme="minorHAnsi"/>
        </w:rPr>
      </w:pPr>
      <w:r w:rsidRPr="00A343C7">
        <w:rPr>
          <w:rFonts w:cstheme="minorHAnsi"/>
        </w:rPr>
        <w:lastRenderedPageBreak/>
        <w:t xml:space="preserve">The review should </w:t>
      </w:r>
      <w:r w:rsidR="00DC56C7" w:rsidRPr="00A343C7">
        <w:rPr>
          <w:rFonts w:cstheme="minorHAnsi"/>
        </w:rPr>
        <w:t xml:space="preserve">also </w:t>
      </w:r>
      <w:r w:rsidR="0087219C" w:rsidRPr="00A343C7">
        <w:rPr>
          <w:rFonts w:cstheme="minorHAnsi"/>
        </w:rPr>
        <w:t xml:space="preserve">specifically </w:t>
      </w:r>
      <w:r w:rsidRPr="00A343C7">
        <w:rPr>
          <w:rFonts w:cstheme="minorHAnsi"/>
        </w:rPr>
        <w:t>consider</w:t>
      </w:r>
      <w:r w:rsidR="0087219C" w:rsidRPr="00A343C7">
        <w:rPr>
          <w:rFonts w:cstheme="minorHAnsi"/>
        </w:rPr>
        <w:t>:</w:t>
      </w:r>
    </w:p>
    <w:p w14:paraId="2485E3A0" w14:textId="77777777" w:rsidR="0094430A" w:rsidRPr="00A343C7" w:rsidRDefault="00425A3E" w:rsidP="00D84021">
      <w:pPr>
        <w:pStyle w:val="ListParagraph"/>
        <w:numPr>
          <w:ilvl w:val="0"/>
          <w:numId w:val="3"/>
        </w:numPr>
        <w:spacing w:after="60"/>
        <w:contextualSpacing w:val="0"/>
        <w:rPr>
          <w:rFonts w:cstheme="minorHAnsi"/>
        </w:rPr>
      </w:pPr>
      <w:proofErr w:type="gramStart"/>
      <w:r w:rsidRPr="00A343C7">
        <w:rPr>
          <w:rFonts w:cstheme="minorHAnsi"/>
        </w:rPr>
        <w:t>whether</w:t>
      </w:r>
      <w:proofErr w:type="gramEnd"/>
      <w:r w:rsidRPr="00A343C7">
        <w:rPr>
          <w:rFonts w:cstheme="minorHAnsi"/>
        </w:rPr>
        <w:t xml:space="preserve"> </w:t>
      </w:r>
      <w:r w:rsidR="0094430A" w:rsidRPr="00A343C7">
        <w:rPr>
          <w:rFonts w:cstheme="minorHAnsi"/>
        </w:rPr>
        <w:t xml:space="preserve">the National Law </w:t>
      </w:r>
      <w:r w:rsidR="001F064C" w:rsidRPr="00A343C7">
        <w:rPr>
          <w:rFonts w:cstheme="minorHAnsi"/>
        </w:rPr>
        <w:t xml:space="preserve">interacts </w:t>
      </w:r>
      <w:r w:rsidR="00343B3E">
        <w:rPr>
          <w:rFonts w:cstheme="minorHAnsi"/>
        </w:rPr>
        <w:t xml:space="preserve">effectively </w:t>
      </w:r>
      <w:r w:rsidR="001F064C" w:rsidRPr="00A343C7">
        <w:rPr>
          <w:rFonts w:cstheme="minorHAnsi"/>
        </w:rPr>
        <w:t xml:space="preserve">with other </w:t>
      </w:r>
      <w:r w:rsidR="009A118D">
        <w:rPr>
          <w:rFonts w:cstheme="minorHAnsi"/>
        </w:rPr>
        <w:t xml:space="preserve">Commonwealth and state </w:t>
      </w:r>
      <w:r w:rsidR="00CB6151">
        <w:rPr>
          <w:rFonts w:cstheme="minorHAnsi"/>
        </w:rPr>
        <w:t xml:space="preserve">and territory </w:t>
      </w:r>
      <w:r w:rsidR="001F064C" w:rsidRPr="00A343C7">
        <w:rPr>
          <w:rFonts w:cstheme="minorHAnsi"/>
        </w:rPr>
        <w:t xml:space="preserve">legislative frameworks, </w:t>
      </w:r>
      <w:r w:rsidR="007E16E9" w:rsidRPr="00A343C7">
        <w:rPr>
          <w:rFonts w:cstheme="minorHAnsi"/>
        </w:rPr>
        <w:t>particularly</w:t>
      </w:r>
      <w:r w:rsidR="001F064C" w:rsidRPr="00A343C7">
        <w:rPr>
          <w:rFonts w:cstheme="minorHAnsi"/>
        </w:rPr>
        <w:t xml:space="preserve"> the </w:t>
      </w:r>
      <w:r w:rsidR="0094430A" w:rsidRPr="00A343C7">
        <w:rPr>
          <w:rFonts w:cstheme="minorHAnsi"/>
          <w:i/>
        </w:rPr>
        <w:t>Navigation Act 2012</w:t>
      </w:r>
      <w:r w:rsidR="009A118D">
        <w:rPr>
          <w:rFonts w:cstheme="minorHAnsi"/>
        </w:rPr>
        <w:t xml:space="preserve"> and workplace health and safety regulations</w:t>
      </w:r>
      <w:r w:rsidR="008C5AF4">
        <w:rPr>
          <w:rFonts w:cstheme="minorHAnsi"/>
        </w:rPr>
        <w:t xml:space="preserve">, </w:t>
      </w:r>
      <w:r w:rsidR="00DD0F5E">
        <w:rPr>
          <w:rFonts w:cstheme="minorHAnsi"/>
        </w:rPr>
        <w:t xml:space="preserve">as well as with international maritime </w:t>
      </w:r>
      <w:r w:rsidR="00C10D12">
        <w:rPr>
          <w:rFonts w:cstheme="minorHAnsi"/>
        </w:rPr>
        <w:t xml:space="preserve">safety </w:t>
      </w:r>
      <w:r w:rsidR="00DD0F5E">
        <w:rPr>
          <w:rFonts w:cstheme="minorHAnsi"/>
        </w:rPr>
        <w:t>obligations</w:t>
      </w:r>
      <w:r w:rsidR="001F064C" w:rsidRPr="00A343C7">
        <w:rPr>
          <w:rFonts w:cstheme="minorHAnsi"/>
        </w:rPr>
        <w:t>.</w:t>
      </w:r>
      <w:r w:rsidR="0094430A" w:rsidRPr="00A343C7">
        <w:rPr>
          <w:rFonts w:cstheme="minorHAnsi"/>
        </w:rPr>
        <w:t xml:space="preserve"> </w:t>
      </w:r>
    </w:p>
    <w:p w14:paraId="3F7A3DA1" w14:textId="77777777" w:rsidR="00425A3E" w:rsidRPr="00A343C7" w:rsidRDefault="00425A3E" w:rsidP="0087219C">
      <w:pPr>
        <w:pStyle w:val="ListParagraph"/>
        <w:numPr>
          <w:ilvl w:val="0"/>
          <w:numId w:val="3"/>
        </w:numPr>
        <w:spacing w:after="120"/>
        <w:contextualSpacing w:val="0"/>
        <w:rPr>
          <w:rFonts w:cstheme="minorHAnsi"/>
        </w:rPr>
      </w:pPr>
      <w:proofErr w:type="gramStart"/>
      <w:r w:rsidRPr="00A343C7">
        <w:rPr>
          <w:rFonts w:cstheme="minorHAnsi"/>
        </w:rPr>
        <w:t>whether</w:t>
      </w:r>
      <w:proofErr w:type="gramEnd"/>
      <w:r w:rsidRPr="00A343C7">
        <w:rPr>
          <w:rFonts w:cstheme="minorHAnsi"/>
        </w:rPr>
        <w:t xml:space="preserve"> e</w:t>
      </w:r>
      <w:r w:rsidR="000D6562" w:rsidRPr="00A343C7">
        <w:rPr>
          <w:rFonts w:cstheme="minorHAnsi"/>
        </w:rPr>
        <w:t>xpanding the Australian Transport Safety Bureau’s (ATSB) role to inc</w:t>
      </w:r>
      <w:r w:rsidR="0087219C" w:rsidRPr="00A343C7">
        <w:rPr>
          <w:rFonts w:cstheme="minorHAnsi"/>
        </w:rPr>
        <w:t>lude domestic commercial vessel</w:t>
      </w:r>
      <w:r w:rsidR="0011560F">
        <w:rPr>
          <w:rFonts w:cstheme="minorHAnsi"/>
        </w:rPr>
        <w:t xml:space="preserve"> </w:t>
      </w:r>
      <w:r w:rsidR="0087219C" w:rsidRPr="00A343C7">
        <w:rPr>
          <w:rFonts w:cstheme="minorHAnsi"/>
        </w:rPr>
        <w:t>s</w:t>
      </w:r>
      <w:r w:rsidR="0011560F">
        <w:rPr>
          <w:rFonts w:cstheme="minorHAnsi"/>
        </w:rPr>
        <w:t>afety</w:t>
      </w:r>
      <w:r w:rsidR="0087219C" w:rsidRPr="00A343C7">
        <w:rPr>
          <w:rFonts w:cstheme="minorHAnsi"/>
        </w:rPr>
        <w:t xml:space="preserve"> could </w:t>
      </w:r>
      <w:r w:rsidR="000D6562" w:rsidRPr="00A343C7">
        <w:rPr>
          <w:rFonts w:cstheme="minorHAnsi"/>
        </w:rPr>
        <w:t xml:space="preserve">support </w:t>
      </w:r>
      <w:r w:rsidR="0087219C" w:rsidRPr="00A343C7">
        <w:rPr>
          <w:rFonts w:cstheme="minorHAnsi"/>
        </w:rPr>
        <w:t xml:space="preserve">substantially </w:t>
      </w:r>
      <w:r w:rsidR="000D6562" w:rsidRPr="00A343C7">
        <w:rPr>
          <w:rFonts w:cstheme="minorHAnsi"/>
        </w:rPr>
        <w:t xml:space="preserve">improved </w:t>
      </w:r>
      <w:r w:rsidR="0087219C" w:rsidRPr="00A343C7">
        <w:rPr>
          <w:rFonts w:cstheme="minorHAnsi"/>
        </w:rPr>
        <w:t xml:space="preserve">safety </w:t>
      </w:r>
      <w:r w:rsidR="000D6562" w:rsidRPr="00A343C7">
        <w:rPr>
          <w:rFonts w:cstheme="minorHAnsi"/>
        </w:rPr>
        <w:t>outcomes for industry</w:t>
      </w:r>
      <w:r w:rsidR="000A02F4">
        <w:rPr>
          <w:rFonts w:cstheme="minorHAnsi"/>
        </w:rPr>
        <w:t>, as well as regulators and policy-makers</w:t>
      </w:r>
      <w:r w:rsidRPr="00A343C7">
        <w:rPr>
          <w:rFonts w:cstheme="minorHAnsi"/>
        </w:rPr>
        <w:t>.</w:t>
      </w:r>
    </w:p>
    <w:p w14:paraId="4F9B0E6C" w14:textId="77777777" w:rsidR="0087219C" w:rsidRPr="00A343C7" w:rsidRDefault="00425A3E" w:rsidP="0087219C">
      <w:pPr>
        <w:spacing w:after="120"/>
        <w:rPr>
          <w:rFonts w:cstheme="minorHAnsi"/>
        </w:rPr>
      </w:pPr>
      <w:r w:rsidRPr="00A343C7">
        <w:rPr>
          <w:rFonts w:cstheme="minorHAnsi"/>
        </w:rPr>
        <w:t xml:space="preserve">The review should </w:t>
      </w:r>
      <w:r w:rsidR="003B7417">
        <w:rPr>
          <w:rFonts w:cstheme="minorHAnsi"/>
        </w:rPr>
        <w:t xml:space="preserve">advise </w:t>
      </w:r>
      <w:r w:rsidRPr="00A343C7">
        <w:rPr>
          <w:rFonts w:cstheme="minorHAnsi"/>
        </w:rPr>
        <w:t xml:space="preserve">the Government </w:t>
      </w:r>
      <w:r w:rsidR="003B7417">
        <w:rPr>
          <w:rFonts w:cstheme="minorHAnsi"/>
        </w:rPr>
        <w:t xml:space="preserve">of the extent to which </w:t>
      </w:r>
      <w:r w:rsidRPr="00A343C7">
        <w:rPr>
          <w:rFonts w:cstheme="minorHAnsi"/>
        </w:rPr>
        <w:t>the National Law framework is currently fit for purpose</w:t>
      </w:r>
      <w:r w:rsidR="004D07A4">
        <w:rPr>
          <w:rFonts w:cstheme="minorHAnsi"/>
        </w:rPr>
        <w:t xml:space="preserve">. </w:t>
      </w:r>
      <w:r w:rsidR="00C825C7" w:rsidRPr="00A343C7">
        <w:rPr>
          <w:rFonts w:cstheme="minorHAnsi"/>
        </w:rPr>
        <w:t>It should</w:t>
      </w:r>
      <w:r w:rsidR="0087219C" w:rsidRPr="00A343C7">
        <w:rPr>
          <w:rFonts w:cstheme="minorHAnsi"/>
        </w:rPr>
        <w:t xml:space="preserve"> have regard to </w:t>
      </w:r>
      <w:r w:rsidRPr="00A343C7">
        <w:rPr>
          <w:rFonts w:cstheme="minorHAnsi"/>
        </w:rPr>
        <w:t xml:space="preserve">any challenges in existing arrangements under the </w:t>
      </w:r>
      <w:r w:rsidR="00FD08AD">
        <w:rPr>
          <w:rFonts w:cstheme="minorHAnsi"/>
        </w:rPr>
        <w:t>N</w:t>
      </w:r>
      <w:r w:rsidRPr="00A343C7">
        <w:rPr>
          <w:rFonts w:cstheme="minorHAnsi"/>
        </w:rPr>
        <w:t xml:space="preserve">ational </w:t>
      </w:r>
      <w:r w:rsidR="00FD08AD">
        <w:rPr>
          <w:rFonts w:cstheme="minorHAnsi"/>
        </w:rPr>
        <w:t>L</w:t>
      </w:r>
      <w:r w:rsidRPr="00A343C7">
        <w:rPr>
          <w:rFonts w:cstheme="minorHAnsi"/>
        </w:rPr>
        <w:t>aw</w:t>
      </w:r>
      <w:r w:rsidR="0087219C" w:rsidRPr="00A343C7">
        <w:rPr>
          <w:rFonts w:cstheme="minorHAnsi"/>
        </w:rPr>
        <w:t>.</w:t>
      </w:r>
    </w:p>
    <w:p w14:paraId="0A852346" w14:textId="77777777" w:rsidR="00425A3E" w:rsidRPr="00A343C7" w:rsidRDefault="0087219C" w:rsidP="0087219C">
      <w:pPr>
        <w:spacing w:after="120"/>
        <w:rPr>
          <w:rFonts w:cstheme="minorHAnsi"/>
        </w:rPr>
      </w:pPr>
      <w:r w:rsidRPr="00A343C7">
        <w:rPr>
          <w:rFonts w:cstheme="minorHAnsi"/>
        </w:rPr>
        <w:t xml:space="preserve">The review should </w:t>
      </w:r>
      <w:r w:rsidR="00425A3E" w:rsidRPr="00A343C7">
        <w:rPr>
          <w:rFonts w:cstheme="minorHAnsi"/>
        </w:rPr>
        <w:t xml:space="preserve">make </w:t>
      </w:r>
      <w:r w:rsidRPr="00A343C7">
        <w:rPr>
          <w:rFonts w:cstheme="minorHAnsi"/>
        </w:rPr>
        <w:t xml:space="preserve">recommendations to Government where </w:t>
      </w:r>
      <w:r w:rsidR="002173F8" w:rsidRPr="00A343C7">
        <w:rPr>
          <w:rFonts w:cstheme="minorHAnsi"/>
        </w:rPr>
        <w:t xml:space="preserve">the National Law framework is not fit for purpose, or where it identifies </w:t>
      </w:r>
      <w:r w:rsidR="00425A3E" w:rsidRPr="00A343C7">
        <w:rPr>
          <w:rFonts w:cstheme="minorHAnsi"/>
        </w:rPr>
        <w:t xml:space="preserve">opportunities to </w:t>
      </w:r>
      <w:r w:rsidR="002173F8" w:rsidRPr="00A343C7">
        <w:rPr>
          <w:rFonts w:cstheme="minorHAnsi"/>
        </w:rPr>
        <w:t>improve outcomes by reforming the laws</w:t>
      </w:r>
      <w:r w:rsidR="00A343C7">
        <w:rPr>
          <w:rFonts w:cstheme="minorHAnsi"/>
        </w:rPr>
        <w:t>. As part of these recommendation</w:t>
      </w:r>
      <w:r w:rsidR="00801859">
        <w:rPr>
          <w:rFonts w:cstheme="minorHAnsi"/>
        </w:rPr>
        <w:t>s</w:t>
      </w:r>
      <w:r w:rsidR="00A343C7">
        <w:rPr>
          <w:rFonts w:cstheme="minorHAnsi"/>
        </w:rPr>
        <w:t xml:space="preserve"> the </w:t>
      </w:r>
      <w:r w:rsidR="00801859">
        <w:rPr>
          <w:rFonts w:cstheme="minorHAnsi"/>
        </w:rPr>
        <w:t>r</w:t>
      </w:r>
      <w:r w:rsidR="00A343C7">
        <w:rPr>
          <w:rFonts w:cstheme="minorHAnsi"/>
        </w:rPr>
        <w:t>eview should provide advice on possible</w:t>
      </w:r>
      <w:r w:rsidR="00425A3E" w:rsidRPr="00A343C7">
        <w:rPr>
          <w:rFonts w:cstheme="minorHAnsi"/>
        </w:rPr>
        <w:t xml:space="preserve"> alternative approaches.</w:t>
      </w:r>
    </w:p>
    <w:p w14:paraId="30A6E655" w14:textId="77777777" w:rsidR="00E404A2" w:rsidRPr="00A343C7" w:rsidRDefault="00E404A2" w:rsidP="0087219C">
      <w:pPr>
        <w:spacing w:after="120"/>
        <w:rPr>
          <w:rFonts w:cstheme="minorHAnsi"/>
        </w:rPr>
      </w:pPr>
      <w:r w:rsidRPr="00A343C7">
        <w:rPr>
          <w:rFonts w:cstheme="minorHAnsi"/>
        </w:rPr>
        <w:t xml:space="preserve">The </w:t>
      </w:r>
      <w:r w:rsidR="000F5B7C" w:rsidRPr="00A343C7">
        <w:rPr>
          <w:rFonts w:cstheme="minorHAnsi"/>
        </w:rPr>
        <w:t>review should</w:t>
      </w:r>
      <w:r w:rsidRPr="00A343C7">
        <w:rPr>
          <w:rFonts w:cstheme="minorHAnsi"/>
        </w:rPr>
        <w:t xml:space="preserve"> always have regard to the </w:t>
      </w:r>
      <w:r w:rsidR="00A343C7">
        <w:rPr>
          <w:rFonts w:cstheme="minorHAnsi"/>
        </w:rPr>
        <w:t>views</w:t>
      </w:r>
      <w:r w:rsidR="00A343C7" w:rsidRPr="00A343C7">
        <w:rPr>
          <w:rFonts w:cstheme="minorHAnsi"/>
        </w:rPr>
        <w:t xml:space="preserve"> </w:t>
      </w:r>
      <w:r w:rsidRPr="00A343C7">
        <w:rPr>
          <w:rFonts w:cstheme="minorHAnsi"/>
        </w:rPr>
        <w:t>of</w:t>
      </w:r>
      <w:r w:rsidR="00A343C7">
        <w:rPr>
          <w:rFonts w:cstheme="minorHAnsi"/>
        </w:rPr>
        <w:t xml:space="preserve"> </w:t>
      </w:r>
      <w:r w:rsidR="00801859">
        <w:rPr>
          <w:rFonts w:cstheme="minorHAnsi"/>
        </w:rPr>
        <w:t>stakeholders</w:t>
      </w:r>
      <w:r w:rsidRPr="00A343C7">
        <w:rPr>
          <w:rFonts w:cstheme="minorHAnsi"/>
        </w:rPr>
        <w:t>.</w:t>
      </w:r>
    </w:p>
    <w:p w14:paraId="0DDF23AC" w14:textId="77777777" w:rsidR="00D84021" w:rsidRPr="00A343C7" w:rsidRDefault="00D84021" w:rsidP="00D84021">
      <w:pPr>
        <w:pStyle w:val="Heading3"/>
        <w:rPr>
          <w:rFonts w:asciiTheme="minorHAnsi" w:hAnsiTheme="minorHAnsi" w:cstheme="minorHAnsi"/>
          <w:b/>
        </w:rPr>
      </w:pPr>
      <w:r w:rsidRPr="00A343C7">
        <w:rPr>
          <w:rFonts w:asciiTheme="minorHAnsi" w:hAnsiTheme="minorHAnsi" w:cstheme="minorHAnsi"/>
          <w:b/>
        </w:rPr>
        <w:t>Scope – Costs and Charges</w:t>
      </w:r>
    </w:p>
    <w:p w14:paraId="44683A54" w14:textId="77777777" w:rsidR="00A0250C" w:rsidRPr="00A343C7" w:rsidRDefault="00FA1D8F" w:rsidP="00D84021">
      <w:pPr>
        <w:spacing w:after="60"/>
        <w:rPr>
          <w:rFonts w:cstheme="minorHAnsi"/>
        </w:rPr>
      </w:pPr>
      <w:r w:rsidRPr="00A343C7">
        <w:rPr>
          <w:rFonts w:cstheme="minorHAnsi"/>
        </w:rPr>
        <w:t>In</w:t>
      </w:r>
      <w:r w:rsidR="000D6562" w:rsidRPr="00A343C7">
        <w:rPr>
          <w:rFonts w:cstheme="minorHAnsi"/>
        </w:rPr>
        <w:t xml:space="preserve"> con</w:t>
      </w:r>
      <w:r w:rsidR="00133B32" w:rsidRPr="00A343C7">
        <w:rPr>
          <w:rFonts w:cstheme="minorHAnsi"/>
        </w:rPr>
        <w:t xml:space="preserve">sidering the costs </w:t>
      </w:r>
      <w:r w:rsidR="001F064C" w:rsidRPr="00A343C7">
        <w:rPr>
          <w:rFonts w:cstheme="minorHAnsi"/>
        </w:rPr>
        <w:t xml:space="preserve">of delivering the National System under the National Law, as well as </w:t>
      </w:r>
      <w:r w:rsidR="00133B32" w:rsidRPr="00A343C7">
        <w:rPr>
          <w:rFonts w:cstheme="minorHAnsi"/>
        </w:rPr>
        <w:t xml:space="preserve">future </w:t>
      </w:r>
      <w:r w:rsidR="000D6562" w:rsidRPr="00A343C7">
        <w:rPr>
          <w:rFonts w:cstheme="minorHAnsi"/>
        </w:rPr>
        <w:t xml:space="preserve">options for industry charging, </w:t>
      </w:r>
      <w:r w:rsidR="0087219C" w:rsidRPr="00A343C7">
        <w:rPr>
          <w:rFonts w:cstheme="minorHAnsi"/>
        </w:rPr>
        <w:t>the review</w:t>
      </w:r>
      <w:r w:rsidR="000D6562" w:rsidRPr="00A343C7">
        <w:rPr>
          <w:rFonts w:cstheme="minorHAnsi"/>
        </w:rPr>
        <w:t xml:space="preserve"> should</w:t>
      </w:r>
      <w:r w:rsidR="0087219C" w:rsidRPr="00A343C7">
        <w:rPr>
          <w:rFonts w:cstheme="minorHAnsi"/>
        </w:rPr>
        <w:t xml:space="preserve"> </w:t>
      </w:r>
      <w:r w:rsidR="001F064C" w:rsidRPr="00A343C7">
        <w:rPr>
          <w:rFonts w:cstheme="minorHAnsi"/>
        </w:rPr>
        <w:t>consider:</w:t>
      </w:r>
    </w:p>
    <w:p w14:paraId="6D926EDF" w14:textId="77777777" w:rsidR="00133B32" w:rsidRPr="00A343C7" w:rsidRDefault="001F064C" w:rsidP="00D84021">
      <w:pPr>
        <w:pStyle w:val="ListParagraph"/>
        <w:numPr>
          <w:ilvl w:val="0"/>
          <w:numId w:val="4"/>
        </w:numPr>
        <w:spacing w:after="60"/>
        <w:ind w:left="360"/>
        <w:contextualSpacing w:val="0"/>
        <w:rPr>
          <w:rFonts w:cstheme="minorHAnsi"/>
        </w:rPr>
      </w:pPr>
      <w:r w:rsidRPr="00A343C7">
        <w:rPr>
          <w:rFonts w:cstheme="minorHAnsi"/>
          <w:b/>
        </w:rPr>
        <w:t xml:space="preserve">efficient and effective </w:t>
      </w:r>
      <w:r w:rsidR="00DD0F5E">
        <w:rPr>
          <w:rFonts w:cstheme="minorHAnsi"/>
          <w:b/>
        </w:rPr>
        <w:t xml:space="preserve">resourcing and </w:t>
      </w:r>
      <w:r w:rsidRPr="00A343C7">
        <w:rPr>
          <w:rFonts w:cstheme="minorHAnsi"/>
          <w:b/>
        </w:rPr>
        <w:t xml:space="preserve">delivery – </w:t>
      </w:r>
      <w:r w:rsidRPr="00A343C7">
        <w:rPr>
          <w:rFonts w:cstheme="minorHAnsi"/>
        </w:rPr>
        <w:t>AMSA’s</w:t>
      </w:r>
      <w:r w:rsidR="00DD0F5E">
        <w:rPr>
          <w:rFonts w:cstheme="minorHAnsi"/>
        </w:rPr>
        <w:t xml:space="preserve"> </w:t>
      </w:r>
      <w:r w:rsidRPr="00A343C7">
        <w:rPr>
          <w:rFonts w:cstheme="minorHAnsi"/>
        </w:rPr>
        <w:t>effort and approach to</w:t>
      </w:r>
      <w:r w:rsidR="00CB350F" w:rsidRPr="00A343C7">
        <w:rPr>
          <w:rFonts w:cstheme="minorHAnsi"/>
        </w:rPr>
        <w:t xml:space="preserve"> deliver</w:t>
      </w:r>
      <w:r w:rsidRPr="00A343C7">
        <w:rPr>
          <w:rFonts w:cstheme="minorHAnsi"/>
        </w:rPr>
        <w:t xml:space="preserve">ing </w:t>
      </w:r>
      <w:r w:rsidR="00CB350F" w:rsidRPr="00A343C7">
        <w:rPr>
          <w:rFonts w:cstheme="minorHAnsi"/>
        </w:rPr>
        <w:t>the National System</w:t>
      </w:r>
      <w:r w:rsidRPr="00A343C7">
        <w:rPr>
          <w:rFonts w:cstheme="minorHAnsi"/>
        </w:rPr>
        <w:t xml:space="preserve"> </w:t>
      </w:r>
      <w:r w:rsidR="00C825C7" w:rsidRPr="00A343C7">
        <w:rPr>
          <w:rFonts w:cstheme="minorHAnsi"/>
        </w:rPr>
        <w:t xml:space="preserve">should </w:t>
      </w:r>
      <w:r w:rsidR="00DD0F5E">
        <w:rPr>
          <w:rFonts w:cstheme="minorHAnsi"/>
        </w:rPr>
        <w:t xml:space="preserve">be sufficient to </w:t>
      </w:r>
      <w:r w:rsidR="00980106" w:rsidRPr="00A343C7">
        <w:rPr>
          <w:rFonts w:cstheme="minorHAnsi"/>
        </w:rPr>
        <w:t>support</w:t>
      </w:r>
      <w:r w:rsidRPr="00A343C7">
        <w:rPr>
          <w:rFonts w:cstheme="minorHAnsi"/>
        </w:rPr>
        <w:t xml:space="preserve"> safety objectives</w:t>
      </w:r>
      <w:r w:rsidR="0006582F">
        <w:rPr>
          <w:rFonts w:cstheme="minorHAnsi"/>
        </w:rPr>
        <w:t>,</w:t>
      </w:r>
      <w:r w:rsidRPr="00A343C7">
        <w:rPr>
          <w:rFonts w:cstheme="minorHAnsi"/>
        </w:rPr>
        <w:t xml:space="preserve"> </w:t>
      </w:r>
      <w:r w:rsidR="00DD0F5E">
        <w:rPr>
          <w:rFonts w:cstheme="minorHAnsi"/>
        </w:rPr>
        <w:t xml:space="preserve">while also </w:t>
      </w:r>
      <w:r w:rsidRPr="00A343C7">
        <w:rPr>
          <w:rFonts w:cstheme="minorHAnsi"/>
        </w:rPr>
        <w:t>minimis</w:t>
      </w:r>
      <w:r w:rsidR="00DD0F5E">
        <w:rPr>
          <w:rFonts w:cstheme="minorHAnsi"/>
        </w:rPr>
        <w:t>ing</w:t>
      </w:r>
      <w:r w:rsidRPr="00A343C7">
        <w:rPr>
          <w:rFonts w:cstheme="minorHAnsi"/>
        </w:rPr>
        <w:t xml:space="preserve"> </w:t>
      </w:r>
      <w:r w:rsidR="002173F8" w:rsidRPr="00A343C7">
        <w:rPr>
          <w:rFonts w:cstheme="minorHAnsi"/>
        </w:rPr>
        <w:t xml:space="preserve">AMSA’s </w:t>
      </w:r>
      <w:r w:rsidR="00C825C7" w:rsidRPr="00A343C7">
        <w:rPr>
          <w:rFonts w:cstheme="minorHAnsi"/>
        </w:rPr>
        <w:t>delivery costs</w:t>
      </w:r>
      <w:r w:rsidR="0011560F">
        <w:rPr>
          <w:rFonts w:cstheme="minorHAnsi"/>
        </w:rPr>
        <w:t>, underpinned by the best available data, evidence and information</w:t>
      </w:r>
      <w:r w:rsidR="006C523C">
        <w:rPr>
          <w:rFonts w:cstheme="minorHAnsi"/>
        </w:rPr>
        <w:t>,</w:t>
      </w:r>
      <w:r w:rsidR="0011560F">
        <w:rPr>
          <w:rFonts w:cstheme="minorHAnsi"/>
        </w:rPr>
        <w:t xml:space="preserve"> and risk-based decision-making. </w:t>
      </w:r>
    </w:p>
    <w:p w14:paraId="25B4505B" w14:textId="77777777" w:rsidR="003D336A" w:rsidRPr="00A343C7" w:rsidRDefault="003D336A" w:rsidP="00D84021">
      <w:pPr>
        <w:pStyle w:val="ListParagraph"/>
        <w:numPr>
          <w:ilvl w:val="0"/>
          <w:numId w:val="4"/>
        </w:numPr>
        <w:spacing w:after="60"/>
        <w:ind w:left="360"/>
        <w:contextualSpacing w:val="0"/>
        <w:rPr>
          <w:rFonts w:cstheme="minorHAnsi"/>
          <w:b/>
        </w:rPr>
      </w:pPr>
      <w:proofErr w:type="gramStart"/>
      <w:r w:rsidRPr="00A343C7">
        <w:rPr>
          <w:rFonts w:cstheme="minorHAnsi"/>
          <w:b/>
        </w:rPr>
        <w:t>delivery</w:t>
      </w:r>
      <w:proofErr w:type="gramEnd"/>
      <w:r w:rsidRPr="00A343C7">
        <w:rPr>
          <w:rFonts w:cstheme="minorHAnsi"/>
          <w:b/>
        </w:rPr>
        <w:t xml:space="preserve"> </w:t>
      </w:r>
      <w:r w:rsidR="00A10D0D" w:rsidRPr="00A343C7">
        <w:rPr>
          <w:rFonts w:cstheme="minorHAnsi"/>
          <w:b/>
        </w:rPr>
        <w:t xml:space="preserve">cost </w:t>
      </w:r>
      <w:r w:rsidRPr="00A343C7">
        <w:rPr>
          <w:rFonts w:cstheme="minorHAnsi"/>
          <w:b/>
        </w:rPr>
        <w:t xml:space="preserve">challenges and opportunities – </w:t>
      </w:r>
      <w:r w:rsidRPr="00A343C7">
        <w:rPr>
          <w:rFonts w:cstheme="minorHAnsi"/>
        </w:rPr>
        <w:t>the benefit</w:t>
      </w:r>
      <w:r w:rsidRPr="00A343C7">
        <w:rPr>
          <w:rFonts w:cstheme="minorHAnsi"/>
          <w:b/>
        </w:rPr>
        <w:t xml:space="preserve"> </w:t>
      </w:r>
      <w:r w:rsidRPr="00A343C7">
        <w:rPr>
          <w:rFonts w:cstheme="minorHAnsi"/>
        </w:rPr>
        <w:t xml:space="preserve">of </w:t>
      </w:r>
      <w:r w:rsidR="00813C5B" w:rsidRPr="00A343C7">
        <w:rPr>
          <w:rFonts w:cstheme="minorHAnsi"/>
        </w:rPr>
        <w:t xml:space="preserve">safety regulation, and the expected benefit of </w:t>
      </w:r>
      <w:r w:rsidR="001B4DFF" w:rsidRPr="00A343C7">
        <w:rPr>
          <w:rFonts w:cstheme="minorHAnsi"/>
        </w:rPr>
        <w:t xml:space="preserve">any </w:t>
      </w:r>
      <w:r w:rsidRPr="00A343C7">
        <w:rPr>
          <w:rFonts w:cstheme="minorHAnsi"/>
        </w:rPr>
        <w:t>changes</w:t>
      </w:r>
      <w:r w:rsidR="00813C5B" w:rsidRPr="00A343C7">
        <w:rPr>
          <w:rFonts w:cstheme="minorHAnsi"/>
        </w:rPr>
        <w:t xml:space="preserve">, </w:t>
      </w:r>
      <w:r w:rsidRPr="00A343C7">
        <w:rPr>
          <w:rFonts w:cstheme="minorHAnsi"/>
        </w:rPr>
        <w:t>should</w:t>
      </w:r>
      <w:r w:rsidR="00B45CA2">
        <w:rPr>
          <w:rFonts w:cstheme="minorHAnsi"/>
        </w:rPr>
        <w:t xml:space="preserve"> ultimately</w:t>
      </w:r>
      <w:r w:rsidRPr="00A343C7">
        <w:rPr>
          <w:rFonts w:cstheme="minorHAnsi"/>
        </w:rPr>
        <w:t xml:space="preserve"> </w:t>
      </w:r>
      <w:r w:rsidR="001B4DFF" w:rsidRPr="00A343C7">
        <w:rPr>
          <w:rFonts w:cstheme="minorHAnsi"/>
        </w:rPr>
        <w:t>exceed associated</w:t>
      </w:r>
      <w:r w:rsidRPr="00A343C7">
        <w:rPr>
          <w:rFonts w:cstheme="minorHAnsi"/>
        </w:rPr>
        <w:t xml:space="preserve"> cost impacts </w:t>
      </w:r>
      <w:r w:rsidR="00813C5B" w:rsidRPr="00A343C7">
        <w:rPr>
          <w:rFonts w:cstheme="minorHAnsi"/>
        </w:rPr>
        <w:t>for</w:t>
      </w:r>
      <w:r w:rsidRPr="00A343C7">
        <w:rPr>
          <w:rFonts w:cstheme="minorHAnsi"/>
        </w:rPr>
        <w:t xml:space="preserve"> industry. In considering potential </w:t>
      </w:r>
      <w:r w:rsidR="001B4DFF" w:rsidRPr="00A343C7">
        <w:rPr>
          <w:rFonts w:cstheme="minorHAnsi"/>
        </w:rPr>
        <w:t>changes and opportunities</w:t>
      </w:r>
      <w:r w:rsidR="00813C5B" w:rsidRPr="00A343C7">
        <w:rPr>
          <w:rFonts w:cstheme="minorHAnsi"/>
        </w:rPr>
        <w:t xml:space="preserve"> to improve safety</w:t>
      </w:r>
      <w:r w:rsidRPr="00A343C7">
        <w:rPr>
          <w:rFonts w:cstheme="minorHAnsi"/>
        </w:rPr>
        <w:t xml:space="preserve">, </w:t>
      </w:r>
      <w:r w:rsidR="00813C5B" w:rsidRPr="00A343C7">
        <w:rPr>
          <w:rFonts w:cstheme="minorHAnsi"/>
        </w:rPr>
        <w:t>t</w:t>
      </w:r>
      <w:r w:rsidRPr="00A343C7">
        <w:rPr>
          <w:rFonts w:cstheme="minorHAnsi"/>
        </w:rPr>
        <w:t xml:space="preserve">he review should </w:t>
      </w:r>
      <w:r w:rsidR="001B4DFF" w:rsidRPr="00A343C7">
        <w:rPr>
          <w:rFonts w:cstheme="minorHAnsi"/>
        </w:rPr>
        <w:t xml:space="preserve">also </w:t>
      </w:r>
      <w:r w:rsidR="00813C5B" w:rsidRPr="00A343C7">
        <w:rPr>
          <w:rFonts w:cstheme="minorHAnsi"/>
        </w:rPr>
        <w:t>consider</w:t>
      </w:r>
      <w:r w:rsidR="00A10D0D" w:rsidRPr="00A343C7">
        <w:rPr>
          <w:rFonts w:cstheme="minorHAnsi"/>
        </w:rPr>
        <w:t xml:space="preserve"> </w:t>
      </w:r>
      <w:r w:rsidR="00813C5B" w:rsidRPr="00A343C7">
        <w:rPr>
          <w:rFonts w:cstheme="minorHAnsi"/>
        </w:rPr>
        <w:t xml:space="preserve">potential cost </w:t>
      </w:r>
      <w:r w:rsidRPr="00A343C7">
        <w:rPr>
          <w:rFonts w:cstheme="minorHAnsi"/>
        </w:rPr>
        <w:t>challenges for industry</w:t>
      </w:r>
      <w:r w:rsidR="001B4DFF" w:rsidRPr="00A343C7">
        <w:rPr>
          <w:rFonts w:cstheme="minorHAnsi"/>
        </w:rPr>
        <w:t xml:space="preserve"> and AMSA</w:t>
      </w:r>
      <w:r w:rsidR="00A10D0D" w:rsidRPr="00A343C7">
        <w:rPr>
          <w:rFonts w:cstheme="minorHAnsi"/>
        </w:rPr>
        <w:t xml:space="preserve">. </w:t>
      </w:r>
    </w:p>
    <w:p w14:paraId="117B89E7" w14:textId="77777777" w:rsidR="009815E7" w:rsidRDefault="00C825C7" w:rsidP="00D84021">
      <w:pPr>
        <w:pStyle w:val="ListParagraph"/>
        <w:numPr>
          <w:ilvl w:val="0"/>
          <w:numId w:val="4"/>
        </w:numPr>
        <w:spacing w:after="60"/>
        <w:ind w:left="360"/>
        <w:contextualSpacing w:val="0"/>
        <w:rPr>
          <w:rFonts w:cstheme="minorHAnsi"/>
        </w:rPr>
      </w:pPr>
      <w:proofErr w:type="gramStart"/>
      <w:r w:rsidRPr="00A343C7">
        <w:rPr>
          <w:rFonts w:cstheme="minorHAnsi"/>
          <w:b/>
        </w:rPr>
        <w:t>existing</w:t>
      </w:r>
      <w:proofErr w:type="gramEnd"/>
      <w:r w:rsidRPr="00A343C7">
        <w:rPr>
          <w:rFonts w:cstheme="minorHAnsi"/>
          <w:b/>
        </w:rPr>
        <w:t xml:space="preserve"> </w:t>
      </w:r>
      <w:r w:rsidR="00A10D0D" w:rsidRPr="00A343C7">
        <w:rPr>
          <w:rFonts w:cstheme="minorHAnsi"/>
          <w:b/>
        </w:rPr>
        <w:t xml:space="preserve">and future </w:t>
      </w:r>
      <w:r w:rsidRPr="00A343C7">
        <w:rPr>
          <w:rFonts w:cstheme="minorHAnsi"/>
          <w:b/>
        </w:rPr>
        <w:t>charges</w:t>
      </w:r>
      <w:r w:rsidR="00A10D0D" w:rsidRPr="00A343C7">
        <w:rPr>
          <w:rFonts w:cstheme="minorHAnsi"/>
        </w:rPr>
        <w:t xml:space="preserve"> – current </w:t>
      </w:r>
      <w:r w:rsidRPr="00A343C7">
        <w:rPr>
          <w:rFonts w:cstheme="minorHAnsi"/>
        </w:rPr>
        <w:t>industry fees</w:t>
      </w:r>
      <w:r w:rsidR="00A10D0D" w:rsidRPr="00A343C7">
        <w:rPr>
          <w:rFonts w:cstheme="minorHAnsi"/>
        </w:rPr>
        <w:t>, and any</w:t>
      </w:r>
      <w:r w:rsidR="00A10D0D" w:rsidRPr="00A343C7">
        <w:rPr>
          <w:rFonts w:cstheme="minorHAnsi"/>
          <w:b/>
        </w:rPr>
        <w:t xml:space="preserve"> </w:t>
      </w:r>
      <w:r w:rsidR="00A10D0D" w:rsidRPr="00A343C7">
        <w:rPr>
          <w:rFonts w:cstheme="minorHAnsi"/>
        </w:rPr>
        <w:t xml:space="preserve">future charges, </w:t>
      </w:r>
      <w:r w:rsidRPr="00A343C7">
        <w:rPr>
          <w:rFonts w:cstheme="minorHAnsi"/>
        </w:rPr>
        <w:t>should support the achievement of</w:t>
      </w:r>
      <w:r w:rsidR="00B45CA2">
        <w:rPr>
          <w:rFonts w:cstheme="minorHAnsi"/>
        </w:rPr>
        <w:t xml:space="preserve"> the</w:t>
      </w:r>
      <w:r w:rsidRPr="00A343C7">
        <w:rPr>
          <w:rFonts w:cstheme="minorHAnsi"/>
        </w:rPr>
        <w:t xml:space="preserve"> </w:t>
      </w:r>
      <w:r w:rsidR="00E404A2" w:rsidRPr="00A343C7">
        <w:rPr>
          <w:rFonts w:cstheme="minorHAnsi"/>
        </w:rPr>
        <w:t>Government’s safety objectives</w:t>
      </w:r>
      <w:r w:rsidRPr="00A343C7">
        <w:rPr>
          <w:rFonts w:cstheme="minorHAnsi"/>
        </w:rPr>
        <w:t xml:space="preserve"> </w:t>
      </w:r>
      <w:r w:rsidR="00001503" w:rsidRPr="00A343C7">
        <w:rPr>
          <w:rFonts w:cstheme="minorHAnsi"/>
        </w:rPr>
        <w:t xml:space="preserve">and </w:t>
      </w:r>
      <w:r w:rsidRPr="00A343C7">
        <w:rPr>
          <w:rFonts w:cstheme="minorHAnsi"/>
        </w:rPr>
        <w:t xml:space="preserve">align with </w:t>
      </w:r>
      <w:r w:rsidR="00CB350F" w:rsidRPr="00A343C7">
        <w:rPr>
          <w:rFonts w:cstheme="minorHAnsi"/>
        </w:rPr>
        <w:t xml:space="preserve">the </w:t>
      </w:r>
      <w:r w:rsidR="00A0250C" w:rsidRPr="00A343C7">
        <w:rPr>
          <w:rFonts w:cstheme="minorHAnsi"/>
        </w:rPr>
        <w:t>Australian Government Charging Framework</w:t>
      </w:r>
      <w:r w:rsidR="00CB350F" w:rsidRPr="00A343C7">
        <w:rPr>
          <w:rFonts w:cstheme="minorHAnsi"/>
        </w:rPr>
        <w:t>.</w:t>
      </w:r>
      <w:r w:rsidR="00A10D0D" w:rsidRPr="00A343C7">
        <w:rPr>
          <w:rFonts w:cstheme="minorHAnsi"/>
        </w:rPr>
        <w:t xml:space="preserve"> </w:t>
      </w:r>
      <w:r w:rsidR="00176D94" w:rsidRPr="00A343C7">
        <w:rPr>
          <w:rFonts w:cstheme="minorHAnsi"/>
        </w:rPr>
        <w:t>T</w:t>
      </w:r>
      <w:r w:rsidR="00813C5B" w:rsidRPr="00A343C7">
        <w:rPr>
          <w:rFonts w:cstheme="minorHAnsi"/>
        </w:rPr>
        <w:t xml:space="preserve">he review should </w:t>
      </w:r>
      <w:r w:rsidR="007E16E9" w:rsidRPr="00A343C7">
        <w:rPr>
          <w:rFonts w:cstheme="minorHAnsi"/>
        </w:rPr>
        <w:t>consider the merits of</w:t>
      </w:r>
      <w:r w:rsidR="00001503" w:rsidRPr="00A343C7">
        <w:rPr>
          <w:rFonts w:cstheme="minorHAnsi"/>
        </w:rPr>
        <w:t xml:space="preserve"> </w:t>
      </w:r>
      <w:r w:rsidR="00176D94" w:rsidRPr="00A343C7">
        <w:rPr>
          <w:rFonts w:cstheme="minorHAnsi"/>
        </w:rPr>
        <w:t xml:space="preserve">a range of options for </w:t>
      </w:r>
      <w:r w:rsidR="00001503" w:rsidRPr="00A343C7">
        <w:rPr>
          <w:rFonts w:cstheme="minorHAnsi"/>
        </w:rPr>
        <w:t>potential future</w:t>
      </w:r>
      <w:r w:rsidR="00813C5B" w:rsidRPr="00A343C7">
        <w:rPr>
          <w:rFonts w:cstheme="minorHAnsi"/>
        </w:rPr>
        <w:t xml:space="preserve"> industry charges</w:t>
      </w:r>
      <w:r w:rsidR="00A10D0D" w:rsidRPr="00A343C7">
        <w:rPr>
          <w:rFonts w:cstheme="minorHAnsi"/>
        </w:rPr>
        <w:t xml:space="preserve"> for Government to consider</w:t>
      </w:r>
      <w:r w:rsidR="005A4333">
        <w:rPr>
          <w:rFonts w:cstheme="minorHAnsi"/>
        </w:rPr>
        <w:t>,</w:t>
      </w:r>
      <w:r w:rsidR="002173F8" w:rsidRPr="00A343C7">
        <w:rPr>
          <w:rFonts w:cstheme="minorHAnsi"/>
        </w:rPr>
        <w:t xml:space="preserve"> with regard to the nature and diversity of industry, and how users interact with the National System</w:t>
      </w:r>
      <w:r w:rsidR="00176D94" w:rsidRPr="00A343C7">
        <w:rPr>
          <w:rFonts w:cstheme="minorHAnsi"/>
        </w:rPr>
        <w:t xml:space="preserve">. </w:t>
      </w:r>
    </w:p>
    <w:p w14:paraId="4B662A66" w14:textId="77777777" w:rsidR="00E801E9" w:rsidRPr="00A343C7" w:rsidRDefault="00813C5B" w:rsidP="00D84021">
      <w:pPr>
        <w:pStyle w:val="ListParagraph"/>
        <w:numPr>
          <w:ilvl w:val="0"/>
          <w:numId w:val="4"/>
        </w:numPr>
        <w:spacing w:after="60"/>
        <w:ind w:left="360"/>
        <w:contextualSpacing w:val="0"/>
        <w:rPr>
          <w:rFonts w:cstheme="minorHAnsi"/>
          <w:b/>
        </w:rPr>
      </w:pPr>
      <w:proofErr w:type="gramStart"/>
      <w:r w:rsidRPr="00A343C7">
        <w:rPr>
          <w:rFonts w:cstheme="minorHAnsi"/>
          <w:b/>
        </w:rPr>
        <w:t>charging</w:t>
      </w:r>
      <w:proofErr w:type="gramEnd"/>
      <w:r w:rsidR="003D336A" w:rsidRPr="00A343C7">
        <w:rPr>
          <w:rFonts w:cstheme="minorHAnsi"/>
          <w:b/>
        </w:rPr>
        <w:t xml:space="preserve"> challenges</w:t>
      </w:r>
      <w:r w:rsidRPr="00A343C7">
        <w:rPr>
          <w:rFonts w:cstheme="minorHAnsi"/>
          <w:b/>
        </w:rPr>
        <w:t xml:space="preserve"> and opportunities –</w:t>
      </w:r>
      <w:r w:rsidR="00A10D0D" w:rsidRPr="00A343C7">
        <w:rPr>
          <w:rFonts w:cstheme="minorHAnsi"/>
          <w:b/>
        </w:rPr>
        <w:t xml:space="preserve"> </w:t>
      </w:r>
      <w:r w:rsidR="002173F8" w:rsidRPr="00A343C7">
        <w:rPr>
          <w:rFonts w:cstheme="minorHAnsi"/>
        </w:rPr>
        <w:t>future</w:t>
      </w:r>
      <w:r w:rsidR="00A10D0D" w:rsidRPr="00A343C7">
        <w:rPr>
          <w:rFonts w:cstheme="minorHAnsi"/>
        </w:rPr>
        <w:t xml:space="preserve"> charging should support the efficient and sustainable delivery of safety regulation. I</w:t>
      </w:r>
      <w:r w:rsidRPr="00A343C7">
        <w:rPr>
          <w:rFonts w:cstheme="minorHAnsi"/>
        </w:rPr>
        <w:t xml:space="preserve">n </w:t>
      </w:r>
      <w:r w:rsidR="002173F8" w:rsidRPr="00A343C7">
        <w:rPr>
          <w:rFonts w:cstheme="minorHAnsi"/>
        </w:rPr>
        <w:t>assessing</w:t>
      </w:r>
      <w:r w:rsidRPr="00A343C7">
        <w:rPr>
          <w:rFonts w:cstheme="minorHAnsi"/>
        </w:rPr>
        <w:t xml:space="preserve"> options for future charges, the review should </w:t>
      </w:r>
      <w:r w:rsidR="002173F8" w:rsidRPr="00A343C7">
        <w:rPr>
          <w:rFonts w:cstheme="minorHAnsi"/>
        </w:rPr>
        <w:t xml:space="preserve">consider </w:t>
      </w:r>
      <w:r w:rsidR="009815E7" w:rsidRPr="00A343C7">
        <w:rPr>
          <w:rFonts w:cstheme="minorHAnsi"/>
        </w:rPr>
        <w:t xml:space="preserve">implementation </w:t>
      </w:r>
      <w:r w:rsidR="00A40093" w:rsidRPr="00A343C7">
        <w:rPr>
          <w:rFonts w:cstheme="minorHAnsi"/>
        </w:rPr>
        <w:t>challenges</w:t>
      </w:r>
      <w:r w:rsidR="002173F8" w:rsidRPr="00A343C7">
        <w:rPr>
          <w:rFonts w:cstheme="minorHAnsi"/>
        </w:rPr>
        <w:t xml:space="preserve"> for these options,</w:t>
      </w:r>
      <w:r w:rsidR="00A40093" w:rsidRPr="00A343C7">
        <w:rPr>
          <w:rFonts w:cstheme="minorHAnsi"/>
        </w:rPr>
        <w:t xml:space="preserve"> </w:t>
      </w:r>
      <w:r w:rsidR="00176D94" w:rsidRPr="00A343C7">
        <w:rPr>
          <w:rFonts w:cstheme="minorHAnsi"/>
        </w:rPr>
        <w:t xml:space="preserve">and opportunities to support safety outcomes. </w:t>
      </w:r>
    </w:p>
    <w:p w14:paraId="29756FD6" w14:textId="77777777" w:rsidR="00A10D0D" w:rsidRPr="00A343C7" w:rsidRDefault="00A10D0D" w:rsidP="00D84021">
      <w:pPr>
        <w:spacing w:after="60"/>
        <w:rPr>
          <w:rFonts w:cstheme="minorHAnsi"/>
        </w:rPr>
      </w:pPr>
      <w:r w:rsidRPr="00A343C7">
        <w:rPr>
          <w:rFonts w:cstheme="minorHAnsi"/>
        </w:rPr>
        <w:t xml:space="preserve">The review should </w:t>
      </w:r>
      <w:r w:rsidR="00DC56C7" w:rsidRPr="00A343C7">
        <w:rPr>
          <w:rFonts w:cstheme="minorHAnsi"/>
        </w:rPr>
        <w:t xml:space="preserve">also </w:t>
      </w:r>
      <w:r w:rsidRPr="00A343C7">
        <w:rPr>
          <w:rFonts w:cstheme="minorHAnsi"/>
        </w:rPr>
        <w:t>specifically consider:</w:t>
      </w:r>
    </w:p>
    <w:p w14:paraId="195023FC" w14:textId="77777777" w:rsidR="00A10D0D" w:rsidRPr="00A343C7" w:rsidRDefault="00D84021" w:rsidP="00D84021">
      <w:pPr>
        <w:pStyle w:val="ListParagraph"/>
        <w:numPr>
          <w:ilvl w:val="0"/>
          <w:numId w:val="9"/>
        </w:numPr>
        <w:spacing w:after="60"/>
        <w:ind w:left="357" w:hanging="357"/>
        <w:contextualSpacing w:val="0"/>
        <w:rPr>
          <w:rFonts w:cstheme="minorHAnsi"/>
        </w:rPr>
      </w:pPr>
      <w:proofErr w:type="gramStart"/>
      <w:r w:rsidRPr="00A343C7">
        <w:rPr>
          <w:rFonts w:cstheme="minorHAnsi"/>
        </w:rPr>
        <w:t>whether</w:t>
      </w:r>
      <w:proofErr w:type="gramEnd"/>
      <w:r w:rsidRPr="00A343C7">
        <w:rPr>
          <w:rFonts w:cstheme="minorHAnsi"/>
        </w:rPr>
        <w:t xml:space="preserve"> changes to grandfathered arrangements</w:t>
      </w:r>
      <w:r w:rsidR="00DD0F5E">
        <w:rPr>
          <w:rFonts w:cstheme="minorHAnsi"/>
        </w:rPr>
        <w:t xml:space="preserve"> (as </w:t>
      </w:r>
      <w:r w:rsidRPr="00A343C7">
        <w:rPr>
          <w:rFonts w:cstheme="minorHAnsi"/>
        </w:rPr>
        <w:t>recommended in past inquiries</w:t>
      </w:r>
      <w:r w:rsidR="00DD0F5E">
        <w:rPr>
          <w:rFonts w:cstheme="minorHAnsi"/>
        </w:rPr>
        <w:t>) or to exemptions</w:t>
      </w:r>
      <w:r w:rsidRPr="00A343C7">
        <w:rPr>
          <w:rFonts w:cstheme="minorHAnsi"/>
        </w:rPr>
        <w:t xml:space="preserve"> </w:t>
      </w:r>
      <w:r w:rsidR="00DD0F5E">
        <w:rPr>
          <w:rFonts w:cstheme="minorHAnsi"/>
        </w:rPr>
        <w:t>may</w:t>
      </w:r>
      <w:r w:rsidR="00BA6FDA">
        <w:rPr>
          <w:rFonts w:cstheme="minorHAnsi"/>
        </w:rPr>
        <w:t xml:space="preserve"> </w:t>
      </w:r>
      <w:r w:rsidR="00980106" w:rsidRPr="00A343C7">
        <w:rPr>
          <w:rFonts w:cstheme="minorHAnsi"/>
        </w:rPr>
        <w:t>give rise to</w:t>
      </w:r>
      <w:r w:rsidRPr="00A343C7">
        <w:rPr>
          <w:rFonts w:cstheme="minorHAnsi"/>
        </w:rPr>
        <w:t xml:space="preserve"> cost challenges</w:t>
      </w:r>
      <w:r w:rsidR="00980106" w:rsidRPr="00A343C7">
        <w:rPr>
          <w:rFonts w:cstheme="minorHAnsi"/>
        </w:rPr>
        <w:t xml:space="preserve"> or safety opportunities</w:t>
      </w:r>
      <w:r w:rsidRPr="00A343C7">
        <w:rPr>
          <w:rFonts w:cstheme="minorHAnsi"/>
        </w:rPr>
        <w:t>, and if so, how these could be addressed.</w:t>
      </w:r>
    </w:p>
    <w:p w14:paraId="328139B6" w14:textId="77777777" w:rsidR="00CB350F" w:rsidRPr="00A343C7" w:rsidRDefault="00D84021" w:rsidP="00D84021">
      <w:pPr>
        <w:pStyle w:val="ListParagraph"/>
        <w:numPr>
          <w:ilvl w:val="0"/>
          <w:numId w:val="4"/>
        </w:numPr>
        <w:spacing w:after="60"/>
        <w:ind w:left="360"/>
        <w:contextualSpacing w:val="0"/>
        <w:rPr>
          <w:rFonts w:cstheme="minorHAnsi"/>
        </w:rPr>
      </w:pPr>
      <w:proofErr w:type="gramStart"/>
      <w:r w:rsidRPr="00A343C7">
        <w:rPr>
          <w:rFonts w:cstheme="minorHAnsi"/>
        </w:rPr>
        <w:t>i</w:t>
      </w:r>
      <w:r w:rsidR="00E801E9" w:rsidRPr="00A343C7">
        <w:rPr>
          <w:rFonts w:cstheme="minorHAnsi"/>
        </w:rPr>
        <w:t>f</w:t>
      </w:r>
      <w:proofErr w:type="gramEnd"/>
      <w:r w:rsidR="00E801E9" w:rsidRPr="00A343C7">
        <w:rPr>
          <w:rFonts w:cstheme="minorHAnsi"/>
        </w:rPr>
        <w:t xml:space="preserve"> a role for the ATSB is recommended, how this </w:t>
      </w:r>
      <w:r w:rsidRPr="00A343C7">
        <w:rPr>
          <w:rFonts w:cstheme="minorHAnsi"/>
        </w:rPr>
        <w:t xml:space="preserve">role </w:t>
      </w:r>
      <w:r w:rsidR="00E801E9" w:rsidRPr="00A343C7">
        <w:rPr>
          <w:rFonts w:cstheme="minorHAnsi"/>
        </w:rPr>
        <w:t>could be implemented</w:t>
      </w:r>
      <w:r w:rsidR="00980106" w:rsidRPr="00A343C7">
        <w:rPr>
          <w:rFonts w:cstheme="minorHAnsi"/>
        </w:rPr>
        <w:t xml:space="preserve"> </w:t>
      </w:r>
      <w:r w:rsidR="00E801E9" w:rsidRPr="00A343C7">
        <w:rPr>
          <w:rFonts w:cstheme="minorHAnsi"/>
        </w:rPr>
        <w:t>in an efficient, cost-effective manner</w:t>
      </w:r>
      <w:r w:rsidR="000A02F4">
        <w:rPr>
          <w:rFonts w:cstheme="minorHAnsi"/>
        </w:rPr>
        <w:t>,</w:t>
      </w:r>
      <w:r w:rsidR="00E801E9" w:rsidRPr="00A343C7">
        <w:rPr>
          <w:rFonts w:cstheme="minorHAnsi"/>
        </w:rPr>
        <w:t xml:space="preserve"> with due regard for the independence of the ATSB</w:t>
      </w:r>
      <w:r w:rsidR="000A02F4">
        <w:rPr>
          <w:rFonts w:cstheme="minorHAnsi"/>
        </w:rPr>
        <w:t xml:space="preserve"> and its existing multi-modal responsibilities and funding arrangements</w:t>
      </w:r>
      <w:r w:rsidR="00E801E9" w:rsidRPr="00A343C7">
        <w:rPr>
          <w:rFonts w:cstheme="minorHAnsi"/>
        </w:rPr>
        <w:t>.</w:t>
      </w:r>
    </w:p>
    <w:p w14:paraId="228FD9AE" w14:textId="77777777" w:rsidR="00176D94" w:rsidRPr="00A343C7" w:rsidRDefault="00E801E9" w:rsidP="0087219C">
      <w:pPr>
        <w:spacing w:after="120"/>
        <w:rPr>
          <w:rFonts w:cstheme="minorHAnsi"/>
        </w:rPr>
      </w:pPr>
      <w:r w:rsidRPr="00A343C7">
        <w:rPr>
          <w:rFonts w:cstheme="minorHAnsi"/>
        </w:rPr>
        <w:t xml:space="preserve">The review should </w:t>
      </w:r>
      <w:r w:rsidR="004D07A4">
        <w:rPr>
          <w:rFonts w:cstheme="minorHAnsi"/>
        </w:rPr>
        <w:t xml:space="preserve">provide </w:t>
      </w:r>
      <w:r w:rsidR="0011560F">
        <w:rPr>
          <w:rFonts w:cstheme="minorHAnsi"/>
        </w:rPr>
        <w:t>advi</w:t>
      </w:r>
      <w:r w:rsidR="004D07A4">
        <w:rPr>
          <w:rFonts w:cstheme="minorHAnsi"/>
        </w:rPr>
        <w:t>c</w:t>
      </w:r>
      <w:r w:rsidR="0011560F">
        <w:rPr>
          <w:rFonts w:cstheme="minorHAnsi"/>
        </w:rPr>
        <w:t>e</w:t>
      </w:r>
      <w:r w:rsidRPr="00A343C7">
        <w:rPr>
          <w:rFonts w:cstheme="minorHAnsi"/>
        </w:rPr>
        <w:t xml:space="preserve"> </w:t>
      </w:r>
      <w:r w:rsidR="004D07A4">
        <w:rPr>
          <w:rFonts w:cstheme="minorHAnsi"/>
        </w:rPr>
        <w:t xml:space="preserve">to </w:t>
      </w:r>
      <w:r w:rsidRPr="00A343C7">
        <w:rPr>
          <w:rFonts w:cstheme="minorHAnsi"/>
        </w:rPr>
        <w:t xml:space="preserve">Government </w:t>
      </w:r>
      <w:r w:rsidR="0011560F">
        <w:rPr>
          <w:rFonts w:cstheme="minorHAnsi"/>
        </w:rPr>
        <w:t>of the extent to which</w:t>
      </w:r>
      <w:r w:rsidRPr="00A343C7">
        <w:rPr>
          <w:rFonts w:cstheme="minorHAnsi"/>
        </w:rPr>
        <w:t xml:space="preserve"> AMSA’s delivery costs are</w:t>
      </w:r>
      <w:r w:rsidR="00B45CA2">
        <w:rPr>
          <w:rFonts w:cstheme="minorHAnsi"/>
        </w:rPr>
        <w:t xml:space="preserve"> efficient and proportionate to the risks being managed</w:t>
      </w:r>
      <w:r w:rsidRPr="00A343C7">
        <w:rPr>
          <w:rFonts w:cstheme="minorHAnsi"/>
        </w:rPr>
        <w:t xml:space="preserve">. </w:t>
      </w:r>
    </w:p>
    <w:p w14:paraId="039EA488" w14:textId="77777777" w:rsidR="009F68C3" w:rsidRPr="00A343C7" w:rsidRDefault="009F68C3" w:rsidP="0087219C">
      <w:pPr>
        <w:spacing w:after="120"/>
        <w:rPr>
          <w:rFonts w:cstheme="minorHAnsi"/>
        </w:rPr>
      </w:pPr>
      <w:r w:rsidRPr="00A343C7">
        <w:rPr>
          <w:rFonts w:cstheme="minorHAnsi"/>
        </w:rPr>
        <w:t xml:space="preserve">The review should make recommendations to Government </w:t>
      </w:r>
      <w:r w:rsidR="003228CC" w:rsidRPr="00A343C7">
        <w:rPr>
          <w:rFonts w:cstheme="minorHAnsi"/>
        </w:rPr>
        <w:t xml:space="preserve">on </w:t>
      </w:r>
      <w:r w:rsidR="00297142" w:rsidRPr="00A343C7">
        <w:rPr>
          <w:rFonts w:cstheme="minorHAnsi"/>
        </w:rPr>
        <w:t xml:space="preserve">options for future funding arrangements for the </w:t>
      </w:r>
      <w:r w:rsidR="00B45CA2">
        <w:rPr>
          <w:rFonts w:cstheme="minorHAnsi"/>
        </w:rPr>
        <w:t>N</w:t>
      </w:r>
      <w:r w:rsidR="00297142" w:rsidRPr="00A343C7">
        <w:rPr>
          <w:rFonts w:cstheme="minorHAnsi"/>
        </w:rPr>
        <w:t xml:space="preserve">ational </w:t>
      </w:r>
      <w:r w:rsidR="00B45CA2">
        <w:rPr>
          <w:rFonts w:cstheme="minorHAnsi"/>
        </w:rPr>
        <w:t>S</w:t>
      </w:r>
      <w:r w:rsidR="00297142" w:rsidRPr="00A343C7">
        <w:rPr>
          <w:rFonts w:cstheme="minorHAnsi"/>
        </w:rPr>
        <w:t>ystem</w:t>
      </w:r>
      <w:r w:rsidR="00D84021" w:rsidRPr="00A343C7">
        <w:rPr>
          <w:rFonts w:cstheme="minorHAnsi"/>
        </w:rPr>
        <w:t>, including considering alternative delivery approaches</w:t>
      </w:r>
      <w:r w:rsidR="00E801E9" w:rsidRPr="00A343C7">
        <w:rPr>
          <w:rFonts w:cstheme="minorHAnsi"/>
        </w:rPr>
        <w:t xml:space="preserve">. </w:t>
      </w:r>
      <w:r w:rsidR="00D84021" w:rsidRPr="00A343C7">
        <w:rPr>
          <w:rFonts w:cstheme="minorHAnsi"/>
        </w:rPr>
        <w:t xml:space="preserve">Recommended options should seek to </w:t>
      </w:r>
      <w:r w:rsidR="00E801E9" w:rsidRPr="00A343C7">
        <w:rPr>
          <w:rFonts w:cstheme="minorHAnsi"/>
        </w:rPr>
        <w:t>improve safety, reduce costs</w:t>
      </w:r>
      <w:r w:rsidR="00D84021" w:rsidRPr="00A343C7">
        <w:rPr>
          <w:rFonts w:cstheme="minorHAnsi"/>
        </w:rPr>
        <w:t xml:space="preserve"> for industry where appropriate</w:t>
      </w:r>
      <w:r w:rsidR="00E801E9" w:rsidRPr="00A343C7">
        <w:rPr>
          <w:rFonts w:cstheme="minorHAnsi"/>
        </w:rPr>
        <w:t xml:space="preserve">, and </w:t>
      </w:r>
      <w:r w:rsidR="00297142" w:rsidRPr="00A343C7">
        <w:rPr>
          <w:rFonts w:cstheme="minorHAnsi"/>
        </w:rPr>
        <w:t xml:space="preserve">provide </w:t>
      </w:r>
      <w:r w:rsidR="00E801E9" w:rsidRPr="00A343C7">
        <w:rPr>
          <w:rFonts w:cstheme="minorHAnsi"/>
        </w:rPr>
        <w:t xml:space="preserve">financial </w:t>
      </w:r>
      <w:r w:rsidR="00297142" w:rsidRPr="00A343C7">
        <w:rPr>
          <w:rFonts w:cstheme="minorHAnsi"/>
        </w:rPr>
        <w:t>stability and certainty for industry and AMSA.</w:t>
      </w:r>
      <w:r w:rsidRPr="00A343C7">
        <w:rPr>
          <w:rFonts w:cstheme="minorHAnsi"/>
        </w:rPr>
        <w:t xml:space="preserve"> </w:t>
      </w:r>
    </w:p>
    <w:p w14:paraId="781AB159" w14:textId="77777777" w:rsidR="00A0250C" w:rsidRPr="00A343C7" w:rsidRDefault="00F70D8D" w:rsidP="0087219C">
      <w:pPr>
        <w:spacing w:after="120"/>
        <w:rPr>
          <w:rFonts w:cstheme="minorHAnsi"/>
        </w:rPr>
      </w:pPr>
      <w:r>
        <w:rPr>
          <w:rFonts w:cstheme="minorHAnsi"/>
        </w:rPr>
        <w:t>T</w:t>
      </w:r>
      <w:r w:rsidR="009815E7" w:rsidRPr="00A343C7">
        <w:rPr>
          <w:rFonts w:cstheme="minorHAnsi"/>
        </w:rPr>
        <w:t>he review should have regard to the outcomes of consultation.</w:t>
      </w:r>
    </w:p>
    <w:p w14:paraId="33128929" w14:textId="0D72216D" w:rsidR="00A343C7" w:rsidRDefault="00A343C7">
      <w:pPr>
        <w:rPr>
          <w:rFonts w:eastAsiaTheme="majorEastAsia" w:cstheme="minorHAnsi"/>
          <w:b/>
          <w:color w:val="1F4D78" w:themeColor="accent1" w:themeShade="7F"/>
          <w:sz w:val="24"/>
          <w:szCs w:val="24"/>
        </w:rPr>
      </w:pPr>
    </w:p>
    <w:p w14:paraId="6924BE09" w14:textId="77777777" w:rsidR="00DB0C90" w:rsidRPr="00A343C7" w:rsidRDefault="00DB0C90" w:rsidP="00DB0C90">
      <w:pPr>
        <w:pStyle w:val="Heading3"/>
        <w:rPr>
          <w:rFonts w:asciiTheme="minorHAnsi" w:hAnsiTheme="minorHAnsi" w:cstheme="minorHAnsi"/>
          <w:b/>
        </w:rPr>
      </w:pPr>
      <w:r w:rsidRPr="00A343C7">
        <w:rPr>
          <w:rFonts w:asciiTheme="minorHAnsi" w:hAnsiTheme="minorHAnsi" w:cstheme="minorHAnsi"/>
          <w:b/>
        </w:rPr>
        <w:lastRenderedPageBreak/>
        <w:t>Process</w:t>
      </w:r>
    </w:p>
    <w:p w14:paraId="419B5ECC" w14:textId="21AF8627" w:rsidR="00D84021" w:rsidRPr="00A343C7" w:rsidRDefault="009404DC" w:rsidP="0087219C">
      <w:pPr>
        <w:spacing w:after="120"/>
        <w:rPr>
          <w:rFonts w:cstheme="minorHAnsi"/>
        </w:rPr>
      </w:pPr>
      <w:r w:rsidRPr="00A343C7">
        <w:rPr>
          <w:rFonts w:cstheme="minorHAnsi"/>
        </w:rPr>
        <w:t xml:space="preserve">The review will be undertaken </w:t>
      </w:r>
      <w:r w:rsidR="00D84021" w:rsidRPr="00A343C7">
        <w:rPr>
          <w:rFonts w:cstheme="minorHAnsi"/>
        </w:rPr>
        <w:t xml:space="preserve">by an independent expert panel, supported by the Department of Infrastructure, Transport, Regional Development, and Communications. </w:t>
      </w:r>
      <w:r w:rsidR="00663833" w:rsidRPr="00F9711C">
        <w:rPr>
          <w:rFonts w:cstheme="minorHAnsi"/>
        </w:rPr>
        <w:t xml:space="preserve">The DPM, in consultation with the PM, has appointed Michael Carmody AO, Carolyn Walsh, and John Harrison. </w:t>
      </w:r>
      <w:r w:rsidR="00663833" w:rsidRPr="003043DC">
        <w:rPr>
          <w:rFonts w:cstheme="minorHAnsi"/>
        </w:rPr>
        <w:t>These eminent reviewers have been selected due to their experience and skills as senior advisers to government, their diverse and complementary expertise across regulatory, safety and maritime industry sectors, as well as their availability to conduct the review within timeframes required by Government.</w:t>
      </w:r>
    </w:p>
    <w:p w14:paraId="009097CC" w14:textId="5C1E23B7" w:rsidR="00E11E6C" w:rsidRPr="00A343C7" w:rsidRDefault="00D84021" w:rsidP="007E16E9">
      <w:pPr>
        <w:spacing w:after="120"/>
        <w:rPr>
          <w:rFonts w:cstheme="minorHAnsi"/>
        </w:rPr>
      </w:pPr>
      <w:r w:rsidRPr="00A343C7">
        <w:rPr>
          <w:rFonts w:cstheme="minorHAnsi"/>
        </w:rPr>
        <w:t xml:space="preserve">The </w:t>
      </w:r>
      <w:r w:rsidR="00E11E6C" w:rsidRPr="00A343C7">
        <w:rPr>
          <w:rFonts w:cstheme="minorHAnsi"/>
        </w:rPr>
        <w:t>review is to</w:t>
      </w:r>
      <w:r w:rsidR="00663833">
        <w:rPr>
          <w:rFonts w:cstheme="minorHAnsi"/>
        </w:rPr>
        <w:t xml:space="preserve"> commence in </w:t>
      </w:r>
      <w:r w:rsidR="006542D0">
        <w:rPr>
          <w:rFonts w:cstheme="minorHAnsi"/>
        </w:rPr>
        <w:t>2022</w:t>
      </w:r>
      <w:r w:rsidR="00F70D8D">
        <w:rPr>
          <w:rFonts w:cstheme="minorHAnsi"/>
        </w:rPr>
        <w:t xml:space="preserve"> </w:t>
      </w:r>
      <w:r w:rsidR="007E16E9" w:rsidRPr="00A343C7">
        <w:rPr>
          <w:rFonts w:cstheme="minorHAnsi"/>
        </w:rPr>
        <w:t>and be conducted in two phases</w:t>
      </w:r>
      <w:r w:rsidR="00E11E6C" w:rsidRPr="00A343C7">
        <w:rPr>
          <w:rFonts w:cstheme="minorHAnsi"/>
        </w:rPr>
        <w:t>. The first phase is to focus on whether the National Law framework is fit for purpose</w:t>
      </w:r>
      <w:r w:rsidR="001B4DFF" w:rsidRPr="00A343C7">
        <w:rPr>
          <w:rFonts w:cstheme="minorHAnsi"/>
        </w:rPr>
        <w:t xml:space="preserve"> an</w:t>
      </w:r>
      <w:r w:rsidR="00663833">
        <w:rPr>
          <w:rFonts w:cstheme="minorHAnsi"/>
        </w:rPr>
        <w:t>d should conclude by mid-</w:t>
      </w:r>
      <w:r w:rsidR="006542D0">
        <w:rPr>
          <w:rFonts w:cstheme="minorHAnsi"/>
        </w:rPr>
        <w:t>2022</w:t>
      </w:r>
      <w:r w:rsidR="001B4DFF" w:rsidRPr="00A343C7">
        <w:rPr>
          <w:rFonts w:cstheme="minorHAnsi"/>
        </w:rPr>
        <w:t>. T</w:t>
      </w:r>
      <w:r w:rsidR="00E11E6C" w:rsidRPr="00A343C7">
        <w:rPr>
          <w:rFonts w:cstheme="minorHAnsi"/>
        </w:rPr>
        <w:t xml:space="preserve">he second phase is to consider whether delivery of the National System is </w:t>
      </w:r>
      <w:r w:rsidRPr="00A343C7">
        <w:rPr>
          <w:rFonts w:cstheme="minorHAnsi"/>
        </w:rPr>
        <w:t>cost</w:t>
      </w:r>
      <w:r w:rsidR="00E11E6C" w:rsidRPr="00A343C7">
        <w:rPr>
          <w:rFonts w:cstheme="minorHAnsi"/>
        </w:rPr>
        <w:t xml:space="preserve">-effective, and options for future </w:t>
      </w:r>
      <w:r w:rsidR="001B4DFF" w:rsidRPr="00A343C7">
        <w:rPr>
          <w:rFonts w:cstheme="minorHAnsi"/>
        </w:rPr>
        <w:t>charges.</w:t>
      </w:r>
      <w:r w:rsidR="00E11E6C" w:rsidRPr="00A343C7">
        <w:rPr>
          <w:rFonts w:cstheme="minorHAnsi"/>
        </w:rPr>
        <w:t xml:space="preserve"> </w:t>
      </w:r>
    </w:p>
    <w:p w14:paraId="461C1EDD" w14:textId="77777777" w:rsidR="007E16E9" w:rsidRPr="00A343C7" w:rsidRDefault="00E11E6C" w:rsidP="007E16E9">
      <w:pPr>
        <w:spacing w:after="120"/>
        <w:rPr>
          <w:rFonts w:cstheme="minorHAnsi"/>
        </w:rPr>
      </w:pPr>
      <w:r w:rsidRPr="00A343C7">
        <w:rPr>
          <w:rFonts w:cstheme="minorHAnsi"/>
        </w:rPr>
        <w:t xml:space="preserve">The review </w:t>
      </w:r>
      <w:r w:rsidR="00996668">
        <w:rPr>
          <w:rFonts w:cstheme="minorHAnsi"/>
        </w:rPr>
        <w:t>will</w:t>
      </w:r>
      <w:r w:rsidR="00996668" w:rsidRPr="00A343C7">
        <w:rPr>
          <w:rFonts w:cstheme="minorHAnsi"/>
        </w:rPr>
        <w:t xml:space="preserve"> </w:t>
      </w:r>
      <w:r w:rsidRPr="00A343C7">
        <w:rPr>
          <w:rFonts w:cstheme="minorHAnsi"/>
        </w:rPr>
        <w:t xml:space="preserve">be informed by </w:t>
      </w:r>
      <w:r w:rsidR="00996668">
        <w:rPr>
          <w:rFonts w:cstheme="minorHAnsi"/>
        </w:rPr>
        <w:t xml:space="preserve">significant stakeholder </w:t>
      </w:r>
      <w:r w:rsidRPr="00A343C7">
        <w:rPr>
          <w:rFonts w:cstheme="minorHAnsi"/>
        </w:rPr>
        <w:t>consultation</w:t>
      </w:r>
      <w:r w:rsidR="00996668">
        <w:rPr>
          <w:rFonts w:cstheme="minorHAnsi"/>
        </w:rPr>
        <w:t xml:space="preserve">, including </w:t>
      </w:r>
      <w:r w:rsidRPr="00A343C7">
        <w:rPr>
          <w:rFonts w:cstheme="minorHAnsi"/>
        </w:rPr>
        <w:t>public discussion paper</w:t>
      </w:r>
      <w:r w:rsidR="00996668">
        <w:rPr>
          <w:rFonts w:cstheme="minorHAnsi"/>
        </w:rPr>
        <w:t>s</w:t>
      </w:r>
      <w:r w:rsidR="001B4DFF" w:rsidRPr="00A343C7">
        <w:rPr>
          <w:rFonts w:cstheme="minorHAnsi"/>
        </w:rPr>
        <w:t xml:space="preserve">, </w:t>
      </w:r>
      <w:r w:rsidR="00996668">
        <w:rPr>
          <w:rFonts w:cstheme="minorHAnsi"/>
        </w:rPr>
        <w:t xml:space="preserve">supported by efforts to encourage </w:t>
      </w:r>
      <w:r w:rsidR="001B4DFF" w:rsidRPr="00A343C7">
        <w:rPr>
          <w:rFonts w:cstheme="minorHAnsi"/>
        </w:rPr>
        <w:t xml:space="preserve">public </w:t>
      </w:r>
      <w:r w:rsidRPr="00A343C7">
        <w:rPr>
          <w:rFonts w:cstheme="minorHAnsi"/>
        </w:rPr>
        <w:t>s</w:t>
      </w:r>
      <w:r w:rsidR="007E16E9" w:rsidRPr="00A343C7">
        <w:rPr>
          <w:rFonts w:cstheme="minorHAnsi"/>
        </w:rPr>
        <w:t>ubmission</w:t>
      </w:r>
      <w:r w:rsidRPr="00A343C7">
        <w:rPr>
          <w:rFonts w:cstheme="minorHAnsi"/>
        </w:rPr>
        <w:t>s</w:t>
      </w:r>
      <w:r w:rsidR="00996668">
        <w:rPr>
          <w:rFonts w:cstheme="minorHAnsi"/>
        </w:rPr>
        <w:t xml:space="preserve"> including industry engagement</w:t>
      </w:r>
      <w:r w:rsidRPr="00A343C7">
        <w:rPr>
          <w:rFonts w:cstheme="minorHAnsi"/>
        </w:rPr>
        <w:t xml:space="preserve">. </w:t>
      </w:r>
      <w:r w:rsidR="00AB4202">
        <w:rPr>
          <w:rFonts w:cstheme="minorHAnsi"/>
        </w:rPr>
        <w:t>A</w:t>
      </w:r>
      <w:r w:rsidR="001B4DFF" w:rsidRPr="00A343C7">
        <w:rPr>
          <w:rFonts w:cstheme="minorHAnsi"/>
        </w:rPr>
        <w:t xml:space="preserve">n </w:t>
      </w:r>
      <w:r w:rsidR="00D84021" w:rsidRPr="00A343C7">
        <w:rPr>
          <w:rFonts w:cstheme="minorHAnsi"/>
        </w:rPr>
        <w:t>interim report</w:t>
      </w:r>
      <w:r w:rsidR="001B4DFF" w:rsidRPr="00A343C7">
        <w:rPr>
          <w:rFonts w:cstheme="minorHAnsi"/>
        </w:rPr>
        <w:t xml:space="preserve"> is to </w:t>
      </w:r>
      <w:r w:rsidRPr="00A343C7">
        <w:rPr>
          <w:rFonts w:cstheme="minorHAnsi"/>
        </w:rPr>
        <w:t>be released</w:t>
      </w:r>
      <w:r w:rsidR="00D84021" w:rsidRPr="00A343C7">
        <w:rPr>
          <w:rFonts w:cstheme="minorHAnsi"/>
        </w:rPr>
        <w:t xml:space="preserve"> for</w:t>
      </w:r>
      <w:r w:rsidR="007E16E9" w:rsidRPr="00A343C7">
        <w:rPr>
          <w:rFonts w:cstheme="minorHAnsi"/>
        </w:rPr>
        <w:t xml:space="preserve"> </w:t>
      </w:r>
      <w:r w:rsidR="00996668">
        <w:rPr>
          <w:rFonts w:cstheme="minorHAnsi"/>
        </w:rPr>
        <w:t xml:space="preserve">further </w:t>
      </w:r>
      <w:r w:rsidR="007E16E9" w:rsidRPr="00A343C7">
        <w:rPr>
          <w:rFonts w:cstheme="minorHAnsi"/>
        </w:rPr>
        <w:t>public comment</w:t>
      </w:r>
      <w:r w:rsidR="00996668">
        <w:rPr>
          <w:rFonts w:cstheme="minorHAnsi"/>
        </w:rPr>
        <w:t xml:space="preserve"> at the conclusion of each phase</w:t>
      </w:r>
      <w:r w:rsidR="007E16E9" w:rsidRPr="00A343C7">
        <w:rPr>
          <w:rFonts w:cstheme="minorHAnsi"/>
        </w:rPr>
        <w:t xml:space="preserve">. </w:t>
      </w:r>
    </w:p>
    <w:p w14:paraId="3FD8CF24" w14:textId="7D70456E" w:rsidR="00F9711C" w:rsidRDefault="007E16E9" w:rsidP="007E16E9">
      <w:pPr>
        <w:spacing w:after="120"/>
        <w:rPr>
          <w:rFonts w:cstheme="minorHAnsi"/>
        </w:rPr>
      </w:pPr>
      <w:r w:rsidRPr="00A343C7">
        <w:rPr>
          <w:rFonts w:cstheme="minorHAnsi"/>
        </w:rPr>
        <w:t xml:space="preserve">Subject to progress of the review, the Government expects to receive a final report </w:t>
      </w:r>
      <w:r w:rsidR="00663833">
        <w:rPr>
          <w:rFonts w:cstheme="minorHAnsi"/>
        </w:rPr>
        <w:t xml:space="preserve">by the end of </w:t>
      </w:r>
      <w:r w:rsidRPr="00A343C7">
        <w:rPr>
          <w:rFonts w:cstheme="minorHAnsi"/>
        </w:rPr>
        <w:t>2022.</w:t>
      </w:r>
    </w:p>
    <w:p w14:paraId="58D40A9D" w14:textId="77777777" w:rsidR="00F9711C" w:rsidRPr="00F9711C" w:rsidRDefault="00F9711C" w:rsidP="00F9711C">
      <w:pPr>
        <w:rPr>
          <w:rFonts w:cstheme="minorHAnsi"/>
        </w:rPr>
      </w:pPr>
      <w:bookmarkStart w:id="0" w:name="_GoBack"/>
      <w:bookmarkEnd w:id="0"/>
    </w:p>
    <w:p w14:paraId="20BEF7CE" w14:textId="77777777" w:rsidR="00F9711C" w:rsidRPr="00F9711C" w:rsidRDefault="00F9711C" w:rsidP="00F9711C">
      <w:pPr>
        <w:rPr>
          <w:rFonts w:cstheme="minorHAnsi"/>
        </w:rPr>
      </w:pPr>
    </w:p>
    <w:p w14:paraId="6D2E845F" w14:textId="77777777" w:rsidR="00F9711C" w:rsidRPr="00F9711C" w:rsidRDefault="00F9711C" w:rsidP="00F9711C">
      <w:pPr>
        <w:rPr>
          <w:rFonts w:cstheme="minorHAnsi"/>
        </w:rPr>
      </w:pPr>
    </w:p>
    <w:p w14:paraId="074E6383" w14:textId="77777777" w:rsidR="00F9711C" w:rsidRPr="00F9711C" w:rsidRDefault="00F9711C" w:rsidP="00F9711C">
      <w:pPr>
        <w:rPr>
          <w:rFonts w:cstheme="minorHAnsi"/>
        </w:rPr>
      </w:pPr>
    </w:p>
    <w:p w14:paraId="3D847D87" w14:textId="77777777" w:rsidR="00F9711C" w:rsidRPr="00F9711C" w:rsidRDefault="00F9711C" w:rsidP="00F9711C">
      <w:pPr>
        <w:rPr>
          <w:rFonts w:cstheme="minorHAnsi"/>
        </w:rPr>
      </w:pPr>
    </w:p>
    <w:p w14:paraId="3C639C57" w14:textId="77777777" w:rsidR="00F9711C" w:rsidRPr="00F9711C" w:rsidRDefault="00F9711C" w:rsidP="00F9711C">
      <w:pPr>
        <w:rPr>
          <w:rFonts w:cstheme="minorHAnsi"/>
        </w:rPr>
      </w:pPr>
    </w:p>
    <w:p w14:paraId="20E41941" w14:textId="77777777" w:rsidR="00F9711C" w:rsidRPr="00F9711C" w:rsidRDefault="00F9711C" w:rsidP="00F9711C">
      <w:pPr>
        <w:rPr>
          <w:rFonts w:cstheme="minorHAnsi"/>
        </w:rPr>
      </w:pPr>
    </w:p>
    <w:p w14:paraId="2C9497F6" w14:textId="77777777" w:rsidR="00F9711C" w:rsidRPr="00F9711C" w:rsidRDefault="00F9711C" w:rsidP="00F9711C">
      <w:pPr>
        <w:rPr>
          <w:rFonts w:cstheme="minorHAnsi"/>
        </w:rPr>
      </w:pPr>
    </w:p>
    <w:p w14:paraId="390C7D18" w14:textId="77777777" w:rsidR="00F9711C" w:rsidRPr="00F9711C" w:rsidRDefault="00F9711C" w:rsidP="00F9711C">
      <w:pPr>
        <w:rPr>
          <w:rFonts w:cstheme="minorHAnsi"/>
        </w:rPr>
      </w:pPr>
    </w:p>
    <w:p w14:paraId="572475EF" w14:textId="2F27C528" w:rsidR="00F9711C" w:rsidRDefault="00F9711C" w:rsidP="00F9711C">
      <w:pPr>
        <w:rPr>
          <w:rFonts w:cstheme="minorHAnsi"/>
        </w:rPr>
      </w:pPr>
    </w:p>
    <w:p w14:paraId="23C3554B" w14:textId="17ABD5D8" w:rsidR="009404DC" w:rsidRPr="00F9711C" w:rsidRDefault="00F9711C" w:rsidP="00F9711C">
      <w:pPr>
        <w:tabs>
          <w:tab w:val="left" w:pos="5966"/>
        </w:tabs>
        <w:rPr>
          <w:rFonts w:cstheme="minorHAnsi"/>
        </w:rPr>
      </w:pPr>
      <w:r>
        <w:rPr>
          <w:rFonts w:cstheme="minorHAnsi"/>
        </w:rPr>
        <w:tab/>
      </w:r>
    </w:p>
    <w:sectPr w:rsidR="009404DC" w:rsidRPr="00F9711C" w:rsidSect="008A1FF7">
      <w:footerReference w:type="default" r:id="rId11"/>
      <w:pgSz w:w="11906" w:h="16838"/>
      <w:pgMar w:top="851" w:right="1134" w:bottom="993" w:left="1134" w:header="708" w:footer="28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06B5A0" w16cid:durableId="2455FA63"/>
  <w16cid:commentId w16cid:paraId="3C7A72FA" w16cid:durableId="2455FD92"/>
  <w16cid:commentId w16cid:paraId="459E55B7" w16cid:durableId="2455FD36"/>
  <w16cid:commentId w16cid:paraId="05AE443B" w16cid:durableId="2455FCF8"/>
  <w16cid:commentId w16cid:paraId="2EE18416" w16cid:durableId="2455FCE2"/>
  <w16cid:commentId w16cid:paraId="51213557" w16cid:durableId="2445EADE"/>
  <w16cid:commentId w16cid:paraId="432E47CF" w16cid:durableId="2455FCA3"/>
  <w16cid:commentId w16cid:paraId="0C54EEB3" w16cid:durableId="2455FC96"/>
  <w16cid:commentId w16cid:paraId="66EB0D01" w16cid:durableId="2455FB4C"/>
  <w16cid:commentId w16cid:paraId="5DB73D82" w16cid:durableId="2445ED68"/>
  <w16cid:commentId w16cid:paraId="2F58AB0D" w16cid:durableId="2445EDCC"/>
  <w16cid:commentId w16cid:paraId="2460353E" w16cid:durableId="2446270B"/>
  <w16cid:commentId w16cid:paraId="5D43673E" w16cid:durableId="2455FA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A715" w14:textId="77777777" w:rsidR="003442B9" w:rsidRDefault="003442B9" w:rsidP="00E11E6C">
      <w:pPr>
        <w:spacing w:after="0" w:line="240" w:lineRule="auto"/>
      </w:pPr>
      <w:r>
        <w:separator/>
      </w:r>
    </w:p>
  </w:endnote>
  <w:endnote w:type="continuationSeparator" w:id="0">
    <w:p w14:paraId="5FDE9BC8" w14:textId="77777777" w:rsidR="003442B9" w:rsidRDefault="003442B9" w:rsidP="00E1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72387"/>
      <w:docPartObj>
        <w:docPartGallery w:val="Page Numbers (Bottom of Page)"/>
        <w:docPartUnique/>
      </w:docPartObj>
    </w:sdtPr>
    <w:sdtEndPr>
      <w:rPr>
        <w:noProof/>
      </w:rPr>
    </w:sdtEndPr>
    <w:sdtContent>
      <w:p w14:paraId="36045572" w14:textId="4625DD21" w:rsidR="008A1FF7" w:rsidRDefault="008A1FF7">
        <w:pPr>
          <w:pStyle w:val="Footer"/>
          <w:jc w:val="center"/>
        </w:pPr>
        <w:r>
          <w:fldChar w:fldCharType="begin"/>
        </w:r>
        <w:r>
          <w:instrText xml:space="preserve"> PAGE   \* MERGEFORMAT </w:instrText>
        </w:r>
        <w:r>
          <w:fldChar w:fldCharType="separate"/>
        </w:r>
        <w:r w:rsidR="009731F7">
          <w:rPr>
            <w:noProof/>
          </w:rPr>
          <w:t>3</w:t>
        </w:r>
        <w:r>
          <w:rPr>
            <w:noProof/>
          </w:rPr>
          <w:fldChar w:fldCharType="end"/>
        </w:r>
      </w:p>
    </w:sdtContent>
  </w:sdt>
  <w:p w14:paraId="717E9155" w14:textId="77777777" w:rsidR="009A6E41" w:rsidRDefault="009A6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9971D" w14:textId="77777777" w:rsidR="003442B9" w:rsidRDefault="003442B9" w:rsidP="00E11E6C">
      <w:pPr>
        <w:spacing w:after="0" w:line="240" w:lineRule="auto"/>
      </w:pPr>
      <w:r>
        <w:separator/>
      </w:r>
    </w:p>
  </w:footnote>
  <w:footnote w:type="continuationSeparator" w:id="0">
    <w:p w14:paraId="3147111F" w14:textId="77777777" w:rsidR="003442B9" w:rsidRDefault="003442B9" w:rsidP="00E11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3FF"/>
    <w:multiLevelType w:val="multilevel"/>
    <w:tmpl w:val="84E2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3D96"/>
    <w:multiLevelType w:val="hybridMultilevel"/>
    <w:tmpl w:val="D1C4E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9B3A6C"/>
    <w:multiLevelType w:val="hybridMultilevel"/>
    <w:tmpl w:val="FA7CE8CE"/>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2E746343"/>
    <w:multiLevelType w:val="hybridMultilevel"/>
    <w:tmpl w:val="B8C02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197EE5"/>
    <w:multiLevelType w:val="hybridMultilevel"/>
    <w:tmpl w:val="6CC8C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2610A13"/>
    <w:multiLevelType w:val="hybridMultilevel"/>
    <w:tmpl w:val="7D00E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E233B2"/>
    <w:multiLevelType w:val="hybridMultilevel"/>
    <w:tmpl w:val="032E4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2064BE"/>
    <w:multiLevelType w:val="hybridMultilevel"/>
    <w:tmpl w:val="39FAA4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6676029E"/>
    <w:multiLevelType w:val="hybridMultilevel"/>
    <w:tmpl w:val="1CA8D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4C"/>
    <w:rsid w:val="00001503"/>
    <w:rsid w:val="000171C7"/>
    <w:rsid w:val="00057187"/>
    <w:rsid w:val="0006582F"/>
    <w:rsid w:val="00065FC2"/>
    <w:rsid w:val="00076FDD"/>
    <w:rsid w:val="000844E3"/>
    <w:rsid w:val="00087CF8"/>
    <w:rsid w:val="000A02F4"/>
    <w:rsid w:val="000A1921"/>
    <w:rsid w:val="000A4582"/>
    <w:rsid w:val="000D6562"/>
    <w:rsid w:val="000E4EE1"/>
    <w:rsid w:val="000F5B7C"/>
    <w:rsid w:val="0010249D"/>
    <w:rsid w:val="00103D19"/>
    <w:rsid w:val="001144A9"/>
    <w:rsid w:val="0011560F"/>
    <w:rsid w:val="00133B32"/>
    <w:rsid w:val="00143F8E"/>
    <w:rsid w:val="001450D6"/>
    <w:rsid w:val="00145E23"/>
    <w:rsid w:val="00146A8F"/>
    <w:rsid w:val="00155968"/>
    <w:rsid w:val="00176D94"/>
    <w:rsid w:val="0019188C"/>
    <w:rsid w:val="001A6FC6"/>
    <w:rsid w:val="001B4DFF"/>
    <w:rsid w:val="001B6492"/>
    <w:rsid w:val="001E2164"/>
    <w:rsid w:val="001F064C"/>
    <w:rsid w:val="001F280C"/>
    <w:rsid w:val="002173F8"/>
    <w:rsid w:val="00255CCE"/>
    <w:rsid w:val="00285696"/>
    <w:rsid w:val="00297142"/>
    <w:rsid w:val="002A35F8"/>
    <w:rsid w:val="002B7B6A"/>
    <w:rsid w:val="003228CC"/>
    <w:rsid w:val="00343B3E"/>
    <w:rsid w:val="003442B9"/>
    <w:rsid w:val="00353D02"/>
    <w:rsid w:val="003634BD"/>
    <w:rsid w:val="00370B73"/>
    <w:rsid w:val="00371FAD"/>
    <w:rsid w:val="003749F8"/>
    <w:rsid w:val="00385A00"/>
    <w:rsid w:val="00394636"/>
    <w:rsid w:val="003B7417"/>
    <w:rsid w:val="003D236B"/>
    <w:rsid w:val="003D336A"/>
    <w:rsid w:val="003F1C4D"/>
    <w:rsid w:val="003F6675"/>
    <w:rsid w:val="003F71AA"/>
    <w:rsid w:val="00406D29"/>
    <w:rsid w:val="00414873"/>
    <w:rsid w:val="00420E67"/>
    <w:rsid w:val="00425A3E"/>
    <w:rsid w:val="004643F1"/>
    <w:rsid w:val="004A0495"/>
    <w:rsid w:val="004A1054"/>
    <w:rsid w:val="004A5C40"/>
    <w:rsid w:val="004A73EA"/>
    <w:rsid w:val="004D07A4"/>
    <w:rsid w:val="004F32A0"/>
    <w:rsid w:val="00502594"/>
    <w:rsid w:val="00511686"/>
    <w:rsid w:val="00512D5E"/>
    <w:rsid w:val="00521B1C"/>
    <w:rsid w:val="005330FB"/>
    <w:rsid w:val="0055146C"/>
    <w:rsid w:val="00560B6C"/>
    <w:rsid w:val="005A4333"/>
    <w:rsid w:val="005D03E4"/>
    <w:rsid w:val="005D2965"/>
    <w:rsid w:val="00614309"/>
    <w:rsid w:val="0064179E"/>
    <w:rsid w:val="006542D0"/>
    <w:rsid w:val="00663833"/>
    <w:rsid w:val="00663959"/>
    <w:rsid w:val="006719BD"/>
    <w:rsid w:val="0069716B"/>
    <w:rsid w:val="006B2AC8"/>
    <w:rsid w:val="006C523C"/>
    <w:rsid w:val="006F0ACC"/>
    <w:rsid w:val="006F4D6F"/>
    <w:rsid w:val="00706910"/>
    <w:rsid w:val="00760710"/>
    <w:rsid w:val="007964F1"/>
    <w:rsid w:val="007C0106"/>
    <w:rsid w:val="007D13A5"/>
    <w:rsid w:val="007E16E9"/>
    <w:rsid w:val="007E4BD9"/>
    <w:rsid w:val="00801859"/>
    <w:rsid w:val="00813C5B"/>
    <w:rsid w:val="008421EF"/>
    <w:rsid w:val="00844F58"/>
    <w:rsid w:val="008460D5"/>
    <w:rsid w:val="008510B3"/>
    <w:rsid w:val="0087219C"/>
    <w:rsid w:val="00881E6E"/>
    <w:rsid w:val="008A1FF7"/>
    <w:rsid w:val="008C5AF4"/>
    <w:rsid w:val="008E3E9A"/>
    <w:rsid w:val="008E5CF1"/>
    <w:rsid w:val="008F3A44"/>
    <w:rsid w:val="009004A1"/>
    <w:rsid w:val="009404DC"/>
    <w:rsid w:val="0094430A"/>
    <w:rsid w:val="009564C0"/>
    <w:rsid w:val="009629D5"/>
    <w:rsid w:val="009731F7"/>
    <w:rsid w:val="00974136"/>
    <w:rsid w:val="00980106"/>
    <w:rsid w:val="009815E7"/>
    <w:rsid w:val="009842E9"/>
    <w:rsid w:val="00996668"/>
    <w:rsid w:val="009A118D"/>
    <w:rsid w:val="009A6E41"/>
    <w:rsid w:val="009A7C86"/>
    <w:rsid w:val="009C6DD8"/>
    <w:rsid w:val="009F3B3D"/>
    <w:rsid w:val="009F68C3"/>
    <w:rsid w:val="00A0250C"/>
    <w:rsid w:val="00A10D0D"/>
    <w:rsid w:val="00A343C7"/>
    <w:rsid w:val="00A40093"/>
    <w:rsid w:val="00A54B05"/>
    <w:rsid w:val="00A71CC0"/>
    <w:rsid w:val="00AA0758"/>
    <w:rsid w:val="00AB4202"/>
    <w:rsid w:val="00AF40D6"/>
    <w:rsid w:val="00B01E88"/>
    <w:rsid w:val="00B30434"/>
    <w:rsid w:val="00B3117C"/>
    <w:rsid w:val="00B45CA2"/>
    <w:rsid w:val="00B62FD3"/>
    <w:rsid w:val="00BA6FDA"/>
    <w:rsid w:val="00BC315F"/>
    <w:rsid w:val="00BD0527"/>
    <w:rsid w:val="00C0254C"/>
    <w:rsid w:val="00C10D12"/>
    <w:rsid w:val="00C255B9"/>
    <w:rsid w:val="00C41D77"/>
    <w:rsid w:val="00C6082F"/>
    <w:rsid w:val="00C825C7"/>
    <w:rsid w:val="00CB15D6"/>
    <w:rsid w:val="00CB350F"/>
    <w:rsid w:val="00CB6151"/>
    <w:rsid w:val="00CD4BAB"/>
    <w:rsid w:val="00D03DC0"/>
    <w:rsid w:val="00D12E78"/>
    <w:rsid w:val="00D21011"/>
    <w:rsid w:val="00D32F72"/>
    <w:rsid w:val="00D40ACC"/>
    <w:rsid w:val="00D71A98"/>
    <w:rsid w:val="00D84021"/>
    <w:rsid w:val="00D84F07"/>
    <w:rsid w:val="00DB0C90"/>
    <w:rsid w:val="00DC56C7"/>
    <w:rsid w:val="00DD0F5E"/>
    <w:rsid w:val="00DD4289"/>
    <w:rsid w:val="00E11E6C"/>
    <w:rsid w:val="00E32DD4"/>
    <w:rsid w:val="00E404A2"/>
    <w:rsid w:val="00E43732"/>
    <w:rsid w:val="00E54198"/>
    <w:rsid w:val="00E6471A"/>
    <w:rsid w:val="00E801E9"/>
    <w:rsid w:val="00E917B0"/>
    <w:rsid w:val="00EA760E"/>
    <w:rsid w:val="00EB3CE1"/>
    <w:rsid w:val="00EB584D"/>
    <w:rsid w:val="00F438DF"/>
    <w:rsid w:val="00F546DB"/>
    <w:rsid w:val="00F5563D"/>
    <w:rsid w:val="00F70D8D"/>
    <w:rsid w:val="00F7523D"/>
    <w:rsid w:val="00F9711C"/>
    <w:rsid w:val="00FA1D8F"/>
    <w:rsid w:val="00FD08AD"/>
    <w:rsid w:val="00FE1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649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4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25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1C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404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5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71CC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71CC0"/>
    <w:pPr>
      <w:ind w:left="720"/>
      <w:contextualSpacing/>
    </w:pPr>
  </w:style>
  <w:style w:type="character" w:customStyle="1" w:styleId="Heading4Char">
    <w:name w:val="Heading 4 Char"/>
    <w:basedOn w:val="DefaultParagraphFont"/>
    <w:link w:val="Heading4"/>
    <w:uiPriority w:val="9"/>
    <w:rsid w:val="00E404A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974136"/>
    <w:rPr>
      <w:sz w:val="16"/>
      <w:szCs w:val="16"/>
    </w:rPr>
  </w:style>
  <w:style w:type="paragraph" w:styleId="CommentText">
    <w:name w:val="annotation text"/>
    <w:basedOn w:val="Normal"/>
    <w:link w:val="CommentTextChar"/>
    <w:uiPriority w:val="99"/>
    <w:semiHidden/>
    <w:unhideWhenUsed/>
    <w:rsid w:val="00974136"/>
    <w:pPr>
      <w:spacing w:line="240" w:lineRule="auto"/>
    </w:pPr>
    <w:rPr>
      <w:sz w:val="20"/>
      <w:szCs w:val="20"/>
    </w:rPr>
  </w:style>
  <w:style w:type="character" w:customStyle="1" w:styleId="CommentTextChar">
    <w:name w:val="Comment Text Char"/>
    <w:basedOn w:val="DefaultParagraphFont"/>
    <w:link w:val="CommentText"/>
    <w:uiPriority w:val="99"/>
    <w:semiHidden/>
    <w:rsid w:val="00974136"/>
    <w:rPr>
      <w:sz w:val="20"/>
      <w:szCs w:val="20"/>
    </w:rPr>
  </w:style>
  <w:style w:type="paragraph" w:styleId="CommentSubject">
    <w:name w:val="annotation subject"/>
    <w:basedOn w:val="CommentText"/>
    <w:next w:val="CommentText"/>
    <w:link w:val="CommentSubjectChar"/>
    <w:uiPriority w:val="99"/>
    <w:semiHidden/>
    <w:unhideWhenUsed/>
    <w:rsid w:val="00974136"/>
    <w:rPr>
      <w:b/>
      <w:bCs/>
    </w:rPr>
  </w:style>
  <w:style w:type="character" w:customStyle="1" w:styleId="CommentSubjectChar">
    <w:name w:val="Comment Subject Char"/>
    <w:basedOn w:val="CommentTextChar"/>
    <w:link w:val="CommentSubject"/>
    <w:uiPriority w:val="99"/>
    <w:semiHidden/>
    <w:rsid w:val="00974136"/>
    <w:rPr>
      <w:b/>
      <w:bCs/>
      <w:sz w:val="20"/>
      <w:szCs w:val="20"/>
    </w:rPr>
  </w:style>
  <w:style w:type="paragraph" w:styleId="BalloonText">
    <w:name w:val="Balloon Text"/>
    <w:basedOn w:val="Normal"/>
    <w:link w:val="BalloonTextChar"/>
    <w:uiPriority w:val="99"/>
    <w:semiHidden/>
    <w:unhideWhenUsed/>
    <w:rsid w:val="00974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36"/>
    <w:rPr>
      <w:rFonts w:ascii="Segoe UI" w:hAnsi="Segoe UI" w:cs="Segoe UI"/>
      <w:sz w:val="18"/>
      <w:szCs w:val="18"/>
    </w:rPr>
  </w:style>
  <w:style w:type="paragraph" w:styleId="Header">
    <w:name w:val="header"/>
    <w:basedOn w:val="Normal"/>
    <w:link w:val="HeaderChar"/>
    <w:uiPriority w:val="99"/>
    <w:unhideWhenUsed/>
    <w:rsid w:val="00E11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E6C"/>
  </w:style>
  <w:style w:type="paragraph" w:styleId="Footer">
    <w:name w:val="footer"/>
    <w:basedOn w:val="Normal"/>
    <w:link w:val="FooterChar"/>
    <w:uiPriority w:val="99"/>
    <w:unhideWhenUsed/>
    <w:rsid w:val="00E11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E6C"/>
  </w:style>
  <w:style w:type="paragraph" w:styleId="Revision">
    <w:name w:val="Revision"/>
    <w:hidden/>
    <w:uiPriority w:val="99"/>
    <w:semiHidden/>
    <w:rsid w:val="0006582F"/>
    <w:pPr>
      <w:spacing w:after="0" w:line="240" w:lineRule="auto"/>
    </w:pPr>
  </w:style>
  <w:style w:type="character" w:customStyle="1" w:styleId="Heading1Char">
    <w:name w:val="Heading 1 Char"/>
    <w:basedOn w:val="DefaultParagraphFont"/>
    <w:link w:val="Heading1"/>
    <w:uiPriority w:val="9"/>
    <w:rsid w:val="00844F5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301332">
      <w:bodyDiv w:val="1"/>
      <w:marLeft w:val="0"/>
      <w:marRight w:val="0"/>
      <w:marTop w:val="0"/>
      <w:marBottom w:val="0"/>
      <w:divBdr>
        <w:top w:val="none" w:sz="0" w:space="0" w:color="auto"/>
        <w:left w:val="none" w:sz="0" w:space="0" w:color="auto"/>
        <w:bottom w:val="none" w:sz="0" w:space="0" w:color="auto"/>
        <w:right w:val="none" w:sz="0" w:space="0" w:color="auto"/>
      </w:divBdr>
      <w:divsChild>
        <w:div w:id="634869479">
          <w:marLeft w:val="0"/>
          <w:marRight w:val="0"/>
          <w:marTop w:val="0"/>
          <w:marBottom w:val="0"/>
          <w:divBdr>
            <w:top w:val="none" w:sz="0" w:space="0" w:color="auto"/>
            <w:left w:val="none" w:sz="0" w:space="0" w:color="auto"/>
            <w:bottom w:val="none" w:sz="0" w:space="0" w:color="auto"/>
            <w:right w:val="none" w:sz="0" w:space="0" w:color="auto"/>
          </w:divBdr>
          <w:divsChild>
            <w:div w:id="10975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7BB1FB6-409F-4626-B36D-91472BC75B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C482B8DDE59346B1AEC70913E35D1E" ma:contentTypeVersion="" ma:contentTypeDescription="PDMS Document Site Content Type" ma:contentTypeScope="" ma:versionID="35f8305c638769a26bd6a31c4af22fa7">
  <xsd:schema xmlns:xsd="http://www.w3.org/2001/XMLSchema" xmlns:xs="http://www.w3.org/2001/XMLSchema" xmlns:p="http://schemas.microsoft.com/office/2006/metadata/properties" xmlns:ns2="D7BB1FB6-409F-4626-B36D-91472BC75BE5" targetNamespace="http://schemas.microsoft.com/office/2006/metadata/properties" ma:root="true" ma:fieldsID="6f69db2977dbd481c7c05a7e1dd3e847" ns2:_="">
    <xsd:import namespace="D7BB1FB6-409F-4626-B36D-91472BC75B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B1FB6-409F-4626-B36D-91472BC75B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7E441-EB60-4490-944A-263353DC5B83}">
  <ds:schemaRefs>
    <ds:schemaRef ds:uri="http://schemas.microsoft.com/sharepoint/v3/contenttype/forms"/>
  </ds:schemaRefs>
</ds:datastoreItem>
</file>

<file path=customXml/itemProps2.xml><?xml version="1.0" encoding="utf-8"?>
<ds:datastoreItem xmlns:ds="http://schemas.openxmlformats.org/officeDocument/2006/customXml" ds:itemID="{26BB46C1-A79D-4D57-8913-65C53FFCCD30}">
  <ds:schemaRefs>
    <ds:schemaRef ds:uri="http://purl.org/dc/terms/"/>
    <ds:schemaRef ds:uri="D7BB1FB6-409F-4626-B36D-91472BC75BE5"/>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095D1F7-27C1-47AB-BD72-7BCE6E57D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B1FB6-409F-4626-B36D-91472B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62387-ECFE-4D64-9775-5D724D88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2021-11-16T05:23:00Z</dcterms:created>
  <dcterms:modified xsi:type="dcterms:W3CDTF">2021-11-22T00:00:00Z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0x010100266966F133664895A6EE3632470D45F500FAC482B8DDE59346B1AEC70913E35D1E</vt:lpwstr>
  </property>
</Properties>
</file>