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FD028" w14:textId="1C043F00" w:rsidR="008261EE" w:rsidRDefault="008261EE" w:rsidP="00A00E4B">
      <w:pPr>
        <w:jc w:val="center"/>
      </w:pPr>
      <w:bookmarkStart w:id="0" w:name="_GoBack"/>
      <w:r>
        <w:rPr>
          <w:noProof/>
          <w:lang w:eastAsia="en-AU"/>
        </w:rPr>
        <w:drawing>
          <wp:inline distT="0" distB="0" distL="0" distR="0" wp14:anchorId="0E1FD1AE" wp14:editId="699A7441">
            <wp:extent cx="3400425" cy="1866311"/>
            <wp:effectExtent l="0" t="0" r="0" b="635"/>
            <wp:docPr id="1" name="Picture 1" descr="Australian Government crest, with the words Australian Government below."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5688" cy="1874688"/>
                    </a:xfrm>
                    <a:prstGeom prst="rect">
                      <a:avLst/>
                    </a:prstGeom>
                    <a:noFill/>
                    <a:ln>
                      <a:noFill/>
                    </a:ln>
                  </pic:spPr>
                </pic:pic>
              </a:graphicData>
            </a:graphic>
          </wp:inline>
        </w:drawing>
      </w:r>
    </w:p>
    <w:p w14:paraId="0E1FD02C" w14:textId="055D6C32" w:rsidR="009B7B54" w:rsidRPr="0090757F" w:rsidRDefault="008261EE" w:rsidP="00A00E4B">
      <w:pPr>
        <w:pStyle w:val="Title"/>
        <w:spacing w:before="1440"/>
      </w:pPr>
      <w:bookmarkStart w:id="1" w:name="_Toc494370682"/>
      <w:bookmarkStart w:id="2" w:name="_Toc496272283"/>
      <w:bookmarkStart w:id="3" w:name="_Toc496531429"/>
      <w:bookmarkStart w:id="4" w:name="_Toc497205691"/>
      <w:bookmarkStart w:id="5" w:name="_Toc497224666"/>
      <w:bookmarkStart w:id="6" w:name="_Toc497224713"/>
      <w:bookmarkStart w:id="7" w:name="_Toc497375475"/>
      <w:bookmarkStart w:id="8" w:name="_Toc497399466"/>
      <w:bookmarkStart w:id="9" w:name="_Toc497404543"/>
      <w:bookmarkStart w:id="10" w:name="_Toc497475698"/>
      <w:bookmarkStart w:id="11" w:name="_Toc497743944"/>
      <w:bookmarkStart w:id="12" w:name="_Toc497743968"/>
      <w:bookmarkStart w:id="13" w:name="_Toc497811247"/>
      <w:bookmarkStart w:id="14" w:name="_Toc497815550"/>
      <w:bookmarkStart w:id="15" w:name="_Toc497816153"/>
      <w:bookmarkStart w:id="16" w:name="_Toc497827534"/>
      <w:bookmarkStart w:id="17" w:name="_Toc497985801"/>
      <w:bookmarkStart w:id="18" w:name="_Toc498073653"/>
      <w:bookmarkStart w:id="19" w:name="_Toc498073705"/>
      <w:bookmarkStart w:id="20" w:name="_Toc498086506"/>
      <w:bookmarkStart w:id="21" w:name="_Toc498091985"/>
      <w:bookmarkStart w:id="22" w:name="_Toc498092037"/>
      <w:bookmarkStart w:id="23" w:name="_Toc498598018"/>
      <w:bookmarkStart w:id="24" w:name="_Toc498600779"/>
      <w:bookmarkStart w:id="25" w:name="_Toc498945307"/>
      <w:bookmarkStart w:id="26" w:name="_Toc498954213"/>
      <w:bookmarkStart w:id="27" w:name="_Toc499038082"/>
      <w:bookmarkStart w:id="28" w:name="_Toc499038157"/>
      <w:bookmarkStart w:id="29" w:name="_Toc499134088"/>
      <w:bookmarkStart w:id="30" w:name="_Toc499626114"/>
      <w:bookmarkStart w:id="31" w:name="_Toc499905372"/>
      <w:bookmarkStart w:id="32" w:name="_Toc499905716"/>
      <w:bookmarkStart w:id="33" w:name="_Toc507166427"/>
      <w:bookmarkEnd w:id="0"/>
      <w:r w:rsidRPr="0090757F">
        <w:t>Australian Government response to the Standing Committee on Hea</w:t>
      </w:r>
      <w:r w:rsidR="00861192" w:rsidRPr="0090757F">
        <w:t>lth, Aged Care and Sport report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E1FD02D" w14:textId="77777777" w:rsidR="008261EE" w:rsidRPr="0090757F" w:rsidRDefault="008261EE" w:rsidP="00A00E4B">
      <w:pPr>
        <w:pStyle w:val="Heading1"/>
        <w:spacing w:before="1440"/>
      </w:pPr>
      <w:bookmarkStart w:id="34" w:name="_Toc494370683"/>
      <w:bookmarkStart w:id="35" w:name="_Toc496272284"/>
      <w:bookmarkStart w:id="36" w:name="_Toc496531430"/>
      <w:bookmarkStart w:id="37" w:name="_Toc497205692"/>
      <w:bookmarkStart w:id="38" w:name="_Toc497224667"/>
      <w:bookmarkStart w:id="39" w:name="_Toc497224714"/>
      <w:bookmarkStart w:id="40" w:name="_Toc497375476"/>
      <w:bookmarkStart w:id="41" w:name="_Toc497399467"/>
      <w:bookmarkStart w:id="42" w:name="_Toc497404544"/>
      <w:bookmarkStart w:id="43" w:name="_Toc497475699"/>
      <w:bookmarkStart w:id="44" w:name="_Toc497743945"/>
      <w:bookmarkStart w:id="45" w:name="_Toc497743969"/>
      <w:bookmarkStart w:id="46" w:name="_Toc497811248"/>
      <w:bookmarkStart w:id="47" w:name="_Toc497815551"/>
      <w:bookmarkStart w:id="48" w:name="_Toc497816154"/>
      <w:bookmarkStart w:id="49" w:name="_Toc497827535"/>
      <w:bookmarkStart w:id="50" w:name="_Toc497985802"/>
      <w:bookmarkStart w:id="51" w:name="_Toc498073654"/>
      <w:bookmarkStart w:id="52" w:name="_Toc498073706"/>
      <w:bookmarkStart w:id="53" w:name="_Toc498086507"/>
      <w:bookmarkStart w:id="54" w:name="_Toc498091986"/>
      <w:bookmarkStart w:id="55" w:name="_Toc498092038"/>
      <w:bookmarkStart w:id="56" w:name="_Toc498598019"/>
      <w:bookmarkStart w:id="57" w:name="_Toc498600780"/>
      <w:bookmarkStart w:id="58" w:name="_Toc498945308"/>
      <w:bookmarkStart w:id="59" w:name="_Toc498954214"/>
      <w:bookmarkStart w:id="60" w:name="_Toc499038083"/>
      <w:bookmarkStart w:id="61" w:name="_Toc499038158"/>
      <w:bookmarkStart w:id="62" w:name="_Toc499134089"/>
      <w:bookmarkStart w:id="63" w:name="_Toc499626115"/>
      <w:bookmarkStart w:id="64" w:name="_Toc499905373"/>
      <w:bookmarkStart w:id="65" w:name="_Toc499905717"/>
      <w:bookmarkStart w:id="66" w:name="_Toc507166428"/>
      <w:r w:rsidRPr="0090757F">
        <w:t>Still waiting to be heard… Report on the Inquiry into the Hearing Health and Wellbeing of Australia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E1FD034" w14:textId="05200072" w:rsidR="003A4D01" w:rsidRPr="00E14E4B" w:rsidRDefault="00CF24CE" w:rsidP="009F1D54">
      <w:pPr>
        <w:spacing w:before="4320"/>
        <w:jc w:val="right"/>
        <w:rPr>
          <w:b/>
          <w:sz w:val="32"/>
        </w:rPr>
      </w:pPr>
      <w:bookmarkStart w:id="67" w:name="_Toc494370684"/>
      <w:bookmarkStart w:id="68" w:name="_Toc496272285"/>
      <w:bookmarkStart w:id="69" w:name="_Toc496531431"/>
      <w:bookmarkStart w:id="70" w:name="_Toc497205693"/>
      <w:bookmarkStart w:id="71" w:name="_Toc497224668"/>
      <w:bookmarkStart w:id="72" w:name="_Toc497224715"/>
      <w:bookmarkStart w:id="73" w:name="_Toc497375477"/>
      <w:bookmarkStart w:id="74" w:name="_Toc497399468"/>
      <w:bookmarkStart w:id="75" w:name="_Toc497404545"/>
      <w:bookmarkStart w:id="76" w:name="_Toc497475700"/>
      <w:bookmarkStart w:id="77" w:name="_Toc497743946"/>
      <w:bookmarkStart w:id="78" w:name="_Toc497743970"/>
      <w:bookmarkStart w:id="79" w:name="_Toc497811249"/>
      <w:bookmarkStart w:id="80" w:name="_Toc497815552"/>
      <w:bookmarkStart w:id="81" w:name="_Toc497816155"/>
      <w:bookmarkStart w:id="82" w:name="_Toc497827536"/>
      <w:bookmarkStart w:id="83" w:name="_Toc497985803"/>
      <w:bookmarkStart w:id="84" w:name="_Toc498073655"/>
      <w:bookmarkStart w:id="85" w:name="_Toc498073707"/>
      <w:bookmarkStart w:id="86" w:name="_Toc498086508"/>
      <w:bookmarkStart w:id="87" w:name="_Toc498091987"/>
      <w:bookmarkStart w:id="88" w:name="_Toc498092039"/>
      <w:bookmarkStart w:id="89" w:name="_Toc498598020"/>
      <w:bookmarkStart w:id="90" w:name="_Toc498600781"/>
      <w:bookmarkStart w:id="91" w:name="_Toc498945309"/>
      <w:bookmarkStart w:id="92" w:name="_Toc498954215"/>
      <w:bookmarkStart w:id="93" w:name="_Toc499038084"/>
      <w:bookmarkStart w:id="94" w:name="_Toc499038159"/>
      <w:bookmarkStart w:id="95" w:name="_Toc499134090"/>
      <w:bookmarkStart w:id="96" w:name="_Toc499626116"/>
      <w:bookmarkStart w:id="97" w:name="_Toc499905374"/>
      <w:bookmarkStart w:id="98" w:name="_Toc499905718"/>
      <w:bookmarkStart w:id="99" w:name="_Toc507166429"/>
      <w:r w:rsidRPr="00E14E4B">
        <w:rPr>
          <w:b/>
          <w:sz w:val="32"/>
        </w:rPr>
        <w:t xml:space="preserve">August </w:t>
      </w:r>
      <w:r w:rsidR="008261EE" w:rsidRPr="00E14E4B">
        <w:rPr>
          <w:b/>
          <w:sz w:val="32"/>
        </w:rPr>
        <w:t>20</w:t>
      </w:r>
      <w:bookmarkEnd w:id="67"/>
      <w:bookmarkEnd w:id="68"/>
      <w:bookmarkEnd w:id="69"/>
      <w:bookmarkEnd w:id="70"/>
      <w:bookmarkEnd w:id="71"/>
      <w:r w:rsidR="003A4D01" w:rsidRPr="00E14E4B">
        <w:rPr>
          <w:b/>
          <w:sz w:val="32"/>
        </w:rPr>
        <w:t>18</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E1FD035" w14:textId="77777777" w:rsidR="003A4D01" w:rsidRDefault="003A4D01" w:rsidP="0090757F"/>
    <w:p w14:paraId="0E1FD036" w14:textId="77777777" w:rsidR="003A4D01" w:rsidRPr="003A4D01" w:rsidRDefault="003A4D01" w:rsidP="0090757F">
      <w:pPr>
        <w:sectPr w:rsidR="003A4D01" w:rsidRPr="003A4D01" w:rsidSect="0090757F">
          <w:footerReference w:type="default" r:id="rId13"/>
          <w:pgSz w:w="11906" w:h="16838"/>
          <w:pgMar w:top="1418" w:right="1418" w:bottom="1418" w:left="1418" w:header="567" w:footer="567" w:gutter="0"/>
          <w:cols w:space="708"/>
          <w:titlePg/>
          <w:docGrid w:linePitch="360"/>
        </w:sectPr>
      </w:pPr>
    </w:p>
    <w:p w14:paraId="0E1FD037" w14:textId="77777777" w:rsidR="00982FAD" w:rsidRPr="0090757F" w:rsidRDefault="0019006C" w:rsidP="0090757F">
      <w:pPr>
        <w:pStyle w:val="Heading1"/>
        <w:spacing w:before="0"/>
        <w:jc w:val="left"/>
        <w:rPr>
          <w:sz w:val="36"/>
          <w:szCs w:val="32"/>
        </w:rPr>
      </w:pPr>
      <w:r w:rsidRPr="0090757F">
        <w:rPr>
          <w:sz w:val="36"/>
          <w:szCs w:val="32"/>
        </w:rPr>
        <w:lastRenderedPageBreak/>
        <w:t>Introduction</w:t>
      </w:r>
    </w:p>
    <w:p w14:paraId="0E1FD038" w14:textId="77777777" w:rsidR="0019006C" w:rsidRPr="00F655A5" w:rsidRDefault="0019006C" w:rsidP="0090757F">
      <w:r w:rsidRPr="00F655A5">
        <w:t xml:space="preserve">The Australian Government is providing a response to the Standing Committee on Health, Aged Care and Sport’s report </w:t>
      </w:r>
      <w:proofErr w:type="gramStart"/>
      <w:r w:rsidRPr="0090757F">
        <w:rPr>
          <w:i/>
        </w:rPr>
        <w:t>Still</w:t>
      </w:r>
      <w:proofErr w:type="gramEnd"/>
      <w:r w:rsidRPr="0090757F">
        <w:rPr>
          <w:i/>
        </w:rPr>
        <w:t xml:space="preserve"> waiting to be heard… Report on the Inquiry into Hearing Health and Wellbeing of Australia</w:t>
      </w:r>
      <w:r w:rsidR="00CE51D4" w:rsidRPr="00F655A5">
        <w:t xml:space="preserve"> released in September 2017</w:t>
      </w:r>
      <w:r w:rsidRPr="00F655A5">
        <w:t>.</w:t>
      </w:r>
    </w:p>
    <w:p w14:paraId="0E1FD039" w14:textId="77777777" w:rsidR="0019006C" w:rsidRDefault="0019006C" w:rsidP="0090757F">
      <w:r>
        <w:t xml:space="preserve">Following a referral on 2 November 2016 from the then Minister of Health, the Hon Sussan Ley MP, </w:t>
      </w:r>
      <w:proofErr w:type="gramStart"/>
      <w:r>
        <w:t>the</w:t>
      </w:r>
      <w:proofErr w:type="gramEnd"/>
      <w:r>
        <w:t xml:space="preserve"> Standing Committee sought submissions and undertook extensive national consultations with stakeholders to examine issues related to the hearing health and wellbeing of Australia.</w:t>
      </w:r>
    </w:p>
    <w:p w14:paraId="0E1FD03A" w14:textId="77777777" w:rsidR="0019006C" w:rsidRDefault="0019006C" w:rsidP="00FD4B04">
      <w:pPr>
        <w:spacing w:after="120"/>
      </w:pPr>
      <w:r w:rsidRPr="004916FB">
        <w:t>The Department of Health has led the coordination of the Government response to the Standing</w:t>
      </w:r>
      <w:r>
        <w:t xml:space="preserve"> Committee’s report. Input to the response was requested from the Departments of the Prime Minister and Cabinet, Human Services, Education and Training, Social Services, Veterans’ Affairs, Employment, Agriculture and Water Resources, Infrastructure and Regional Development, Treasury, the Australian Competition and Consumer Commission, and the National Disability Insurance Agency. Australian Hearing, as a corporate Commonwealth entity, also provided input through the Department of Human Services.</w:t>
      </w:r>
    </w:p>
    <w:p w14:paraId="0E1FD03B" w14:textId="77777777" w:rsidR="0019006C" w:rsidRDefault="0019006C" w:rsidP="0090757F">
      <w:r>
        <w:t>The Government has long recognised hearing health as a</w:t>
      </w:r>
      <w:r w:rsidR="00CE51D4">
        <w:t>n</w:t>
      </w:r>
      <w:r>
        <w:t xml:space="preserve"> </w:t>
      </w:r>
      <w:r w:rsidR="00CE51D4">
        <w:t xml:space="preserve">issue </w:t>
      </w:r>
      <w:r>
        <w:t>of national importance</w:t>
      </w:r>
      <w:r w:rsidR="00CE51D4">
        <w:t>.</w:t>
      </w:r>
      <w:r>
        <w:t xml:space="preserve"> </w:t>
      </w:r>
      <w:r w:rsidR="00CE51D4">
        <w:t>It</w:t>
      </w:r>
      <w:r>
        <w:t xml:space="preserve"> welcomes the Standing Committee’s report and thanks the Standing Committee for its considered approach to the recommendations made in the report. </w:t>
      </w:r>
    </w:p>
    <w:p w14:paraId="0E1FD03C" w14:textId="77777777" w:rsidR="0019006C" w:rsidRDefault="0019006C" w:rsidP="0090757F">
      <w:r>
        <w:t>Government support for the hearing impaired spans a range of areas, from specific hearing disability support to broader activity such as education and public awareness. The Government response draws together the breadth of supports from across Government that can be accessed by hearing impaired people that allow them to participate in all areas of Australian life. In addition the Government response recognises the changes to disability support with the transition to the National Disability Insurance Scheme. This response includes detailed supplementary information at Appendix 1.  This information is designed to expand on the responses to each recommendation in themes, to show the breadth and depth of current government actions that already seek to address the issues raised by the Standing Committee.</w:t>
      </w:r>
    </w:p>
    <w:p w14:paraId="0E1FD03D" w14:textId="77777777" w:rsidR="0019006C" w:rsidRDefault="0019006C" w:rsidP="0090757F">
      <w:r>
        <w:t>The Hon Ken Wyatt AM MP, Minister for Aged Care, Minister for Indigenous Health, has also begun meeting with hearing health consumer and industry groups to develop a roadmap for hearing health that will provide the basis for the sector, consumers and Governments to move forward with a collective understanding of the issues and actions that will lead to improvements in hearing health for all Australians.</w:t>
      </w:r>
    </w:p>
    <w:p w14:paraId="0E1FD03E" w14:textId="77777777" w:rsidR="002255D3" w:rsidRDefault="0019006C" w:rsidP="0090757F">
      <w:r>
        <w:t>It is also noted that some of the Standing Committee’s recommendations relate to functions managed by state and territory governments and professional bodies. The Government encourages those agencies to work cooperatively with Commonwealth departments to respond to the recommendations.</w:t>
      </w:r>
    </w:p>
    <w:p w14:paraId="0E1FD03F" w14:textId="77777777" w:rsidR="00CF70C6" w:rsidRDefault="00CF70C6" w:rsidP="0090757F">
      <w:pPr>
        <w:sectPr w:rsidR="00CF70C6" w:rsidSect="0090757F">
          <w:footerReference w:type="first" r:id="rId14"/>
          <w:pgSz w:w="11906" w:h="16838"/>
          <w:pgMar w:top="1418" w:right="1418" w:bottom="1418" w:left="1418" w:header="567" w:footer="567" w:gutter="0"/>
          <w:cols w:space="708"/>
          <w:titlePg/>
          <w:docGrid w:linePitch="360"/>
        </w:sectPr>
      </w:pPr>
    </w:p>
    <w:tbl>
      <w:tblPr>
        <w:tblStyle w:val="TableGrid"/>
        <w:tblW w:w="9902" w:type="dxa"/>
        <w:tblInd w:w="220" w:type="dxa"/>
        <w:tblLayout w:type="fixed"/>
        <w:tblCellMar>
          <w:top w:w="57" w:type="dxa"/>
          <w:left w:w="57" w:type="dxa"/>
          <w:bottom w:w="57" w:type="dxa"/>
          <w:right w:w="57" w:type="dxa"/>
        </w:tblCellMar>
        <w:tblLook w:val="04A0" w:firstRow="1" w:lastRow="0" w:firstColumn="1" w:lastColumn="0" w:noHBand="0" w:noVBand="1"/>
        <w:tblCaption w:val="Recommendations and Government Response"/>
        <w:tblDescription w:val="The table lists the recommendations to the Still waiting to be heard report, and the government responses to the report."/>
      </w:tblPr>
      <w:tblGrid>
        <w:gridCol w:w="546"/>
        <w:gridCol w:w="3827"/>
        <w:gridCol w:w="5529"/>
      </w:tblGrid>
      <w:tr w:rsidR="00DA348D" w:rsidRPr="00FD4B04" w14:paraId="5106C249" w14:textId="77777777" w:rsidTr="00F21803">
        <w:trPr>
          <w:tblHeader/>
        </w:trPr>
        <w:tc>
          <w:tcPr>
            <w:tcW w:w="546" w:type="dxa"/>
          </w:tcPr>
          <w:p w14:paraId="17F4022D" w14:textId="77777777" w:rsidR="00EB3EB7" w:rsidRPr="00FD4B04" w:rsidRDefault="00EB3EB7" w:rsidP="00FD4B04">
            <w:pPr>
              <w:pStyle w:val="Heading2"/>
              <w:spacing w:before="0" w:after="0"/>
              <w:rPr>
                <w:sz w:val="24"/>
              </w:rPr>
            </w:pPr>
          </w:p>
        </w:tc>
        <w:tc>
          <w:tcPr>
            <w:tcW w:w="3827" w:type="dxa"/>
          </w:tcPr>
          <w:p w14:paraId="070441EE" w14:textId="0B585A8A" w:rsidR="00EB3EB7" w:rsidRPr="00FD4B04" w:rsidRDefault="00EB3EB7" w:rsidP="00FD4B04">
            <w:pPr>
              <w:pStyle w:val="Heading2"/>
              <w:spacing w:before="0" w:after="0"/>
              <w:rPr>
                <w:sz w:val="24"/>
              </w:rPr>
            </w:pPr>
            <w:r w:rsidRPr="00FD4B04">
              <w:rPr>
                <w:sz w:val="24"/>
              </w:rPr>
              <w:t>Recommendation</w:t>
            </w:r>
          </w:p>
        </w:tc>
        <w:tc>
          <w:tcPr>
            <w:tcW w:w="5529" w:type="dxa"/>
          </w:tcPr>
          <w:p w14:paraId="4962092C" w14:textId="6760371D" w:rsidR="00EB3EB7" w:rsidRPr="00FD4B04" w:rsidRDefault="00EB3EB7" w:rsidP="00FD4B04">
            <w:pPr>
              <w:pStyle w:val="Heading2"/>
              <w:spacing w:before="0" w:after="0"/>
              <w:rPr>
                <w:sz w:val="24"/>
              </w:rPr>
            </w:pPr>
            <w:r w:rsidRPr="00FD4B04">
              <w:rPr>
                <w:sz w:val="24"/>
              </w:rPr>
              <w:t>Government Response</w:t>
            </w:r>
          </w:p>
        </w:tc>
      </w:tr>
      <w:tr w:rsidR="00DA348D" w:rsidRPr="002255D3" w14:paraId="0E1FD057" w14:textId="77777777" w:rsidTr="00F21803">
        <w:tc>
          <w:tcPr>
            <w:tcW w:w="546" w:type="dxa"/>
          </w:tcPr>
          <w:p w14:paraId="0E1FD045" w14:textId="77777777" w:rsidR="002255D3" w:rsidRPr="00985ABF" w:rsidRDefault="002255D3" w:rsidP="0090757F">
            <w:pPr>
              <w:pStyle w:val="Heading3"/>
            </w:pPr>
            <w:r w:rsidRPr="00985ABF">
              <w:t>1</w:t>
            </w:r>
          </w:p>
        </w:tc>
        <w:tc>
          <w:tcPr>
            <w:tcW w:w="3827" w:type="dxa"/>
          </w:tcPr>
          <w:p w14:paraId="0E1FD046" w14:textId="3B467D70" w:rsidR="002255D3" w:rsidRPr="002255D3" w:rsidRDefault="002255D3" w:rsidP="0090757F">
            <w:r w:rsidRPr="002255D3">
              <w:t>The Committee recommends that the Department of Health, in collaboration with Australian Hearing, the Department of the Prime Minister and Cabinet, states and territories, Aboriginal and Torres Strait Islander health organisations, and local communities, develop a national strategy to improve hearing health in Aboriginal and Torres Strait Islander communities aimed at</w:t>
            </w:r>
          </w:p>
          <w:p w14:paraId="0E1FD047" w14:textId="2134F1C9" w:rsidR="002255D3" w:rsidRPr="002255D3" w:rsidRDefault="002255D3" w:rsidP="0090757F">
            <w:pPr>
              <w:pStyle w:val="paralist1"/>
            </w:pPr>
            <w:r w:rsidRPr="002255D3">
              <w:t>coordinating Commonwealth, state and territory services to ensure they are complementary and delivered in a coordinated manner</w:t>
            </w:r>
          </w:p>
          <w:p w14:paraId="0E1FD048" w14:textId="072C5F46" w:rsidR="002255D3" w:rsidRPr="002255D3" w:rsidRDefault="002255D3" w:rsidP="0090757F">
            <w:pPr>
              <w:pStyle w:val="paralist1"/>
            </w:pPr>
            <w:r w:rsidRPr="002255D3">
              <w:t>developing a nationally consistent data reporting framework to record data on the prevalence of ear health conditions and the provision of services, including a treatment outcomes tracking method</w:t>
            </w:r>
          </w:p>
          <w:p w14:paraId="0E1FD049" w14:textId="4C4FBD32" w:rsidR="002255D3" w:rsidRPr="002255D3" w:rsidRDefault="002255D3" w:rsidP="0090757F">
            <w:pPr>
              <w:pStyle w:val="paralist1"/>
            </w:pPr>
            <w:r w:rsidRPr="002255D3">
              <w:t>regular monitoring and evaluating of programs to ensure they are meeting their objectives and</w:t>
            </w:r>
          </w:p>
          <w:p w14:paraId="0E1FD04A" w14:textId="77777777" w:rsidR="002255D3" w:rsidRPr="002255D3" w:rsidRDefault="002255D3" w:rsidP="0090757F">
            <w:pPr>
              <w:pStyle w:val="paralist1"/>
            </w:pPr>
            <w:proofErr w:type="gramStart"/>
            <w:r w:rsidRPr="002255D3">
              <w:t>funding</w:t>
            </w:r>
            <w:proofErr w:type="gramEnd"/>
            <w:r w:rsidRPr="002255D3">
              <w:t xml:space="preserve"> further research into Aboriginal and Torres Strait Islander hearing health issues.</w:t>
            </w:r>
          </w:p>
        </w:tc>
        <w:tc>
          <w:tcPr>
            <w:tcW w:w="5529" w:type="dxa"/>
          </w:tcPr>
          <w:p w14:paraId="0E1FD04B" w14:textId="77777777" w:rsidR="00F61EDD" w:rsidRPr="00FD4B04" w:rsidRDefault="00651B2A" w:rsidP="0090757F">
            <w:pPr>
              <w:rPr>
                <w:b/>
              </w:rPr>
            </w:pPr>
            <w:r w:rsidRPr="00FD4B04">
              <w:rPr>
                <w:b/>
              </w:rPr>
              <w:t>Supported</w:t>
            </w:r>
          </w:p>
          <w:p w14:paraId="0E1FD04C" w14:textId="77777777" w:rsidR="00625952" w:rsidRDefault="00625952" w:rsidP="0090757F">
            <w:r>
              <w:t>In March 2017, the COAG Health Council agreed to explore the feasibility of a national approach to addressing ear disease and hearing loss in Aboriginal and Torres Strait Islander children. This work is currently progressing through the Australian Health Ministers’ Advisory Council and the National Aboriginal and Torres Strait Islander Health Standing Committee. The development of an Aboriginal and Torres Strait Islander ear health national key performance indicator and data reporting process is being considered as part of this work.</w:t>
            </w:r>
          </w:p>
          <w:p w14:paraId="0E1FD04E" w14:textId="77777777" w:rsidR="00625952" w:rsidRDefault="00625952" w:rsidP="0090757F">
            <w:r>
              <w:t xml:space="preserve">An independent examination of Australian Government-funded Indigenous ear and hearing health initiatives has been undertaken, including how well those initiatives are coordinated with other programs. </w:t>
            </w:r>
          </w:p>
          <w:p w14:paraId="0E1FD04F" w14:textId="6D179EEC" w:rsidR="00625952" w:rsidRDefault="00625952" w:rsidP="0090757F">
            <w:r>
              <w:t xml:space="preserve">The report is available online at </w:t>
            </w:r>
            <w:hyperlink r:id="rId15" w:tgtFrame="_blank" w:tooltip="Click to open Department of Health Indigenous ear  and hearing health initiatives report" w:history="1">
              <w:r w:rsidRPr="008F1D79">
                <w:rPr>
                  <w:rStyle w:val="Hyperlink"/>
                </w:rPr>
                <w:t>http//www.health.gov.au/internet/main/publishing.nsf/Content/examination-of-australian-government-indigenous-ear-and-hearing-health-initiatives</w:t>
              </w:r>
            </w:hyperlink>
            <w:r>
              <w:t>.</w:t>
            </w:r>
          </w:p>
          <w:p w14:paraId="0E1FD051" w14:textId="77777777" w:rsidR="00625952" w:rsidRDefault="00625952" w:rsidP="0090757F">
            <w:r>
              <w:t>Recommendations from the examination are currently being addressed.</w:t>
            </w:r>
          </w:p>
          <w:p w14:paraId="0E1FD053" w14:textId="77777777" w:rsidR="00625952" w:rsidRDefault="00625952" w:rsidP="0090757F">
            <w:r>
              <w:t>The Government has announced that it intends to create an ‘ending avoidable Indigenous blindness and deafness’ Mission under the Medical Research Future Fund. As part of this, research priorities will be developed.</w:t>
            </w:r>
          </w:p>
          <w:p w14:paraId="0E1FD056" w14:textId="29921CE3" w:rsidR="00596891" w:rsidRPr="002255D3" w:rsidRDefault="00625952" w:rsidP="0090757F">
            <w:r>
              <w:t>Work is also underway to develop a hearing health roadmap which identifies an integrated approach to service delivery, with a view to improving ear health in Indigenous Australians.</w:t>
            </w:r>
          </w:p>
        </w:tc>
      </w:tr>
      <w:tr w:rsidR="00DA348D" w:rsidRPr="002255D3" w14:paraId="0E1FD063" w14:textId="77777777" w:rsidTr="00F21803">
        <w:trPr>
          <w:cantSplit/>
        </w:trPr>
        <w:tc>
          <w:tcPr>
            <w:tcW w:w="546" w:type="dxa"/>
          </w:tcPr>
          <w:p w14:paraId="0E1FD058" w14:textId="4AB7C40C" w:rsidR="002255D3" w:rsidRPr="002255D3" w:rsidRDefault="002255D3" w:rsidP="0090757F">
            <w:pPr>
              <w:pStyle w:val="Heading3"/>
            </w:pPr>
            <w:r>
              <w:lastRenderedPageBreak/>
              <w:t>2</w:t>
            </w:r>
          </w:p>
        </w:tc>
        <w:tc>
          <w:tcPr>
            <w:tcW w:w="3827" w:type="dxa"/>
          </w:tcPr>
          <w:p w14:paraId="0E1FD059" w14:textId="77777777" w:rsidR="002255D3" w:rsidRPr="002255D3" w:rsidRDefault="002255D3" w:rsidP="0090757F">
            <w:r w:rsidRPr="002255D3">
              <w:t>The Committee recommends that the Department of Health and Australian Hearing significantly increase the resources devoted to providing hearing health services in regional and remote Aboriginal and Torres Strait Islander communities. The mobile outreach services of the Deadly Ears Program should serve as a best practice example for national implementation. This program should focus on expanding access to hearing health services in regional and remote locations and reducing the waiting lists for Aboriginal and Torres Strait Islander children requiring hearing health treatment.</w:t>
            </w:r>
          </w:p>
        </w:tc>
        <w:tc>
          <w:tcPr>
            <w:tcW w:w="5529" w:type="dxa"/>
          </w:tcPr>
          <w:p w14:paraId="0E1FD05A" w14:textId="77777777" w:rsidR="00625952" w:rsidRPr="00FD4B04" w:rsidRDefault="00625952" w:rsidP="0090757F">
            <w:pPr>
              <w:rPr>
                <w:b/>
              </w:rPr>
            </w:pPr>
            <w:r w:rsidRPr="00FD4B04">
              <w:rPr>
                <w:b/>
              </w:rPr>
              <w:t>Noted</w:t>
            </w:r>
          </w:p>
          <w:p w14:paraId="0CCAC51F" w14:textId="4AE3C825" w:rsidR="008D1C5A" w:rsidRDefault="00625952" w:rsidP="0090757F">
            <w:r w:rsidRPr="000936FB">
              <w:t xml:space="preserve">The Australian Government makes a significant investment in initiatives to improve the ear and hearing health of Indigenous children and youth. Funds totalling </w:t>
            </w:r>
            <w:r w:rsidR="008D1C5A">
              <w:t xml:space="preserve">over </w:t>
            </w:r>
            <w:r w:rsidRPr="000936FB">
              <w:t>$</w:t>
            </w:r>
            <w:r w:rsidR="008D1C5A" w:rsidRPr="000936FB">
              <w:t>1</w:t>
            </w:r>
            <w:r w:rsidR="008D1C5A">
              <w:t>3</w:t>
            </w:r>
            <w:r w:rsidR="008D1C5A" w:rsidRPr="000936FB">
              <w:t xml:space="preserve">6 </w:t>
            </w:r>
            <w:r w:rsidRPr="000936FB">
              <w:t xml:space="preserve">million </w:t>
            </w:r>
            <w:r w:rsidR="008D1C5A">
              <w:t>(</w:t>
            </w:r>
            <w:r w:rsidRPr="000936FB">
              <w:t>2012-13 to 2021-22</w:t>
            </w:r>
            <w:r w:rsidR="008D1C5A">
              <w:t>)</w:t>
            </w:r>
            <w:r w:rsidRPr="000936FB">
              <w:t xml:space="preserve"> are being provided for a range of activities. This includes </w:t>
            </w:r>
            <w:r w:rsidR="008D1C5A" w:rsidRPr="008D1C5A">
              <w:t>the May 2018 announcement of $30 million (2018-19 to 2021-22) for a new targeted outreach program which will provide an annual hearing assessment for Aboriginal and Torres Strait Islander children prior to the commencement of school, with a focus on children in rural and remote communities.</w:t>
            </w:r>
          </w:p>
          <w:p w14:paraId="0E1FD05B" w14:textId="78BDEF4C" w:rsidR="00625952" w:rsidRPr="000936FB" w:rsidRDefault="008D1C5A" w:rsidP="0090757F">
            <w:r>
              <w:t xml:space="preserve">The Government also makes a </w:t>
            </w:r>
            <w:r w:rsidR="00625952" w:rsidRPr="000936FB">
              <w:t xml:space="preserve">significant investment in multidisciplinary clinical outreach services in regional, rural and remote areas through the Healthy Ears -  Better Hearing Better Listening program providing access to surgical support and capacity building activities such as provision of training and equipment to Indigenous primary health services. </w:t>
            </w:r>
          </w:p>
          <w:p w14:paraId="0E1FD05D" w14:textId="77777777" w:rsidR="00625952" w:rsidRDefault="00625952" w:rsidP="0090757F">
            <w:r w:rsidRPr="000936FB">
              <w:t>The independent examination of Australian Government Indigenous ear and hearing health initiatives concluded that the Australian Government’s investment is conceptually sound in its elements and has facilitated and improved access to multidisciplinary ear health care for Indigenous children and young people.</w:t>
            </w:r>
          </w:p>
          <w:p w14:paraId="0E1FD05F" w14:textId="76BB4058" w:rsidR="00625952" w:rsidRDefault="00625952" w:rsidP="0090757F">
            <w:r>
              <w:t>Since commencement of the Healthy Ears – Better Hearing Better Listening program in 2013-14, the number of patients accessing care has increased significantly each year. In 2016-17, over 47,000 patients received services in 304 locations, with a focus on regional, rural and remote regions.</w:t>
            </w:r>
          </w:p>
          <w:p w14:paraId="0E1FD062" w14:textId="01B529B2" w:rsidR="002255D3" w:rsidRPr="002255D3" w:rsidRDefault="00625952" w:rsidP="0090757F">
            <w:r>
              <w:t>Under the Australian Hearing Specialist Program for Indigenous Australians, the Australian Government provides hearing services in more than 200 Aboriginal and Torres Strait Islander communities across Australia each year to help overcome access, distance, culture and language barriers.</w:t>
            </w:r>
          </w:p>
        </w:tc>
      </w:tr>
      <w:tr w:rsidR="00DA348D" w:rsidRPr="002255D3" w14:paraId="0E1FD074" w14:textId="77777777" w:rsidTr="00F21803">
        <w:trPr>
          <w:cantSplit/>
        </w:trPr>
        <w:tc>
          <w:tcPr>
            <w:tcW w:w="546" w:type="dxa"/>
          </w:tcPr>
          <w:p w14:paraId="0E1FD064" w14:textId="77777777" w:rsidR="002255D3" w:rsidRPr="002255D3" w:rsidRDefault="002255D3" w:rsidP="00FD4B04">
            <w:pPr>
              <w:pStyle w:val="Heading3"/>
              <w:spacing w:before="0"/>
            </w:pPr>
            <w:r>
              <w:lastRenderedPageBreak/>
              <w:t>3</w:t>
            </w:r>
          </w:p>
        </w:tc>
        <w:tc>
          <w:tcPr>
            <w:tcW w:w="3827" w:type="dxa"/>
          </w:tcPr>
          <w:p w14:paraId="0E1FD065" w14:textId="1A471006" w:rsidR="002255D3" w:rsidRPr="002255D3" w:rsidRDefault="002255D3" w:rsidP="00FD4B04">
            <w:pPr>
              <w:spacing w:before="0"/>
            </w:pPr>
            <w:r w:rsidRPr="002255D3">
              <w:t>The Committee recommends that the Department of Health together with the Department of Education and Training create a hearing health support fund for Aboriginal and Torres Strait Islander students. This fund should</w:t>
            </w:r>
          </w:p>
          <w:p w14:paraId="0E1FD066" w14:textId="2A1A0CEB" w:rsidR="002255D3" w:rsidRPr="00985ABF" w:rsidRDefault="002255D3" w:rsidP="0090757F">
            <w:pPr>
              <w:pStyle w:val="paralist1"/>
            </w:pPr>
            <w:r w:rsidRPr="00985ABF">
              <w:t xml:space="preserve">be responsible for the progressive installation of </w:t>
            </w:r>
            <w:proofErr w:type="spellStart"/>
            <w:r w:rsidRPr="00985ABF">
              <w:t>soundfield</w:t>
            </w:r>
            <w:proofErr w:type="spellEnd"/>
            <w:r w:rsidRPr="00985ABF">
              <w:t xml:space="preserve"> amplification systems in the classrooms of all regional, rural, and remote schools with a significant Aboriginal and Torres Strait Islander student population and</w:t>
            </w:r>
          </w:p>
          <w:p w14:paraId="0E1FD067" w14:textId="77777777" w:rsidR="002255D3" w:rsidRPr="002255D3" w:rsidRDefault="002255D3" w:rsidP="0090757F">
            <w:pPr>
              <w:pStyle w:val="paralist1"/>
            </w:pPr>
            <w:proofErr w:type="gramStart"/>
            <w:r w:rsidRPr="00985ABF">
              <w:t>provide</w:t>
            </w:r>
            <w:proofErr w:type="gramEnd"/>
            <w:r w:rsidRPr="00985ABF">
              <w:t xml:space="preserve"> support to deaf Aboriginal and Torres Strait Islander children to learn sign language and access interpreters where necessary.</w:t>
            </w:r>
          </w:p>
        </w:tc>
        <w:tc>
          <w:tcPr>
            <w:tcW w:w="5529" w:type="dxa"/>
          </w:tcPr>
          <w:p w14:paraId="0E1FD068" w14:textId="77777777" w:rsidR="002255D3" w:rsidRPr="00FD4B04" w:rsidRDefault="00651B2A" w:rsidP="00FD4B04">
            <w:pPr>
              <w:spacing w:before="0"/>
              <w:rPr>
                <w:b/>
              </w:rPr>
            </w:pPr>
            <w:r w:rsidRPr="00FD4B04">
              <w:rPr>
                <w:b/>
              </w:rPr>
              <w:t>Noted</w:t>
            </w:r>
          </w:p>
          <w:p w14:paraId="0E1FD069" w14:textId="77777777" w:rsidR="00A419BF" w:rsidRDefault="00780E1C" w:rsidP="0090757F">
            <w:r w:rsidRPr="00780E1C">
              <w:t xml:space="preserve">The Commonwealth Government recognises the importance of ensuring the hearing needs of children in schools are met to support improved learning outcomes </w:t>
            </w:r>
            <w:r w:rsidR="00A419BF" w:rsidRPr="00A419BF">
              <w:t>and makes a significant financial contribution to school education through record Commonwealth recurrent funding.</w:t>
            </w:r>
          </w:p>
          <w:p w14:paraId="0E1FD06B" w14:textId="3E38B999" w:rsidR="00A419BF" w:rsidRPr="00A419BF" w:rsidRDefault="00A419BF" w:rsidP="00FD4B04">
            <w:pPr>
              <w:spacing w:after="0"/>
            </w:pPr>
            <w:r w:rsidRPr="00A419BF">
              <w:t>In recognition of the educational barriers faced specifically by disadvantaged students, the Government provides additional funding through loadings (included in recurrent funding arrangements) that target student and school disadvantage, including for</w:t>
            </w:r>
          </w:p>
          <w:p w14:paraId="0E1FD06C" w14:textId="4AB5EFE5" w:rsidR="00A419BF" w:rsidRPr="00A419BF" w:rsidRDefault="00A419BF" w:rsidP="00FD4B04">
            <w:pPr>
              <w:pStyle w:val="paralist1"/>
              <w:spacing w:before="0" w:after="0"/>
              <w:ind w:left="397" w:hanging="397"/>
              <w:contextualSpacing/>
            </w:pPr>
            <w:r w:rsidRPr="00A419BF">
              <w:t xml:space="preserve">students from low socioeconomic status backgrounds </w:t>
            </w:r>
          </w:p>
          <w:p w14:paraId="0E1FD06D" w14:textId="253CB392" w:rsidR="00A419BF" w:rsidRPr="00A419BF" w:rsidRDefault="00A419BF" w:rsidP="00FD4B04">
            <w:pPr>
              <w:pStyle w:val="paralist1"/>
              <w:spacing w:before="0" w:after="0"/>
              <w:ind w:left="397" w:hanging="397"/>
              <w:contextualSpacing/>
            </w:pPr>
            <w:r w:rsidRPr="00A419BF">
              <w:t xml:space="preserve">students with disability </w:t>
            </w:r>
          </w:p>
          <w:p w14:paraId="0E1FD06E" w14:textId="697E2A84" w:rsidR="00A419BF" w:rsidRPr="00A419BF" w:rsidRDefault="00A419BF" w:rsidP="00FD4B04">
            <w:pPr>
              <w:pStyle w:val="paralist1"/>
              <w:spacing w:before="0" w:after="0"/>
              <w:ind w:left="397" w:hanging="397"/>
              <w:contextualSpacing/>
            </w:pPr>
            <w:r w:rsidRPr="00A419BF">
              <w:t xml:space="preserve">Aboriginal and Torres Strait Islander students </w:t>
            </w:r>
          </w:p>
          <w:p w14:paraId="0E1FD06F" w14:textId="0B735427" w:rsidR="00A419BF" w:rsidRPr="00A419BF" w:rsidRDefault="00A419BF" w:rsidP="00FD4B04">
            <w:pPr>
              <w:pStyle w:val="paralist1"/>
              <w:spacing w:before="0" w:after="0"/>
              <w:ind w:left="397" w:hanging="397"/>
              <w:contextualSpacing/>
            </w:pPr>
            <w:r w:rsidRPr="00A419BF">
              <w:t xml:space="preserve">students with low English proficiency </w:t>
            </w:r>
          </w:p>
          <w:p w14:paraId="0E1FD070" w14:textId="527076BF" w:rsidR="00A419BF" w:rsidRPr="00A419BF" w:rsidRDefault="00A419BF" w:rsidP="00FD4B04">
            <w:pPr>
              <w:pStyle w:val="paralist1"/>
              <w:spacing w:before="0" w:after="0"/>
              <w:ind w:left="397" w:hanging="397"/>
              <w:contextualSpacing/>
            </w:pPr>
            <w:r w:rsidRPr="00A419BF">
              <w:t>school size, and</w:t>
            </w:r>
          </w:p>
          <w:p w14:paraId="0E1FD071" w14:textId="45696004" w:rsidR="00A419BF" w:rsidRPr="00A419BF" w:rsidRDefault="00A419BF" w:rsidP="00FD4B04">
            <w:pPr>
              <w:pStyle w:val="paralist1"/>
              <w:spacing w:before="0" w:after="0"/>
              <w:ind w:left="397" w:hanging="397"/>
              <w:contextualSpacing/>
            </w:pPr>
            <w:proofErr w:type="gramStart"/>
            <w:r w:rsidRPr="00A419BF">
              <w:t>school</w:t>
            </w:r>
            <w:proofErr w:type="gramEnd"/>
            <w:r w:rsidRPr="00A419BF">
              <w:t xml:space="preserve"> location.</w:t>
            </w:r>
          </w:p>
          <w:p w14:paraId="0E1FD073" w14:textId="77777777" w:rsidR="00A419BF" w:rsidRPr="00A419BF" w:rsidRDefault="00A419BF" w:rsidP="0090757F">
            <w:r w:rsidRPr="00A419BF">
              <w:t xml:space="preserve">The Government is not prescriptive about how school authorities or individual schools spend Commonwealth funding. This allows school authorities to target resources appropriately to address local needs, including the needs of Aboriginal and Torres Strait Islander students and/or students with disability. </w:t>
            </w:r>
          </w:p>
        </w:tc>
      </w:tr>
      <w:tr w:rsidR="00DA348D" w:rsidRPr="002255D3" w14:paraId="0E1FD07B" w14:textId="77777777" w:rsidTr="00F21803">
        <w:trPr>
          <w:cantSplit/>
        </w:trPr>
        <w:tc>
          <w:tcPr>
            <w:tcW w:w="546" w:type="dxa"/>
          </w:tcPr>
          <w:p w14:paraId="0E1FD075" w14:textId="77777777" w:rsidR="002255D3" w:rsidRPr="002255D3" w:rsidRDefault="002255D3" w:rsidP="00FD4B04">
            <w:pPr>
              <w:pStyle w:val="Heading3"/>
              <w:spacing w:before="0"/>
            </w:pPr>
            <w:r>
              <w:t>4</w:t>
            </w:r>
          </w:p>
        </w:tc>
        <w:tc>
          <w:tcPr>
            <w:tcW w:w="3827" w:type="dxa"/>
          </w:tcPr>
          <w:p w14:paraId="0E1FD076" w14:textId="77777777" w:rsidR="002255D3" w:rsidRPr="002255D3" w:rsidRDefault="002255D3" w:rsidP="00FD4B04">
            <w:pPr>
              <w:spacing w:before="0"/>
            </w:pPr>
            <w:r w:rsidRPr="002255D3">
              <w:t>The Committee recommends that the Department of Social Services include audiology and audiometry as eligible services for access to the Free Interpreting Service, delivered by the Translation and Interpreting Service.</w:t>
            </w:r>
          </w:p>
        </w:tc>
        <w:tc>
          <w:tcPr>
            <w:tcW w:w="5529" w:type="dxa"/>
          </w:tcPr>
          <w:p w14:paraId="0E1FD077" w14:textId="77777777" w:rsidR="002255D3" w:rsidRPr="00FD4B04" w:rsidRDefault="00356130" w:rsidP="00FD4B04">
            <w:pPr>
              <w:spacing w:before="0"/>
              <w:rPr>
                <w:b/>
              </w:rPr>
            </w:pPr>
            <w:r w:rsidRPr="00FD4B04">
              <w:rPr>
                <w:b/>
              </w:rPr>
              <w:t>Not supported</w:t>
            </w:r>
          </w:p>
          <w:p w14:paraId="0E1FD078" w14:textId="77777777" w:rsidR="00853747" w:rsidRDefault="002E135B" w:rsidP="0090757F">
            <w:r>
              <w:t>DSS’ Free Interpreting Service (FIS) aims to provide equitable access to key services that are not substantially government funded. Private medical practitioners (General Practitioners and approved Medical Specialists) are eligible to access the FIS when providing Medicare-</w:t>
            </w:r>
            <w:proofErr w:type="spellStart"/>
            <w:r>
              <w:t>rebateable</w:t>
            </w:r>
            <w:proofErr w:type="spellEnd"/>
            <w:r>
              <w:t xml:space="preserve"> services in private practice. Pharmacies are also eligible to access the Service for the purpose of dispensing Pharmaceutical Benefits Scheme (PBS) medications.</w:t>
            </w:r>
          </w:p>
          <w:p w14:paraId="0E1FD07A" w14:textId="77777777" w:rsidR="002E135B" w:rsidRPr="002255D3" w:rsidRDefault="002E135B" w:rsidP="0090757F">
            <w:r>
              <w:t>The Commonwealth Government</w:t>
            </w:r>
            <w:r w:rsidR="00651B2A">
              <w:t xml:space="preserve"> is committed to ensuring current interpreting services are maintained but</w:t>
            </w:r>
            <w:r>
              <w:t xml:space="preserve"> does not intend to expand eligibility to the FIS to a</w:t>
            </w:r>
            <w:r w:rsidRPr="002E135B">
              <w:t>udiology and audiometry services.</w:t>
            </w:r>
          </w:p>
        </w:tc>
      </w:tr>
      <w:tr w:rsidR="00DA348D" w:rsidRPr="002255D3" w14:paraId="0E1FD087" w14:textId="77777777" w:rsidTr="00F21803">
        <w:tc>
          <w:tcPr>
            <w:tcW w:w="546" w:type="dxa"/>
          </w:tcPr>
          <w:p w14:paraId="0E1FD07C" w14:textId="7FB1F865" w:rsidR="002255D3" w:rsidRPr="00F21803" w:rsidRDefault="002255D3" w:rsidP="00FD4B04">
            <w:pPr>
              <w:pStyle w:val="Heading3"/>
            </w:pPr>
            <w:r w:rsidRPr="00F21803">
              <w:lastRenderedPageBreak/>
              <w:t>5</w:t>
            </w:r>
          </w:p>
        </w:tc>
        <w:tc>
          <w:tcPr>
            <w:tcW w:w="3827" w:type="dxa"/>
          </w:tcPr>
          <w:p w14:paraId="0E1FD07D" w14:textId="333E83F5" w:rsidR="002255D3" w:rsidRPr="002255D3" w:rsidRDefault="002255D3" w:rsidP="00FD4B04">
            <w:r w:rsidRPr="002255D3">
              <w:t>The Committee recommends that the Office of Hearing Services review the provision of hearing services to residents in aged care facilities. This review should consider issues including</w:t>
            </w:r>
          </w:p>
          <w:p w14:paraId="0E1FD07E" w14:textId="446E6079" w:rsidR="002255D3" w:rsidRPr="002255D3" w:rsidRDefault="002255D3" w:rsidP="0090757F">
            <w:pPr>
              <w:pStyle w:val="paralist1"/>
            </w:pPr>
            <w:r w:rsidRPr="002255D3">
              <w:t>the use of assistive listening devices for aged care residents</w:t>
            </w:r>
          </w:p>
          <w:p w14:paraId="0E1FD07F" w14:textId="5977D846" w:rsidR="002255D3" w:rsidRPr="002255D3" w:rsidRDefault="002255D3" w:rsidP="0090757F">
            <w:pPr>
              <w:pStyle w:val="paralist1"/>
            </w:pPr>
            <w:r w:rsidRPr="002255D3">
              <w:t>service provision for deafblind Australians in aged care facilities and</w:t>
            </w:r>
          </w:p>
          <w:p w14:paraId="0E1FD080" w14:textId="77777777" w:rsidR="002255D3" w:rsidRPr="002255D3" w:rsidRDefault="002255D3" w:rsidP="0090757F">
            <w:pPr>
              <w:pStyle w:val="paralist1"/>
            </w:pPr>
            <w:proofErr w:type="gramStart"/>
            <w:r w:rsidRPr="002255D3">
              <w:t>the</w:t>
            </w:r>
            <w:proofErr w:type="gramEnd"/>
            <w:r w:rsidRPr="002255D3">
              <w:t xml:space="preserve"> education of aged care facility staff.</w:t>
            </w:r>
          </w:p>
        </w:tc>
        <w:tc>
          <w:tcPr>
            <w:tcW w:w="5529" w:type="dxa"/>
          </w:tcPr>
          <w:p w14:paraId="0E1FD081" w14:textId="1F82215D" w:rsidR="002255D3" w:rsidRPr="00FD4B04" w:rsidRDefault="00B96B05" w:rsidP="00FD4B04">
            <w:pPr>
              <w:rPr>
                <w:b/>
              </w:rPr>
            </w:pPr>
            <w:r w:rsidRPr="00FD4B04">
              <w:rPr>
                <w:b/>
              </w:rPr>
              <w:t>Supported in principle</w:t>
            </w:r>
          </w:p>
          <w:p w14:paraId="20FD3819" w14:textId="3CEFF2F1" w:rsidR="00E858A4" w:rsidRDefault="00E858A4" w:rsidP="0090757F">
            <w:r>
              <w:t xml:space="preserve">The Government appreciates the need for education of aged care facility staff, including supporting staff to identify and manage residents with hearing loss or dual sensory loss such as </w:t>
            </w:r>
            <w:proofErr w:type="spellStart"/>
            <w:r>
              <w:t>deafblindness</w:t>
            </w:r>
            <w:proofErr w:type="spellEnd"/>
            <w:r>
              <w:t>, and how devices can be used to improve their welfare. The Australian Aged Care Quality Agency promotes high quality care, innovation and continuous improvement through information, education and training. The Legislated Review of Aged Care 2017 also informs future reform options. The Department will work with the Australian Aged Care Quality Agency (Aged Care Quality and Safety Commission from 1 January 2019) on promoting resources to support the education and training of aged care facility staff in their management of residents with hearing loss.</w:t>
            </w:r>
          </w:p>
          <w:p w14:paraId="0E1FD082" w14:textId="58B5E26E" w:rsidR="002255D3" w:rsidRDefault="002255D3" w:rsidP="0090757F">
            <w:r w:rsidRPr="002E135B">
              <w:t>The Australian Government’s Hearing Services Program provides a range of services to people with hearing impairment who meet their eligibility criteria, including people</w:t>
            </w:r>
            <w:r w:rsidR="00737EA9">
              <w:t xml:space="preserve"> receiving aged care services. </w:t>
            </w:r>
            <w:r w:rsidRPr="002E135B">
              <w:t>Aged care providers can also assist consumers to access specialised equipment to support assisted listening devices (such as audio induction loops) and provide assistance with maintaining hearing aids (including training for staff). However, these services are offered at the discretion of the provider and may attract additional fees.</w:t>
            </w:r>
          </w:p>
          <w:p w14:paraId="7EAF16B9" w14:textId="1E07AC79" w:rsidR="00F21803" w:rsidRDefault="008D1C5A" w:rsidP="0090757F">
            <w:r w:rsidRPr="008D1C5A">
              <w:t>The law requires Commonwealth-subsidised residential aged care providers to meet the Accreditation Standards (the Standards) to ensure that quality care and services are provided to all care recipients.</w:t>
            </w:r>
            <w:r w:rsidR="00541E32" w:rsidRPr="00541E32">
              <w:t xml:space="preserve">  Sensory loss is specifically covered under Standard 2.16, stating that care recipients’ sensory losses are identified and managed effectively. </w:t>
            </w:r>
            <w:r>
              <w:t>It is also expected under the Standards that aged care providers demonstrate management and staff have the appropriate knowledge and skills to perform their roles effectively, which would include the management of care recipients’ sensory loss.</w:t>
            </w:r>
          </w:p>
          <w:p w14:paraId="0E1FD084" w14:textId="3EDD0833" w:rsidR="00541E32" w:rsidRDefault="008D1C5A" w:rsidP="0090757F">
            <w:r>
              <w:t xml:space="preserve">The Australian Aged Care Quality Agency (Quality Agency) assesses and monitors the performance of </w:t>
            </w:r>
            <w:r>
              <w:lastRenderedPageBreak/>
              <w:t xml:space="preserve">residential aged care services against these quality Standards, including through </w:t>
            </w:r>
            <w:r w:rsidR="001F2CE8">
              <w:t xml:space="preserve">unannounced </w:t>
            </w:r>
            <w:r>
              <w:t>re-accreditation audits and at least one unannounced site visit per year. While assessing a home the Quality Agency surveyors observe care practices in the home and interview staff and at least 10 per cent of care recipients and/or their representatives.</w:t>
            </w:r>
          </w:p>
          <w:p w14:paraId="3788FB98" w14:textId="1B56E6DE" w:rsidR="00A56040" w:rsidRDefault="00A56040" w:rsidP="0090757F">
            <w:r w:rsidRPr="00A56040">
              <w:t xml:space="preserve">The </w:t>
            </w:r>
            <w:r w:rsidR="00B96B05">
              <w:t>D</w:t>
            </w:r>
            <w:r w:rsidRPr="00A56040">
              <w:t xml:space="preserve">epartment has worked with the sector to develop a draft single set of standards which will apply to all aged care services. The new standards will focus on quality outcomes for consumers rather than provider processes. The </w:t>
            </w:r>
            <w:r w:rsidR="001F2CE8">
              <w:t>final</w:t>
            </w:r>
            <w:r w:rsidR="001F2CE8" w:rsidRPr="00A56040">
              <w:t xml:space="preserve"> </w:t>
            </w:r>
            <w:r w:rsidRPr="00A56040">
              <w:t xml:space="preserve">Aged Care Quality Standards are available on the department’s website. </w:t>
            </w:r>
            <w:r w:rsidR="001F2CE8">
              <w:t>T</w:t>
            </w:r>
            <w:r w:rsidRPr="00A56040">
              <w:t>ransition to the Aged Care Quality Standards commence</w:t>
            </w:r>
            <w:r w:rsidR="009E7E40">
              <w:t>d</w:t>
            </w:r>
            <w:r w:rsidRPr="00A56040">
              <w:t xml:space="preserve"> </w:t>
            </w:r>
            <w:r w:rsidR="001F2CE8">
              <w:t>in</w:t>
            </w:r>
            <w:r w:rsidR="001F2CE8" w:rsidRPr="00A56040">
              <w:t xml:space="preserve"> </w:t>
            </w:r>
            <w:r w:rsidRPr="00A56040">
              <w:t>July 2018</w:t>
            </w:r>
            <w:r w:rsidR="001F2CE8">
              <w:t xml:space="preserve"> and</w:t>
            </w:r>
            <w:r w:rsidRPr="00A56040">
              <w:t xml:space="preserve">, </w:t>
            </w:r>
            <w:r w:rsidR="001F2CE8">
              <w:t>subject to agreement by Government and parliamentary processes,</w:t>
            </w:r>
            <w:r w:rsidR="001F2CE8" w:rsidRPr="00A56040">
              <w:t xml:space="preserve"> </w:t>
            </w:r>
            <w:r w:rsidRPr="00A56040">
              <w:t>assessment</w:t>
            </w:r>
            <w:r w:rsidR="001F2CE8">
              <w:t xml:space="preserve"> and monitoring</w:t>
            </w:r>
            <w:r w:rsidRPr="00A56040">
              <w:t xml:space="preserve"> against the </w:t>
            </w:r>
            <w:r w:rsidR="001F2CE8">
              <w:t xml:space="preserve">Aged Care Quality </w:t>
            </w:r>
            <w:r w:rsidRPr="00A56040">
              <w:t xml:space="preserve">Standards </w:t>
            </w:r>
            <w:r w:rsidR="001F2CE8">
              <w:t xml:space="preserve">is expected to commence </w:t>
            </w:r>
            <w:r w:rsidRPr="00A56040">
              <w:t>from July 2019.</w:t>
            </w:r>
          </w:p>
          <w:p w14:paraId="0E1FD086" w14:textId="64016226" w:rsidR="00B96B05" w:rsidRPr="002255D3" w:rsidRDefault="00A56040" w:rsidP="0090757F">
            <w:r w:rsidRPr="00B0383D">
              <w:t>Additionally, on 14 March 2018, Minister Wyatt jointly announced, with the</w:t>
            </w:r>
            <w:r w:rsidRPr="00A56040">
              <w:t xml:space="preserve"> Assistant Minister for Vocational Education and Skills, the establishment of an Aged Care Industry Reference Committee (IRC). Among other things, the Aged Care IRC will be responsible for reforming national training package qualifications and skills sets need by the aged care industry.</w:t>
            </w:r>
          </w:p>
        </w:tc>
      </w:tr>
      <w:tr w:rsidR="00DA348D" w:rsidRPr="002255D3" w14:paraId="0E1FD093" w14:textId="77777777" w:rsidTr="00F21803">
        <w:tc>
          <w:tcPr>
            <w:tcW w:w="546" w:type="dxa"/>
          </w:tcPr>
          <w:p w14:paraId="0E1FD088" w14:textId="77777777" w:rsidR="002255D3" w:rsidRPr="002255D3" w:rsidRDefault="002255D3" w:rsidP="00FD4B04">
            <w:pPr>
              <w:pStyle w:val="Heading3"/>
              <w:spacing w:before="0"/>
            </w:pPr>
            <w:r>
              <w:lastRenderedPageBreak/>
              <w:t>6</w:t>
            </w:r>
          </w:p>
        </w:tc>
        <w:tc>
          <w:tcPr>
            <w:tcW w:w="3827" w:type="dxa"/>
          </w:tcPr>
          <w:p w14:paraId="0E1FD089" w14:textId="00591650" w:rsidR="002255D3" w:rsidRPr="002255D3" w:rsidRDefault="002255D3" w:rsidP="00FD4B04">
            <w:pPr>
              <w:spacing w:before="0"/>
            </w:pPr>
            <w:r w:rsidRPr="002255D3">
              <w:t>The Committee recommends that the Department of Health, in consultation with state and territory counterparts and key stakeholder groups, develop and implement an education and awareness raising campaign focussed on national hearing health. The campaign should</w:t>
            </w:r>
          </w:p>
          <w:p w14:paraId="0E1FD08A" w14:textId="77777777" w:rsidR="002255D3" w:rsidRPr="00DA348D" w:rsidRDefault="002255D3" w:rsidP="0090757F">
            <w:pPr>
              <w:pStyle w:val="paralist1"/>
            </w:pPr>
            <w:r w:rsidRPr="00DA348D">
              <w:t>Promote safe noise exposure practices in the workplace. (The department, in partnership with Safe Work Australia, should focus on encouraging businesses to enact measures to eliminate or isolate sources of noise rather than relying on personal hearing protection.)</w:t>
            </w:r>
          </w:p>
          <w:p w14:paraId="0E1FD08B" w14:textId="77777777" w:rsidR="002255D3" w:rsidRPr="00DA348D" w:rsidRDefault="002255D3" w:rsidP="0090757F">
            <w:pPr>
              <w:pStyle w:val="paralist1"/>
            </w:pPr>
            <w:r w:rsidRPr="00DA348D">
              <w:t xml:space="preserve">Build on existing projects such as </w:t>
            </w:r>
            <w:proofErr w:type="spellStart"/>
            <w:r w:rsidRPr="00DA348D">
              <w:t>HEARsmart</w:t>
            </w:r>
            <w:proofErr w:type="spellEnd"/>
            <w:r w:rsidRPr="00DA348D">
              <w:t xml:space="preserve"> and Know Your Noise to promote safe listening practices in the music industry and among young people.</w:t>
            </w:r>
          </w:p>
          <w:p w14:paraId="0E1FD08C" w14:textId="77777777" w:rsidR="002255D3" w:rsidRPr="00DA348D" w:rsidRDefault="002255D3" w:rsidP="0090757F">
            <w:pPr>
              <w:pStyle w:val="paralist1"/>
            </w:pPr>
            <w:r w:rsidRPr="00DA348D">
              <w:t>Encourage people who may be experiencing hearing loss to seek assistance and encourage general practitioners and other relevant medical practitioners to actively enquire about the hearing health of their patients, particularly those aged 50 years and over.</w:t>
            </w:r>
          </w:p>
          <w:p w14:paraId="0E1FD08D" w14:textId="77777777" w:rsidR="002255D3" w:rsidRPr="002255D3" w:rsidRDefault="002255D3" w:rsidP="0090757F">
            <w:pPr>
              <w:pStyle w:val="paralist1"/>
            </w:pPr>
            <w:r w:rsidRPr="00DA348D">
              <w:t xml:space="preserve">Include messaging aimed at destigmatising hearing loss and educating the public on the challenges faced by deaf and hearing </w:t>
            </w:r>
            <w:r w:rsidRPr="002255D3">
              <w:t>impaired Australians.</w:t>
            </w:r>
          </w:p>
        </w:tc>
        <w:tc>
          <w:tcPr>
            <w:tcW w:w="5529" w:type="dxa"/>
          </w:tcPr>
          <w:p w14:paraId="0E1FD08E" w14:textId="77777777" w:rsidR="003C609A" w:rsidRPr="00FD4B04" w:rsidRDefault="003C609A" w:rsidP="00FD4B04">
            <w:pPr>
              <w:spacing w:before="0"/>
              <w:rPr>
                <w:b/>
              </w:rPr>
            </w:pPr>
            <w:r w:rsidRPr="00FD4B04">
              <w:rPr>
                <w:b/>
              </w:rPr>
              <w:t>Noted</w:t>
            </w:r>
          </w:p>
          <w:p w14:paraId="0E1FD08F" w14:textId="77777777" w:rsidR="003C609A" w:rsidRDefault="003C609A" w:rsidP="0090757F">
            <w:r>
              <w:t>Public health campaigns are primarily the responsibility of state and territory government</w:t>
            </w:r>
            <w:r w:rsidR="00FD40C0">
              <w:t>s</w:t>
            </w:r>
            <w:r>
              <w:t xml:space="preserve">. When a similar recommendation was raised in the 2010 Senate Committee report, the Government raised the matter at the AHMAC meeting of 29 September 2011. The Council agreed that states and territories would manage any issues around recreational noise and safety regulations for entertainment venues. </w:t>
            </w:r>
          </w:p>
          <w:p w14:paraId="0E1FD092" w14:textId="656B080E" w:rsidR="002255D3" w:rsidRPr="002255D3" w:rsidRDefault="003C609A" w:rsidP="0090757F">
            <w:r>
              <w:t>The Government, through Safe Work Australia, already works with states and territories to promote occupational safe noise exposure practices and hearing loss prevention. Additionally, the Government funds relevant work conducted by the National Acoustic Laboratories (NAL) specifically their “Know Your Noise” campaign which aims to build safe listening practices among young people and in the music industry.</w:t>
            </w:r>
          </w:p>
        </w:tc>
      </w:tr>
      <w:tr w:rsidR="00DA348D" w:rsidRPr="002255D3" w14:paraId="0E1FD09E" w14:textId="77777777" w:rsidTr="00F21803">
        <w:trPr>
          <w:cantSplit/>
        </w:trPr>
        <w:tc>
          <w:tcPr>
            <w:tcW w:w="546" w:type="dxa"/>
          </w:tcPr>
          <w:p w14:paraId="0E1FD094" w14:textId="75C3D84A" w:rsidR="002255D3" w:rsidRPr="00F21803" w:rsidRDefault="002255D3" w:rsidP="0090757F">
            <w:pPr>
              <w:pStyle w:val="Heading3"/>
            </w:pPr>
            <w:r w:rsidRPr="00F21803">
              <w:lastRenderedPageBreak/>
              <w:t>7</w:t>
            </w:r>
          </w:p>
        </w:tc>
        <w:tc>
          <w:tcPr>
            <w:tcW w:w="3827" w:type="dxa"/>
          </w:tcPr>
          <w:p w14:paraId="0E1FD095" w14:textId="74B9B966" w:rsidR="002255D3" w:rsidRPr="002255D3" w:rsidRDefault="002255D3" w:rsidP="0090757F">
            <w:r w:rsidRPr="002255D3">
              <w:t xml:space="preserve">The Committee recommends the Department of Health develop a national hearing loss prevention and treatment program for agricultural communities. Effective interventions piloted in the National Centre for Farmer Health’s </w:t>
            </w:r>
            <w:proofErr w:type="spellStart"/>
            <w:r w:rsidRPr="002255D3">
              <w:rPr>
                <w:i/>
              </w:rPr>
              <w:t>Shhh</w:t>
            </w:r>
            <w:proofErr w:type="spellEnd"/>
            <w:r w:rsidRPr="002255D3">
              <w:rPr>
                <w:i/>
              </w:rPr>
              <w:t>! Hearing in a Farming Environment</w:t>
            </w:r>
            <w:r w:rsidRPr="002255D3">
              <w:t xml:space="preserve"> project should serve as the basis for the development of the program. Specifically, the program should include</w:t>
            </w:r>
          </w:p>
          <w:p w14:paraId="0E1FD096" w14:textId="77777777" w:rsidR="002255D3" w:rsidRPr="002255D3" w:rsidRDefault="002255D3" w:rsidP="0090757F">
            <w:pPr>
              <w:pStyle w:val="paralist1"/>
            </w:pPr>
            <w:r w:rsidRPr="002255D3">
              <w:t>The provision of education on farm-based sources of noise exposure and how the risks to hearing health from these noise sources can be minimised.</w:t>
            </w:r>
          </w:p>
          <w:p w14:paraId="0E1FD097" w14:textId="77777777" w:rsidR="002255D3" w:rsidRPr="002255D3" w:rsidRDefault="002255D3" w:rsidP="0090757F">
            <w:pPr>
              <w:pStyle w:val="paralist1"/>
            </w:pPr>
            <w:r w:rsidRPr="002255D3">
              <w:t>Hearing screening services targeted at workers in agricultural industries and referrals to treatment services for people found to have a hearing loss.</w:t>
            </w:r>
          </w:p>
          <w:p w14:paraId="0E1FD098" w14:textId="77777777" w:rsidR="002255D3" w:rsidRPr="002255D3" w:rsidRDefault="002255D3" w:rsidP="0090757F">
            <w:pPr>
              <w:pStyle w:val="paralist1"/>
            </w:pPr>
            <w:r w:rsidRPr="002255D3">
              <w:t>The promotion of communication techniques to assist people with hearing loss regardless of whether they choose to use hearing devices.</w:t>
            </w:r>
          </w:p>
        </w:tc>
        <w:tc>
          <w:tcPr>
            <w:tcW w:w="5529" w:type="dxa"/>
          </w:tcPr>
          <w:p w14:paraId="0E1FD099" w14:textId="77777777" w:rsidR="002255D3" w:rsidRPr="00FD4B04" w:rsidRDefault="00924BAD" w:rsidP="0090757F">
            <w:pPr>
              <w:rPr>
                <w:b/>
              </w:rPr>
            </w:pPr>
            <w:r w:rsidRPr="00FD4B04">
              <w:rPr>
                <w:b/>
              </w:rPr>
              <w:t>Noted</w:t>
            </w:r>
          </w:p>
          <w:p w14:paraId="0E1FD09A" w14:textId="77777777" w:rsidR="00924BAD" w:rsidRDefault="002255D3" w:rsidP="0090757F">
            <w:r w:rsidRPr="00924BAD">
              <w:t xml:space="preserve">As part of its policy role, Safe Work Australia </w:t>
            </w:r>
            <w:r w:rsidR="00924BAD">
              <w:t>has</w:t>
            </w:r>
            <w:r w:rsidRPr="00924BAD">
              <w:t xml:space="preserve"> led the development of the Australian Work Health and Safety Strategy 2012-2022 (the Australian Strategy). Work related noise induced hearing loss is a priority disorder under the Australian Strategy</w:t>
            </w:r>
            <w:r w:rsidR="00924BAD">
              <w:t xml:space="preserve"> while a</w:t>
            </w:r>
            <w:r w:rsidRPr="00924BAD">
              <w:t>griculture is a priority industry under the Strategy.</w:t>
            </w:r>
          </w:p>
          <w:p w14:paraId="0E1FD09D" w14:textId="5620E7E3" w:rsidR="00924BAD" w:rsidRPr="00924BAD" w:rsidRDefault="00924BAD" w:rsidP="0090757F">
            <w:r w:rsidRPr="00924BAD">
              <w:t>The states and territories are predominantly responsible for farm safety in Australia</w:t>
            </w:r>
            <w:r w:rsidR="00651B2A">
              <w:t xml:space="preserve"> and the implementation and regulation of work health and safety</w:t>
            </w:r>
            <w:r w:rsidRPr="00924BAD">
              <w:t xml:space="preserve">. The Department of Health provided almost $600,000 through the Hearing Loss Prevention Program for the </w:t>
            </w:r>
            <w:proofErr w:type="spellStart"/>
            <w:r w:rsidRPr="00924BAD">
              <w:t>Shhh</w:t>
            </w:r>
            <w:proofErr w:type="spellEnd"/>
            <w:r w:rsidRPr="00924BAD">
              <w:t>! Hearing i</w:t>
            </w:r>
            <w:r>
              <w:t>n a Farming Environment project</w:t>
            </w:r>
            <w:r w:rsidRPr="00924BAD">
              <w:t xml:space="preserve"> to Deakin University and the National Centre for Farmer Health.  </w:t>
            </w:r>
          </w:p>
        </w:tc>
      </w:tr>
      <w:tr w:rsidR="00DA348D" w:rsidRPr="002255D3" w14:paraId="0E1FD0AC" w14:textId="77777777" w:rsidTr="00F21803">
        <w:trPr>
          <w:cantSplit/>
        </w:trPr>
        <w:tc>
          <w:tcPr>
            <w:tcW w:w="546" w:type="dxa"/>
          </w:tcPr>
          <w:p w14:paraId="0E1FD09F" w14:textId="77777777" w:rsidR="002255D3" w:rsidRPr="002255D3" w:rsidRDefault="002255D3" w:rsidP="0090757F">
            <w:pPr>
              <w:pStyle w:val="Heading3"/>
            </w:pPr>
            <w:r>
              <w:lastRenderedPageBreak/>
              <w:t>8</w:t>
            </w:r>
          </w:p>
        </w:tc>
        <w:tc>
          <w:tcPr>
            <w:tcW w:w="3827" w:type="dxa"/>
          </w:tcPr>
          <w:p w14:paraId="0E1FD0A0" w14:textId="140A830F" w:rsidR="002255D3" w:rsidRPr="002255D3" w:rsidRDefault="002255D3" w:rsidP="0090757F">
            <w:r w:rsidRPr="002255D3">
              <w:t xml:space="preserve">The Committee recommends that the </w:t>
            </w:r>
            <w:r w:rsidR="00FD40C0">
              <w:t>Hearing Services Program</w:t>
            </w:r>
            <w:r w:rsidRPr="002255D3">
              <w:t xml:space="preserve"> and the National Acoustic Laboratories prioritise funding for research which focuses on</w:t>
            </w:r>
          </w:p>
          <w:p w14:paraId="0E1FD0A1" w14:textId="65B0D8DC" w:rsidR="002255D3" w:rsidRPr="002255D3" w:rsidRDefault="00FD40C0" w:rsidP="0090757F">
            <w:pPr>
              <w:pStyle w:val="paralist1"/>
            </w:pPr>
            <w:r>
              <w:t>T</w:t>
            </w:r>
            <w:r w:rsidR="002255D3" w:rsidRPr="002255D3">
              <w:t>he causes of balance disorders and potential treatment options</w:t>
            </w:r>
          </w:p>
          <w:p w14:paraId="0E1FD0A2" w14:textId="4C7C4B2F" w:rsidR="002255D3" w:rsidRPr="002255D3" w:rsidRDefault="00FD40C0" w:rsidP="0090757F">
            <w:pPr>
              <w:pStyle w:val="paralist1"/>
            </w:pPr>
            <w:r>
              <w:t>G</w:t>
            </w:r>
            <w:r w:rsidR="002255D3" w:rsidRPr="002255D3">
              <w:t>enetic and stem-cell based treatments for hearing impairment and</w:t>
            </w:r>
          </w:p>
          <w:p w14:paraId="0E1FD0A3" w14:textId="77777777" w:rsidR="002255D3" w:rsidRPr="002255D3" w:rsidRDefault="00FD40C0" w:rsidP="0090757F">
            <w:pPr>
              <w:pStyle w:val="paralist1"/>
            </w:pPr>
            <w:r>
              <w:t>L</w:t>
            </w:r>
            <w:r w:rsidR="002255D3" w:rsidRPr="002255D3">
              <w:t>ongitudinal research on the experiences of adults undergoing treatment for hearing impairment.</w:t>
            </w:r>
          </w:p>
        </w:tc>
        <w:tc>
          <w:tcPr>
            <w:tcW w:w="5529" w:type="dxa"/>
          </w:tcPr>
          <w:p w14:paraId="0E1FD0A4" w14:textId="77777777" w:rsidR="00924BAD" w:rsidRPr="006401FD" w:rsidRDefault="00597643" w:rsidP="0090757F">
            <w:pPr>
              <w:rPr>
                <w:b/>
              </w:rPr>
            </w:pPr>
            <w:r w:rsidRPr="006401FD">
              <w:rPr>
                <w:b/>
              </w:rPr>
              <w:t>Not supported</w:t>
            </w:r>
          </w:p>
          <w:p w14:paraId="0E1FD0A5" w14:textId="77777777" w:rsidR="002255D3" w:rsidRPr="002255D3" w:rsidRDefault="0017767B" w:rsidP="0090757F">
            <w:r w:rsidRPr="0017767B">
              <w:t>The Government is committed to the ongoing funding of research into hearing prevention, assessment and rehabilitation to improve the way in which support is provided to hearing impaired Australians. The reprioritisation of</w:t>
            </w:r>
            <w:r w:rsidR="00FD40C0">
              <w:t xml:space="preserve"> National Acoustic Laboratories (</w:t>
            </w:r>
            <w:r w:rsidRPr="0017767B">
              <w:t>NAL</w:t>
            </w:r>
            <w:r w:rsidR="00FD40C0">
              <w:t>)</w:t>
            </w:r>
            <w:r w:rsidRPr="0017767B">
              <w:t xml:space="preserve"> research </w:t>
            </w:r>
            <w:r>
              <w:t xml:space="preserve">in accordance with this recommendation </w:t>
            </w:r>
            <w:r w:rsidRPr="0017767B">
              <w:t>would result in loss of expertise and longitudinal research.</w:t>
            </w:r>
            <w:r>
              <w:t xml:space="preserve"> The Government notes </w:t>
            </w:r>
            <w:r w:rsidRPr="0017767B">
              <w:t>that international academic and private research institutions may be better placed to advance this research.</w:t>
            </w:r>
          </w:p>
          <w:p w14:paraId="0E1FD0A7" w14:textId="77777777" w:rsidR="002255D3" w:rsidRPr="00924BAD" w:rsidRDefault="002255D3" w:rsidP="0090757F">
            <w:r w:rsidRPr="00924BAD">
              <w:t>Introducing new areas of research through NAL may have unintended consequences for the</w:t>
            </w:r>
            <w:r w:rsidR="00924BAD">
              <w:t>ir</w:t>
            </w:r>
            <w:r w:rsidRPr="00924BAD">
              <w:t xml:space="preserve"> existing research.</w:t>
            </w:r>
            <w:r w:rsidR="00924BAD">
              <w:t xml:space="preserve"> T</w:t>
            </w:r>
            <w:r w:rsidRPr="00924BAD">
              <w:t>he tools, laboratories and expertise necessary to conduct research into balance are quite different from those needed to understand hearing. Any balance research program added to NAL would be a stand-alone initiative, would not be complementary and integrative with current research areas and, without additional funds</w:t>
            </w:r>
            <w:r w:rsidR="00FD40C0">
              <w:t>,</w:t>
            </w:r>
            <w:r w:rsidRPr="00924BAD">
              <w:t xml:space="preserve"> would negatively affect research being conducted in all other NAL research sections because of the loss of key and complementary expertise and resources.</w:t>
            </w:r>
          </w:p>
          <w:p w14:paraId="0E1FD0A9" w14:textId="77777777" w:rsidR="002255D3" w:rsidRDefault="00924BAD" w:rsidP="0090757F">
            <w:r w:rsidRPr="00924BAD">
              <w:t xml:space="preserve">NAL does not have the expertise or resources to conduct any of the expensive and intensive research into </w:t>
            </w:r>
            <w:r w:rsidR="002255D3" w:rsidRPr="00924BAD">
              <w:t>genetic and stem-cell treatments</w:t>
            </w:r>
            <w:r>
              <w:t>.</w:t>
            </w:r>
          </w:p>
          <w:p w14:paraId="0E1FD0AB" w14:textId="77777777" w:rsidR="002255D3" w:rsidRPr="002255D3" w:rsidRDefault="00924BAD" w:rsidP="0090757F">
            <w:pPr>
              <w:rPr>
                <w:i/>
              </w:rPr>
            </w:pPr>
            <w:r>
              <w:t>L</w:t>
            </w:r>
            <w:r w:rsidR="002255D3" w:rsidRPr="00924BAD">
              <w:t xml:space="preserve">ongitudinal research on adults who have received treatment for their hearing impairment is </w:t>
            </w:r>
            <w:r>
              <w:t xml:space="preserve">already </w:t>
            </w:r>
            <w:r w:rsidR="002255D3" w:rsidRPr="00924BAD">
              <w:t>a</w:t>
            </w:r>
            <w:r>
              <w:t xml:space="preserve"> priority</w:t>
            </w:r>
            <w:r w:rsidR="002255D3" w:rsidRPr="00924BAD">
              <w:t xml:space="preserve"> area </w:t>
            </w:r>
            <w:r>
              <w:t>for</w:t>
            </w:r>
            <w:r w:rsidR="002255D3" w:rsidRPr="00924BAD">
              <w:t xml:space="preserve"> NAL.</w:t>
            </w:r>
          </w:p>
        </w:tc>
      </w:tr>
      <w:tr w:rsidR="00DA348D" w:rsidRPr="002255D3" w14:paraId="0E1FD0B9" w14:textId="77777777" w:rsidTr="00F21803">
        <w:trPr>
          <w:cantSplit/>
        </w:trPr>
        <w:tc>
          <w:tcPr>
            <w:tcW w:w="546" w:type="dxa"/>
          </w:tcPr>
          <w:p w14:paraId="0E1FD0AD" w14:textId="77777777" w:rsidR="002255D3" w:rsidRPr="00F21803" w:rsidRDefault="002255D3" w:rsidP="0090757F">
            <w:pPr>
              <w:rPr>
                <w:b/>
              </w:rPr>
            </w:pPr>
            <w:r w:rsidRPr="00F21803">
              <w:rPr>
                <w:b/>
              </w:rPr>
              <w:lastRenderedPageBreak/>
              <w:t>9</w:t>
            </w:r>
          </w:p>
        </w:tc>
        <w:tc>
          <w:tcPr>
            <w:tcW w:w="3827" w:type="dxa"/>
          </w:tcPr>
          <w:p w14:paraId="0E1FD0AE" w14:textId="1C9DF844" w:rsidR="002255D3" w:rsidRPr="002255D3" w:rsidRDefault="002255D3" w:rsidP="0090757F">
            <w:r w:rsidRPr="002255D3">
              <w:t>The Committee recommends that the Australian Government add hearing health services delivered via the internet to the Medicare Benefits Schedule. These services should include audiology ear, nose, and throat consultations early intervention listening and spoken language therapy and speech pathology.</w:t>
            </w:r>
          </w:p>
        </w:tc>
        <w:tc>
          <w:tcPr>
            <w:tcW w:w="5529" w:type="dxa"/>
          </w:tcPr>
          <w:p w14:paraId="0E1FD0AF" w14:textId="77777777" w:rsidR="006656BA" w:rsidRPr="00F21803" w:rsidRDefault="006656BA" w:rsidP="0090757F">
            <w:pPr>
              <w:rPr>
                <w:b/>
              </w:rPr>
            </w:pPr>
            <w:r w:rsidRPr="00F21803">
              <w:rPr>
                <w:b/>
              </w:rPr>
              <w:t>Supported in principle</w:t>
            </w:r>
          </w:p>
          <w:p w14:paraId="0E1FD0B0" w14:textId="77777777" w:rsidR="00055B00" w:rsidRDefault="00055B00" w:rsidP="0090757F">
            <w:r w:rsidRPr="00055B00">
              <w:t xml:space="preserve">The Government is committed to innovation in the delivery of health services where established by clinical evidence, safety and cost effectiveness. The Government has in place evidence based processes that allow industry to seek approval of </w:t>
            </w:r>
            <w:proofErr w:type="spellStart"/>
            <w:r w:rsidRPr="00055B00">
              <w:t>teleaudiology</w:t>
            </w:r>
            <w:proofErr w:type="spellEnd"/>
            <w:r w:rsidRPr="00055B00">
              <w:t xml:space="preserve"> services if they seek listing on the MBS.</w:t>
            </w:r>
          </w:p>
          <w:p w14:paraId="0E1FD0B2" w14:textId="77777777" w:rsidR="002255D3" w:rsidRDefault="002255D3" w:rsidP="0090757F">
            <w:r w:rsidRPr="002255D3">
              <w:t>The Medicare Benefits Schedule (MBS) already funds telehealth services provided by ear, nose and throat specialists to patients who live in non-urban Australia.</w:t>
            </w:r>
          </w:p>
          <w:p w14:paraId="0E1FD0B4" w14:textId="77777777" w:rsidR="002255D3" w:rsidRDefault="002255D3" w:rsidP="0090757F">
            <w:r w:rsidRPr="002255D3">
              <w:t>The medical profession, medical industry and others with an interest in seeking funding for a new medical service or device, or a change to an existing service can make applications to the Medical Services Advisory Committee (MSAC). The MSAC is an independent non-statutory expert committee that appraises new medical services and devices, and provides advice to Government on whether a new medical service or device should be publicly funded (and if so, its circumstances) on an assessment of its comparative safety, clinical effectiveness, cost-effectiveness, and total cost, using the best available evidence.</w:t>
            </w:r>
          </w:p>
          <w:p w14:paraId="0E1FD0B8" w14:textId="0A71FDAD" w:rsidR="002255D3" w:rsidRPr="002255D3" w:rsidRDefault="00651B2A" w:rsidP="0090757F">
            <w:r>
              <w:t xml:space="preserve">The HSP does not prohibit the use of </w:t>
            </w:r>
            <w:proofErr w:type="spellStart"/>
            <w:r>
              <w:t>teleaudiology</w:t>
            </w:r>
            <w:proofErr w:type="spellEnd"/>
            <w:r>
              <w:t xml:space="preserve"> as long as the services are delivered in accordance with its technical and clinical standards.</w:t>
            </w:r>
            <w:r w:rsidR="002D73EC">
              <w:t xml:space="preserve">  </w:t>
            </w:r>
            <w:r w:rsidR="002255D3" w:rsidRPr="002255D3">
              <w:t xml:space="preserve">The Department is currently working with industry to understand the benefits and barriers of </w:t>
            </w:r>
            <w:proofErr w:type="spellStart"/>
            <w:r w:rsidR="002255D3" w:rsidRPr="002255D3">
              <w:t>teleaudiology</w:t>
            </w:r>
            <w:proofErr w:type="spellEnd"/>
            <w:r w:rsidR="002255D3" w:rsidRPr="002255D3">
              <w:t xml:space="preserve"> services through the HSP.</w:t>
            </w:r>
          </w:p>
        </w:tc>
      </w:tr>
      <w:tr w:rsidR="00DA348D" w:rsidRPr="002255D3" w14:paraId="0E1FD0BE" w14:textId="77777777" w:rsidTr="00F21803">
        <w:tc>
          <w:tcPr>
            <w:tcW w:w="546" w:type="dxa"/>
          </w:tcPr>
          <w:p w14:paraId="0E1FD0BA" w14:textId="77777777" w:rsidR="002255D3" w:rsidRPr="002255D3" w:rsidRDefault="002255D3" w:rsidP="0090757F">
            <w:pPr>
              <w:pStyle w:val="Heading3"/>
            </w:pPr>
            <w:r>
              <w:lastRenderedPageBreak/>
              <w:t>10</w:t>
            </w:r>
          </w:p>
        </w:tc>
        <w:tc>
          <w:tcPr>
            <w:tcW w:w="3827" w:type="dxa"/>
          </w:tcPr>
          <w:p w14:paraId="0E1FD0BB" w14:textId="77777777" w:rsidR="002255D3" w:rsidRPr="002255D3" w:rsidRDefault="002255D3" w:rsidP="0090757F">
            <w:r w:rsidRPr="002255D3">
              <w:t xml:space="preserve">The Committee recommends a review be undertaken of Australian Hearing’s commercial operations to ensure it is undertaking a competitively neutral approach to its participation in the </w:t>
            </w:r>
            <w:r w:rsidR="00FD40C0">
              <w:t>Hearing Services Program</w:t>
            </w:r>
            <w:r w:rsidRPr="002255D3">
              <w:t xml:space="preserve"> Voucher Scheme.</w:t>
            </w:r>
          </w:p>
        </w:tc>
        <w:tc>
          <w:tcPr>
            <w:tcW w:w="5529" w:type="dxa"/>
          </w:tcPr>
          <w:p w14:paraId="0E1FD0BC" w14:textId="77777777" w:rsidR="00055B00" w:rsidRPr="00F21803" w:rsidRDefault="00055B00" w:rsidP="0090757F">
            <w:pPr>
              <w:rPr>
                <w:b/>
              </w:rPr>
            </w:pPr>
            <w:r w:rsidRPr="00F21803">
              <w:rPr>
                <w:b/>
              </w:rPr>
              <w:t>Supported in Principle</w:t>
            </w:r>
          </w:p>
          <w:p w14:paraId="67DE8B59" w14:textId="77777777" w:rsidR="001F6586" w:rsidRPr="00B32AAC" w:rsidRDefault="001F6586" w:rsidP="0090757F">
            <w:r w:rsidRPr="00B32AAC">
              <w:rPr>
                <w:lang w:eastAsia="en-AU"/>
              </w:rPr>
              <w:t>Australian Hearing is already subject to the Government’s competitive neutrality policy and makes competitive neutrality payments to Government in the form of dividends and tax equivalent payments.</w:t>
            </w:r>
          </w:p>
          <w:p w14:paraId="67EE2730" w14:textId="3DEF7BAF" w:rsidR="001F6586" w:rsidRPr="00B32AAC" w:rsidRDefault="001F6586" w:rsidP="0090757F">
            <w:r w:rsidRPr="00B32AAC">
              <w:rPr>
                <w:lang w:eastAsia="en-AU"/>
              </w:rPr>
              <w:t xml:space="preserve">On 23 May 2018, the Productivity Commission released their investigation report into the commercial operations of Australian Hearing. The report found that, with a minor exception, Australian Hearing is complying with its competitive neutrality </w:t>
            </w:r>
            <w:r w:rsidR="007840A4">
              <w:rPr>
                <w:lang w:eastAsia="en-AU"/>
              </w:rPr>
              <w:t>obligations.</w:t>
            </w:r>
          </w:p>
          <w:p w14:paraId="0E1FD0BD" w14:textId="0E03CCCC" w:rsidR="001F6586" w:rsidRPr="002255D3" w:rsidRDefault="001F6586" w:rsidP="0090757F">
            <w:r w:rsidRPr="00B32AAC">
              <w:rPr>
                <w:lang w:eastAsia="en-AU"/>
              </w:rPr>
              <w:t>The Treasury is currently conducting a review of the Government’s competitive neutrality policy. Once completed, the Department of Human Services will work with Australian Hearing to ensure commercial operations continue to be competitively neutral</w:t>
            </w:r>
            <w:r w:rsidR="00E60DCE">
              <w:rPr>
                <w:lang w:eastAsia="en-AU"/>
              </w:rPr>
              <w:t>.</w:t>
            </w:r>
          </w:p>
        </w:tc>
      </w:tr>
      <w:tr w:rsidR="00DA348D" w:rsidRPr="002255D3" w14:paraId="0E1FD0C5" w14:textId="77777777" w:rsidTr="00F21803">
        <w:tc>
          <w:tcPr>
            <w:tcW w:w="546" w:type="dxa"/>
          </w:tcPr>
          <w:p w14:paraId="0E1FD0BF" w14:textId="035F2E76" w:rsidR="002255D3" w:rsidRPr="004A1585" w:rsidRDefault="002255D3" w:rsidP="0090757F">
            <w:pPr>
              <w:pStyle w:val="Heading3"/>
            </w:pPr>
            <w:r w:rsidRPr="004A1585">
              <w:t>11</w:t>
            </w:r>
          </w:p>
        </w:tc>
        <w:tc>
          <w:tcPr>
            <w:tcW w:w="3827" w:type="dxa"/>
          </w:tcPr>
          <w:p w14:paraId="0E1FD0C0" w14:textId="77777777" w:rsidR="002255D3" w:rsidRPr="002255D3" w:rsidRDefault="002255D3" w:rsidP="0090757F">
            <w:r w:rsidRPr="002255D3">
              <w:t>The Committee recommends that the Community Service Obligations program be extended to provide hearing services to hearing impaired Australians aged 26 to 65 years on low incomes or who are unemployed and qualify for lower income support or the Low Income Superannuation Tax Offset.</w:t>
            </w:r>
          </w:p>
        </w:tc>
        <w:tc>
          <w:tcPr>
            <w:tcW w:w="5529" w:type="dxa"/>
          </w:tcPr>
          <w:p w14:paraId="0E1FD0C1" w14:textId="77777777" w:rsidR="00055B00" w:rsidRPr="00F21803" w:rsidRDefault="00055B00" w:rsidP="0090757F">
            <w:pPr>
              <w:rPr>
                <w:b/>
              </w:rPr>
            </w:pPr>
            <w:r w:rsidRPr="00F21803">
              <w:rPr>
                <w:b/>
              </w:rPr>
              <w:t>Noted</w:t>
            </w:r>
          </w:p>
          <w:p w14:paraId="0E1FD0C2" w14:textId="77777777" w:rsidR="002255D3" w:rsidRDefault="002255D3" w:rsidP="0090757F">
            <w:r w:rsidRPr="002255D3">
              <w:t xml:space="preserve">This recommendation </w:t>
            </w:r>
            <w:r w:rsidR="00751490">
              <w:t>is similar to</w:t>
            </w:r>
            <w:r w:rsidR="00751490" w:rsidRPr="002255D3">
              <w:t xml:space="preserve"> </w:t>
            </w:r>
            <w:r w:rsidRPr="002255D3">
              <w:t>the proposal in</w:t>
            </w:r>
            <w:r w:rsidR="00FD40C0">
              <w:t xml:space="preserve"> the</w:t>
            </w:r>
            <w:r w:rsidRPr="002255D3">
              <w:t xml:space="preserve"> Hearing Care Industry Association (HCIA) commissioned report from Deloitte Access Economics - </w:t>
            </w:r>
            <w:r w:rsidRPr="002255D3">
              <w:rPr>
                <w:i/>
              </w:rPr>
              <w:t xml:space="preserve">The Social and Economic Cost of Hearing Loss and Hearing Health Conditions in Australia </w:t>
            </w:r>
            <w:r w:rsidRPr="002255D3">
              <w:t xml:space="preserve">(detailed on page 9). </w:t>
            </w:r>
            <w:r w:rsidR="00E8107F">
              <w:t xml:space="preserve">Australians aged 26-65 years with hearing loss are eligible for the Community Service Obligations component of the Hearing Services Program if they are first eligible for the </w:t>
            </w:r>
            <w:r w:rsidRPr="002255D3">
              <w:t>Voucher component</w:t>
            </w:r>
            <w:r w:rsidR="00E8107F">
              <w:t xml:space="preserve"> of the Program and they are deemed to be a complex client</w:t>
            </w:r>
            <w:r w:rsidRPr="002255D3">
              <w:t>.</w:t>
            </w:r>
          </w:p>
          <w:p w14:paraId="0E1FD0C4" w14:textId="77777777" w:rsidR="002255D3" w:rsidRPr="002255D3" w:rsidRDefault="002255D3" w:rsidP="0090757F">
            <w:r w:rsidRPr="002255D3">
              <w:t>Eligibility for the Voucher component is already inclusive of low income or unemployed people, where they are eligible for a Pensioner Concession Card. This includes recipients of the Disability Sup</w:t>
            </w:r>
            <w:r w:rsidR="00055B00">
              <w:t>port Pension, Carer Payment</w:t>
            </w:r>
            <w:r w:rsidR="00596891">
              <w:t xml:space="preserve"> and some recipients of </w:t>
            </w:r>
            <w:proofErr w:type="spellStart"/>
            <w:r w:rsidR="00596891">
              <w:t>Newstart</w:t>
            </w:r>
            <w:proofErr w:type="spellEnd"/>
            <w:r w:rsidR="00596891">
              <w:t xml:space="preserve"> Allowance</w:t>
            </w:r>
            <w:r w:rsidR="00055B00">
              <w:t>.</w:t>
            </w:r>
          </w:p>
        </w:tc>
      </w:tr>
      <w:tr w:rsidR="00DA348D" w:rsidRPr="002255D3" w14:paraId="0E1FD0D3" w14:textId="77777777" w:rsidTr="00F21803">
        <w:trPr>
          <w:cantSplit/>
        </w:trPr>
        <w:tc>
          <w:tcPr>
            <w:tcW w:w="546" w:type="dxa"/>
          </w:tcPr>
          <w:p w14:paraId="0E1FD0C6" w14:textId="77777777" w:rsidR="002255D3" w:rsidRPr="002255D3" w:rsidRDefault="002255D3" w:rsidP="0090757F">
            <w:pPr>
              <w:pStyle w:val="Heading3"/>
            </w:pPr>
            <w:r>
              <w:lastRenderedPageBreak/>
              <w:t>12</w:t>
            </w:r>
          </w:p>
        </w:tc>
        <w:tc>
          <w:tcPr>
            <w:tcW w:w="3827" w:type="dxa"/>
          </w:tcPr>
          <w:p w14:paraId="0E1FD0C7" w14:textId="6245E8FE" w:rsidR="002255D3" w:rsidRPr="002255D3" w:rsidRDefault="002255D3" w:rsidP="0090757F">
            <w:r w:rsidRPr="002255D3">
              <w:t xml:space="preserve">The Committee recommends the Australian Government’s </w:t>
            </w:r>
            <w:r w:rsidR="00FD40C0">
              <w:t>Hearing Services Program</w:t>
            </w:r>
            <w:r w:rsidRPr="002255D3">
              <w:t xml:space="preserve"> prohibit the use of commissions or any similar sales practices likely to undermine the ability of audiologists and </w:t>
            </w:r>
            <w:proofErr w:type="spellStart"/>
            <w:r w:rsidRPr="002255D3">
              <w:t>audiometrists</w:t>
            </w:r>
            <w:proofErr w:type="spellEnd"/>
            <w:r w:rsidRPr="002255D3">
              <w:t xml:space="preserve"> to provide independent and impartial clinical advice. The Committee also recommends that</w:t>
            </w:r>
          </w:p>
          <w:p w14:paraId="0E1FD0C8" w14:textId="77777777" w:rsidR="002255D3" w:rsidRPr="002255D3" w:rsidRDefault="002255D3" w:rsidP="0090757F">
            <w:pPr>
              <w:pStyle w:val="paralist1"/>
            </w:pPr>
            <w:r w:rsidRPr="002255D3">
              <w:t xml:space="preserve">Australian Hearing </w:t>
            </w:r>
            <w:proofErr w:type="gramStart"/>
            <w:r w:rsidRPr="002255D3">
              <w:t>cease</w:t>
            </w:r>
            <w:proofErr w:type="gramEnd"/>
            <w:r w:rsidRPr="002255D3">
              <w:t xml:space="preserve"> the use of commissions and similar sales practices as soon as is feasible.</w:t>
            </w:r>
          </w:p>
          <w:p w14:paraId="0E1FD0C9" w14:textId="77777777" w:rsidR="002255D3" w:rsidRPr="002255D3" w:rsidRDefault="002255D3" w:rsidP="0090757F">
            <w:pPr>
              <w:pStyle w:val="paralist1"/>
            </w:pPr>
            <w:r w:rsidRPr="002255D3">
              <w:t xml:space="preserve">The Department of Health amends contracts with service providers operating under the </w:t>
            </w:r>
            <w:r w:rsidR="00FD40C0">
              <w:t>Hearing Services Program</w:t>
            </w:r>
            <w:r w:rsidRPr="002255D3">
              <w:t xml:space="preserve"> Voucher Scheme to prohibit the use of commissions and similar sales practices as soon as is feasible.</w:t>
            </w:r>
          </w:p>
          <w:p w14:paraId="0E1FD0CA" w14:textId="77777777" w:rsidR="002255D3" w:rsidRPr="002255D3" w:rsidRDefault="002255D3" w:rsidP="0090757F">
            <w:pPr>
              <w:pStyle w:val="paralist1"/>
            </w:pPr>
            <w:r w:rsidRPr="002255D3">
              <w:t xml:space="preserve">If necessary, changes be made to the </w:t>
            </w:r>
            <w:r w:rsidRPr="00F655A5">
              <w:rPr>
                <w:i/>
              </w:rPr>
              <w:t>Hearing Services Administrative Act 1997</w:t>
            </w:r>
            <w:r w:rsidRPr="002255D3">
              <w:t xml:space="preserve"> (</w:t>
            </w:r>
            <w:proofErr w:type="spellStart"/>
            <w:r w:rsidRPr="002255D3">
              <w:t>Cwth</w:t>
            </w:r>
            <w:proofErr w:type="spellEnd"/>
            <w:r w:rsidRPr="002255D3">
              <w:t>), and any other relevant legislation or regulation, to enable the prohibition of commissions and similar sales practices as described above.</w:t>
            </w:r>
          </w:p>
        </w:tc>
        <w:tc>
          <w:tcPr>
            <w:tcW w:w="5529" w:type="dxa"/>
          </w:tcPr>
          <w:p w14:paraId="0E1FD0CB" w14:textId="77777777" w:rsidR="002255D3" w:rsidRPr="00F21803" w:rsidRDefault="00953B04" w:rsidP="0090757F">
            <w:pPr>
              <w:rPr>
                <w:b/>
              </w:rPr>
            </w:pPr>
            <w:r w:rsidRPr="00F21803">
              <w:rPr>
                <w:b/>
              </w:rPr>
              <w:t>Noted</w:t>
            </w:r>
          </w:p>
          <w:p w14:paraId="0E1FD0CC" w14:textId="6EA303DF" w:rsidR="00D34E79" w:rsidRDefault="00D34E79" w:rsidP="0090757F">
            <w:r w:rsidRPr="00D34E79">
              <w:t xml:space="preserve">The Government supports the delivery of hearing services based on the clinical assessment and clinical needs of the client. Health is currently reviewing the HSP to determine the best possible options to ensure that clients receive the best clinical service, </w:t>
            </w:r>
            <w:r w:rsidR="00016CF8">
              <w:t>within an open and competitive market.</w:t>
            </w:r>
          </w:p>
          <w:p w14:paraId="0E1FD0CE" w14:textId="77777777" w:rsidR="00953B04" w:rsidRDefault="00953B04" w:rsidP="0090757F">
            <w:r w:rsidRPr="00953B04">
              <w:t>On 3 March 2017, the</w:t>
            </w:r>
            <w:r w:rsidR="00FD40C0">
              <w:t xml:space="preserve"> Australian Competition and Consumer Commission (</w:t>
            </w:r>
            <w:r w:rsidRPr="00953B04">
              <w:t>ACCC</w:t>
            </w:r>
            <w:r w:rsidR="00FD40C0">
              <w:t>)</w:t>
            </w:r>
            <w:r w:rsidRPr="00953B04">
              <w:t xml:space="preserve"> released a report </w:t>
            </w:r>
            <w:r w:rsidRPr="00FD40C0">
              <w:rPr>
                <w:i/>
              </w:rPr>
              <w:t>Issues around the sale of hearing aids</w:t>
            </w:r>
            <w:r w:rsidRPr="00953B04">
              <w:t xml:space="preserve"> to encourage industry to reconsider commissions, disclosure and sales practices in the context of the Australian Consumer Law</w:t>
            </w:r>
            <w:r>
              <w:t>.</w:t>
            </w:r>
          </w:p>
          <w:p w14:paraId="0E1FD0D0" w14:textId="77777777" w:rsidR="00953B04" w:rsidRDefault="00953B04" w:rsidP="0090757F">
            <w:r w:rsidRPr="00953B04">
              <w:t>In response to the ACCC report and reports of ‘up selling’ practices by Contracted Service Providers, the HSP released updated guidance material for consumers, including example questions to ask, as did the ACCC themselves.  Allegations of inappropriate selling pressure within the HSP are investigated by Health and appropriate action taken, including</w:t>
            </w:r>
            <w:r w:rsidR="00AC43DF">
              <w:t xml:space="preserve"> the option to</w:t>
            </w:r>
            <w:r w:rsidRPr="00953B04">
              <w:t xml:space="preserve"> suspen</w:t>
            </w:r>
            <w:r w:rsidR="00AC43DF">
              <w:t>d</w:t>
            </w:r>
            <w:r w:rsidRPr="00953B04">
              <w:t xml:space="preserve"> or terminat</w:t>
            </w:r>
            <w:r w:rsidR="00AC43DF">
              <w:t>e</w:t>
            </w:r>
            <w:r w:rsidRPr="00953B04">
              <w:t xml:space="preserve"> a service provider’s contract.</w:t>
            </w:r>
          </w:p>
          <w:p w14:paraId="0E1FD0D2" w14:textId="77777777" w:rsidR="002255D3" w:rsidRPr="002255D3" w:rsidRDefault="002255D3" w:rsidP="0090757F">
            <w:r w:rsidRPr="00953B04">
              <w:t xml:space="preserve">Australian Hearing does not pay commissions to its clinicians.  Australian Hearing did operate a Clinical Bonus Scheme that linked additional remuneration to audiologists for the successful fitting of higher level technology hearing aids to clients.  </w:t>
            </w:r>
            <w:r w:rsidR="006D3B13">
              <w:t>T</w:t>
            </w:r>
            <w:r w:rsidRPr="00953B04">
              <w:t>his scheme ceased from 1 October 2017.</w:t>
            </w:r>
          </w:p>
        </w:tc>
      </w:tr>
      <w:tr w:rsidR="00DA348D" w:rsidRPr="002255D3" w14:paraId="0E1FD0D8" w14:textId="77777777" w:rsidTr="00F21803">
        <w:tc>
          <w:tcPr>
            <w:tcW w:w="546" w:type="dxa"/>
          </w:tcPr>
          <w:p w14:paraId="0E1FD0D4" w14:textId="330AA908" w:rsidR="002255D3" w:rsidRPr="002255D3" w:rsidRDefault="002255D3" w:rsidP="0090757F">
            <w:pPr>
              <w:pStyle w:val="Heading3"/>
            </w:pPr>
            <w:r>
              <w:t>13</w:t>
            </w:r>
          </w:p>
        </w:tc>
        <w:tc>
          <w:tcPr>
            <w:tcW w:w="3827" w:type="dxa"/>
          </w:tcPr>
          <w:p w14:paraId="0E1FD0D5" w14:textId="77777777" w:rsidR="002255D3" w:rsidRPr="002255D3" w:rsidRDefault="002255D3" w:rsidP="0090757F">
            <w:r w:rsidRPr="002255D3">
              <w:t>The Committee recommends that the Australian Government pursue the registration of the audiology and audiometry professions under the Australian Health Practitioner Regulation Agency framework with the Council of Australian Governments.</w:t>
            </w:r>
          </w:p>
        </w:tc>
        <w:tc>
          <w:tcPr>
            <w:tcW w:w="5529" w:type="dxa"/>
          </w:tcPr>
          <w:p w14:paraId="0E1FD0D6" w14:textId="77777777" w:rsidR="00D34E79" w:rsidRPr="00F21803" w:rsidRDefault="00D34E79" w:rsidP="0090757F">
            <w:pPr>
              <w:rPr>
                <w:b/>
              </w:rPr>
            </w:pPr>
            <w:r w:rsidRPr="00F21803">
              <w:rPr>
                <w:b/>
              </w:rPr>
              <w:t>Not</w:t>
            </w:r>
            <w:r w:rsidR="00FF63AB" w:rsidRPr="00F21803">
              <w:rPr>
                <w:b/>
              </w:rPr>
              <w:t xml:space="preserve"> supported</w:t>
            </w:r>
          </w:p>
          <w:p w14:paraId="0E1FD0D7" w14:textId="77777777" w:rsidR="002255D3" w:rsidRPr="0098364D" w:rsidRDefault="008E516E" w:rsidP="0090757F">
            <w:r w:rsidRPr="0098364D">
              <w:t xml:space="preserve">The Government does not intend to pursue the registration of the audiology and audiometry professions into the Australian Health Practitioner Regulation Agency (APHRA) framework. For these professions to be considered for inclusion a significant risk to public safety </w:t>
            </w:r>
            <w:r w:rsidRPr="000936FB">
              <w:t xml:space="preserve">from these professions would need to be </w:t>
            </w:r>
            <w:r w:rsidRPr="0098364D">
              <w:t>demonstrated</w:t>
            </w:r>
            <w:r w:rsidRPr="000936FB">
              <w:t xml:space="preserve"> and agreement by all health ministers gained.</w:t>
            </w:r>
          </w:p>
        </w:tc>
      </w:tr>
      <w:tr w:rsidR="00F21803" w:rsidRPr="002255D3" w14:paraId="0E1FD0E0" w14:textId="77777777" w:rsidTr="00F21803">
        <w:trPr>
          <w:cantSplit/>
        </w:trPr>
        <w:tc>
          <w:tcPr>
            <w:tcW w:w="546" w:type="dxa"/>
          </w:tcPr>
          <w:p w14:paraId="0E1FD0D9" w14:textId="0CE20D10" w:rsidR="00F21803" w:rsidRPr="002255D3" w:rsidRDefault="00F21803" w:rsidP="00F21803">
            <w:pPr>
              <w:pStyle w:val="Heading3"/>
              <w:spacing w:before="0"/>
            </w:pPr>
            <w:r>
              <w:lastRenderedPageBreak/>
              <w:t>14</w:t>
            </w:r>
          </w:p>
        </w:tc>
        <w:tc>
          <w:tcPr>
            <w:tcW w:w="3827" w:type="dxa"/>
          </w:tcPr>
          <w:p w14:paraId="0E1FD0DB" w14:textId="01802A8F" w:rsidR="00F21803" w:rsidRPr="002255D3" w:rsidRDefault="00F21803" w:rsidP="00F21803">
            <w:pPr>
              <w:spacing w:before="0"/>
            </w:pPr>
            <w:r w:rsidRPr="002255D3">
              <w:t>The Committee recommends that audiological services for children aged zero to five years remain under the Department of Health’s CSO program, with Australian Hearing retaining its role as the sole provider of these services.</w:t>
            </w:r>
          </w:p>
        </w:tc>
        <w:tc>
          <w:tcPr>
            <w:tcW w:w="5529" w:type="dxa"/>
            <w:vMerge w:val="restart"/>
          </w:tcPr>
          <w:p w14:paraId="0A07F8CB" w14:textId="77777777" w:rsidR="00F21803" w:rsidRPr="00F21803" w:rsidRDefault="00F21803" w:rsidP="00F21803">
            <w:pPr>
              <w:spacing w:before="0"/>
              <w:rPr>
                <w:b/>
              </w:rPr>
            </w:pPr>
            <w:r w:rsidRPr="00F21803">
              <w:rPr>
                <w:b/>
              </w:rPr>
              <w:t>Noted</w:t>
            </w:r>
          </w:p>
          <w:p w14:paraId="6EE0362C" w14:textId="77777777" w:rsidR="00F21803" w:rsidRDefault="00F21803" w:rsidP="0090757F">
            <w:r w:rsidRPr="00EB2614">
              <w:t>The Government recognises that early intervention services are vital to detect hearing loss and prevent development delays in children. The Australian system is more comprehensive than ma</w:t>
            </w:r>
            <w:r>
              <w:t xml:space="preserve">ny in the international sphere with </w:t>
            </w:r>
            <w:r w:rsidRPr="00EB2614">
              <w:t>an established pathway to help parents and children navigate the hearing sector. While this pathway may change in the future with the introduction of the</w:t>
            </w:r>
            <w:r>
              <w:t xml:space="preserve"> National Disability Insurance Scheme (</w:t>
            </w:r>
            <w:r w:rsidRPr="00EB2614">
              <w:t>NDIS</w:t>
            </w:r>
            <w:r>
              <w:t>)</w:t>
            </w:r>
            <w:r w:rsidRPr="00EB2614">
              <w:t>, the Government is committed to ensuring continuity of support to children, young adults and their families.</w:t>
            </w:r>
          </w:p>
          <w:p w14:paraId="0E1FD0DF" w14:textId="2A8B1931" w:rsidR="00F21803" w:rsidRPr="002255D3" w:rsidRDefault="00F21803" w:rsidP="0090757F">
            <w:r w:rsidRPr="00B32AAC">
              <w:t>To ensure that there is sufficient time to put appropriate arrangements in place, the current in kind arrangements for CSO clients will apply in 2019-20. This will allow the National Disability Insurance Agency (NDIA) to develop the arrangements for Specialist Hearing Services for children and work with Australian Hearing to ensure NDIS funded Specialist Hearing Services will deliver equivalent outcomes for children.</w:t>
            </w:r>
          </w:p>
        </w:tc>
      </w:tr>
      <w:tr w:rsidR="00F21803" w:rsidRPr="002255D3" w14:paraId="0E1FD0E4" w14:textId="77777777" w:rsidTr="00F21803">
        <w:tc>
          <w:tcPr>
            <w:tcW w:w="546" w:type="dxa"/>
          </w:tcPr>
          <w:p w14:paraId="0E1FD0E1" w14:textId="63F454CF" w:rsidR="00F21803" w:rsidRPr="002255D3" w:rsidRDefault="00F21803" w:rsidP="0090757F">
            <w:pPr>
              <w:pStyle w:val="Heading3"/>
            </w:pPr>
            <w:r>
              <w:t>15</w:t>
            </w:r>
          </w:p>
        </w:tc>
        <w:tc>
          <w:tcPr>
            <w:tcW w:w="3827" w:type="dxa"/>
          </w:tcPr>
          <w:p w14:paraId="0E1FD0E2" w14:textId="77777777" w:rsidR="00F21803" w:rsidRPr="002255D3" w:rsidRDefault="00F21803" w:rsidP="0090757F">
            <w:r w:rsidRPr="002255D3">
              <w:t>The Committee recommends that the Office of Hearing Services fund the creation of a national ‘guided pathway’ system, based in Australian Hearing, to assist parents in choosing expert early intervention services for their children.</w:t>
            </w:r>
          </w:p>
        </w:tc>
        <w:tc>
          <w:tcPr>
            <w:tcW w:w="5529" w:type="dxa"/>
            <w:vMerge/>
          </w:tcPr>
          <w:p w14:paraId="0E1FD0E3" w14:textId="77777777" w:rsidR="00F21803" w:rsidRPr="002255D3" w:rsidRDefault="00F21803" w:rsidP="0090757F"/>
        </w:tc>
      </w:tr>
      <w:tr w:rsidR="00DA348D" w:rsidRPr="002255D3" w14:paraId="0E1FD0ED" w14:textId="77777777" w:rsidTr="00F21803">
        <w:tc>
          <w:tcPr>
            <w:tcW w:w="546" w:type="dxa"/>
          </w:tcPr>
          <w:p w14:paraId="0E1FD0E5" w14:textId="079035AF" w:rsidR="002255D3" w:rsidRPr="002255D3" w:rsidRDefault="002255D3" w:rsidP="00F21803">
            <w:pPr>
              <w:pStyle w:val="Heading3"/>
              <w:spacing w:before="0"/>
            </w:pPr>
            <w:r>
              <w:t>16</w:t>
            </w:r>
          </w:p>
        </w:tc>
        <w:tc>
          <w:tcPr>
            <w:tcW w:w="3827" w:type="dxa"/>
          </w:tcPr>
          <w:p w14:paraId="0E1FD0E6" w14:textId="2F0850FC" w:rsidR="002255D3" w:rsidRPr="002255D3" w:rsidRDefault="002255D3" w:rsidP="00F21803">
            <w:pPr>
              <w:spacing w:before="0"/>
            </w:pPr>
            <w:r w:rsidRPr="002255D3">
              <w:t>The Committee recommends that the Council of Australian Governments</w:t>
            </w:r>
          </w:p>
          <w:p w14:paraId="0E1FD0E7" w14:textId="7349F7E8" w:rsidR="002255D3" w:rsidRPr="002255D3" w:rsidRDefault="002255D3" w:rsidP="0090757F">
            <w:pPr>
              <w:pStyle w:val="paralist1"/>
            </w:pPr>
            <w:r w:rsidRPr="002255D3">
              <w:t>establish a universal hearing screening program for children in their first year of school, with the aim of having all children tested within the first 60 days of the school year and</w:t>
            </w:r>
          </w:p>
          <w:p w14:paraId="0E1FD0E8" w14:textId="77777777" w:rsidR="002255D3" w:rsidRPr="002255D3" w:rsidRDefault="002255D3" w:rsidP="0090757F">
            <w:pPr>
              <w:pStyle w:val="paralist1"/>
            </w:pPr>
            <w:proofErr w:type="gramStart"/>
            <w:r w:rsidRPr="002255D3">
              <w:t>investigate</w:t>
            </w:r>
            <w:proofErr w:type="gramEnd"/>
            <w:r w:rsidRPr="002255D3">
              <w:t xml:space="preserve"> the use of an evidence based online screening program, to deliver a cost effective screening process.</w:t>
            </w:r>
          </w:p>
        </w:tc>
        <w:tc>
          <w:tcPr>
            <w:tcW w:w="5529" w:type="dxa"/>
          </w:tcPr>
          <w:p w14:paraId="0E1FD0E9" w14:textId="77777777" w:rsidR="00EB6DF7" w:rsidRPr="00F21803" w:rsidRDefault="001815A6" w:rsidP="00F21803">
            <w:pPr>
              <w:spacing w:before="0"/>
              <w:rPr>
                <w:b/>
              </w:rPr>
            </w:pPr>
            <w:r w:rsidRPr="00F21803">
              <w:rPr>
                <w:b/>
              </w:rPr>
              <w:t>Supported in Principle</w:t>
            </w:r>
          </w:p>
          <w:p w14:paraId="0E1FD0EA" w14:textId="521D83B4" w:rsidR="002255D3" w:rsidRDefault="001815A6" w:rsidP="0090757F">
            <w:r w:rsidRPr="001815A6">
              <w:t>State and territory governments are mainly responsible for the delivery of</w:t>
            </w:r>
            <w:r>
              <w:t xml:space="preserve"> school aged screening services</w:t>
            </w:r>
            <w:r w:rsidR="002255D3" w:rsidRPr="002255D3">
              <w:t xml:space="preserve">.  </w:t>
            </w:r>
            <w:r>
              <w:t xml:space="preserve">The Australian </w:t>
            </w:r>
            <w:r w:rsidRPr="001815A6">
              <w:t xml:space="preserve">Government will </w:t>
            </w:r>
            <w:r w:rsidR="00B0383D">
              <w:t>work</w:t>
            </w:r>
            <w:r w:rsidR="00B0383D" w:rsidRPr="001815A6">
              <w:t xml:space="preserve"> </w:t>
            </w:r>
            <w:r w:rsidRPr="001815A6">
              <w:t xml:space="preserve">with states and territories through the COAG </w:t>
            </w:r>
            <w:r>
              <w:t>Education</w:t>
            </w:r>
            <w:r w:rsidRPr="001815A6">
              <w:t xml:space="preserve"> Council on a universal hearing screening program for children in their first year of school</w:t>
            </w:r>
            <w:r w:rsidR="002255D3" w:rsidRPr="002255D3">
              <w:t>.</w:t>
            </w:r>
          </w:p>
          <w:p w14:paraId="0E1FD0EC" w14:textId="1AD0D8A7" w:rsidR="00364A91" w:rsidRPr="002255D3" w:rsidRDefault="002255D3" w:rsidP="0090757F">
            <w:r w:rsidRPr="002255D3">
              <w:t xml:space="preserve">A number of online screening programs are already in circulation in Australia. For example, the Sound Scouts game was developed by Carolyn Mee (cmee4 Productions) in collaboration with the National Acoustic Laboratories, the research arm of Australian Hearing. The Commonwealth contributed approximately $90,000 to this project in 2015-16. </w:t>
            </w:r>
          </w:p>
        </w:tc>
      </w:tr>
      <w:tr w:rsidR="00DA348D" w:rsidRPr="002255D3" w14:paraId="0E1FD0F2" w14:textId="77777777" w:rsidTr="00F21803">
        <w:trPr>
          <w:cantSplit/>
        </w:trPr>
        <w:tc>
          <w:tcPr>
            <w:tcW w:w="546" w:type="dxa"/>
          </w:tcPr>
          <w:p w14:paraId="0E1FD0EE" w14:textId="34B817FF" w:rsidR="002255D3" w:rsidRPr="002255D3" w:rsidRDefault="002255D3" w:rsidP="00F21803">
            <w:pPr>
              <w:pStyle w:val="Heading3"/>
              <w:spacing w:before="0"/>
            </w:pPr>
            <w:r>
              <w:t>17</w:t>
            </w:r>
          </w:p>
        </w:tc>
        <w:tc>
          <w:tcPr>
            <w:tcW w:w="3827" w:type="dxa"/>
          </w:tcPr>
          <w:p w14:paraId="0E1FD0EF" w14:textId="77777777" w:rsidR="002255D3" w:rsidRPr="002255D3" w:rsidRDefault="002255D3" w:rsidP="00F21803">
            <w:pPr>
              <w:spacing w:before="0"/>
            </w:pPr>
            <w:r w:rsidRPr="002255D3">
              <w:t>The Committee recommends the Department of Health establish a system of automatic referral to a paediatric audiologist, which can be bulk billed, following identification of a hearing impairment at a school screening program.</w:t>
            </w:r>
          </w:p>
        </w:tc>
        <w:tc>
          <w:tcPr>
            <w:tcW w:w="5529" w:type="dxa"/>
          </w:tcPr>
          <w:p w14:paraId="0E1FD0F0" w14:textId="77777777" w:rsidR="001815A6" w:rsidRPr="00F21803" w:rsidRDefault="001815A6" w:rsidP="00F21803">
            <w:pPr>
              <w:spacing w:before="0"/>
              <w:rPr>
                <w:b/>
              </w:rPr>
            </w:pPr>
            <w:r w:rsidRPr="00F21803">
              <w:rPr>
                <w:b/>
              </w:rPr>
              <w:t>Noted</w:t>
            </w:r>
          </w:p>
          <w:p w14:paraId="0E1FD0F1" w14:textId="77777777" w:rsidR="002255D3" w:rsidRPr="002255D3" w:rsidRDefault="006E646A" w:rsidP="0090757F">
            <w:r w:rsidRPr="006E646A">
              <w:t xml:space="preserve">The </w:t>
            </w:r>
            <w:r>
              <w:t xml:space="preserve">Commonwealth </w:t>
            </w:r>
            <w:r w:rsidRPr="006E646A">
              <w:t xml:space="preserve">Government </w:t>
            </w:r>
            <w:r>
              <w:t>a</w:t>
            </w:r>
            <w:r w:rsidR="00784F8D">
              <w:t>lready subsidises</w:t>
            </w:r>
            <w:r w:rsidRPr="006E646A">
              <w:t xml:space="preserve"> </w:t>
            </w:r>
            <w:r w:rsidR="00784F8D">
              <w:t xml:space="preserve">diagnostic </w:t>
            </w:r>
            <w:r w:rsidRPr="006E646A">
              <w:t xml:space="preserve">audiology </w:t>
            </w:r>
            <w:r w:rsidR="00784F8D">
              <w:t xml:space="preserve">services through the MBS by </w:t>
            </w:r>
            <w:r w:rsidR="00784F8D" w:rsidRPr="00784F8D">
              <w:t>consul</w:t>
            </w:r>
            <w:r w:rsidR="00784F8D">
              <w:t>tant physicians and specialists, and for</w:t>
            </w:r>
            <w:r w:rsidRPr="006E646A">
              <w:t xml:space="preserve"> services performed by an audiologist upon written request from an Ear, Nose and Throat (ENT) specialist or, for some services, a neurologist.</w:t>
            </w:r>
          </w:p>
        </w:tc>
      </w:tr>
      <w:tr w:rsidR="00DA348D" w:rsidRPr="002255D3" w14:paraId="0E1FD0FA" w14:textId="77777777" w:rsidTr="00F21803">
        <w:tc>
          <w:tcPr>
            <w:tcW w:w="546" w:type="dxa"/>
          </w:tcPr>
          <w:p w14:paraId="0E1FD0F3" w14:textId="04329FCB" w:rsidR="002255D3" w:rsidRPr="002255D3" w:rsidRDefault="002255D3" w:rsidP="0090757F">
            <w:pPr>
              <w:pStyle w:val="Heading3"/>
            </w:pPr>
            <w:r>
              <w:lastRenderedPageBreak/>
              <w:t>18</w:t>
            </w:r>
          </w:p>
        </w:tc>
        <w:tc>
          <w:tcPr>
            <w:tcW w:w="3827" w:type="dxa"/>
          </w:tcPr>
          <w:p w14:paraId="0E1FD0F4" w14:textId="77777777" w:rsidR="002255D3" w:rsidRPr="002255D3" w:rsidRDefault="002255D3" w:rsidP="0090757F">
            <w:r w:rsidRPr="002255D3">
              <w:t>The Committee recommends that states and territories be required to report against the ‘National Performance Indicators to Support Neonatal Hearing Screening in Australia’, and that the Standing Committee on Screening coordinates the monitoring and reporting in this area.</w:t>
            </w:r>
          </w:p>
        </w:tc>
        <w:tc>
          <w:tcPr>
            <w:tcW w:w="5529" w:type="dxa"/>
          </w:tcPr>
          <w:p w14:paraId="0E1FD0F5" w14:textId="77777777" w:rsidR="000C1B71" w:rsidRPr="00F21803" w:rsidRDefault="00784F8D" w:rsidP="0090757F">
            <w:pPr>
              <w:rPr>
                <w:b/>
              </w:rPr>
            </w:pPr>
            <w:r w:rsidRPr="00F21803">
              <w:rPr>
                <w:b/>
              </w:rPr>
              <w:t>Supported in Principle</w:t>
            </w:r>
          </w:p>
          <w:p w14:paraId="0E1FD0F6" w14:textId="77777777" w:rsidR="000C1B71" w:rsidRDefault="000C1B71" w:rsidP="0090757F">
            <w:r>
              <w:t xml:space="preserve">The Australian Government notes that </w:t>
            </w:r>
            <w:r w:rsidR="00016CF8">
              <w:t>s</w:t>
            </w:r>
            <w:r w:rsidRPr="000C1B71">
              <w:t>tates and territories have primary responsibility to action this recommendation.</w:t>
            </w:r>
          </w:p>
          <w:p w14:paraId="0E1FD0F8" w14:textId="77777777" w:rsidR="002255D3" w:rsidRPr="002255D3" w:rsidRDefault="002255D3" w:rsidP="0090757F">
            <w:r w:rsidRPr="002255D3">
              <w:t>Following the 2010 Senate Community Affairs Reference Committee report, the Australian Institute of Health and Welfare developed a set of key indicators which could be collected by all jurisdictions to enable nationally consistent reporting. These indicators were endorsed by the Community Care and Population Health Principal Committee in August 2013 and released for states and territories to use when developing and monitoring neonatal hearing screening services. The indicators were originally developed to be reported against using a national data collection.</w:t>
            </w:r>
          </w:p>
          <w:p w14:paraId="0E1FD0F9" w14:textId="77777777" w:rsidR="002255D3" w:rsidRPr="002255D3" w:rsidRDefault="002255D3" w:rsidP="0090757F">
            <w:r w:rsidRPr="002255D3">
              <w:t xml:space="preserve">All jurisdictions have introduced universal neonatal hearing screening programs. </w:t>
            </w:r>
          </w:p>
        </w:tc>
      </w:tr>
      <w:tr w:rsidR="00DA348D" w:rsidRPr="002255D3" w14:paraId="0E1FD103" w14:textId="77777777" w:rsidTr="00F21803">
        <w:trPr>
          <w:cantSplit/>
        </w:trPr>
        <w:tc>
          <w:tcPr>
            <w:tcW w:w="546" w:type="dxa"/>
            <w:noWrap/>
          </w:tcPr>
          <w:p w14:paraId="0E1FD0FB" w14:textId="2DB7A828" w:rsidR="000A444D" w:rsidRPr="00CE4F28" w:rsidRDefault="000A444D" w:rsidP="0090757F">
            <w:pPr>
              <w:pStyle w:val="Heading3"/>
            </w:pPr>
            <w:r w:rsidRPr="00CE4F28">
              <w:t>19</w:t>
            </w:r>
          </w:p>
          <w:p w14:paraId="0E1FD0FC" w14:textId="51527086" w:rsidR="000A444D" w:rsidRPr="002255D3" w:rsidRDefault="000A444D" w:rsidP="0090757F"/>
        </w:tc>
        <w:tc>
          <w:tcPr>
            <w:tcW w:w="3827" w:type="dxa"/>
            <w:noWrap/>
          </w:tcPr>
          <w:p w14:paraId="0E1FD0FE" w14:textId="2DB47978" w:rsidR="000A444D" w:rsidRPr="002255D3" w:rsidRDefault="000A444D" w:rsidP="0090757F">
            <w:r w:rsidRPr="002255D3">
              <w:t xml:space="preserve">The Committee recommends that the </w:t>
            </w:r>
            <w:r>
              <w:t>National Disability Insurance Agency</w:t>
            </w:r>
            <w:r w:rsidRPr="002255D3">
              <w:t xml:space="preserve"> undertake modelling to determine the likely demand for Auslan interpretation services following the introduction of the </w:t>
            </w:r>
            <w:r>
              <w:t>National Disability Insurance Scheme</w:t>
            </w:r>
            <w:r w:rsidRPr="002255D3">
              <w:t>, and the capacity of existing services to meet this demand.</w:t>
            </w:r>
          </w:p>
        </w:tc>
        <w:tc>
          <w:tcPr>
            <w:tcW w:w="5529" w:type="dxa"/>
            <w:noWrap/>
          </w:tcPr>
          <w:p w14:paraId="0E1FD0FF" w14:textId="37D472E6" w:rsidR="000A444D" w:rsidRPr="00F21803" w:rsidRDefault="000A444D" w:rsidP="0090757F">
            <w:pPr>
              <w:rPr>
                <w:b/>
              </w:rPr>
            </w:pPr>
            <w:r w:rsidRPr="00F21803">
              <w:rPr>
                <w:b/>
              </w:rPr>
              <w:t>Supported</w:t>
            </w:r>
            <w:r w:rsidR="00E858A4" w:rsidRPr="00F21803">
              <w:rPr>
                <w:b/>
              </w:rPr>
              <w:t xml:space="preserve"> in principle</w:t>
            </w:r>
          </w:p>
          <w:p w14:paraId="0E1FD100" w14:textId="77777777" w:rsidR="000A444D" w:rsidRDefault="000A444D" w:rsidP="0090757F">
            <w:r w:rsidRPr="00E56019">
              <w:t>The Government appreciates that it is the prerogative of every individual to communicate in a way they choose and makes efforts to accommodate these variations. The NDIS expands the range of circumstances in which Auslan interpreting is available, including in social and community participation and daily living settings. This can include interpreting services to help clients manage their finances, assist with household tasks or attend recreational and sporting activities. The provision of Auslan interpreting for medical appointments, which attract a Medicare rebate, is also available under the NDIS.</w:t>
            </w:r>
          </w:p>
          <w:p w14:paraId="0E1FD102" w14:textId="6E36870B" w:rsidR="000A444D" w:rsidRPr="00E56019" w:rsidRDefault="000A444D" w:rsidP="0090757F">
            <w:r w:rsidRPr="000A444D">
              <w:t>The NDIA will monitor the demand for Auslan interpreter services and the capacity of the market to supply the services as part of its market stewardship role.</w:t>
            </w:r>
          </w:p>
        </w:tc>
      </w:tr>
      <w:tr w:rsidR="00DA348D" w:rsidRPr="002255D3" w14:paraId="0E1FD107" w14:textId="77777777" w:rsidTr="00F21803">
        <w:trPr>
          <w:cantSplit/>
        </w:trPr>
        <w:tc>
          <w:tcPr>
            <w:tcW w:w="546" w:type="dxa"/>
          </w:tcPr>
          <w:p w14:paraId="0E1FD104" w14:textId="0C7BA505" w:rsidR="000A444D" w:rsidRPr="002255D3" w:rsidRDefault="000A444D" w:rsidP="0090757F">
            <w:pPr>
              <w:pStyle w:val="Heading3"/>
            </w:pPr>
            <w:r>
              <w:lastRenderedPageBreak/>
              <w:t>20</w:t>
            </w:r>
          </w:p>
        </w:tc>
        <w:tc>
          <w:tcPr>
            <w:tcW w:w="3827" w:type="dxa"/>
          </w:tcPr>
          <w:p w14:paraId="0E1FD105" w14:textId="77777777" w:rsidR="000A444D" w:rsidRPr="002255D3" w:rsidRDefault="000A444D" w:rsidP="0090757F">
            <w:r w:rsidRPr="002255D3">
              <w:t>The Committee recommends the Government work with states and territories to ensure that Auslan interpretation services are available for interactions with medical, law and other essential services.</w:t>
            </w:r>
          </w:p>
        </w:tc>
        <w:tc>
          <w:tcPr>
            <w:tcW w:w="5529" w:type="dxa"/>
          </w:tcPr>
          <w:p w14:paraId="193A4AC0" w14:textId="77777777" w:rsidR="000A444D" w:rsidRPr="00F21803" w:rsidRDefault="000A444D" w:rsidP="0090757F">
            <w:pPr>
              <w:rPr>
                <w:b/>
              </w:rPr>
            </w:pPr>
            <w:r w:rsidRPr="00F21803">
              <w:rPr>
                <w:b/>
              </w:rPr>
              <w:t>Noted</w:t>
            </w:r>
          </w:p>
          <w:p w14:paraId="0E1FD106" w14:textId="37BBB9D2" w:rsidR="00E858A4" w:rsidRPr="009227A3" w:rsidRDefault="00E858A4" w:rsidP="0090757F">
            <w:r w:rsidRPr="00E858A4">
              <w:t xml:space="preserve">The Government is committed to ensuring current interpreting services will be maintained. The NDIS provides funding for support for participants with hearing loss and use of Auslan to access interpreting and translation services in activities of daily life. The Scheme provides choice and control for participants over how they use those services. This can include the provision of Auslan interpreting for medical appointments.  </w:t>
            </w:r>
          </w:p>
        </w:tc>
      </w:tr>
      <w:tr w:rsidR="00DA348D" w:rsidRPr="002255D3" w14:paraId="0E1FD10D" w14:textId="77777777" w:rsidTr="00F21803">
        <w:tc>
          <w:tcPr>
            <w:tcW w:w="546" w:type="dxa"/>
          </w:tcPr>
          <w:p w14:paraId="0E1FD108" w14:textId="2205FF7C" w:rsidR="002255D3" w:rsidRPr="002255D3" w:rsidRDefault="002255D3" w:rsidP="0090757F">
            <w:pPr>
              <w:pStyle w:val="Heading3"/>
            </w:pPr>
            <w:r>
              <w:t>21</w:t>
            </w:r>
          </w:p>
        </w:tc>
        <w:tc>
          <w:tcPr>
            <w:tcW w:w="3827" w:type="dxa"/>
          </w:tcPr>
          <w:p w14:paraId="0E1FD10A" w14:textId="476CD165" w:rsidR="00F60FA1" w:rsidRPr="002255D3" w:rsidRDefault="002255D3" w:rsidP="0090757F">
            <w:r w:rsidRPr="002255D3">
              <w:t>The Committee supports the decision not to privatise Australian Hearing and recommends that Australian Hearing be retained in government ownership.</w:t>
            </w:r>
          </w:p>
        </w:tc>
        <w:tc>
          <w:tcPr>
            <w:tcW w:w="5529" w:type="dxa"/>
          </w:tcPr>
          <w:p w14:paraId="0E1FD10B" w14:textId="77777777" w:rsidR="00784F8D" w:rsidRPr="00F21803" w:rsidRDefault="00784F8D" w:rsidP="0090757F">
            <w:pPr>
              <w:rPr>
                <w:b/>
              </w:rPr>
            </w:pPr>
            <w:r w:rsidRPr="00F21803">
              <w:rPr>
                <w:b/>
              </w:rPr>
              <w:t>Noted</w:t>
            </w:r>
          </w:p>
          <w:p w14:paraId="0E1FD10C" w14:textId="77777777" w:rsidR="002255D3" w:rsidRPr="002255D3" w:rsidRDefault="002255D3" w:rsidP="0090757F"/>
        </w:tc>
      </w:tr>
      <w:tr w:rsidR="00DA348D" w:rsidRPr="002255D3" w14:paraId="0E1FD114" w14:textId="77777777" w:rsidTr="00985C4D">
        <w:trPr>
          <w:cantSplit/>
        </w:trPr>
        <w:tc>
          <w:tcPr>
            <w:tcW w:w="546" w:type="dxa"/>
          </w:tcPr>
          <w:p w14:paraId="0E1FD10E" w14:textId="0256A0A1" w:rsidR="002255D3" w:rsidRPr="002255D3" w:rsidRDefault="002255D3" w:rsidP="0090757F">
            <w:pPr>
              <w:pStyle w:val="Heading3"/>
            </w:pPr>
            <w:r>
              <w:t>22</w:t>
            </w:r>
          </w:p>
        </w:tc>
        <w:tc>
          <w:tcPr>
            <w:tcW w:w="3827" w:type="dxa"/>
          </w:tcPr>
          <w:p w14:paraId="0E1FD10F" w14:textId="77777777" w:rsidR="002255D3" w:rsidRPr="007A69D9" w:rsidRDefault="002255D3" w:rsidP="0090757F">
            <w:r w:rsidRPr="007A69D9">
              <w:t>The Committee recommends that hearing health is made a National Health Priority Area.</w:t>
            </w:r>
          </w:p>
        </w:tc>
        <w:tc>
          <w:tcPr>
            <w:tcW w:w="5529" w:type="dxa"/>
          </w:tcPr>
          <w:p w14:paraId="0E1FD110" w14:textId="77777777" w:rsidR="00784F8D" w:rsidRPr="00985C4D" w:rsidRDefault="00FF63AB" w:rsidP="0090757F">
            <w:pPr>
              <w:rPr>
                <w:b/>
              </w:rPr>
            </w:pPr>
            <w:r w:rsidRPr="00985C4D">
              <w:rPr>
                <w:b/>
              </w:rPr>
              <w:t>Not s</w:t>
            </w:r>
            <w:r w:rsidR="00016CF8" w:rsidRPr="00985C4D">
              <w:rPr>
                <w:b/>
              </w:rPr>
              <w:t>upported</w:t>
            </w:r>
          </w:p>
          <w:p w14:paraId="0E1FD111" w14:textId="77777777" w:rsidR="00FF63AB" w:rsidRPr="007A69D9" w:rsidRDefault="00FF63AB" w:rsidP="0090757F">
            <w:pPr>
              <w:rPr>
                <w:sz w:val="22"/>
                <w:szCs w:val="22"/>
              </w:rPr>
            </w:pPr>
            <w:r w:rsidRPr="007A69D9">
              <w:t>Since the National Health Priority Areas were established, there has been a policy shift away from a disease-specific approach towards a more integrated approach that is applicable across a broad range of chronic conditions.</w:t>
            </w:r>
          </w:p>
          <w:p w14:paraId="0E1FD113" w14:textId="34A9F90B" w:rsidR="002255D3" w:rsidRPr="007A69D9" w:rsidRDefault="00FF63AB" w:rsidP="0090757F">
            <w:r>
              <w:t>To ensure that there is an appropriate focus on hearing health, the Government is working with hearing health consumer and industry groups to develop a roadmap for hearing health that will provide the basis for the sector, consumers and governments to move forward with a collective understanding of the issues and actions that will lead to improvements in hearing health for all Australians.</w:t>
            </w:r>
          </w:p>
        </w:tc>
      </w:tr>
    </w:tbl>
    <w:p w14:paraId="0E1FD115" w14:textId="77777777" w:rsidR="007D785D" w:rsidRDefault="007D785D" w:rsidP="0090757F">
      <w:pPr>
        <w:sectPr w:rsidR="007D785D" w:rsidSect="0090757F">
          <w:footerReference w:type="first" r:id="rId16"/>
          <w:pgSz w:w="11906" w:h="16838"/>
          <w:pgMar w:top="1134" w:right="1134" w:bottom="1134" w:left="1134" w:header="567" w:footer="567" w:gutter="0"/>
          <w:cols w:space="708"/>
          <w:docGrid w:linePitch="360"/>
        </w:sectPr>
      </w:pPr>
    </w:p>
    <w:p w14:paraId="0E1FD116" w14:textId="77777777" w:rsidR="007D785D" w:rsidRPr="00985C4D" w:rsidRDefault="007D785D" w:rsidP="00985C4D">
      <w:pPr>
        <w:pStyle w:val="Heading1"/>
        <w:spacing w:before="0"/>
        <w:jc w:val="left"/>
        <w:rPr>
          <w:sz w:val="32"/>
        </w:rPr>
      </w:pPr>
      <w:r w:rsidRPr="00985C4D">
        <w:rPr>
          <w:sz w:val="32"/>
        </w:rPr>
        <w:lastRenderedPageBreak/>
        <w:t>Glossary</w:t>
      </w:r>
    </w:p>
    <w:tbl>
      <w:tblPr>
        <w:tblStyle w:val="TableGrid"/>
        <w:tblW w:w="0" w:type="auto"/>
        <w:tblLook w:val="04A0" w:firstRow="1" w:lastRow="0" w:firstColumn="1" w:lastColumn="0" w:noHBand="0" w:noVBand="1"/>
        <w:tblCaption w:val="Glossary"/>
        <w:tblDescription w:val="This table includes a list of all the acronyms included in the Government Response and their explanations."/>
      </w:tblPr>
      <w:tblGrid>
        <w:gridCol w:w="2069"/>
        <w:gridCol w:w="7217"/>
      </w:tblGrid>
      <w:tr w:rsidR="007D785D" w:rsidRPr="00985C4D" w14:paraId="0E1FD119" w14:textId="77777777" w:rsidTr="00B76395">
        <w:trPr>
          <w:tblHeader/>
        </w:trPr>
        <w:tc>
          <w:tcPr>
            <w:tcW w:w="2093" w:type="dxa"/>
          </w:tcPr>
          <w:p w14:paraId="0E1FD117" w14:textId="77777777" w:rsidR="007D785D" w:rsidRPr="00985C4D" w:rsidRDefault="007D785D" w:rsidP="00985C4D">
            <w:pPr>
              <w:pStyle w:val="Heading2"/>
              <w:rPr>
                <w:sz w:val="24"/>
              </w:rPr>
            </w:pPr>
            <w:r w:rsidRPr="00985C4D">
              <w:rPr>
                <w:sz w:val="24"/>
              </w:rPr>
              <w:t>Acronym</w:t>
            </w:r>
          </w:p>
        </w:tc>
        <w:tc>
          <w:tcPr>
            <w:tcW w:w="7371" w:type="dxa"/>
          </w:tcPr>
          <w:p w14:paraId="0E1FD118" w14:textId="77777777" w:rsidR="007D785D" w:rsidRPr="00985C4D" w:rsidRDefault="007D785D" w:rsidP="00985C4D">
            <w:pPr>
              <w:pStyle w:val="Heading2"/>
              <w:rPr>
                <w:sz w:val="24"/>
              </w:rPr>
            </w:pPr>
            <w:r w:rsidRPr="00985C4D">
              <w:rPr>
                <w:sz w:val="24"/>
              </w:rPr>
              <w:t>Explanation</w:t>
            </w:r>
          </w:p>
        </w:tc>
      </w:tr>
      <w:tr w:rsidR="007D785D" w14:paraId="0E1FD11C" w14:textId="77777777" w:rsidTr="00B76395">
        <w:tc>
          <w:tcPr>
            <w:tcW w:w="2093" w:type="dxa"/>
          </w:tcPr>
          <w:p w14:paraId="0E1FD11A" w14:textId="77777777" w:rsidR="007D785D" w:rsidRDefault="007D785D" w:rsidP="0090757F">
            <w:r>
              <w:t>AABR</w:t>
            </w:r>
          </w:p>
        </w:tc>
        <w:tc>
          <w:tcPr>
            <w:tcW w:w="7371" w:type="dxa"/>
          </w:tcPr>
          <w:p w14:paraId="0E1FD11B" w14:textId="77777777" w:rsidR="007D785D" w:rsidRDefault="007D785D" w:rsidP="0090757F">
            <w:r>
              <w:t>Automated auditory brainstem response</w:t>
            </w:r>
          </w:p>
        </w:tc>
      </w:tr>
      <w:tr w:rsidR="007D785D" w14:paraId="0E1FD11F" w14:textId="77777777" w:rsidTr="00B76395">
        <w:tc>
          <w:tcPr>
            <w:tcW w:w="2093" w:type="dxa"/>
          </w:tcPr>
          <w:p w14:paraId="0E1FD11D" w14:textId="77777777" w:rsidR="007D785D" w:rsidRDefault="007D785D" w:rsidP="0090757F">
            <w:r>
              <w:t>ACCC</w:t>
            </w:r>
          </w:p>
        </w:tc>
        <w:tc>
          <w:tcPr>
            <w:tcW w:w="7371" w:type="dxa"/>
          </w:tcPr>
          <w:p w14:paraId="0E1FD11E" w14:textId="77777777" w:rsidR="007D785D" w:rsidRDefault="007D785D" w:rsidP="0090757F">
            <w:r>
              <w:t>Australian Competition and Consumer Commission</w:t>
            </w:r>
          </w:p>
        </w:tc>
      </w:tr>
      <w:tr w:rsidR="007D785D" w14:paraId="0E1FD122" w14:textId="77777777" w:rsidTr="00B76395">
        <w:tc>
          <w:tcPr>
            <w:tcW w:w="2093" w:type="dxa"/>
          </w:tcPr>
          <w:p w14:paraId="0E1FD120" w14:textId="77777777" w:rsidR="007D785D" w:rsidRDefault="007D785D" w:rsidP="0090757F">
            <w:r>
              <w:t>ACCHO</w:t>
            </w:r>
          </w:p>
        </w:tc>
        <w:tc>
          <w:tcPr>
            <w:tcW w:w="7371" w:type="dxa"/>
          </w:tcPr>
          <w:p w14:paraId="0E1FD121" w14:textId="77777777" w:rsidR="007D785D" w:rsidRDefault="007D785D" w:rsidP="0090757F">
            <w:r>
              <w:t>Aboriginal Community Controlled Health Organisation</w:t>
            </w:r>
          </w:p>
        </w:tc>
      </w:tr>
      <w:tr w:rsidR="007D785D" w14:paraId="0E1FD125" w14:textId="77777777" w:rsidTr="00B76395">
        <w:tc>
          <w:tcPr>
            <w:tcW w:w="2093" w:type="dxa"/>
          </w:tcPr>
          <w:p w14:paraId="0E1FD123" w14:textId="77777777" w:rsidR="007D785D" w:rsidRDefault="007D785D" w:rsidP="0090757F">
            <w:r>
              <w:t>ACSQHC</w:t>
            </w:r>
          </w:p>
        </w:tc>
        <w:tc>
          <w:tcPr>
            <w:tcW w:w="7371" w:type="dxa"/>
          </w:tcPr>
          <w:p w14:paraId="0E1FD124" w14:textId="77777777" w:rsidR="007D785D" w:rsidRDefault="007D785D" w:rsidP="0090757F">
            <w:r>
              <w:t>Australian Commission on Safety and Quality in Health Care</w:t>
            </w:r>
          </w:p>
        </w:tc>
      </w:tr>
      <w:tr w:rsidR="007D785D" w14:paraId="0E1FD128" w14:textId="77777777" w:rsidTr="00B76395">
        <w:tc>
          <w:tcPr>
            <w:tcW w:w="2093" w:type="dxa"/>
          </w:tcPr>
          <w:p w14:paraId="0E1FD126" w14:textId="77777777" w:rsidR="007D785D" w:rsidRDefault="007D785D" w:rsidP="0090757F">
            <w:r>
              <w:t>AGD</w:t>
            </w:r>
          </w:p>
        </w:tc>
        <w:tc>
          <w:tcPr>
            <w:tcW w:w="7371" w:type="dxa"/>
          </w:tcPr>
          <w:p w14:paraId="0E1FD127" w14:textId="77777777" w:rsidR="007D785D" w:rsidRDefault="007D785D" w:rsidP="0090757F">
            <w:r>
              <w:t>Attorney-General’s Department</w:t>
            </w:r>
          </w:p>
        </w:tc>
      </w:tr>
      <w:tr w:rsidR="007D785D" w14:paraId="0E1FD12B" w14:textId="77777777" w:rsidTr="00B76395">
        <w:tc>
          <w:tcPr>
            <w:tcW w:w="2093" w:type="dxa"/>
          </w:tcPr>
          <w:p w14:paraId="0E1FD129" w14:textId="77777777" w:rsidR="007D785D" w:rsidRDefault="007D785D" w:rsidP="0090757F">
            <w:r>
              <w:t>AHMAC</w:t>
            </w:r>
          </w:p>
        </w:tc>
        <w:tc>
          <w:tcPr>
            <w:tcW w:w="7371" w:type="dxa"/>
          </w:tcPr>
          <w:p w14:paraId="0E1FD12A" w14:textId="77777777" w:rsidR="007D785D" w:rsidRDefault="007D785D" w:rsidP="0090757F">
            <w:r>
              <w:t>Australian Health Ministers’ Advisory Council</w:t>
            </w:r>
          </w:p>
        </w:tc>
      </w:tr>
      <w:tr w:rsidR="007D785D" w14:paraId="0E1FD12E" w14:textId="77777777" w:rsidTr="00B76395">
        <w:tc>
          <w:tcPr>
            <w:tcW w:w="2093" w:type="dxa"/>
          </w:tcPr>
          <w:p w14:paraId="0E1FD12C" w14:textId="77777777" w:rsidR="007D785D" w:rsidRDefault="007D785D" w:rsidP="0090757F">
            <w:r>
              <w:t>AHPRA</w:t>
            </w:r>
          </w:p>
        </w:tc>
        <w:tc>
          <w:tcPr>
            <w:tcW w:w="7371" w:type="dxa"/>
          </w:tcPr>
          <w:p w14:paraId="0E1FD12D" w14:textId="77777777" w:rsidR="007D785D" w:rsidRDefault="007D785D" w:rsidP="0090757F">
            <w:r>
              <w:t>Australian Health Practitioner Regulation Agency</w:t>
            </w:r>
          </w:p>
        </w:tc>
      </w:tr>
      <w:tr w:rsidR="007D785D" w14:paraId="0E1FD131" w14:textId="77777777" w:rsidTr="00B76395">
        <w:tc>
          <w:tcPr>
            <w:tcW w:w="2093" w:type="dxa"/>
          </w:tcPr>
          <w:p w14:paraId="0E1FD12F" w14:textId="77777777" w:rsidR="007D785D" w:rsidRDefault="007D785D" w:rsidP="0090757F">
            <w:r>
              <w:t>AHWMC</w:t>
            </w:r>
          </w:p>
        </w:tc>
        <w:tc>
          <w:tcPr>
            <w:tcW w:w="7371" w:type="dxa"/>
          </w:tcPr>
          <w:p w14:paraId="0E1FD130" w14:textId="77777777" w:rsidR="007D785D" w:rsidRDefault="007D785D" w:rsidP="0090757F">
            <w:r>
              <w:t>Australian Health Workforce Ministerial Council</w:t>
            </w:r>
          </w:p>
        </w:tc>
      </w:tr>
      <w:tr w:rsidR="007D785D" w14:paraId="0E1FD134" w14:textId="77777777" w:rsidTr="00B76395">
        <w:tc>
          <w:tcPr>
            <w:tcW w:w="2093" w:type="dxa"/>
          </w:tcPr>
          <w:p w14:paraId="0E1FD132" w14:textId="77777777" w:rsidR="007D785D" w:rsidRDefault="007D785D" w:rsidP="0090757F">
            <w:r>
              <w:t>AIHW</w:t>
            </w:r>
          </w:p>
        </w:tc>
        <w:tc>
          <w:tcPr>
            <w:tcW w:w="7371" w:type="dxa"/>
          </w:tcPr>
          <w:p w14:paraId="0E1FD133" w14:textId="77777777" w:rsidR="007D785D" w:rsidRDefault="007D785D" w:rsidP="0090757F">
            <w:r>
              <w:t>Australian Institute of Health and Welfare</w:t>
            </w:r>
          </w:p>
        </w:tc>
      </w:tr>
      <w:tr w:rsidR="007D785D" w14:paraId="0E1FD137" w14:textId="77777777" w:rsidTr="00B76395">
        <w:tc>
          <w:tcPr>
            <w:tcW w:w="2093" w:type="dxa"/>
          </w:tcPr>
          <w:p w14:paraId="0E1FD135" w14:textId="77777777" w:rsidR="007D785D" w:rsidRDefault="007D785D" w:rsidP="0090757F">
            <w:r>
              <w:t>COAG</w:t>
            </w:r>
          </w:p>
        </w:tc>
        <w:tc>
          <w:tcPr>
            <w:tcW w:w="7371" w:type="dxa"/>
          </w:tcPr>
          <w:p w14:paraId="0E1FD136" w14:textId="77777777" w:rsidR="007D785D" w:rsidRDefault="007D785D" w:rsidP="0090757F">
            <w:r>
              <w:t>Council of Australian Governments</w:t>
            </w:r>
          </w:p>
        </w:tc>
      </w:tr>
      <w:tr w:rsidR="007D785D" w14:paraId="0E1FD13A" w14:textId="77777777" w:rsidTr="00B76395">
        <w:tc>
          <w:tcPr>
            <w:tcW w:w="2093" w:type="dxa"/>
          </w:tcPr>
          <w:p w14:paraId="0E1FD138" w14:textId="77777777" w:rsidR="007D785D" w:rsidRDefault="007D785D" w:rsidP="0090757F">
            <w:r>
              <w:t>CSO</w:t>
            </w:r>
          </w:p>
        </w:tc>
        <w:tc>
          <w:tcPr>
            <w:tcW w:w="7371" w:type="dxa"/>
          </w:tcPr>
          <w:p w14:paraId="0E1FD139" w14:textId="77777777" w:rsidR="007D785D" w:rsidRDefault="007D785D" w:rsidP="0090757F">
            <w:r>
              <w:t>Community Service Obligations</w:t>
            </w:r>
          </w:p>
        </w:tc>
      </w:tr>
      <w:tr w:rsidR="007D785D" w14:paraId="0E1FD13D" w14:textId="77777777" w:rsidTr="00B76395">
        <w:tc>
          <w:tcPr>
            <w:tcW w:w="2093" w:type="dxa"/>
          </w:tcPr>
          <w:p w14:paraId="0E1FD13B" w14:textId="77777777" w:rsidR="007D785D" w:rsidRDefault="007D785D" w:rsidP="0090757F">
            <w:r>
              <w:t>DAWR</w:t>
            </w:r>
          </w:p>
        </w:tc>
        <w:tc>
          <w:tcPr>
            <w:tcW w:w="7371" w:type="dxa"/>
          </w:tcPr>
          <w:p w14:paraId="0E1FD13C" w14:textId="77777777" w:rsidR="007D785D" w:rsidRDefault="007D785D" w:rsidP="0090757F">
            <w:r>
              <w:t>Department of Agriculture and Water Resources</w:t>
            </w:r>
          </w:p>
        </w:tc>
      </w:tr>
      <w:tr w:rsidR="007D785D" w14:paraId="0E1FD140" w14:textId="77777777" w:rsidTr="00B76395">
        <w:tc>
          <w:tcPr>
            <w:tcW w:w="2093" w:type="dxa"/>
          </w:tcPr>
          <w:p w14:paraId="0E1FD13E" w14:textId="77777777" w:rsidR="007D785D" w:rsidRDefault="007D785D" w:rsidP="0090757F">
            <w:r>
              <w:t>DES</w:t>
            </w:r>
          </w:p>
        </w:tc>
        <w:tc>
          <w:tcPr>
            <w:tcW w:w="7371" w:type="dxa"/>
          </w:tcPr>
          <w:p w14:paraId="0E1FD13F" w14:textId="77777777" w:rsidR="007D785D" w:rsidRDefault="007D785D" w:rsidP="0090757F">
            <w:r>
              <w:t>Disability Employment Services</w:t>
            </w:r>
          </w:p>
        </w:tc>
      </w:tr>
      <w:tr w:rsidR="007D785D" w14:paraId="0E1FD143" w14:textId="77777777" w:rsidTr="00B76395">
        <w:tc>
          <w:tcPr>
            <w:tcW w:w="2093" w:type="dxa"/>
          </w:tcPr>
          <w:p w14:paraId="0E1FD141" w14:textId="77777777" w:rsidR="007D785D" w:rsidRDefault="007D785D" w:rsidP="0090757F">
            <w:r>
              <w:t>DET</w:t>
            </w:r>
          </w:p>
        </w:tc>
        <w:tc>
          <w:tcPr>
            <w:tcW w:w="7371" w:type="dxa"/>
          </w:tcPr>
          <w:p w14:paraId="0E1FD142" w14:textId="77777777" w:rsidR="007D785D" w:rsidRDefault="007D785D" w:rsidP="0090757F">
            <w:r>
              <w:t>Department of Education and Training</w:t>
            </w:r>
          </w:p>
        </w:tc>
      </w:tr>
      <w:tr w:rsidR="007D785D" w14:paraId="0E1FD146" w14:textId="77777777" w:rsidTr="00B76395">
        <w:tc>
          <w:tcPr>
            <w:tcW w:w="2093" w:type="dxa"/>
          </w:tcPr>
          <w:p w14:paraId="0E1FD144" w14:textId="77777777" w:rsidR="007D785D" w:rsidRDefault="007D785D" w:rsidP="0090757F">
            <w:r>
              <w:t>DHA</w:t>
            </w:r>
          </w:p>
        </w:tc>
        <w:tc>
          <w:tcPr>
            <w:tcW w:w="7371" w:type="dxa"/>
          </w:tcPr>
          <w:p w14:paraId="0E1FD145" w14:textId="77777777" w:rsidR="007D785D" w:rsidRDefault="007D785D" w:rsidP="0090757F">
            <w:r>
              <w:t>Department of Home Affairs</w:t>
            </w:r>
          </w:p>
        </w:tc>
      </w:tr>
      <w:tr w:rsidR="007D785D" w14:paraId="0E1FD149" w14:textId="77777777" w:rsidTr="00B76395">
        <w:tc>
          <w:tcPr>
            <w:tcW w:w="2093" w:type="dxa"/>
          </w:tcPr>
          <w:p w14:paraId="0E1FD147" w14:textId="77777777" w:rsidR="007D785D" w:rsidRDefault="007D785D" w:rsidP="0090757F">
            <w:r>
              <w:t>DHS</w:t>
            </w:r>
          </w:p>
        </w:tc>
        <w:tc>
          <w:tcPr>
            <w:tcW w:w="7371" w:type="dxa"/>
          </w:tcPr>
          <w:p w14:paraId="0E1FD148" w14:textId="77777777" w:rsidR="007D785D" w:rsidRDefault="007D785D" w:rsidP="0090757F">
            <w:r>
              <w:t>Department of Human Services</w:t>
            </w:r>
          </w:p>
        </w:tc>
      </w:tr>
      <w:tr w:rsidR="007D785D" w14:paraId="0E1FD14C" w14:textId="77777777" w:rsidTr="00B76395">
        <w:tc>
          <w:tcPr>
            <w:tcW w:w="2093" w:type="dxa"/>
          </w:tcPr>
          <w:p w14:paraId="0E1FD14A" w14:textId="77777777" w:rsidR="007D785D" w:rsidRDefault="007D785D" w:rsidP="0090757F">
            <w:r>
              <w:t>DIBP</w:t>
            </w:r>
          </w:p>
        </w:tc>
        <w:tc>
          <w:tcPr>
            <w:tcW w:w="7371" w:type="dxa"/>
          </w:tcPr>
          <w:p w14:paraId="0E1FD14B" w14:textId="77777777" w:rsidR="007D785D" w:rsidRDefault="007D785D" w:rsidP="0090757F">
            <w:r>
              <w:t>Department of Immigration and Border Protection</w:t>
            </w:r>
          </w:p>
        </w:tc>
      </w:tr>
      <w:tr w:rsidR="007D785D" w14:paraId="0E1FD14F" w14:textId="77777777" w:rsidTr="00B76395">
        <w:tc>
          <w:tcPr>
            <w:tcW w:w="2093" w:type="dxa"/>
          </w:tcPr>
          <w:p w14:paraId="0E1FD14D" w14:textId="77777777" w:rsidR="007D785D" w:rsidRDefault="007D785D" w:rsidP="0090757F">
            <w:r>
              <w:t>DIRD</w:t>
            </w:r>
          </w:p>
        </w:tc>
        <w:tc>
          <w:tcPr>
            <w:tcW w:w="7371" w:type="dxa"/>
          </w:tcPr>
          <w:p w14:paraId="0E1FD14E" w14:textId="77777777" w:rsidR="007D785D" w:rsidRDefault="007D785D" w:rsidP="0090757F">
            <w:r>
              <w:t>Department of Infrastructure and Regional Development</w:t>
            </w:r>
          </w:p>
        </w:tc>
      </w:tr>
      <w:tr w:rsidR="007D785D" w14:paraId="0E1FD152" w14:textId="77777777" w:rsidTr="00B76395">
        <w:tc>
          <w:tcPr>
            <w:tcW w:w="2093" w:type="dxa"/>
          </w:tcPr>
          <w:p w14:paraId="0E1FD150" w14:textId="77777777" w:rsidR="007D785D" w:rsidRDefault="007D785D" w:rsidP="0090757F">
            <w:r>
              <w:t>DJSB</w:t>
            </w:r>
          </w:p>
        </w:tc>
        <w:tc>
          <w:tcPr>
            <w:tcW w:w="7371" w:type="dxa"/>
          </w:tcPr>
          <w:p w14:paraId="0E1FD151" w14:textId="77777777" w:rsidR="007D785D" w:rsidRDefault="007D785D" w:rsidP="0090757F">
            <w:r>
              <w:t>Department of Jobs and Small Business</w:t>
            </w:r>
          </w:p>
        </w:tc>
      </w:tr>
      <w:tr w:rsidR="007D785D" w14:paraId="0E1FD155" w14:textId="77777777" w:rsidTr="00B76395">
        <w:tc>
          <w:tcPr>
            <w:tcW w:w="2093" w:type="dxa"/>
          </w:tcPr>
          <w:p w14:paraId="0E1FD153" w14:textId="77777777" w:rsidR="007D785D" w:rsidRDefault="007D785D" w:rsidP="0090757F">
            <w:r>
              <w:t>DSS</w:t>
            </w:r>
          </w:p>
        </w:tc>
        <w:tc>
          <w:tcPr>
            <w:tcW w:w="7371" w:type="dxa"/>
          </w:tcPr>
          <w:p w14:paraId="0E1FD154" w14:textId="77777777" w:rsidR="007D785D" w:rsidRDefault="007D785D" w:rsidP="0090757F">
            <w:r>
              <w:t>Department of Social Services</w:t>
            </w:r>
          </w:p>
        </w:tc>
      </w:tr>
      <w:tr w:rsidR="007D785D" w14:paraId="0E1FD158" w14:textId="77777777" w:rsidTr="00B76395">
        <w:tc>
          <w:tcPr>
            <w:tcW w:w="2093" w:type="dxa"/>
          </w:tcPr>
          <w:p w14:paraId="0E1FD156" w14:textId="77777777" w:rsidR="007D785D" w:rsidRDefault="007D785D" w:rsidP="0090757F">
            <w:r>
              <w:t>DVA</w:t>
            </w:r>
          </w:p>
        </w:tc>
        <w:tc>
          <w:tcPr>
            <w:tcW w:w="7371" w:type="dxa"/>
          </w:tcPr>
          <w:p w14:paraId="0E1FD157" w14:textId="77777777" w:rsidR="007D785D" w:rsidRDefault="007D785D" w:rsidP="0090757F">
            <w:r>
              <w:t>Department of Veterans’ Affairs</w:t>
            </w:r>
          </w:p>
        </w:tc>
      </w:tr>
      <w:tr w:rsidR="007D785D" w14:paraId="0E1FD15B" w14:textId="77777777" w:rsidTr="00B76395">
        <w:tc>
          <w:tcPr>
            <w:tcW w:w="2093" w:type="dxa"/>
          </w:tcPr>
          <w:p w14:paraId="0E1FD159" w14:textId="77777777" w:rsidR="007D785D" w:rsidRDefault="007D785D" w:rsidP="0090757F">
            <w:r>
              <w:t>ENT</w:t>
            </w:r>
          </w:p>
        </w:tc>
        <w:tc>
          <w:tcPr>
            <w:tcW w:w="7371" w:type="dxa"/>
          </w:tcPr>
          <w:p w14:paraId="0E1FD15A" w14:textId="77777777" w:rsidR="007D785D" w:rsidRDefault="007D785D" w:rsidP="0090757F">
            <w:r>
              <w:t>Ear, Nose and Throat Specialist</w:t>
            </w:r>
          </w:p>
        </w:tc>
      </w:tr>
      <w:tr w:rsidR="007D785D" w14:paraId="0E1FD15E" w14:textId="77777777" w:rsidTr="00B76395">
        <w:tc>
          <w:tcPr>
            <w:tcW w:w="2093" w:type="dxa"/>
          </w:tcPr>
          <w:p w14:paraId="0E1FD15C" w14:textId="77777777" w:rsidR="007D785D" w:rsidRDefault="007D785D" w:rsidP="0090757F">
            <w:r>
              <w:t>GP</w:t>
            </w:r>
          </w:p>
        </w:tc>
        <w:tc>
          <w:tcPr>
            <w:tcW w:w="7371" w:type="dxa"/>
          </w:tcPr>
          <w:p w14:paraId="0E1FD15D" w14:textId="77777777" w:rsidR="007D785D" w:rsidRDefault="007D785D" w:rsidP="0090757F">
            <w:r>
              <w:t>General Practitioner</w:t>
            </w:r>
          </w:p>
        </w:tc>
      </w:tr>
      <w:tr w:rsidR="007D785D" w14:paraId="0E1FD161" w14:textId="77777777" w:rsidTr="00B76395">
        <w:tc>
          <w:tcPr>
            <w:tcW w:w="2093" w:type="dxa"/>
          </w:tcPr>
          <w:p w14:paraId="0E1FD15F" w14:textId="77777777" w:rsidR="007D785D" w:rsidRDefault="007D785D" w:rsidP="0090757F">
            <w:r>
              <w:t>HCIA</w:t>
            </w:r>
          </w:p>
        </w:tc>
        <w:tc>
          <w:tcPr>
            <w:tcW w:w="7371" w:type="dxa"/>
          </w:tcPr>
          <w:p w14:paraId="0E1FD160" w14:textId="77777777" w:rsidR="007D785D" w:rsidRDefault="007D785D" w:rsidP="0090757F">
            <w:r>
              <w:t>Hearing Care Industry Association</w:t>
            </w:r>
          </w:p>
        </w:tc>
      </w:tr>
      <w:tr w:rsidR="007D785D" w14:paraId="0E1FD164" w14:textId="77777777" w:rsidTr="00B76395">
        <w:tc>
          <w:tcPr>
            <w:tcW w:w="2093" w:type="dxa"/>
          </w:tcPr>
          <w:p w14:paraId="0E1FD162" w14:textId="77777777" w:rsidR="007D785D" w:rsidRDefault="007D785D" w:rsidP="0090757F">
            <w:proofErr w:type="spellStart"/>
            <w:r>
              <w:t>HEARing</w:t>
            </w:r>
            <w:proofErr w:type="spellEnd"/>
            <w:r>
              <w:t xml:space="preserve"> CRC</w:t>
            </w:r>
          </w:p>
        </w:tc>
        <w:tc>
          <w:tcPr>
            <w:tcW w:w="7371" w:type="dxa"/>
          </w:tcPr>
          <w:p w14:paraId="0E1FD163" w14:textId="77777777" w:rsidR="007D785D" w:rsidRDefault="007D785D" w:rsidP="0090757F">
            <w:r>
              <w:t>Hearing Cooperative Research Centre</w:t>
            </w:r>
          </w:p>
        </w:tc>
      </w:tr>
      <w:tr w:rsidR="007D785D" w14:paraId="0E1FD167" w14:textId="77777777" w:rsidTr="00B76395">
        <w:tc>
          <w:tcPr>
            <w:tcW w:w="2093" w:type="dxa"/>
          </w:tcPr>
          <w:p w14:paraId="0E1FD165" w14:textId="77777777" w:rsidR="007D785D" w:rsidRDefault="007D785D" w:rsidP="0090757F">
            <w:r>
              <w:lastRenderedPageBreak/>
              <w:t>HLPP</w:t>
            </w:r>
          </w:p>
        </w:tc>
        <w:tc>
          <w:tcPr>
            <w:tcW w:w="7371" w:type="dxa"/>
          </w:tcPr>
          <w:p w14:paraId="0E1FD166" w14:textId="77777777" w:rsidR="007D785D" w:rsidRDefault="007D785D" w:rsidP="0090757F">
            <w:r>
              <w:t>Hearing Loss Prevention Program</w:t>
            </w:r>
          </w:p>
        </w:tc>
      </w:tr>
      <w:tr w:rsidR="007D785D" w14:paraId="0E1FD16A" w14:textId="77777777" w:rsidTr="00B76395">
        <w:tc>
          <w:tcPr>
            <w:tcW w:w="2093" w:type="dxa"/>
          </w:tcPr>
          <w:p w14:paraId="0E1FD168" w14:textId="77777777" w:rsidR="007D785D" w:rsidRDefault="007D785D" w:rsidP="0090757F">
            <w:r>
              <w:t>HSP</w:t>
            </w:r>
          </w:p>
        </w:tc>
        <w:tc>
          <w:tcPr>
            <w:tcW w:w="7371" w:type="dxa"/>
          </w:tcPr>
          <w:p w14:paraId="0E1FD169" w14:textId="77777777" w:rsidR="007D785D" w:rsidRDefault="007D785D" w:rsidP="0090757F">
            <w:r>
              <w:t>Hearing Services Program</w:t>
            </w:r>
          </w:p>
        </w:tc>
      </w:tr>
      <w:tr w:rsidR="007D785D" w14:paraId="0E1FD16D" w14:textId="77777777" w:rsidTr="00B76395">
        <w:tc>
          <w:tcPr>
            <w:tcW w:w="2093" w:type="dxa"/>
          </w:tcPr>
          <w:p w14:paraId="0E1FD16B" w14:textId="77777777" w:rsidR="007D785D" w:rsidRDefault="007D785D" w:rsidP="0090757F">
            <w:r>
              <w:t>LOCHI</w:t>
            </w:r>
          </w:p>
        </w:tc>
        <w:tc>
          <w:tcPr>
            <w:tcW w:w="7371" w:type="dxa"/>
          </w:tcPr>
          <w:p w14:paraId="0E1FD16C" w14:textId="77777777" w:rsidR="007D785D" w:rsidRPr="009E063D" w:rsidRDefault="007D785D" w:rsidP="0090757F">
            <w:r w:rsidRPr="009E063D">
              <w:rPr>
                <w:rFonts w:eastAsia="Calibri"/>
              </w:rPr>
              <w:t>Longitudinal Outcomes for Children with Hearing Impairment</w:t>
            </w:r>
            <w:r>
              <w:rPr>
                <w:rFonts w:eastAsia="Calibri"/>
              </w:rPr>
              <w:t xml:space="preserve">, research project conducted by NAL and the </w:t>
            </w:r>
            <w:proofErr w:type="spellStart"/>
            <w:r>
              <w:rPr>
                <w:rFonts w:eastAsia="Calibri"/>
              </w:rPr>
              <w:t>HEARing</w:t>
            </w:r>
            <w:proofErr w:type="spellEnd"/>
            <w:r>
              <w:rPr>
                <w:rFonts w:eastAsia="Calibri"/>
              </w:rPr>
              <w:t xml:space="preserve"> CRC</w:t>
            </w:r>
          </w:p>
        </w:tc>
      </w:tr>
      <w:tr w:rsidR="007D785D" w14:paraId="0E1FD170" w14:textId="77777777" w:rsidTr="00B76395">
        <w:tc>
          <w:tcPr>
            <w:tcW w:w="2093" w:type="dxa"/>
          </w:tcPr>
          <w:p w14:paraId="0E1FD16E" w14:textId="77777777" w:rsidR="007D785D" w:rsidRDefault="007D785D" w:rsidP="0090757F">
            <w:r>
              <w:t>MBS</w:t>
            </w:r>
          </w:p>
        </w:tc>
        <w:tc>
          <w:tcPr>
            <w:tcW w:w="7371" w:type="dxa"/>
          </w:tcPr>
          <w:p w14:paraId="0E1FD16F" w14:textId="77777777" w:rsidR="007D785D" w:rsidRDefault="007D785D" w:rsidP="0090757F">
            <w:r>
              <w:t>Medicare Benefits Schedule</w:t>
            </w:r>
          </w:p>
        </w:tc>
      </w:tr>
      <w:tr w:rsidR="007D785D" w14:paraId="0E1FD173" w14:textId="77777777" w:rsidTr="00B76395">
        <w:tc>
          <w:tcPr>
            <w:tcW w:w="2093" w:type="dxa"/>
          </w:tcPr>
          <w:p w14:paraId="0E1FD171" w14:textId="77777777" w:rsidR="007D785D" w:rsidRDefault="007D785D" w:rsidP="0090757F">
            <w:r>
              <w:t>MREA</w:t>
            </w:r>
          </w:p>
        </w:tc>
        <w:tc>
          <w:tcPr>
            <w:tcW w:w="7371" w:type="dxa"/>
          </w:tcPr>
          <w:p w14:paraId="0E1FD172" w14:textId="77777777" w:rsidR="007D785D" w:rsidRDefault="007D785D" w:rsidP="0090757F">
            <w:r>
              <w:t>Medical Research Endowment Account</w:t>
            </w:r>
          </w:p>
        </w:tc>
      </w:tr>
      <w:tr w:rsidR="007D785D" w14:paraId="0E1FD176" w14:textId="77777777" w:rsidTr="00B76395">
        <w:tc>
          <w:tcPr>
            <w:tcW w:w="2093" w:type="dxa"/>
          </w:tcPr>
          <w:p w14:paraId="0E1FD174" w14:textId="77777777" w:rsidR="007D785D" w:rsidRDefault="007D785D" w:rsidP="0090757F">
            <w:r>
              <w:t>MRFF</w:t>
            </w:r>
          </w:p>
        </w:tc>
        <w:tc>
          <w:tcPr>
            <w:tcW w:w="7371" w:type="dxa"/>
          </w:tcPr>
          <w:p w14:paraId="0E1FD175" w14:textId="77777777" w:rsidR="007D785D" w:rsidRDefault="007D785D" w:rsidP="0090757F">
            <w:r>
              <w:t>Medical Research Future Fund</w:t>
            </w:r>
          </w:p>
        </w:tc>
      </w:tr>
      <w:tr w:rsidR="007D785D" w14:paraId="0E1FD179" w14:textId="77777777" w:rsidTr="00B76395">
        <w:tc>
          <w:tcPr>
            <w:tcW w:w="2093" w:type="dxa"/>
          </w:tcPr>
          <w:p w14:paraId="0E1FD177" w14:textId="77777777" w:rsidR="007D785D" w:rsidRDefault="007D785D" w:rsidP="0090757F">
            <w:r>
              <w:t>MSAC</w:t>
            </w:r>
          </w:p>
        </w:tc>
        <w:tc>
          <w:tcPr>
            <w:tcW w:w="7371" w:type="dxa"/>
          </w:tcPr>
          <w:p w14:paraId="0E1FD178" w14:textId="77777777" w:rsidR="007D785D" w:rsidRDefault="007D785D" w:rsidP="0090757F">
            <w:r>
              <w:t>Medical Services Advisory Committee</w:t>
            </w:r>
          </w:p>
        </w:tc>
      </w:tr>
      <w:tr w:rsidR="007D785D" w14:paraId="0E1FD17C" w14:textId="77777777" w:rsidTr="00B76395">
        <w:tc>
          <w:tcPr>
            <w:tcW w:w="2093" w:type="dxa"/>
          </w:tcPr>
          <w:p w14:paraId="0E1FD17A" w14:textId="77777777" w:rsidR="007D785D" w:rsidRDefault="007D785D" w:rsidP="0090757F">
            <w:r>
              <w:t>NABS</w:t>
            </w:r>
          </w:p>
        </w:tc>
        <w:tc>
          <w:tcPr>
            <w:tcW w:w="7371" w:type="dxa"/>
          </w:tcPr>
          <w:p w14:paraId="0E1FD17B" w14:textId="77777777" w:rsidR="007D785D" w:rsidRDefault="007D785D" w:rsidP="0090757F">
            <w:r>
              <w:t>National Auslan Interpreter Booking and Payment Service</w:t>
            </w:r>
          </w:p>
        </w:tc>
      </w:tr>
      <w:tr w:rsidR="007D785D" w14:paraId="0E1FD17F" w14:textId="77777777" w:rsidTr="00B76395">
        <w:tc>
          <w:tcPr>
            <w:tcW w:w="2093" w:type="dxa"/>
          </w:tcPr>
          <w:p w14:paraId="0E1FD17D" w14:textId="77777777" w:rsidR="007D785D" w:rsidRDefault="007D785D" w:rsidP="0090757F">
            <w:r>
              <w:t>NAL</w:t>
            </w:r>
          </w:p>
        </w:tc>
        <w:tc>
          <w:tcPr>
            <w:tcW w:w="7371" w:type="dxa"/>
          </w:tcPr>
          <w:p w14:paraId="0E1FD17E" w14:textId="77777777" w:rsidR="007D785D" w:rsidRDefault="007D785D" w:rsidP="0090757F">
            <w:r>
              <w:t>National Acoustic Laboratories</w:t>
            </w:r>
          </w:p>
        </w:tc>
      </w:tr>
      <w:tr w:rsidR="007D785D" w14:paraId="0E1FD182" w14:textId="77777777" w:rsidTr="00B76395">
        <w:tc>
          <w:tcPr>
            <w:tcW w:w="2093" w:type="dxa"/>
          </w:tcPr>
          <w:p w14:paraId="0E1FD180" w14:textId="77777777" w:rsidR="007D785D" w:rsidRDefault="007D785D" w:rsidP="0090757F">
            <w:r>
              <w:t>NASRHP</w:t>
            </w:r>
          </w:p>
        </w:tc>
        <w:tc>
          <w:tcPr>
            <w:tcW w:w="7371" w:type="dxa"/>
          </w:tcPr>
          <w:p w14:paraId="0E1FD181" w14:textId="77777777" w:rsidR="007D785D" w:rsidRDefault="007D785D" w:rsidP="0090757F">
            <w:r>
              <w:t>National Alliance of Self-Regulating Health Professions</w:t>
            </w:r>
          </w:p>
        </w:tc>
      </w:tr>
      <w:tr w:rsidR="007D785D" w14:paraId="0E1FD185" w14:textId="77777777" w:rsidTr="00B76395">
        <w:tc>
          <w:tcPr>
            <w:tcW w:w="2093" w:type="dxa"/>
          </w:tcPr>
          <w:p w14:paraId="0E1FD183" w14:textId="77777777" w:rsidR="007D785D" w:rsidRDefault="007D785D" w:rsidP="0090757F">
            <w:r>
              <w:t>NDIA</w:t>
            </w:r>
          </w:p>
        </w:tc>
        <w:tc>
          <w:tcPr>
            <w:tcW w:w="7371" w:type="dxa"/>
          </w:tcPr>
          <w:p w14:paraId="0E1FD184" w14:textId="77777777" w:rsidR="007D785D" w:rsidRDefault="007D785D" w:rsidP="0090757F">
            <w:r>
              <w:t>National Disability Insurance Agency</w:t>
            </w:r>
          </w:p>
        </w:tc>
      </w:tr>
      <w:tr w:rsidR="007D785D" w14:paraId="0E1FD188" w14:textId="77777777" w:rsidTr="00B76395">
        <w:tc>
          <w:tcPr>
            <w:tcW w:w="2093" w:type="dxa"/>
          </w:tcPr>
          <w:p w14:paraId="0E1FD186" w14:textId="77777777" w:rsidR="007D785D" w:rsidRDefault="007D785D" w:rsidP="0090757F">
            <w:r>
              <w:t>NDIS</w:t>
            </w:r>
          </w:p>
        </w:tc>
        <w:tc>
          <w:tcPr>
            <w:tcW w:w="7371" w:type="dxa"/>
          </w:tcPr>
          <w:p w14:paraId="0E1FD187" w14:textId="77777777" w:rsidR="007D785D" w:rsidRDefault="007D785D" w:rsidP="0090757F">
            <w:r>
              <w:t>National Disability Insurance Scheme</w:t>
            </w:r>
          </w:p>
        </w:tc>
      </w:tr>
      <w:tr w:rsidR="007D785D" w14:paraId="0E1FD18B" w14:textId="77777777" w:rsidTr="00B76395">
        <w:tc>
          <w:tcPr>
            <w:tcW w:w="2093" w:type="dxa"/>
          </w:tcPr>
          <w:p w14:paraId="0E1FD189" w14:textId="77777777" w:rsidR="007D785D" w:rsidRDefault="007D785D" w:rsidP="0090757F">
            <w:r>
              <w:t>NHMRC</w:t>
            </w:r>
          </w:p>
        </w:tc>
        <w:tc>
          <w:tcPr>
            <w:tcW w:w="7371" w:type="dxa"/>
          </w:tcPr>
          <w:p w14:paraId="0E1FD18A" w14:textId="77777777" w:rsidR="007D785D" w:rsidRDefault="007D785D" w:rsidP="0090757F">
            <w:r>
              <w:t>National Health and Medical Research Council</w:t>
            </w:r>
          </w:p>
        </w:tc>
      </w:tr>
      <w:tr w:rsidR="007D785D" w14:paraId="0E1FD18E" w14:textId="77777777" w:rsidTr="00B76395">
        <w:tc>
          <w:tcPr>
            <w:tcW w:w="2093" w:type="dxa"/>
          </w:tcPr>
          <w:p w14:paraId="0E1FD18C" w14:textId="77777777" w:rsidR="007D785D" w:rsidRDefault="007D785D" w:rsidP="0090757F">
            <w:r>
              <w:t>NHPA</w:t>
            </w:r>
          </w:p>
        </w:tc>
        <w:tc>
          <w:tcPr>
            <w:tcW w:w="7371" w:type="dxa"/>
          </w:tcPr>
          <w:p w14:paraId="0E1FD18D" w14:textId="77777777" w:rsidR="007D785D" w:rsidRDefault="007D785D" w:rsidP="0090757F">
            <w:r>
              <w:t>National Health Priority Areas</w:t>
            </w:r>
          </w:p>
        </w:tc>
      </w:tr>
      <w:tr w:rsidR="007D785D" w14:paraId="0E1FD191" w14:textId="77777777" w:rsidTr="00B76395">
        <w:tc>
          <w:tcPr>
            <w:tcW w:w="2093" w:type="dxa"/>
          </w:tcPr>
          <w:p w14:paraId="0E1FD18F" w14:textId="77777777" w:rsidR="007D785D" w:rsidRDefault="007D785D" w:rsidP="0090757F">
            <w:r>
              <w:t>NRS</w:t>
            </w:r>
          </w:p>
        </w:tc>
        <w:tc>
          <w:tcPr>
            <w:tcW w:w="7371" w:type="dxa"/>
          </w:tcPr>
          <w:p w14:paraId="0E1FD190" w14:textId="77777777" w:rsidR="007D785D" w:rsidRDefault="007D785D" w:rsidP="0090757F">
            <w:r>
              <w:t>National Relay Service</w:t>
            </w:r>
          </w:p>
        </w:tc>
      </w:tr>
      <w:tr w:rsidR="007D785D" w14:paraId="0E1FD194" w14:textId="77777777" w:rsidTr="00B76395">
        <w:tc>
          <w:tcPr>
            <w:tcW w:w="2093" w:type="dxa"/>
          </w:tcPr>
          <w:p w14:paraId="0E1FD192" w14:textId="77777777" w:rsidR="007D785D" w:rsidRDefault="007D785D" w:rsidP="0090757F">
            <w:r>
              <w:t>PBS</w:t>
            </w:r>
          </w:p>
        </w:tc>
        <w:tc>
          <w:tcPr>
            <w:tcW w:w="7371" w:type="dxa"/>
          </w:tcPr>
          <w:p w14:paraId="0E1FD193" w14:textId="77777777" w:rsidR="007D785D" w:rsidRDefault="007D785D" w:rsidP="0090757F">
            <w:r>
              <w:t>Pharmaceutical Benefits Scheme</w:t>
            </w:r>
          </w:p>
        </w:tc>
      </w:tr>
      <w:tr w:rsidR="007D785D" w14:paraId="0E1FD197" w14:textId="77777777" w:rsidTr="00B76395">
        <w:tc>
          <w:tcPr>
            <w:tcW w:w="2093" w:type="dxa"/>
          </w:tcPr>
          <w:p w14:paraId="0E1FD195" w14:textId="77777777" w:rsidR="007D785D" w:rsidRDefault="007D785D" w:rsidP="0090757F">
            <w:r>
              <w:t>PM&amp;C</w:t>
            </w:r>
          </w:p>
        </w:tc>
        <w:tc>
          <w:tcPr>
            <w:tcW w:w="7371" w:type="dxa"/>
          </w:tcPr>
          <w:p w14:paraId="0E1FD196" w14:textId="77777777" w:rsidR="007D785D" w:rsidRDefault="007D785D" w:rsidP="0090757F">
            <w:r>
              <w:t>Department of the Prime Minister and Cabinet</w:t>
            </w:r>
          </w:p>
        </w:tc>
      </w:tr>
      <w:tr w:rsidR="007D785D" w14:paraId="0E1FD19A" w14:textId="77777777" w:rsidTr="00B76395">
        <w:tc>
          <w:tcPr>
            <w:tcW w:w="2093" w:type="dxa"/>
          </w:tcPr>
          <w:p w14:paraId="0E1FD198" w14:textId="77777777" w:rsidR="007D785D" w:rsidRDefault="007D785D" w:rsidP="0090757F">
            <w:r>
              <w:t>PPB</w:t>
            </w:r>
          </w:p>
        </w:tc>
        <w:tc>
          <w:tcPr>
            <w:tcW w:w="7371" w:type="dxa"/>
          </w:tcPr>
          <w:p w14:paraId="0E1FD199" w14:textId="77777777" w:rsidR="007D785D" w:rsidRDefault="007D785D" w:rsidP="0090757F">
            <w:r>
              <w:t>Practitioner Professional Body</w:t>
            </w:r>
          </w:p>
        </w:tc>
      </w:tr>
      <w:tr w:rsidR="007D785D" w14:paraId="0E1FD19D" w14:textId="77777777" w:rsidTr="00B76395">
        <w:tc>
          <w:tcPr>
            <w:tcW w:w="2093" w:type="dxa"/>
          </w:tcPr>
          <w:p w14:paraId="0E1FD19B" w14:textId="77777777" w:rsidR="007D785D" w:rsidRDefault="007D785D" w:rsidP="0090757F">
            <w:r>
              <w:t>SEHQ</w:t>
            </w:r>
          </w:p>
        </w:tc>
        <w:tc>
          <w:tcPr>
            <w:tcW w:w="7371" w:type="dxa"/>
          </w:tcPr>
          <w:p w14:paraId="0E1FD19C" w14:textId="77777777" w:rsidR="007D785D" w:rsidRDefault="007D785D" w:rsidP="0090757F">
            <w:r>
              <w:t>School Entrants Health Questionnaire</w:t>
            </w:r>
          </w:p>
        </w:tc>
      </w:tr>
      <w:tr w:rsidR="007D785D" w14:paraId="0E1FD1A0" w14:textId="77777777" w:rsidTr="00B76395">
        <w:tc>
          <w:tcPr>
            <w:tcW w:w="2093" w:type="dxa"/>
          </w:tcPr>
          <w:p w14:paraId="0E1FD19E" w14:textId="77777777" w:rsidR="007D785D" w:rsidRDefault="007D785D" w:rsidP="0090757F">
            <w:r>
              <w:t>TIS National</w:t>
            </w:r>
          </w:p>
        </w:tc>
        <w:tc>
          <w:tcPr>
            <w:tcW w:w="7371" w:type="dxa"/>
          </w:tcPr>
          <w:p w14:paraId="0E1FD19F" w14:textId="77777777" w:rsidR="007D785D" w:rsidRDefault="007D785D" w:rsidP="0090757F">
            <w:r>
              <w:t>Translating and Interpreting Service</w:t>
            </w:r>
          </w:p>
        </w:tc>
      </w:tr>
      <w:tr w:rsidR="007D785D" w14:paraId="0E1FD1A3" w14:textId="77777777" w:rsidTr="00B76395">
        <w:tc>
          <w:tcPr>
            <w:tcW w:w="2093" w:type="dxa"/>
          </w:tcPr>
          <w:p w14:paraId="0E1FD1A1" w14:textId="77777777" w:rsidR="007D785D" w:rsidRDefault="007D785D" w:rsidP="0090757F">
            <w:r>
              <w:t>TTY</w:t>
            </w:r>
          </w:p>
        </w:tc>
        <w:tc>
          <w:tcPr>
            <w:tcW w:w="7371" w:type="dxa"/>
          </w:tcPr>
          <w:p w14:paraId="0E1FD1A2" w14:textId="77777777" w:rsidR="007D785D" w:rsidRDefault="007D785D" w:rsidP="0090757F">
            <w:r>
              <w:t>Teletypewriter</w:t>
            </w:r>
          </w:p>
        </w:tc>
      </w:tr>
      <w:tr w:rsidR="007D785D" w14:paraId="0E1FD1A6" w14:textId="77777777" w:rsidTr="00B76395">
        <w:tc>
          <w:tcPr>
            <w:tcW w:w="2093" w:type="dxa"/>
          </w:tcPr>
          <w:p w14:paraId="0E1FD1A4" w14:textId="77777777" w:rsidR="007D785D" w:rsidRDefault="007D785D" w:rsidP="0090757F">
            <w:r>
              <w:t>UNHS</w:t>
            </w:r>
          </w:p>
        </w:tc>
        <w:tc>
          <w:tcPr>
            <w:tcW w:w="7371" w:type="dxa"/>
          </w:tcPr>
          <w:p w14:paraId="0E1FD1A5" w14:textId="77777777" w:rsidR="007D785D" w:rsidRDefault="007D785D" w:rsidP="0090757F">
            <w:r>
              <w:t>Universal Neonatal Hearing Screening Program</w:t>
            </w:r>
          </w:p>
        </w:tc>
      </w:tr>
      <w:tr w:rsidR="007D785D" w14:paraId="0E1FD1A9" w14:textId="77777777" w:rsidTr="00B76395">
        <w:tc>
          <w:tcPr>
            <w:tcW w:w="2093" w:type="dxa"/>
          </w:tcPr>
          <w:p w14:paraId="0E1FD1A7" w14:textId="77777777" w:rsidR="007D785D" w:rsidRDefault="007D785D" w:rsidP="0090757F">
            <w:r>
              <w:t>VROA</w:t>
            </w:r>
          </w:p>
        </w:tc>
        <w:tc>
          <w:tcPr>
            <w:tcW w:w="7371" w:type="dxa"/>
          </w:tcPr>
          <w:p w14:paraId="0E1FD1A8" w14:textId="77777777" w:rsidR="007D785D" w:rsidRDefault="007D785D" w:rsidP="0090757F">
            <w:r>
              <w:t>Visual Reinforcement Orientation Audiometry</w:t>
            </w:r>
          </w:p>
        </w:tc>
      </w:tr>
      <w:tr w:rsidR="007D785D" w14:paraId="0E1FD1AC" w14:textId="77777777" w:rsidTr="00B76395">
        <w:tc>
          <w:tcPr>
            <w:tcW w:w="2093" w:type="dxa"/>
          </w:tcPr>
          <w:p w14:paraId="0E1FD1AA" w14:textId="77777777" w:rsidR="007D785D" w:rsidRDefault="007D785D" w:rsidP="0090757F">
            <w:r>
              <w:t>WHS</w:t>
            </w:r>
          </w:p>
        </w:tc>
        <w:tc>
          <w:tcPr>
            <w:tcW w:w="7371" w:type="dxa"/>
          </w:tcPr>
          <w:p w14:paraId="0E1FD1AB" w14:textId="77777777" w:rsidR="007D785D" w:rsidRDefault="007D785D" w:rsidP="0090757F">
            <w:r>
              <w:t>Work Health and Safety</w:t>
            </w:r>
          </w:p>
        </w:tc>
      </w:tr>
    </w:tbl>
    <w:p w14:paraId="0E1FD1AD" w14:textId="77777777" w:rsidR="00711F10" w:rsidRPr="007147A3" w:rsidRDefault="00711F10" w:rsidP="0090757F"/>
    <w:sectPr w:rsidR="00711F10" w:rsidRPr="007147A3" w:rsidSect="0090757F">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FD1B2" w14:textId="77777777" w:rsidR="00CE51D4" w:rsidRDefault="00CE51D4" w:rsidP="0090757F">
      <w:r>
        <w:separator/>
      </w:r>
    </w:p>
  </w:endnote>
  <w:endnote w:type="continuationSeparator" w:id="0">
    <w:p w14:paraId="0E1FD1B3" w14:textId="77777777" w:rsidR="00CE51D4" w:rsidRDefault="00CE51D4" w:rsidP="0090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S Me Pro">
    <w:altName w:val="FS Me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DE69A" w14:textId="2414172C" w:rsidR="005D5970" w:rsidRDefault="005D5970" w:rsidP="00FD4B04">
    <w:pPr>
      <w:pStyle w:val="Footer"/>
      <w:tabs>
        <w:tab w:val="clear" w:pos="4513"/>
        <w:tab w:val="clear" w:pos="9026"/>
        <w:tab w:val="right" w:pos="9639"/>
      </w:tabs>
      <w:spacing w:before="0" w:after="0"/>
    </w:pPr>
    <w:r w:rsidRPr="005D5970">
      <w:t xml:space="preserve">Australian Government response to the Standing Committee on Health, Aged Care and Sport </w:t>
    </w:r>
    <w:r w:rsidR="007F256C">
      <w:t>Inquiry into the Hearing Health and Wellbeing of Australia</w:t>
    </w:r>
    <w:r w:rsidRPr="005D5970">
      <w:t xml:space="preserve"> – </w:t>
    </w:r>
    <w:r w:rsidR="00CF24CE">
      <w:t>August</w:t>
    </w:r>
    <w:r w:rsidR="00CF24CE" w:rsidRPr="005D5970">
      <w:t xml:space="preserve"> </w:t>
    </w:r>
    <w:r w:rsidRPr="005D5970">
      <w:t>2018</w:t>
    </w:r>
    <w:r>
      <w:tab/>
    </w:r>
    <w:sdt>
      <w:sdtPr>
        <w:id w:val="-11320889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A586B">
          <w:rPr>
            <w:noProof/>
          </w:rPr>
          <w:t>3</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DBEAD" w14:textId="429EAA0D" w:rsidR="00F655A5" w:rsidRDefault="00F655A5" w:rsidP="00FD4B04">
    <w:pPr>
      <w:pStyle w:val="Footer"/>
      <w:tabs>
        <w:tab w:val="clear" w:pos="4513"/>
      </w:tabs>
      <w:spacing w:before="0" w:after="0"/>
    </w:pPr>
    <w:r w:rsidRPr="00087DE4">
      <w:t xml:space="preserve">Australian Government response to the Standing Committee on Health, Aged Care and Sport </w:t>
    </w:r>
    <w:r w:rsidR="007F256C">
      <w:t>Inquiry into the Hearing Health and Wellbeing of Australia</w:t>
    </w:r>
    <w:r w:rsidRPr="00087DE4">
      <w:t xml:space="preserve"> – </w:t>
    </w:r>
    <w:r w:rsidR="00CF24CE">
      <w:t>August</w:t>
    </w:r>
    <w:r w:rsidR="00CF24CE" w:rsidRPr="00087DE4">
      <w:t xml:space="preserve"> </w:t>
    </w:r>
    <w:r w:rsidRPr="00087DE4">
      <w:t>2018</w:t>
    </w:r>
    <w:r>
      <w:tab/>
    </w:r>
    <w:sdt>
      <w:sdtPr>
        <w:id w:val="3220174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A586B">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FD1BC" w14:textId="1B039F54" w:rsidR="00583534" w:rsidRDefault="00583534" w:rsidP="0090757F">
    <w:pPr>
      <w:pStyle w:val="Footer"/>
    </w:pPr>
    <w:r w:rsidRPr="005D5970">
      <w:t xml:space="preserve">Australian Government response to the Standing Committee on Health, Aged Care and Sport </w:t>
    </w:r>
    <w:r w:rsidR="007F256C">
      <w:t xml:space="preserve">Inquiry into the Hearing Health and Wellbeing of Australia </w:t>
    </w:r>
    <w:r w:rsidRPr="005D5970">
      <w:t xml:space="preserve">– </w:t>
    </w:r>
    <w:r w:rsidR="009F3C73">
      <w:t>August</w:t>
    </w:r>
    <w:r w:rsidR="009F3C73" w:rsidRPr="005D5970">
      <w:t xml:space="preserve"> </w:t>
    </w:r>
    <w:r w:rsidRPr="005D5970">
      <w:t>2018</w:t>
    </w:r>
    <w:r>
      <w:tab/>
    </w:r>
    <w:sdt>
      <w:sdtPr>
        <w:id w:val="-3861047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A586B">
          <w:rPr>
            <w:noProof/>
          </w:rPr>
          <w:t>17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FD1B0" w14:textId="77777777" w:rsidR="00CE51D4" w:rsidRDefault="00CE51D4" w:rsidP="0090757F">
      <w:r>
        <w:separator/>
      </w:r>
    </w:p>
  </w:footnote>
  <w:footnote w:type="continuationSeparator" w:id="0">
    <w:p w14:paraId="0E1FD1B1" w14:textId="77777777" w:rsidR="00CE51D4" w:rsidRDefault="00CE51D4" w:rsidP="00907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192"/>
    <w:multiLevelType w:val="hybridMultilevel"/>
    <w:tmpl w:val="63FA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AA76D8"/>
    <w:multiLevelType w:val="hybridMultilevel"/>
    <w:tmpl w:val="143E0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603A80"/>
    <w:multiLevelType w:val="hybridMultilevel"/>
    <w:tmpl w:val="26B44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D822B3"/>
    <w:multiLevelType w:val="hybridMultilevel"/>
    <w:tmpl w:val="B2561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9C4A85"/>
    <w:multiLevelType w:val="hybridMultilevel"/>
    <w:tmpl w:val="571A0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FD5BAC"/>
    <w:multiLevelType w:val="hybridMultilevel"/>
    <w:tmpl w:val="45DEC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DA7321"/>
    <w:multiLevelType w:val="hybridMultilevel"/>
    <w:tmpl w:val="47B8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5B54F8"/>
    <w:multiLevelType w:val="hybridMultilevel"/>
    <w:tmpl w:val="DD7A2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D46213"/>
    <w:multiLevelType w:val="hybridMultilevel"/>
    <w:tmpl w:val="846A6B9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0473004"/>
    <w:multiLevelType w:val="hybridMultilevel"/>
    <w:tmpl w:val="AC7E0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3E5785"/>
    <w:multiLevelType w:val="hybridMultilevel"/>
    <w:tmpl w:val="0EEA7D2C"/>
    <w:lvl w:ilvl="0" w:tplc="7708F5AC">
      <w:start w:val="1"/>
      <w:numFmt w:val="bullet"/>
      <w:pStyle w:val="para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653589"/>
    <w:multiLevelType w:val="hybridMultilevel"/>
    <w:tmpl w:val="30B4F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516823"/>
    <w:multiLevelType w:val="hybridMultilevel"/>
    <w:tmpl w:val="96501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F807BC"/>
    <w:multiLevelType w:val="hybridMultilevel"/>
    <w:tmpl w:val="B90213C6"/>
    <w:lvl w:ilvl="0" w:tplc="02B667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81F1718"/>
    <w:multiLevelType w:val="hybridMultilevel"/>
    <w:tmpl w:val="4DC4E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7F7F30"/>
    <w:multiLevelType w:val="hybridMultilevel"/>
    <w:tmpl w:val="47F87122"/>
    <w:lvl w:ilvl="0" w:tplc="02B667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B343E50"/>
    <w:multiLevelType w:val="hybridMultilevel"/>
    <w:tmpl w:val="D11EFF10"/>
    <w:lvl w:ilvl="0" w:tplc="C9FED0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A05242"/>
    <w:multiLevelType w:val="hybridMultilevel"/>
    <w:tmpl w:val="D96CA634"/>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006401E"/>
    <w:multiLevelType w:val="hybridMultilevel"/>
    <w:tmpl w:val="FE440864"/>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nsid w:val="21FA2E55"/>
    <w:multiLevelType w:val="hybridMultilevel"/>
    <w:tmpl w:val="D90E6DF6"/>
    <w:lvl w:ilvl="0" w:tplc="0E2C3124">
      <w:start w:val="1"/>
      <w:numFmt w:val="bullet"/>
      <w:lvlText w:val=""/>
      <w:lvlJc w:val="left"/>
      <w:pPr>
        <w:ind w:left="720" w:hanging="360"/>
      </w:pPr>
      <w:rPr>
        <w:rFonts w:ascii="Symbol" w:hAnsi="Symbol" w:hint="default"/>
      </w:rPr>
    </w:lvl>
    <w:lvl w:ilvl="1" w:tplc="B5EEDADC">
      <w:start w:val="1"/>
      <w:numFmt w:val="bullet"/>
      <w:lvlText w:val=""/>
      <w:lvlJc w:val="left"/>
      <w:pPr>
        <w:ind w:left="1440" w:hanging="360"/>
      </w:pPr>
      <w:rPr>
        <w:rFonts w:ascii="Symbol" w:hAnsi="Symbol" w:hint="default"/>
      </w:rPr>
    </w:lvl>
    <w:lvl w:ilvl="2" w:tplc="E3DABDC2" w:tentative="1">
      <w:start w:val="1"/>
      <w:numFmt w:val="lowerRoman"/>
      <w:lvlText w:val="%3."/>
      <w:lvlJc w:val="right"/>
      <w:pPr>
        <w:ind w:left="2160" w:hanging="180"/>
      </w:pPr>
    </w:lvl>
    <w:lvl w:ilvl="3" w:tplc="48B49CB0" w:tentative="1">
      <w:start w:val="1"/>
      <w:numFmt w:val="decimal"/>
      <w:lvlText w:val="%4."/>
      <w:lvlJc w:val="left"/>
      <w:pPr>
        <w:ind w:left="2880" w:hanging="360"/>
      </w:pPr>
    </w:lvl>
    <w:lvl w:ilvl="4" w:tplc="8F40EF2C" w:tentative="1">
      <w:start w:val="1"/>
      <w:numFmt w:val="lowerLetter"/>
      <w:lvlText w:val="%5."/>
      <w:lvlJc w:val="left"/>
      <w:pPr>
        <w:ind w:left="3600" w:hanging="360"/>
      </w:pPr>
    </w:lvl>
    <w:lvl w:ilvl="5" w:tplc="17D48A08" w:tentative="1">
      <w:start w:val="1"/>
      <w:numFmt w:val="lowerRoman"/>
      <w:lvlText w:val="%6."/>
      <w:lvlJc w:val="right"/>
      <w:pPr>
        <w:ind w:left="4320" w:hanging="180"/>
      </w:pPr>
    </w:lvl>
    <w:lvl w:ilvl="6" w:tplc="C7CC7398" w:tentative="1">
      <w:start w:val="1"/>
      <w:numFmt w:val="decimal"/>
      <w:lvlText w:val="%7."/>
      <w:lvlJc w:val="left"/>
      <w:pPr>
        <w:ind w:left="5040" w:hanging="360"/>
      </w:pPr>
    </w:lvl>
    <w:lvl w:ilvl="7" w:tplc="2BE43400" w:tentative="1">
      <w:start w:val="1"/>
      <w:numFmt w:val="lowerLetter"/>
      <w:lvlText w:val="%8."/>
      <w:lvlJc w:val="left"/>
      <w:pPr>
        <w:ind w:left="5760" w:hanging="360"/>
      </w:pPr>
    </w:lvl>
    <w:lvl w:ilvl="8" w:tplc="44084FB4" w:tentative="1">
      <w:start w:val="1"/>
      <w:numFmt w:val="lowerRoman"/>
      <w:lvlText w:val="%9."/>
      <w:lvlJc w:val="right"/>
      <w:pPr>
        <w:ind w:left="6480" w:hanging="180"/>
      </w:pPr>
    </w:lvl>
  </w:abstractNum>
  <w:abstractNum w:abstractNumId="20">
    <w:nsid w:val="229735CC"/>
    <w:multiLevelType w:val="hybridMultilevel"/>
    <w:tmpl w:val="1C04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4435FD5"/>
    <w:multiLevelType w:val="hybridMultilevel"/>
    <w:tmpl w:val="9410A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4753FA"/>
    <w:multiLevelType w:val="hybridMultilevel"/>
    <w:tmpl w:val="B8DC6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7B1CE1"/>
    <w:multiLevelType w:val="hybridMultilevel"/>
    <w:tmpl w:val="73F624FE"/>
    <w:lvl w:ilvl="0" w:tplc="0C09000F">
      <w:start w:val="1"/>
      <w:numFmt w:val="decimal"/>
      <w:lvlText w:val="%1."/>
      <w:lvlJc w:val="left"/>
      <w:pPr>
        <w:ind w:left="360" w:hanging="360"/>
      </w:pPr>
      <w:rPr>
        <w:rFonts w:hint="default"/>
      </w:rPr>
    </w:lvl>
    <w:lvl w:ilvl="1" w:tplc="E15631E0">
      <w:start w:val="1"/>
      <w:numFmt w:val="bullet"/>
      <w:lvlText w:val="o"/>
      <w:lvlJc w:val="left"/>
      <w:pPr>
        <w:ind w:left="1080" w:hanging="360"/>
      </w:pPr>
      <w:rPr>
        <w:rFonts w:ascii="Courier New" w:hAnsi="Courier New" w:cs="Courier New" w:hint="default"/>
      </w:rPr>
    </w:lvl>
    <w:lvl w:ilvl="2" w:tplc="AFCCBA22">
      <w:numFmt w:val="bullet"/>
      <w:lvlText w:val="•"/>
      <w:lvlJc w:val="left"/>
      <w:pPr>
        <w:ind w:left="2010" w:hanging="570"/>
      </w:pPr>
      <w:rPr>
        <w:rFonts w:ascii="Times New Roman" w:eastAsia="Times New Roman" w:hAnsi="Times New Roman" w:cs="Times New Roman" w:hint="default"/>
      </w:rPr>
    </w:lvl>
    <w:lvl w:ilvl="3" w:tplc="3A5A07BA">
      <w:start w:val="1"/>
      <w:numFmt w:val="bullet"/>
      <w:lvlText w:val=""/>
      <w:lvlJc w:val="left"/>
      <w:pPr>
        <w:ind w:left="2520" w:hanging="360"/>
      </w:pPr>
      <w:rPr>
        <w:rFonts w:ascii="Symbol" w:hAnsi="Symbol" w:hint="default"/>
      </w:rPr>
    </w:lvl>
    <w:lvl w:ilvl="4" w:tplc="B9EAE138">
      <w:start w:val="1"/>
      <w:numFmt w:val="bullet"/>
      <w:lvlText w:val="o"/>
      <w:lvlJc w:val="left"/>
      <w:pPr>
        <w:ind w:left="3240" w:hanging="360"/>
      </w:pPr>
      <w:rPr>
        <w:rFonts w:ascii="Courier New" w:hAnsi="Courier New" w:cs="Courier New" w:hint="default"/>
      </w:rPr>
    </w:lvl>
    <w:lvl w:ilvl="5" w:tplc="D5D28756">
      <w:start w:val="1"/>
      <w:numFmt w:val="bullet"/>
      <w:lvlText w:val=""/>
      <w:lvlJc w:val="left"/>
      <w:pPr>
        <w:ind w:left="3960" w:hanging="360"/>
      </w:pPr>
      <w:rPr>
        <w:rFonts w:ascii="Wingdings" w:hAnsi="Wingdings" w:hint="default"/>
      </w:rPr>
    </w:lvl>
    <w:lvl w:ilvl="6" w:tplc="6E58A832">
      <w:start w:val="1"/>
      <w:numFmt w:val="bullet"/>
      <w:lvlText w:val=""/>
      <w:lvlJc w:val="left"/>
      <w:pPr>
        <w:ind w:left="4680" w:hanging="360"/>
      </w:pPr>
      <w:rPr>
        <w:rFonts w:ascii="Symbol" w:hAnsi="Symbol" w:hint="default"/>
      </w:rPr>
    </w:lvl>
    <w:lvl w:ilvl="7" w:tplc="0ABAC136">
      <w:start w:val="1"/>
      <w:numFmt w:val="bullet"/>
      <w:lvlText w:val="o"/>
      <w:lvlJc w:val="left"/>
      <w:pPr>
        <w:ind w:left="5400" w:hanging="360"/>
      </w:pPr>
      <w:rPr>
        <w:rFonts w:ascii="Courier New" w:hAnsi="Courier New" w:cs="Courier New" w:hint="default"/>
      </w:rPr>
    </w:lvl>
    <w:lvl w:ilvl="8" w:tplc="EF38D276">
      <w:start w:val="1"/>
      <w:numFmt w:val="bullet"/>
      <w:lvlText w:val=""/>
      <w:lvlJc w:val="left"/>
      <w:pPr>
        <w:ind w:left="6120" w:hanging="360"/>
      </w:pPr>
      <w:rPr>
        <w:rFonts w:ascii="Wingdings" w:hAnsi="Wingdings" w:hint="default"/>
      </w:rPr>
    </w:lvl>
  </w:abstractNum>
  <w:abstractNum w:abstractNumId="24">
    <w:nsid w:val="2D5D0DF9"/>
    <w:multiLevelType w:val="hybridMultilevel"/>
    <w:tmpl w:val="87BA5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3CB2A7B"/>
    <w:multiLevelType w:val="hybridMultilevel"/>
    <w:tmpl w:val="E18C7A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61B75AE"/>
    <w:multiLevelType w:val="hybridMultilevel"/>
    <w:tmpl w:val="B9CA1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6D13555"/>
    <w:multiLevelType w:val="hybridMultilevel"/>
    <w:tmpl w:val="78C6C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7366453"/>
    <w:multiLevelType w:val="hybridMultilevel"/>
    <w:tmpl w:val="1BEEB9BA"/>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29">
    <w:nsid w:val="39BE5AC9"/>
    <w:multiLevelType w:val="hybridMultilevel"/>
    <w:tmpl w:val="566C0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B56168D"/>
    <w:multiLevelType w:val="hybridMultilevel"/>
    <w:tmpl w:val="3C1A2B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3FBD6B58"/>
    <w:multiLevelType w:val="hybridMultilevel"/>
    <w:tmpl w:val="A8E2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08D190E"/>
    <w:multiLevelType w:val="hybridMultilevel"/>
    <w:tmpl w:val="B6AC8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10807C4"/>
    <w:multiLevelType w:val="hybridMultilevel"/>
    <w:tmpl w:val="2C703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1713E86"/>
    <w:multiLevelType w:val="multilevel"/>
    <w:tmpl w:val="B04E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172641A"/>
    <w:multiLevelType w:val="hybridMultilevel"/>
    <w:tmpl w:val="F50ED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1CA2429"/>
    <w:multiLevelType w:val="hybridMultilevel"/>
    <w:tmpl w:val="EF3EC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2817FEA"/>
    <w:multiLevelType w:val="hybridMultilevel"/>
    <w:tmpl w:val="F67CA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39E342C"/>
    <w:multiLevelType w:val="hybridMultilevel"/>
    <w:tmpl w:val="86969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50B0142"/>
    <w:multiLevelType w:val="hybridMultilevel"/>
    <w:tmpl w:val="E5FCB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67E25E8"/>
    <w:multiLevelType w:val="multilevel"/>
    <w:tmpl w:val="ECE22DB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544716"/>
    <w:multiLevelType w:val="hybridMultilevel"/>
    <w:tmpl w:val="AECEB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A8E6542"/>
    <w:multiLevelType w:val="hybridMultilevel"/>
    <w:tmpl w:val="D7EC2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A957FDA"/>
    <w:multiLevelType w:val="hybridMultilevel"/>
    <w:tmpl w:val="4B406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AE60D49"/>
    <w:multiLevelType w:val="hybridMultilevel"/>
    <w:tmpl w:val="DB225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C081FE2"/>
    <w:multiLevelType w:val="hybridMultilevel"/>
    <w:tmpl w:val="F8C8A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0C31057"/>
    <w:multiLevelType w:val="hybridMultilevel"/>
    <w:tmpl w:val="209452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nsid w:val="52A837A1"/>
    <w:multiLevelType w:val="hybridMultilevel"/>
    <w:tmpl w:val="A030BC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3941558"/>
    <w:multiLevelType w:val="hybridMultilevel"/>
    <w:tmpl w:val="2E68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4254B86"/>
    <w:multiLevelType w:val="hybridMultilevel"/>
    <w:tmpl w:val="5100D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4F92961"/>
    <w:multiLevelType w:val="hybridMultilevel"/>
    <w:tmpl w:val="3074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68C7725"/>
    <w:multiLevelType w:val="hybridMultilevel"/>
    <w:tmpl w:val="14DE052E"/>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2">
    <w:nsid w:val="57580C7C"/>
    <w:multiLevelType w:val="hybridMultilevel"/>
    <w:tmpl w:val="6624C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CAE53B0"/>
    <w:multiLevelType w:val="hybridMultilevel"/>
    <w:tmpl w:val="9A16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D606C2B"/>
    <w:multiLevelType w:val="hybridMultilevel"/>
    <w:tmpl w:val="15BE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FC42AAF"/>
    <w:multiLevelType w:val="hybridMultilevel"/>
    <w:tmpl w:val="54FC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5355DAC"/>
    <w:multiLevelType w:val="hybridMultilevel"/>
    <w:tmpl w:val="F04E893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5913F62"/>
    <w:multiLevelType w:val="hybridMultilevel"/>
    <w:tmpl w:val="A164F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5C63B49"/>
    <w:multiLevelType w:val="hybridMultilevel"/>
    <w:tmpl w:val="2F96E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65F1293"/>
    <w:multiLevelType w:val="hybridMultilevel"/>
    <w:tmpl w:val="8AE29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6B465E7"/>
    <w:multiLevelType w:val="hybridMultilevel"/>
    <w:tmpl w:val="42BA4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7DF2156"/>
    <w:multiLevelType w:val="hybridMultilevel"/>
    <w:tmpl w:val="43CC7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C90244A"/>
    <w:multiLevelType w:val="hybridMultilevel"/>
    <w:tmpl w:val="0DDC1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D6922C4"/>
    <w:multiLevelType w:val="hybridMultilevel"/>
    <w:tmpl w:val="03BC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4970ED4"/>
    <w:multiLevelType w:val="hybridMultilevel"/>
    <w:tmpl w:val="41781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8B229DB"/>
    <w:multiLevelType w:val="hybridMultilevel"/>
    <w:tmpl w:val="C2A60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61"/>
  </w:num>
  <w:num w:numId="3">
    <w:abstractNumId w:val="37"/>
  </w:num>
  <w:num w:numId="4">
    <w:abstractNumId w:val="64"/>
  </w:num>
  <w:num w:numId="5">
    <w:abstractNumId w:val="60"/>
  </w:num>
  <w:num w:numId="6">
    <w:abstractNumId w:val="14"/>
  </w:num>
  <w:num w:numId="7">
    <w:abstractNumId w:val="50"/>
  </w:num>
  <w:num w:numId="8">
    <w:abstractNumId w:val="52"/>
  </w:num>
  <w:num w:numId="9">
    <w:abstractNumId w:val="34"/>
  </w:num>
  <w:num w:numId="10">
    <w:abstractNumId w:val="19"/>
  </w:num>
  <w:num w:numId="11">
    <w:abstractNumId w:val="44"/>
  </w:num>
  <w:num w:numId="12">
    <w:abstractNumId w:val="21"/>
  </w:num>
  <w:num w:numId="13">
    <w:abstractNumId w:val="65"/>
  </w:num>
  <w:num w:numId="14">
    <w:abstractNumId w:val="63"/>
  </w:num>
  <w:num w:numId="15">
    <w:abstractNumId w:val="48"/>
  </w:num>
  <w:num w:numId="16">
    <w:abstractNumId w:val="7"/>
  </w:num>
  <w:num w:numId="17">
    <w:abstractNumId w:val="39"/>
  </w:num>
  <w:num w:numId="18">
    <w:abstractNumId w:val="62"/>
  </w:num>
  <w:num w:numId="19">
    <w:abstractNumId w:val="12"/>
  </w:num>
  <w:num w:numId="20">
    <w:abstractNumId w:val="26"/>
  </w:num>
  <w:num w:numId="21">
    <w:abstractNumId w:val="42"/>
  </w:num>
  <w:num w:numId="22">
    <w:abstractNumId w:val="5"/>
  </w:num>
  <w:num w:numId="23">
    <w:abstractNumId w:val="9"/>
  </w:num>
  <w:num w:numId="24">
    <w:abstractNumId w:val="35"/>
  </w:num>
  <w:num w:numId="25">
    <w:abstractNumId w:val="3"/>
  </w:num>
  <w:num w:numId="26">
    <w:abstractNumId w:val="59"/>
  </w:num>
  <w:num w:numId="27">
    <w:abstractNumId w:val="41"/>
  </w:num>
  <w:num w:numId="28">
    <w:abstractNumId w:val="0"/>
  </w:num>
  <w:num w:numId="29">
    <w:abstractNumId w:val="38"/>
  </w:num>
  <w:num w:numId="30">
    <w:abstractNumId w:val="24"/>
  </w:num>
  <w:num w:numId="31">
    <w:abstractNumId w:val="53"/>
  </w:num>
  <w:num w:numId="32">
    <w:abstractNumId w:val="33"/>
  </w:num>
  <w:num w:numId="33">
    <w:abstractNumId w:val="49"/>
  </w:num>
  <w:num w:numId="34">
    <w:abstractNumId w:val="55"/>
  </w:num>
  <w:num w:numId="35">
    <w:abstractNumId w:val="2"/>
  </w:num>
  <w:num w:numId="36">
    <w:abstractNumId w:val="57"/>
  </w:num>
  <w:num w:numId="37">
    <w:abstractNumId w:val="29"/>
  </w:num>
  <w:num w:numId="38">
    <w:abstractNumId w:val="32"/>
  </w:num>
  <w:num w:numId="39">
    <w:abstractNumId w:val="31"/>
  </w:num>
  <w:num w:numId="40">
    <w:abstractNumId w:val="22"/>
  </w:num>
  <w:num w:numId="41">
    <w:abstractNumId w:val="43"/>
  </w:num>
  <w:num w:numId="42">
    <w:abstractNumId w:val="36"/>
  </w:num>
  <w:num w:numId="43">
    <w:abstractNumId w:val="27"/>
  </w:num>
  <w:num w:numId="44">
    <w:abstractNumId w:val="15"/>
  </w:num>
  <w:num w:numId="45">
    <w:abstractNumId w:val="56"/>
  </w:num>
  <w:num w:numId="46">
    <w:abstractNumId w:val="51"/>
  </w:num>
  <w:num w:numId="47">
    <w:abstractNumId w:val="30"/>
  </w:num>
  <w:num w:numId="48">
    <w:abstractNumId w:val="8"/>
  </w:num>
  <w:num w:numId="49">
    <w:abstractNumId w:val="40"/>
  </w:num>
  <w:num w:numId="50">
    <w:abstractNumId w:val="16"/>
  </w:num>
  <w:num w:numId="51">
    <w:abstractNumId w:val="28"/>
  </w:num>
  <w:num w:numId="52">
    <w:abstractNumId w:val="23"/>
  </w:num>
  <w:num w:numId="53">
    <w:abstractNumId w:val="23"/>
  </w:num>
  <w:num w:numId="54">
    <w:abstractNumId w:val="1"/>
  </w:num>
  <w:num w:numId="55">
    <w:abstractNumId w:val="47"/>
  </w:num>
  <w:num w:numId="56">
    <w:abstractNumId w:val="25"/>
  </w:num>
  <w:num w:numId="57">
    <w:abstractNumId w:val="17"/>
  </w:num>
  <w:num w:numId="58">
    <w:abstractNumId w:val="13"/>
  </w:num>
  <w:num w:numId="59">
    <w:abstractNumId w:val="10"/>
  </w:num>
  <w:num w:numId="60">
    <w:abstractNumId w:val="45"/>
  </w:num>
  <w:num w:numId="61">
    <w:abstractNumId w:val="6"/>
  </w:num>
  <w:num w:numId="62">
    <w:abstractNumId w:val="4"/>
  </w:num>
  <w:num w:numId="63">
    <w:abstractNumId w:val="58"/>
  </w:num>
  <w:num w:numId="64">
    <w:abstractNumId w:val="11"/>
  </w:num>
  <w:num w:numId="65">
    <w:abstractNumId w:val="54"/>
  </w:num>
  <w:num w:numId="66">
    <w:abstractNumId w:val="46"/>
  </w:num>
  <w:num w:numId="67">
    <w:abstractNumId w:val="18"/>
    <w:lvlOverride w:ilvl="0">
      <w:startOverride w:val="1"/>
    </w:lvlOverride>
    <w:lvlOverride w:ilvl="1"/>
    <w:lvlOverride w:ilvl="2"/>
    <w:lvlOverride w:ilvl="3"/>
    <w:lvlOverride w:ilvl="4"/>
    <w:lvlOverride w:ilvl="5"/>
    <w:lvlOverride w:ilvl="6"/>
    <w:lvlOverride w:ilvl="7"/>
    <w:lvlOverride w:ilv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EE"/>
    <w:rsid w:val="0000003B"/>
    <w:rsid w:val="00003743"/>
    <w:rsid w:val="00004788"/>
    <w:rsid w:val="000049BC"/>
    <w:rsid w:val="000049DD"/>
    <w:rsid w:val="00006E2E"/>
    <w:rsid w:val="00014BF7"/>
    <w:rsid w:val="00014FCA"/>
    <w:rsid w:val="000153E1"/>
    <w:rsid w:val="00016CF8"/>
    <w:rsid w:val="00022350"/>
    <w:rsid w:val="00023493"/>
    <w:rsid w:val="00030F3A"/>
    <w:rsid w:val="00031B7A"/>
    <w:rsid w:val="00034314"/>
    <w:rsid w:val="0004021D"/>
    <w:rsid w:val="0004208B"/>
    <w:rsid w:val="00043F77"/>
    <w:rsid w:val="00045D13"/>
    <w:rsid w:val="0004668D"/>
    <w:rsid w:val="000513BA"/>
    <w:rsid w:val="00055B00"/>
    <w:rsid w:val="00060A77"/>
    <w:rsid w:val="00062110"/>
    <w:rsid w:val="0006330F"/>
    <w:rsid w:val="00067456"/>
    <w:rsid w:val="000703BD"/>
    <w:rsid w:val="000705E3"/>
    <w:rsid w:val="00072A85"/>
    <w:rsid w:val="000742AA"/>
    <w:rsid w:val="00075DC0"/>
    <w:rsid w:val="000776C7"/>
    <w:rsid w:val="00081DF5"/>
    <w:rsid w:val="0008685A"/>
    <w:rsid w:val="00086CB2"/>
    <w:rsid w:val="0008720C"/>
    <w:rsid w:val="0009038E"/>
    <w:rsid w:val="000936FB"/>
    <w:rsid w:val="00096DA7"/>
    <w:rsid w:val="000A444D"/>
    <w:rsid w:val="000A68BE"/>
    <w:rsid w:val="000B32C0"/>
    <w:rsid w:val="000B4029"/>
    <w:rsid w:val="000C1B71"/>
    <w:rsid w:val="000C2A50"/>
    <w:rsid w:val="000D1EC3"/>
    <w:rsid w:val="000D22F8"/>
    <w:rsid w:val="000D4DE2"/>
    <w:rsid w:val="000D6F7C"/>
    <w:rsid w:val="000E121C"/>
    <w:rsid w:val="000E3427"/>
    <w:rsid w:val="000E6824"/>
    <w:rsid w:val="000F670D"/>
    <w:rsid w:val="00100AF5"/>
    <w:rsid w:val="00101EC8"/>
    <w:rsid w:val="0010205A"/>
    <w:rsid w:val="00107B19"/>
    <w:rsid w:val="00110EB0"/>
    <w:rsid w:val="00125C51"/>
    <w:rsid w:val="00135DCA"/>
    <w:rsid w:val="001371D3"/>
    <w:rsid w:val="001378FE"/>
    <w:rsid w:val="001401A5"/>
    <w:rsid w:val="00142235"/>
    <w:rsid w:val="001507D7"/>
    <w:rsid w:val="00154A11"/>
    <w:rsid w:val="0016311E"/>
    <w:rsid w:val="00167ABE"/>
    <w:rsid w:val="00171A8F"/>
    <w:rsid w:val="00172FA3"/>
    <w:rsid w:val="001767F6"/>
    <w:rsid w:val="0017767B"/>
    <w:rsid w:val="001802F2"/>
    <w:rsid w:val="001815A6"/>
    <w:rsid w:val="00183C8C"/>
    <w:rsid w:val="00184788"/>
    <w:rsid w:val="0018483F"/>
    <w:rsid w:val="001852E7"/>
    <w:rsid w:val="00187CE0"/>
    <w:rsid w:val="0019006C"/>
    <w:rsid w:val="00196616"/>
    <w:rsid w:val="00196733"/>
    <w:rsid w:val="001A1149"/>
    <w:rsid w:val="001A1345"/>
    <w:rsid w:val="001B2DA5"/>
    <w:rsid w:val="001B3198"/>
    <w:rsid w:val="001B3443"/>
    <w:rsid w:val="001C12B9"/>
    <w:rsid w:val="001C52D9"/>
    <w:rsid w:val="001C597D"/>
    <w:rsid w:val="001D31C9"/>
    <w:rsid w:val="001D6C50"/>
    <w:rsid w:val="001E1C7E"/>
    <w:rsid w:val="001F2CE8"/>
    <w:rsid w:val="001F36D0"/>
    <w:rsid w:val="001F3792"/>
    <w:rsid w:val="001F53B1"/>
    <w:rsid w:val="001F6586"/>
    <w:rsid w:val="002152D1"/>
    <w:rsid w:val="00217FF7"/>
    <w:rsid w:val="00224529"/>
    <w:rsid w:val="002247FE"/>
    <w:rsid w:val="002255D3"/>
    <w:rsid w:val="00225D34"/>
    <w:rsid w:val="00231A29"/>
    <w:rsid w:val="0023348C"/>
    <w:rsid w:val="00233ECF"/>
    <w:rsid w:val="00240085"/>
    <w:rsid w:val="002411B3"/>
    <w:rsid w:val="00241468"/>
    <w:rsid w:val="002418F3"/>
    <w:rsid w:val="002432CF"/>
    <w:rsid w:val="00244395"/>
    <w:rsid w:val="00247547"/>
    <w:rsid w:val="00250627"/>
    <w:rsid w:val="00251C40"/>
    <w:rsid w:val="00251F78"/>
    <w:rsid w:val="002521FE"/>
    <w:rsid w:val="00253F12"/>
    <w:rsid w:val="00255C7D"/>
    <w:rsid w:val="0025720C"/>
    <w:rsid w:val="00257E4E"/>
    <w:rsid w:val="00261710"/>
    <w:rsid w:val="00265B96"/>
    <w:rsid w:val="00265CDF"/>
    <w:rsid w:val="00271A60"/>
    <w:rsid w:val="00272FA9"/>
    <w:rsid w:val="00284D9B"/>
    <w:rsid w:val="00284EE1"/>
    <w:rsid w:val="002862CC"/>
    <w:rsid w:val="0028744D"/>
    <w:rsid w:val="0028781E"/>
    <w:rsid w:val="00287C16"/>
    <w:rsid w:val="00291659"/>
    <w:rsid w:val="002920F2"/>
    <w:rsid w:val="00292394"/>
    <w:rsid w:val="00295163"/>
    <w:rsid w:val="00296799"/>
    <w:rsid w:val="002A1F67"/>
    <w:rsid w:val="002A3196"/>
    <w:rsid w:val="002A3398"/>
    <w:rsid w:val="002A473A"/>
    <w:rsid w:val="002A5A36"/>
    <w:rsid w:val="002A60F2"/>
    <w:rsid w:val="002B0507"/>
    <w:rsid w:val="002B1AF5"/>
    <w:rsid w:val="002B2419"/>
    <w:rsid w:val="002B2CB0"/>
    <w:rsid w:val="002B3F73"/>
    <w:rsid w:val="002B513E"/>
    <w:rsid w:val="002B7105"/>
    <w:rsid w:val="002C79A4"/>
    <w:rsid w:val="002D155A"/>
    <w:rsid w:val="002D3B79"/>
    <w:rsid w:val="002D3C78"/>
    <w:rsid w:val="002D405C"/>
    <w:rsid w:val="002D73EC"/>
    <w:rsid w:val="002E084C"/>
    <w:rsid w:val="002E135B"/>
    <w:rsid w:val="002F0EA8"/>
    <w:rsid w:val="002F295F"/>
    <w:rsid w:val="002F3AE3"/>
    <w:rsid w:val="002F68FE"/>
    <w:rsid w:val="00300519"/>
    <w:rsid w:val="003016C9"/>
    <w:rsid w:val="00302B32"/>
    <w:rsid w:val="003031D0"/>
    <w:rsid w:val="0030371B"/>
    <w:rsid w:val="0030786C"/>
    <w:rsid w:val="00310DC7"/>
    <w:rsid w:val="00311641"/>
    <w:rsid w:val="003129B9"/>
    <w:rsid w:val="003156B7"/>
    <w:rsid w:val="0032495F"/>
    <w:rsid w:val="00325933"/>
    <w:rsid w:val="00332971"/>
    <w:rsid w:val="00332CF0"/>
    <w:rsid w:val="00335FF9"/>
    <w:rsid w:val="00336597"/>
    <w:rsid w:val="0033695C"/>
    <w:rsid w:val="00336DE1"/>
    <w:rsid w:val="00340BA1"/>
    <w:rsid w:val="00342340"/>
    <w:rsid w:val="00345BE6"/>
    <w:rsid w:val="003512DF"/>
    <w:rsid w:val="00351AA9"/>
    <w:rsid w:val="003529DD"/>
    <w:rsid w:val="00356130"/>
    <w:rsid w:val="00364A91"/>
    <w:rsid w:val="00365015"/>
    <w:rsid w:val="0036676C"/>
    <w:rsid w:val="00367552"/>
    <w:rsid w:val="003747A4"/>
    <w:rsid w:val="0037551A"/>
    <w:rsid w:val="00375572"/>
    <w:rsid w:val="00380439"/>
    <w:rsid w:val="00380950"/>
    <w:rsid w:val="003864F7"/>
    <w:rsid w:val="003905C4"/>
    <w:rsid w:val="003915E5"/>
    <w:rsid w:val="00395CC2"/>
    <w:rsid w:val="00397235"/>
    <w:rsid w:val="003A178C"/>
    <w:rsid w:val="003A2C52"/>
    <w:rsid w:val="003A4D01"/>
    <w:rsid w:val="003A586B"/>
    <w:rsid w:val="003A6E36"/>
    <w:rsid w:val="003B347E"/>
    <w:rsid w:val="003B76F8"/>
    <w:rsid w:val="003C12D0"/>
    <w:rsid w:val="003C162C"/>
    <w:rsid w:val="003C33B5"/>
    <w:rsid w:val="003C4741"/>
    <w:rsid w:val="003C5757"/>
    <w:rsid w:val="003C609A"/>
    <w:rsid w:val="003D17F9"/>
    <w:rsid w:val="003D22D6"/>
    <w:rsid w:val="003E3080"/>
    <w:rsid w:val="003E7B7F"/>
    <w:rsid w:val="003F1240"/>
    <w:rsid w:val="003F74CD"/>
    <w:rsid w:val="004047BD"/>
    <w:rsid w:val="00404D31"/>
    <w:rsid w:val="004133BF"/>
    <w:rsid w:val="00414E29"/>
    <w:rsid w:val="00422482"/>
    <w:rsid w:val="00436668"/>
    <w:rsid w:val="00436861"/>
    <w:rsid w:val="0044000A"/>
    <w:rsid w:val="00440EDC"/>
    <w:rsid w:val="004424D0"/>
    <w:rsid w:val="0044721F"/>
    <w:rsid w:val="004472FC"/>
    <w:rsid w:val="0045362F"/>
    <w:rsid w:val="004574F9"/>
    <w:rsid w:val="00471509"/>
    <w:rsid w:val="004725AE"/>
    <w:rsid w:val="00473A99"/>
    <w:rsid w:val="00474637"/>
    <w:rsid w:val="00476476"/>
    <w:rsid w:val="0047754E"/>
    <w:rsid w:val="00480A82"/>
    <w:rsid w:val="00484691"/>
    <w:rsid w:val="004867E2"/>
    <w:rsid w:val="0048762E"/>
    <w:rsid w:val="00487CFA"/>
    <w:rsid w:val="004916FB"/>
    <w:rsid w:val="004970AB"/>
    <w:rsid w:val="00497DBC"/>
    <w:rsid w:val="004A1585"/>
    <w:rsid w:val="004A334D"/>
    <w:rsid w:val="004B2DA4"/>
    <w:rsid w:val="004B54CB"/>
    <w:rsid w:val="004B68B2"/>
    <w:rsid w:val="004C0922"/>
    <w:rsid w:val="004C0A48"/>
    <w:rsid w:val="004C1C03"/>
    <w:rsid w:val="004C285E"/>
    <w:rsid w:val="004C285F"/>
    <w:rsid w:val="004C4F8E"/>
    <w:rsid w:val="004C7EEC"/>
    <w:rsid w:val="004D0962"/>
    <w:rsid w:val="004D23EB"/>
    <w:rsid w:val="004D2DAC"/>
    <w:rsid w:val="004D3D6C"/>
    <w:rsid w:val="004D4DC8"/>
    <w:rsid w:val="004D5B3A"/>
    <w:rsid w:val="004D6640"/>
    <w:rsid w:val="004E03CB"/>
    <w:rsid w:val="004E177B"/>
    <w:rsid w:val="004E6F23"/>
    <w:rsid w:val="004F11B9"/>
    <w:rsid w:val="004F19C3"/>
    <w:rsid w:val="004F3CAD"/>
    <w:rsid w:val="00504DD4"/>
    <w:rsid w:val="00505FC7"/>
    <w:rsid w:val="00520401"/>
    <w:rsid w:val="00522EF1"/>
    <w:rsid w:val="00525C26"/>
    <w:rsid w:val="00526D95"/>
    <w:rsid w:val="005326E5"/>
    <w:rsid w:val="00534464"/>
    <w:rsid w:val="00536872"/>
    <w:rsid w:val="00541DFD"/>
    <w:rsid w:val="00541E32"/>
    <w:rsid w:val="0055025D"/>
    <w:rsid w:val="00550762"/>
    <w:rsid w:val="0055752A"/>
    <w:rsid w:val="00557E59"/>
    <w:rsid w:val="005654AD"/>
    <w:rsid w:val="00570B59"/>
    <w:rsid w:val="00573653"/>
    <w:rsid w:val="0057612F"/>
    <w:rsid w:val="00582017"/>
    <w:rsid w:val="00583534"/>
    <w:rsid w:val="00587C88"/>
    <w:rsid w:val="00587DF4"/>
    <w:rsid w:val="00596891"/>
    <w:rsid w:val="005971B0"/>
    <w:rsid w:val="00597643"/>
    <w:rsid w:val="005A0940"/>
    <w:rsid w:val="005A3FD9"/>
    <w:rsid w:val="005A71CD"/>
    <w:rsid w:val="005A72A2"/>
    <w:rsid w:val="005B45AD"/>
    <w:rsid w:val="005B7138"/>
    <w:rsid w:val="005B7CCF"/>
    <w:rsid w:val="005C09B9"/>
    <w:rsid w:val="005C2446"/>
    <w:rsid w:val="005C52B7"/>
    <w:rsid w:val="005C5CB6"/>
    <w:rsid w:val="005D01B8"/>
    <w:rsid w:val="005D0F13"/>
    <w:rsid w:val="005D182A"/>
    <w:rsid w:val="005D1BE3"/>
    <w:rsid w:val="005D55D8"/>
    <w:rsid w:val="005D5970"/>
    <w:rsid w:val="005E4724"/>
    <w:rsid w:val="005F3A81"/>
    <w:rsid w:val="00601AA7"/>
    <w:rsid w:val="006032E5"/>
    <w:rsid w:val="00611888"/>
    <w:rsid w:val="00612B35"/>
    <w:rsid w:val="006157CF"/>
    <w:rsid w:val="00615D4E"/>
    <w:rsid w:val="0061756C"/>
    <w:rsid w:val="00623989"/>
    <w:rsid w:val="00625952"/>
    <w:rsid w:val="00625B8A"/>
    <w:rsid w:val="00625C0F"/>
    <w:rsid w:val="006309C7"/>
    <w:rsid w:val="00630E41"/>
    <w:rsid w:val="0063208E"/>
    <w:rsid w:val="006401FD"/>
    <w:rsid w:val="0064160B"/>
    <w:rsid w:val="00641F99"/>
    <w:rsid w:val="006452CA"/>
    <w:rsid w:val="00651B2A"/>
    <w:rsid w:val="006520E1"/>
    <w:rsid w:val="006539EC"/>
    <w:rsid w:val="0066116E"/>
    <w:rsid w:val="006623D0"/>
    <w:rsid w:val="006656BA"/>
    <w:rsid w:val="00667759"/>
    <w:rsid w:val="00672C1C"/>
    <w:rsid w:val="00674539"/>
    <w:rsid w:val="00677596"/>
    <w:rsid w:val="00680F54"/>
    <w:rsid w:val="00681AB4"/>
    <w:rsid w:val="00684E91"/>
    <w:rsid w:val="00685CC1"/>
    <w:rsid w:val="00690426"/>
    <w:rsid w:val="00691CD7"/>
    <w:rsid w:val="00692249"/>
    <w:rsid w:val="00697D5C"/>
    <w:rsid w:val="006A75B4"/>
    <w:rsid w:val="006B0B55"/>
    <w:rsid w:val="006B1C57"/>
    <w:rsid w:val="006B2BB2"/>
    <w:rsid w:val="006B39A9"/>
    <w:rsid w:val="006C37A2"/>
    <w:rsid w:val="006C5FFF"/>
    <w:rsid w:val="006C6258"/>
    <w:rsid w:val="006D0A05"/>
    <w:rsid w:val="006D3B13"/>
    <w:rsid w:val="006D59A9"/>
    <w:rsid w:val="006D6DB7"/>
    <w:rsid w:val="006E42D8"/>
    <w:rsid w:val="006E646A"/>
    <w:rsid w:val="006F4191"/>
    <w:rsid w:val="006F463C"/>
    <w:rsid w:val="006F7D4F"/>
    <w:rsid w:val="006F7E8E"/>
    <w:rsid w:val="00706C08"/>
    <w:rsid w:val="007072F1"/>
    <w:rsid w:val="00711421"/>
    <w:rsid w:val="00711F10"/>
    <w:rsid w:val="007129FA"/>
    <w:rsid w:val="007133D4"/>
    <w:rsid w:val="0071353A"/>
    <w:rsid w:val="007147A3"/>
    <w:rsid w:val="00721C5C"/>
    <w:rsid w:val="00724372"/>
    <w:rsid w:val="007253F0"/>
    <w:rsid w:val="00727DB9"/>
    <w:rsid w:val="00727DE2"/>
    <w:rsid w:val="00731117"/>
    <w:rsid w:val="007317F1"/>
    <w:rsid w:val="00732357"/>
    <w:rsid w:val="00735015"/>
    <w:rsid w:val="00736A2B"/>
    <w:rsid w:val="00736A68"/>
    <w:rsid w:val="00737636"/>
    <w:rsid w:val="00737EA9"/>
    <w:rsid w:val="00740BE2"/>
    <w:rsid w:val="00742713"/>
    <w:rsid w:val="0074290F"/>
    <w:rsid w:val="00742B82"/>
    <w:rsid w:val="0074451A"/>
    <w:rsid w:val="0074642F"/>
    <w:rsid w:val="00746984"/>
    <w:rsid w:val="00751490"/>
    <w:rsid w:val="00751B95"/>
    <w:rsid w:val="0076645C"/>
    <w:rsid w:val="007770BD"/>
    <w:rsid w:val="00777203"/>
    <w:rsid w:val="00780E1C"/>
    <w:rsid w:val="007840A4"/>
    <w:rsid w:val="00784F8D"/>
    <w:rsid w:val="0078674C"/>
    <w:rsid w:val="00795A73"/>
    <w:rsid w:val="007976CA"/>
    <w:rsid w:val="007A60B0"/>
    <w:rsid w:val="007A69D9"/>
    <w:rsid w:val="007B4487"/>
    <w:rsid w:val="007C4D40"/>
    <w:rsid w:val="007D5B4B"/>
    <w:rsid w:val="007D6D53"/>
    <w:rsid w:val="007D785D"/>
    <w:rsid w:val="007E1568"/>
    <w:rsid w:val="007E41C2"/>
    <w:rsid w:val="007E5315"/>
    <w:rsid w:val="007E79EC"/>
    <w:rsid w:val="007F256C"/>
    <w:rsid w:val="007F4613"/>
    <w:rsid w:val="007F4AEA"/>
    <w:rsid w:val="007F7313"/>
    <w:rsid w:val="008041E6"/>
    <w:rsid w:val="00804C03"/>
    <w:rsid w:val="00807301"/>
    <w:rsid w:val="00820E0D"/>
    <w:rsid w:val="008261EE"/>
    <w:rsid w:val="008264EB"/>
    <w:rsid w:val="008301E9"/>
    <w:rsid w:val="008345B6"/>
    <w:rsid w:val="00836E2B"/>
    <w:rsid w:val="00837A4A"/>
    <w:rsid w:val="0084198F"/>
    <w:rsid w:val="008435E8"/>
    <w:rsid w:val="00843C8C"/>
    <w:rsid w:val="00851B04"/>
    <w:rsid w:val="00853747"/>
    <w:rsid w:val="0085577A"/>
    <w:rsid w:val="00861192"/>
    <w:rsid w:val="00863943"/>
    <w:rsid w:val="008652C1"/>
    <w:rsid w:val="00866A8C"/>
    <w:rsid w:val="00871165"/>
    <w:rsid w:val="0087369C"/>
    <w:rsid w:val="00884CC1"/>
    <w:rsid w:val="0088669D"/>
    <w:rsid w:val="008A1210"/>
    <w:rsid w:val="008B377D"/>
    <w:rsid w:val="008B691A"/>
    <w:rsid w:val="008C0427"/>
    <w:rsid w:val="008C0913"/>
    <w:rsid w:val="008D1C5A"/>
    <w:rsid w:val="008D39F6"/>
    <w:rsid w:val="008D3D52"/>
    <w:rsid w:val="008D7C0C"/>
    <w:rsid w:val="008E22DE"/>
    <w:rsid w:val="008E3AE7"/>
    <w:rsid w:val="008E50F6"/>
    <w:rsid w:val="008E516E"/>
    <w:rsid w:val="008F403F"/>
    <w:rsid w:val="00903867"/>
    <w:rsid w:val="00906052"/>
    <w:rsid w:val="00906679"/>
    <w:rsid w:val="00906A36"/>
    <w:rsid w:val="009071CD"/>
    <w:rsid w:val="0090757F"/>
    <w:rsid w:val="00910F59"/>
    <w:rsid w:val="00913E7B"/>
    <w:rsid w:val="009142E5"/>
    <w:rsid w:val="009227A3"/>
    <w:rsid w:val="00924BAD"/>
    <w:rsid w:val="00933F0F"/>
    <w:rsid w:val="00940111"/>
    <w:rsid w:val="00940B51"/>
    <w:rsid w:val="00950899"/>
    <w:rsid w:val="00953B04"/>
    <w:rsid w:val="00956488"/>
    <w:rsid w:val="009601E5"/>
    <w:rsid w:val="00960CFB"/>
    <w:rsid w:val="00961B19"/>
    <w:rsid w:val="00963A6B"/>
    <w:rsid w:val="0097215F"/>
    <w:rsid w:val="00975AD8"/>
    <w:rsid w:val="0098214F"/>
    <w:rsid w:val="0098274A"/>
    <w:rsid w:val="00982FAD"/>
    <w:rsid w:val="0098364D"/>
    <w:rsid w:val="00985ABF"/>
    <w:rsid w:val="00985C4D"/>
    <w:rsid w:val="00986830"/>
    <w:rsid w:val="00992403"/>
    <w:rsid w:val="009930D0"/>
    <w:rsid w:val="009A02BA"/>
    <w:rsid w:val="009A256D"/>
    <w:rsid w:val="009A4316"/>
    <w:rsid w:val="009A7122"/>
    <w:rsid w:val="009B1A4C"/>
    <w:rsid w:val="009B2DC5"/>
    <w:rsid w:val="009B4050"/>
    <w:rsid w:val="009B42EA"/>
    <w:rsid w:val="009B7B54"/>
    <w:rsid w:val="009B7F89"/>
    <w:rsid w:val="009C0D97"/>
    <w:rsid w:val="009C2373"/>
    <w:rsid w:val="009C498D"/>
    <w:rsid w:val="009D4D73"/>
    <w:rsid w:val="009D7E28"/>
    <w:rsid w:val="009E063D"/>
    <w:rsid w:val="009E1D88"/>
    <w:rsid w:val="009E566A"/>
    <w:rsid w:val="009E75CF"/>
    <w:rsid w:val="009E7E40"/>
    <w:rsid w:val="009F0817"/>
    <w:rsid w:val="009F1D54"/>
    <w:rsid w:val="009F3C73"/>
    <w:rsid w:val="009F758B"/>
    <w:rsid w:val="00A00E4B"/>
    <w:rsid w:val="00A064F2"/>
    <w:rsid w:val="00A06663"/>
    <w:rsid w:val="00A1343E"/>
    <w:rsid w:val="00A17F6D"/>
    <w:rsid w:val="00A21CE0"/>
    <w:rsid w:val="00A220AD"/>
    <w:rsid w:val="00A315EE"/>
    <w:rsid w:val="00A409ED"/>
    <w:rsid w:val="00A419BF"/>
    <w:rsid w:val="00A43063"/>
    <w:rsid w:val="00A43127"/>
    <w:rsid w:val="00A4512D"/>
    <w:rsid w:val="00A50397"/>
    <w:rsid w:val="00A50749"/>
    <w:rsid w:val="00A50927"/>
    <w:rsid w:val="00A52B3A"/>
    <w:rsid w:val="00A56040"/>
    <w:rsid w:val="00A62E00"/>
    <w:rsid w:val="00A63398"/>
    <w:rsid w:val="00A65FDA"/>
    <w:rsid w:val="00A669F4"/>
    <w:rsid w:val="00A70580"/>
    <w:rsid w:val="00A705AF"/>
    <w:rsid w:val="00A768D8"/>
    <w:rsid w:val="00A813BE"/>
    <w:rsid w:val="00A83020"/>
    <w:rsid w:val="00A900B9"/>
    <w:rsid w:val="00A92BED"/>
    <w:rsid w:val="00A9763D"/>
    <w:rsid w:val="00AA06FF"/>
    <w:rsid w:val="00AB272D"/>
    <w:rsid w:val="00AB454D"/>
    <w:rsid w:val="00AB5844"/>
    <w:rsid w:val="00AB64DD"/>
    <w:rsid w:val="00AC341B"/>
    <w:rsid w:val="00AC43DF"/>
    <w:rsid w:val="00AD0224"/>
    <w:rsid w:val="00AD13D0"/>
    <w:rsid w:val="00AD2C8F"/>
    <w:rsid w:val="00AE1AFC"/>
    <w:rsid w:val="00AE338F"/>
    <w:rsid w:val="00AE488B"/>
    <w:rsid w:val="00AE7E7B"/>
    <w:rsid w:val="00AF08AB"/>
    <w:rsid w:val="00AF1556"/>
    <w:rsid w:val="00AF176B"/>
    <w:rsid w:val="00AF260A"/>
    <w:rsid w:val="00AF6AB4"/>
    <w:rsid w:val="00AF72F5"/>
    <w:rsid w:val="00B00AA1"/>
    <w:rsid w:val="00B03449"/>
    <w:rsid w:val="00B0383D"/>
    <w:rsid w:val="00B0433A"/>
    <w:rsid w:val="00B0717F"/>
    <w:rsid w:val="00B07A63"/>
    <w:rsid w:val="00B113FC"/>
    <w:rsid w:val="00B12BC2"/>
    <w:rsid w:val="00B13A4E"/>
    <w:rsid w:val="00B230C9"/>
    <w:rsid w:val="00B23DF8"/>
    <w:rsid w:val="00B40FA1"/>
    <w:rsid w:val="00B4211D"/>
    <w:rsid w:val="00B42851"/>
    <w:rsid w:val="00B42DC7"/>
    <w:rsid w:val="00B505BE"/>
    <w:rsid w:val="00B505C9"/>
    <w:rsid w:val="00B61E7B"/>
    <w:rsid w:val="00B70E9C"/>
    <w:rsid w:val="00B71128"/>
    <w:rsid w:val="00B76395"/>
    <w:rsid w:val="00B809E7"/>
    <w:rsid w:val="00B82195"/>
    <w:rsid w:val="00B82812"/>
    <w:rsid w:val="00B84B60"/>
    <w:rsid w:val="00B947D0"/>
    <w:rsid w:val="00B96B05"/>
    <w:rsid w:val="00B971B2"/>
    <w:rsid w:val="00B97B42"/>
    <w:rsid w:val="00BA2626"/>
    <w:rsid w:val="00BA3EEB"/>
    <w:rsid w:val="00BB360E"/>
    <w:rsid w:val="00BC2FDA"/>
    <w:rsid w:val="00BC39C7"/>
    <w:rsid w:val="00BC5B59"/>
    <w:rsid w:val="00BD0B3E"/>
    <w:rsid w:val="00BD1E70"/>
    <w:rsid w:val="00BD3B8B"/>
    <w:rsid w:val="00BD4EDD"/>
    <w:rsid w:val="00BE011F"/>
    <w:rsid w:val="00BE15B9"/>
    <w:rsid w:val="00BE30D8"/>
    <w:rsid w:val="00BF11B9"/>
    <w:rsid w:val="00BF39B8"/>
    <w:rsid w:val="00C02838"/>
    <w:rsid w:val="00C04DD6"/>
    <w:rsid w:val="00C05768"/>
    <w:rsid w:val="00C058BB"/>
    <w:rsid w:val="00C062C0"/>
    <w:rsid w:val="00C15583"/>
    <w:rsid w:val="00C20A2F"/>
    <w:rsid w:val="00C219A1"/>
    <w:rsid w:val="00C21AD3"/>
    <w:rsid w:val="00C254E9"/>
    <w:rsid w:val="00C307E4"/>
    <w:rsid w:val="00C34232"/>
    <w:rsid w:val="00C42506"/>
    <w:rsid w:val="00C44685"/>
    <w:rsid w:val="00C449E2"/>
    <w:rsid w:val="00C44BC4"/>
    <w:rsid w:val="00C50FFE"/>
    <w:rsid w:val="00C63D95"/>
    <w:rsid w:val="00C71CC3"/>
    <w:rsid w:val="00C84B2D"/>
    <w:rsid w:val="00C91F11"/>
    <w:rsid w:val="00C92F25"/>
    <w:rsid w:val="00C950EB"/>
    <w:rsid w:val="00C96E47"/>
    <w:rsid w:val="00CA0623"/>
    <w:rsid w:val="00CA3BE6"/>
    <w:rsid w:val="00CA57D4"/>
    <w:rsid w:val="00CA62D1"/>
    <w:rsid w:val="00CA6A4E"/>
    <w:rsid w:val="00CB0A5A"/>
    <w:rsid w:val="00CB2AFB"/>
    <w:rsid w:val="00CB5B1A"/>
    <w:rsid w:val="00CB715C"/>
    <w:rsid w:val="00CD1458"/>
    <w:rsid w:val="00CD25C3"/>
    <w:rsid w:val="00CD525D"/>
    <w:rsid w:val="00CD6629"/>
    <w:rsid w:val="00CE01B2"/>
    <w:rsid w:val="00CE22D1"/>
    <w:rsid w:val="00CE4F28"/>
    <w:rsid w:val="00CE51D4"/>
    <w:rsid w:val="00CE5530"/>
    <w:rsid w:val="00CF2172"/>
    <w:rsid w:val="00CF24CE"/>
    <w:rsid w:val="00CF3144"/>
    <w:rsid w:val="00CF418E"/>
    <w:rsid w:val="00CF4E16"/>
    <w:rsid w:val="00CF5080"/>
    <w:rsid w:val="00CF6058"/>
    <w:rsid w:val="00CF70C6"/>
    <w:rsid w:val="00D05A75"/>
    <w:rsid w:val="00D1394D"/>
    <w:rsid w:val="00D261E6"/>
    <w:rsid w:val="00D3105A"/>
    <w:rsid w:val="00D31110"/>
    <w:rsid w:val="00D31A11"/>
    <w:rsid w:val="00D34550"/>
    <w:rsid w:val="00D34E79"/>
    <w:rsid w:val="00D37644"/>
    <w:rsid w:val="00D409C8"/>
    <w:rsid w:val="00D44802"/>
    <w:rsid w:val="00D45A1E"/>
    <w:rsid w:val="00D545EE"/>
    <w:rsid w:val="00D56B4B"/>
    <w:rsid w:val="00D60214"/>
    <w:rsid w:val="00D603DD"/>
    <w:rsid w:val="00D62CB7"/>
    <w:rsid w:val="00D735F3"/>
    <w:rsid w:val="00D74A08"/>
    <w:rsid w:val="00D8151C"/>
    <w:rsid w:val="00D82B15"/>
    <w:rsid w:val="00D84963"/>
    <w:rsid w:val="00D96010"/>
    <w:rsid w:val="00DA29A5"/>
    <w:rsid w:val="00DA348D"/>
    <w:rsid w:val="00DA5B8F"/>
    <w:rsid w:val="00DA6C45"/>
    <w:rsid w:val="00DB0ADD"/>
    <w:rsid w:val="00DB1F50"/>
    <w:rsid w:val="00DC0923"/>
    <w:rsid w:val="00DC3445"/>
    <w:rsid w:val="00DC71D1"/>
    <w:rsid w:val="00DD73CE"/>
    <w:rsid w:val="00DD764B"/>
    <w:rsid w:val="00DF234F"/>
    <w:rsid w:val="00DF6A01"/>
    <w:rsid w:val="00DF6AF3"/>
    <w:rsid w:val="00E01DD9"/>
    <w:rsid w:val="00E042E2"/>
    <w:rsid w:val="00E111E4"/>
    <w:rsid w:val="00E1135C"/>
    <w:rsid w:val="00E14E4B"/>
    <w:rsid w:val="00E21195"/>
    <w:rsid w:val="00E22478"/>
    <w:rsid w:val="00E27976"/>
    <w:rsid w:val="00E33230"/>
    <w:rsid w:val="00E373E5"/>
    <w:rsid w:val="00E50F94"/>
    <w:rsid w:val="00E549FA"/>
    <w:rsid w:val="00E56019"/>
    <w:rsid w:val="00E564A3"/>
    <w:rsid w:val="00E60DCE"/>
    <w:rsid w:val="00E72A52"/>
    <w:rsid w:val="00E73736"/>
    <w:rsid w:val="00E77452"/>
    <w:rsid w:val="00E800C8"/>
    <w:rsid w:val="00E8107F"/>
    <w:rsid w:val="00E83BFF"/>
    <w:rsid w:val="00E858A4"/>
    <w:rsid w:val="00E86BAA"/>
    <w:rsid w:val="00E87BE3"/>
    <w:rsid w:val="00EA4D4E"/>
    <w:rsid w:val="00EA6A52"/>
    <w:rsid w:val="00EB2614"/>
    <w:rsid w:val="00EB3EB7"/>
    <w:rsid w:val="00EB61A6"/>
    <w:rsid w:val="00EB6DF7"/>
    <w:rsid w:val="00EB6F90"/>
    <w:rsid w:val="00EB7F5E"/>
    <w:rsid w:val="00EC36C0"/>
    <w:rsid w:val="00EC38AD"/>
    <w:rsid w:val="00EC512E"/>
    <w:rsid w:val="00EC7434"/>
    <w:rsid w:val="00EC7F8E"/>
    <w:rsid w:val="00ED1010"/>
    <w:rsid w:val="00ED561D"/>
    <w:rsid w:val="00EE2E19"/>
    <w:rsid w:val="00EE40DF"/>
    <w:rsid w:val="00EE4323"/>
    <w:rsid w:val="00EE4615"/>
    <w:rsid w:val="00EE5067"/>
    <w:rsid w:val="00EF300B"/>
    <w:rsid w:val="00EF5EBA"/>
    <w:rsid w:val="00F07550"/>
    <w:rsid w:val="00F10DF6"/>
    <w:rsid w:val="00F13279"/>
    <w:rsid w:val="00F13AA0"/>
    <w:rsid w:val="00F13CF9"/>
    <w:rsid w:val="00F1476E"/>
    <w:rsid w:val="00F14FE2"/>
    <w:rsid w:val="00F21803"/>
    <w:rsid w:val="00F26D1A"/>
    <w:rsid w:val="00F31615"/>
    <w:rsid w:val="00F343DF"/>
    <w:rsid w:val="00F42521"/>
    <w:rsid w:val="00F45085"/>
    <w:rsid w:val="00F529F6"/>
    <w:rsid w:val="00F55A4B"/>
    <w:rsid w:val="00F60FA1"/>
    <w:rsid w:val="00F61EDD"/>
    <w:rsid w:val="00F62E29"/>
    <w:rsid w:val="00F6403F"/>
    <w:rsid w:val="00F655A5"/>
    <w:rsid w:val="00F7059A"/>
    <w:rsid w:val="00F720F7"/>
    <w:rsid w:val="00F7271E"/>
    <w:rsid w:val="00F74219"/>
    <w:rsid w:val="00F877C1"/>
    <w:rsid w:val="00F87956"/>
    <w:rsid w:val="00F972C8"/>
    <w:rsid w:val="00FA4C72"/>
    <w:rsid w:val="00FB2D4C"/>
    <w:rsid w:val="00FB4648"/>
    <w:rsid w:val="00FB6ED0"/>
    <w:rsid w:val="00FC3896"/>
    <w:rsid w:val="00FC4551"/>
    <w:rsid w:val="00FD236B"/>
    <w:rsid w:val="00FD323C"/>
    <w:rsid w:val="00FD37BC"/>
    <w:rsid w:val="00FD40C0"/>
    <w:rsid w:val="00FD4B04"/>
    <w:rsid w:val="00FD6488"/>
    <w:rsid w:val="00FE08C2"/>
    <w:rsid w:val="00FE3AD0"/>
    <w:rsid w:val="00FE5A23"/>
    <w:rsid w:val="00FF2956"/>
    <w:rsid w:val="00FF2CD6"/>
    <w:rsid w:val="00FF6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E1F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57F"/>
    <w:pPr>
      <w:spacing w:before="120" w:after="60" w:line="276" w:lineRule="auto"/>
    </w:pPr>
    <w:rPr>
      <w:sz w:val="24"/>
      <w:szCs w:val="24"/>
      <w:lang w:eastAsia="en-US"/>
    </w:rPr>
  </w:style>
  <w:style w:type="paragraph" w:styleId="Heading1">
    <w:name w:val="heading 1"/>
    <w:basedOn w:val="Normal"/>
    <w:next w:val="Normal"/>
    <w:qFormat/>
    <w:rsid w:val="0018483F"/>
    <w:pPr>
      <w:spacing w:before="480"/>
      <w:jc w:val="center"/>
      <w:outlineLvl w:val="0"/>
    </w:pPr>
    <w:rPr>
      <w:b/>
      <w:sz w:val="40"/>
      <w:szCs w:val="40"/>
    </w:rPr>
  </w:style>
  <w:style w:type="paragraph" w:styleId="Heading2">
    <w:name w:val="heading 2"/>
    <w:basedOn w:val="Normal"/>
    <w:next w:val="Normal"/>
    <w:qFormat/>
    <w:rsid w:val="0090757F"/>
    <w:pPr>
      <w:keepNext/>
      <w:spacing w:before="60"/>
      <w:outlineLvl w:val="1"/>
    </w:pPr>
    <w:rPr>
      <w:rFonts w:cs="Arial"/>
      <w:b/>
      <w:bCs/>
      <w:iCs/>
      <w:sz w:val="28"/>
      <w:szCs w:val="28"/>
    </w:rPr>
  </w:style>
  <w:style w:type="paragraph" w:styleId="Heading3">
    <w:name w:val="heading 3"/>
    <w:basedOn w:val="Normal"/>
    <w:next w:val="Normal"/>
    <w:qFormat/>
    <w:rsid w:val="00CE4F28"/>
    <w:pPr>
      <w:keepNext/>
      <w:outlineLvl w:val="2"/>
    </w:pPr>
    <w:rPr>
      <w:rFonts w:cs="Arial"/>
      <w:b/>
      <w:bCs/>
      <w:szCs w:val="26"/>
    </w:rPr>
  </w:style>
  <w:style w:type="paragraph" w:styleId="Heading4">
    <w:name w:val="heading 4"/>
    <w:basedOn w:val="Normal"/>
    <w:next w:val="Normal"/>
    <w:qFormat/>
    <w:rsid w:val="00380439"/>
    <w:pPr>
      <w:keepNext/>
      <w:spacing w:before="240"/>
      <w:outlineLvl w:val="3"/>
    </w:pPr>
    <w:rPr>
      <w:b/>
      <w:bCs/>
      <w:szCs w:val="28"/>
    </w:rPr>
  </w:style>
  <w:style w:type="paragraph" w:styleId="Heading5">
    <w:name w:val="heading 5"/>
    <w:basedOn w:val="Normal"/>
    <w:next w:val="Normal"/>
    <w:rsid w:val="00380439"/>
    <w:pPr>
      <w:keepNext/>
      <w:spacing w:before="240"/>
      <w:outlineLvl w:val="4"/>
    </w:pPr>
    <w:rPr>
      <w:bCs/>
      <w:i/>
      <w:iCs/>
      <w:szCs w:val="26"/>
    </w:rPr>
  </w:style>
  <w:style w:type="paragraph" w:styleId="Heading6">
    <w:name w:val="heading 6"/>
    <w:basedOn w:val="Normal"/>
    <w:next w:val="Normal"/>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B68B2"/>
    <w:pPr>
      <w:spacing w:before="840"/>
      <w:jc w:val="center"/>
    </w:pPr>
    <w:rPr>
      <w:b/>
      <w:sz w:val="44"/>
      <w:szCs w:val="40"/>
    </w:rPr>
  </w:style>
  <w:style w:type="character" w:customStyle="1" w:styleId="TitleChar">
    <w:name w:val="Title Char"/>
    <w:basedOn w:val="DefaultParagraphFont"/>
    <w:link w:val="Title"/>
    <w:rsid w:val="004B68B2"/>
    <w:rPr>
      <w:b/>
      <w:sz w:val="44"/>
      <w:szCs w:val="40"/>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ody text,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A4512D"/>
    <w:pPr>
      <w:ind w:left="720"/>
      <w:contextualSpacing/>
    </w:pPr>
  </w:style>
  <w:style w:type="paragraph" w:styleId="BalloonText">
    <w:name w:val="Balloon Text"/>
    <w:basedOn w:val="Normal"/>
    <w:link w:val="BalloonTextChar"/>
    <w:rsid w:val="008261EE"/>
    <w:rPr>
      <w:rFonts w:ascii="Tahoma" w:hAnsi="Tahoma" w:cs="Tahoma"/>
      <w:sz w:val="16"/>
      <w:szCs w:val="16"/>
    </w:rPr>
  </w:style>
  <w:style w:type="character" w:customStyle="1" w:styleId="BalloonTextChar">
    <w:name w:val="Balloon Text Char"/>
    <w:basedOn w:val="DefaultParagraphFont"/>
    <w:link w:val="BalloonText"/>
    <w:rsid w:val="008261EE"/>
    <w:rPr>
      <w:rFonts w:ascii="Tahoma" w:hAnsi="Tahoma" w:cs="Tahoma"/>
      <w:sz w:val="16"/>
      <w:szCs w:val="16"/>
      <w:lang w:eastAsia="en-US"/>
    </w:rPr>
  </w:style>
  <w:style w:type="paragraph" w:customStyle="1" w:styleId="Default">
    <w:name w:val="Default"/>
    <w:rsid w:val="008261EE"/>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861192"/>
    <w:pPr>
      <w:keepLines/>
      <w:spacing w:after="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861192"/>
    <w:pPr>
      <w:spacing w:after="100"/>
    </w:pPr>
  </w:style>
  <w:style w:type="paragraph" w:styleId="TOC2">
    <w:name w:val="toc 2"/>
    <w:basedOn w:val="Normal"/>
    <w:next w:val="Normal"/>
    <w:autoRedefine/>
    <w:uiPriority w:val="39"/>
    <w:rsid w:val="00861192"/>
    <w:pPr>
      <w:spacing w:after="100"/>
      <w:ind w:left="240"/>
    </w:pPr>
  </w:style>
  <w:style w:type="paragraph" w:styleId="TOC3">
    <w:name w:val="toc 3"/>
    <w:basedOn w:val="Normal"/>
    <w:next w:val="Normal"/>
    <w:autoRedefine/>
    <w:uiPriority w:val="39"/>
    <w:rsid w:val="00861192"/>
    <w:pPr>
      <w:spacing w:after="100"/>
      <w:ind w:left="480"/>
    </w:pPr>
  </w:style>
  <w:style w:type="character" w:styleId="Hyperlink">
    <w:name w:val="Hyperlink"/>
    <w:basedOn w:val="DefaultParagraphFont"/>
    <w:uiPriority w:val="99"/>
    <w:unhideWhenUsed/>
    <w:rsid w:val="00861192"/>
    <w:rPr>
      <w:color w:val="0000FF" w:themeColor="hyperlink"/>
      <w:u w:val="single"/>
    </w:rPr>
  </w:style>
  <w:style w:type="paragraph" w:styleId="Header">
    <w:name w:val="header"/>
    <w:basedOn w:val="Normal"/>
    <w:link w:val="HeaderChar"/>
    <w:rsid w:val="00440EDC"/>
    <w:pPr>
      <w:tabs>
        <w:tab w:val="center" w:pos="4513"/>
        <w:tab w:val="right" w:pos="9026"/>
      </w:tabs>
    </w:pPr>
  </w:style>
  <w:style w:type="character" w:customStyle="1" w:styleId="HeaderChar">
    <w:name w:val="Header Char"/>
    <w:basedOn w:val="DefaultParagraphFont"/>
    <w:link w:val="Header"/>
    <w:rsid w:val="00440EDC"/>
    <w:rPr>
      <w:sz w:val="24"/>
      <w:szCs w:val="24"/>
      <w:lang w:eastAsia="en-US"/>
    </w:rPr>
  </w:style>
  <w:style w:type="paragraph" w:styleId="Footer">
    <w:name w:val="footer"/>
    <w:basedOn w:val="Normal"/>
    <w:link w:val="FooterChar"/>
    <w:uiPriority w:val="99"/>
    <w:rsid w:val="00440EDC"/>
    <w:pPr>
      <w:tabs>
        <w:tab w:val="center" w:pos="4513"/>
        <w:tab w:val="right" w:pos="9026"/>
      </w:tabs>
    </w:pPr>
  </w:style>
  <w:style w:type="character" w:customStyle="1" w:styleId="FooterChar">
    <w:name w:val="Footer Char"/>
    <w:basedOn w:val="DefaultParagraphFont"/>
    <w:link w:val="Footer"/>
    <w:uiPriority w:val="99"/>
    <w:rsid w:val="00440EDC"/>
    <w:rPr>
      <w:sz w:val="24"/>
      <w:szCs w:val="24"/>
      <w:lang w:eastAsia="en-US"/>
    </w:rPr>
  </w:style>
  <w:style w:type="character" w:styleId="CommentReference">
    <w:name w:val="annotation reference"/>
    <w:basedOn w:val="DefaultParagraphFont"/>
    <w:rsid w:val="00BD1E70"/>
    <w:rPr>
      <w:sz w:val="16"/>
      <w:szCs w:val="16"/>
    </w:rPr>
  </w:style>
  <w:style w:type="paragraph" w:styleId="CommentText">
    <w:name w:val="annotation text"/>
    <w:basedOn w:val="Normal"/>
    <w:link w:val="CommentTextChar"/>
    <w:rsid w:val="00BD1E70"/>
    <w:rPr>
      <w:sz w:val="20"/>
      <w:szCs w:val="20"/>
    </w:rPr>
  </w:style>
  <w:style w:type="character" w:customStyle="1" w:styleId="CommentTextChar">
    <w:name w:val="Comment Text Char"/>
    <w:basedOn w:val="DefaultParagraphFont"/>
    <w:link w:val="CommentText"/>
    <w:rsid w:val="00BD1E70"/>
    <w:rPr>
      <w:lang w:eastAsia="en-US"/>
    </w:rPr>
  </w:style>
  <w:style w:type="paragraph" w:styleId="CommentSubject">
    <w:name w:val="annotation subject"/>
    <w:basedOn w:val="CommentText"/>
    <w:next w:val="CommentText"/>
    <w:link w:val="CommentSubjectChar"/>
    <w:rsid w:val="00BD1E70"/>
    <w:rPr>
      <w:b/>
      <w:bCs/>
    </w:rPr>
  </w:style>
  <w:style w:type="character" w:customStyle="1" w:styleId="CommentSubjectChar">
    <w:name w:val="Comment Subject Char"/>
    <w:basedOn w:val="CommentTextChar"/>
    <w:link w:val="CommentSubject"/>
    <w:rsid w:val="00BD1E70"/>
    <w:rPr>
      <w:b/>
      <w:bCs/>
      <w:lang w:eastAsia="en-US"/>
    </w:rPr>
  </w:style>
  <w:style w:type="paragraph" w:styleId="NormalWeb">
    <w:name w:val="Normal (Web)"/>
    <w:basedOn w:val="Normal"/>
    <w:uiPriority w:val="99"/>
    <w:unhideWhenUsed/>
    <w:rsid w:val="002A473A"/>
    <w:pPr>
      <w:spacing w:before="100" w:beforeAutospacing="1" w:after="100" w:afterAutospacing="1"/>
    </w:pPr>
    <w:rPr>
      <w:lang w:eastAsia="en-AU"/>
    </w:rPr>
  </w:style>
  <w:style w:type="paragraph" w:styleId="FootnoteText">
    <w:name w:val="footnote text"/>
    <w:aliases w:val="(NECG) Footnote Text"/>
    <w:basedOn w:val="Normal"/>
    <w:link w:val="FootnoteTextChar"/>
    <w:rsid w:val="002A473A"/>
    <w:rPr>
      <w:sz w:val="20"/>
      <w:szCs w:val="20"/>
    </w:rPr>
  </w:style>
  <w:style w:type="character" w:customStyle="1" w:styleId="FootnoteTextChar">
    <w:name w:val="Footnote Text Char"/>
    <w:aliases w:val="(NECG) Footnote Text Char"/>
    <w:basedOn w:val="DefaultParagraphFont"/>
    <w:link w:val="FootnoteText"/>
    <w:rsid w:val="002A473A"/>
    <w:rPr>
      <w:lang w:eastAsia="en-US"/>
    </w:rPr>
  </w:style>
  <w:style w:type="character" w:styleId="FootnoteReference">
    <w:name w:val="footnote reference"/>
    <w:aliases w:val="(NECG) Footnote Reference"/>
    <w:basedOn w:val="DefaultParagraphFont"/>
    <w:rsid w:val="002A473A"/>
    <w:rPr>
      <w:vertAlign w:val="superscript"/>
    </w:rPr>
  </w:style>
  <w:style w:type="character" w:customStyle="1" w:styleId="ListParagraphChar">
    <w:name w:val="List Paragraph Char"/>
    <w:aliases w:val="Body text Char,Bullet point Char,Bullets Char,CV text Char,Dot pt Char,F5 List Paragraph Char,FooterText Char,L Char,List Paragraph1 Char,List Paragraph11 Char,List Paragraph111 Char,List Paragraph2 Char,NAST Quote Char,列 Char"/>
    <w:link w:val="ListParagraph"/>
    <w:uiPriority w:val="34"/>
    <w:locked/>
    <w:rsid w:val="003156B7"/>
    <w:rPr>
      <w:sz w:val="24"/>
      <w:szCs w:val="24"/>
      <w:lang w:eastAsia="en-US"/>
    </w:rPr>
  </w:style>
  <w:style w:type="table" w:styleId="TableGrid">
    <w:name w:val="Table Grid"/>
    <w:basedOn w:val="TableNormal"/>
    <w:rsid w:val="002B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E1AFC"/>
    <w:rPr>
      <w:color w:val="800080" w:themeColor="followedHyperlink"/>
      <w:u w:val="single"/>
    </w:rPr>
  </w:style>
  <w:style w:type="paragraph" w:customStyle="1" w:styleId="Pa4">
    <w:name w:val="Pa4"/>
    <w:basedOn w:val="Default"/>
    <w:next w:val="Default"/>
    <w:uiPriority w:val="99"/>
    <w:rsid w:val="004970AB"/>
    <w:pPr>
      <w:spacing w:line="221" w:lineRule="atLeast"/>
    </w:pPr>
    <w:rPr>
      <w:rFonts w:ascii="FS Me Pro" w:hAnsi="FS Me Pro"/>
      <w:color w:val="auto"/>
    </w:rPr>
  </w:style>
  <w:style w:type="paragraph" w:styleId="Revision">
    <w:name w:val="Revision"/>
    <w:hidden/>
    <w:uiPriority w:val="99"/>
    <w:semiHidden/>
    <w:rsid w:val="00FE3AD0"/>
    <w:rPr>
      <w:sz w:val="24"/>
      <w:szCs w:val="24"/>
      <w:lang w:eastAsia="en-US"/>
    </w:rPr>
  </w:style>
  <w:style w:type="paragraph" w:styleId="EndnoteText">
    <w:name w:val="endnote text"/>
    <w:basedOn w:val="Normal"/>
    <w:link w:val="EndnoteTextChar"/>
    <w:rsid w:val="00171A8F"/>
    <w:rPr>
      <w:sz w:val="20"/>
      <w:szCs w:val="20"/>
    </w:rPr>
  </w:style>
  <w:style w:type="character" w:customStyle="1" w:styleId="EndnoteTextChar">
    <w:name w:val="Endnote Text Char"/>
    <w:basedOn w:val="DefaultParagraphFont"/>
    <w:link w:val="EndnoteText"/>
    <w:rsid w:val="00171A8F"/>
    <w:rPr>
      <w:lang w:eastAsia="en-US"/>
    </w:rPr>
  </w:style>
  <w:style w:type="character" w:styleId="EndnoteReference">
    <w:name w:val="endnote reference"/>
    <w:basedOn w:val="DefaultParagraphFont"/>
    <w:rsid w:val="00171A8F"/>
    <w:rPr>
      <w:vertAlign w:val="superscript"/>
    </w:rPr>
  </w:style>
  <w:style w:type="paragraph" w:customStyle="1" w:styleId="Char">
    <w:name w:val="Char"/>
    <w:basedOn w:val="Normal"/>
    <w:rsid w:val="00250627"/>
    <w:rPr>
      <w:rFonts w:ascii="Arial" w:hAnsi="Arial" w:cs="Arial"/>
      <w:sz w:val="22"/>
      <w:szCs w:val="22"/>
    </w:rPr>
  </w:style>
  <w:style w:type="paragraph" w:customStyle="1" w:styleId="paralist1">
    <w:name w:val="para list 1"/>
    <w:basedOn w:val="ListParagraph"/>
    <w:link w:val="paralist1Char"/>
    <w:qFormat/>
    <w:rsid w:val="00DA348D"/>
    <w:pPr>
      <w:numPr>
        <w:numId w:val="59"/>
      </w:numPr>
      <w:spacing w:before="60"/>
      <w:ind w:left="395" w:hanging="395"/>
      <w:contextualSpacing w:val="0"/>
    </w:pPr>
  </w:style>
  <w:style w:type="character" w:customStyle="1" w:styleId="paralist1Char">
    <w:name w:val="para list 1 Char"/>
    <w:basedOn w:val="ListParagraphChar"/>
    <w:link w:val="paralist1"/>
    <w:rsid w:val="00DA348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57F"/>
    <w:pPr>
      <w:spacing w:before="120" w:after="60" w:line="276" w:lineRule="auto"/>
    </w:pPr>
    <w:rPr>
      <w:sz w:val="24"/>
      <w:szCs w:val="24"/>
      <w:lang w:eastAsia="en-US"/>
    </w:rPr>
  </w:style>
  <w:style w:type="paragraph" w:styleId="Heading1">
    <w:name w:val="heading 1"/>
    <w:basedOn w:val="Normal"/>
    <w:next w:val="Normal"/>
    <w:qFormat/>
    <w:rsid w:val="0018483F"/>
    <w:pPr>
      <w:spacing w:before="480"/>
      <w:jc w:val="center"/>
      <w:outlineLvl w:val="0"/>
    </w:pPr>
    <w:rPr>
      <w:b/>
      <w:sz w:val="40"/>
      <w:szCs w:val="40"/>
    </w:rPr>
  </w:style>
  <w:style w:type="paragraph" w:styleId="Heading2">
    <w:name w:val="heading 2"/>
    <w:basedOn w:val="Normal"/>
    <w:next w:val="Normal"/>
    <w:qFormat/>
    <w:rsid w:val="0090757F"/>
    <w:pPr>
      <w:keepNext/>
      <w:spacing w:before="60"/>
      <w:outlineLvl w:val="1"/>
    </w:pPr>
    <w:rPr>
      <w:rFonts w:cs="Arial"/>
      <w:b/>
      <w:bCs/>
      <w:iCs/>
      <w:sz w:val="28"/>
      <w:szCs w:val="28"/>
    </w:rPr>
  </w:style>
  <w:style w:type="paragraph" w:styleId="Heading3">
    <w:name w:val="heading 3"/>
    <w:basedOn w:val="Normal"/>
    <w:next w:val="Normal"/>
    <w:qFormat/>
    <w:rsid w:val="00CE4F28"/>
    <w:pPr>
      <w:keepNext/>
      <w:outlineLvl w:val="2"/>
    </w:pPr>
    <w:rPr>
      <w:rFonts w:cs="Arial"/>
      <w:b/>
      <w:bCs/>
      <w:szCs w:val="26"/>
    </w:rPr>
  </w:style>
  <w:style w:type="paragraph" w:styleId="Heading4">
    <w:name w:val="heading 4"/>
    <w:basedOn w:val="Normal"/>
    <w:next w:val="Normal"/>
    <w:qFormat/>
    <w:rsid w:val="00380439"/>
    <w:pPr>
      <w:keepNext/>
      <w:spacing w:before="240"/>
      <w:outlineLvl w:val="3"/>
    </w:pPr>
    <w:rPr>
      <w:b/>
      <w:bCs/>
      <w:szCs w:val="28"/>
    </w:rPr>
  </w:style>
  <w:style w:type="paragraph" w:styleId="Heading5">
    <w:name w:val="heading 5"/>
    <w:basedOn w:val="Normal"/>
    <w:next w:val="Normal"/>
    <w:rsid w:val="00380439"/>
    <w:pPr>
      <w:keepNext/>
      <w:spacing w:before="240"/>
      <w:outlineLvl w:val="4"/>
    </w:pPr>
    <w:rPr>
      <w:bCs/>
      <w:i/>
      <w:iCs/>
      <w:szCs w:val="26"/>
    </w:rPr>
  </w:style>
  <w:style w:type="paragraph" w:styleId="Heading6">
    <w:name w:val="heading 6"/>
    <w:basedOn w:val="Normal"/>
    <w:next w:val="Normal"/>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B68B2"/>
    <w:pPr>
      <w:spacing w:before="840"/>
      <w:jc w:val="center"/>
    </w:pPr>
    <w:rPr>
      <w:b/>
      <w:sz w:val="44"/>
      <w:szCs w:val="40"/>
    </w:rPr>
  </w:style>
  <w:style w:type="character" w:customStyle="1" w:styleId="TitleChar">
    <w:name w:val="Title Char"/>
    <w:basedOn w:val="DefaultParagraphFont"/>
    <w:link w:val="Title"/>
    <w:rsid w:val="004B68B2"/>
    <w:rPr>
      <w:b/>
      <w:sz w:val="44"/>
      <w:szCs w:val="40"/>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ody text,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A4512D"/>
    <w:pPr>
      <w:ind w:left="720"/>
      <w:contextualSpacing/>
    </w:pPr>
  </w:style>
  <w:style w:type="paragraph" w:styleId="BalloonText">
    <w:name w:val="Balloon Text"/>
    <w:basedOn w:val="Normal"/>
    <w:link w:val="BalloonTextChar"/>
    <w:rsid w:val="008261EE"/>
    <w:rPr>
      <w:rFonts w:ascii="Tahoma" w:hAnsi="Tahoma" w:cs="Tahoma"/>
      <w:sz w:val="16"/>
      <w:szCs w:val="16"/>
    </w:rPr>
  </w:style>
  <w:style w:type="character" w:customStyle="1" w:styleId="BalloonTextChar">
    <w:name w:val="Balloon Text Char"/>
    <w:basedOn w:val="DefaultParagraphFont"/>
    <w:link w:val="BalloonText"/>
    <w:rsid w:val="008261EE"/>
    <w:rPr>
      <w:rFonts w:ascii="Tahoma" w:hAnsi="Tahoma" w:cs="Tahoma"/>
      <w:sz w:val="16"/>
      <w:szCs w:val="16"/>
      <w:lang w:eastAsia="en-US"/>
    </w:rPr>
  </w:style>
  <w:style w:type="paragraph" w:customStyle="1" w:styleId="Default">
    <w:name w:val="Default"/>
    <w:rsid w:val="008261EE"/>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861192"/>
    <w:pPr>
      <w:keepLines/>
      <w:spacing w:after="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861192"/>
    <w:pPr>
      <w:spacing w:after="100"/>
    </w:pPr>
  </w:style>
  <w:style w:type="paragraph" w:styleId="TOC2">
    <w:name w:val="toc 2"/>
    <w:basedOn w:val="Normal"/>
    <w:next w:val="Normal"/>
    <w:autoRedefine/>
    <w:uiPriority w:val="39"/>
    <w:rsid w:val="00861192"/>
    <w:pPr>
      <w:spacing w:after="100"/>
      <w:ind w:left="240"/>
    </w:pPr>
  </w:style>
  <w:style w:type="paragraph" w:styleId="TOC3">
    <w:name w:val="toc 3"/>
    <w:basedOn w:val="Normal"/>
    <w:next w:val="Normal"/>
    <w:autoRedefine/>
    <w:uiPriority w:val="39"/>
    <w:rsid w:val="00861192"/>
    <w:pPr>
      <w:spacing w:after="100"/>
      <w:ind w:left="480"/>
    </w:pPr>
  </w:style>
  <w:style w:type="character" w:styleId="Hyperlink">
    <w:name w:val="Hyperlink"/>
    <w:basedOn w:val="DefaultParagraphFont"/>
    <w:uiPriority w:val="99"/>
    <w:unhideWhenUsed/>
    <w:rsid w:val="00861192"/>
    <w:rPr>
      <w:color w:val="0000FF" w:themeColor="hyperlink"/>
      <w:u w:val="single"/>
    </w:rPr>
  </w:style>
  <w:style w:type="paragraph" w:styleId="Header">
    <w:name w:val="header"/>
    <w:basedOn w:val="Normal"/>
    <w:link w:val="HeaderChar"/>
    <w:rsid w:val="00440EDC"/>
    <w:pPr>
      <w:tabs>
        <w:tab w:val="center" w:pos="4513"/>
        <w:tab w:val="right" w:pos="9026"/>
      </w:tabs>
    </w:pPr>
  </w:style>
  <w:style w:type="character" w:customStyle="1" w:styleId="HeaderChar">
    <w:name w:val="Header Char"/>
    <w:basedOn w:val="DefaultParagraphFont"/>
    <w:link w:val="Header"/>
    <w:rsid w:val="00440EDC"/>
    <w:rPr>
      <w:sz w:val="24"/>
      <w:szCs w:val="24"/>
      <w:lang w:eastAsia="en-US"/>
    </w:rPr>
  </w:style>
  <w:style w:type="paragraph" w:styleId="Footer">
    <w:name w:val="footer"/>
    <w:basedOn w:val="Normal"/>
    <w:link w:val="FooterChar"/>
    <w:uiPriority w:val="99"/>
    <w:rsid w:val="00440EDC"/>
    <w:pPr>
      <w:tabs>
        <w:tab w:val="center" w:pos="4513"/>
        <w:tab w:val="right" w:pos="9026"/>
      </w:tabs>
    </w:pPr>
  </w:style>
  <w:style w:type="character" w:customStyle="1" w:styleId="FooterChar">
    <w:name w:val="Footer Char"/>
    <w:basedOn w:val="DefaultParagraphFont"/>
    <w:link w:val="Footer"/>
    <w:uiPriority w:val="99"/>
    <w:rsid w:val="00440EDC"/>
    <w:rPr>
      <w:sz w:val="24"/>
      <w:szCs w:val="24"/>
      <w:lang w:eastAsia="en-US"/>
    </w:rPr>
  </w:style>
  <w:style w:type="character" w:styleId="CommentReference">
    <w:name w:val="annotation reference"/>
    <w:basedOn w:val="DefaultParagraphFont"/>
    <w:rsid w:val="00BD1E70"/>
    <w:rPr>
      <w:sz w:val="16"/>
      <w:szCs w:val="16"/>
    </w:rPr>
  </w:style>
  <w:style w:type="paragraph" w:styleId="CommentText">
    <w:name w:val="annotation text"/>
    <w:basedOn w:val="Normal"/>
    <w:link w:val="CommentTextChar"/>
    <w:rsid w:val="00BD1E70"/>
    <w:rPr>
      <w:sz w:val="20"/>
      <w:szCs w:val="20"/>
    </w:rPr>
  </w:style>
  <w:style w:type="character" w:customStyle="1" w:styleId="CommentTextChar">
    <w:name w:val="Comment Text Char"/>
    <w:basedOn w:val="DefaultParagraphFont"/>
    <w:link w:val="CommentText"/>
    <w:rsid w:val="00BD1E70"/>
    <w:rPr>
      <w:lang w:eastAsia="en-US"/>
    </w:rPr>
  </w:style>
  <w:style w:type="paragraph" w:styleId="CommentSubject">
    <w:name w:val="annotation subject"/>
    <w:basedOn w:val="CommentText"/>
    <w:next w:val="CommentText"/>
    <w:link w:val="CommentSubjectChar"/>
    <w:rsid w:val="00BD1E70"/>
    <w:rPr>
      <w:b/>
      <w:bCs/>
    </w:rPr>
  </w:style>
  <w:style w:type="character" w:customStyle="1" w:styleId="CommentSubjectChar">
    <w:name w:val="Comment Subject Char"/>
    <w:basedOn w:val="CommentTextChar"/>
    <w:link w:val="CommentSubject"/>
    <w:rsid w:val="00BD1E70"/>
    <w:rPr>
      <w:b/>
      <w:bCs/>
      <w:lang w:eastAsia="en-US"/>
    </w:rPr>
  </w:style>
  <w:style w:type="paragraph" w:styleId="NormalWeb">
    <w:name w:val="Normal (Web)"/>
    <w:basedOn w:val="Normal"/>
    <w:uiPriority w:val="99"/>
    <w:unhideWhenUsed/>
    <w:rsid w:val="002A473A"/>
    <w:pPr>
      <w:spacing w:before="100" w:beforeAutospacing="1" w:after="100" w:afterAutospacing="1"/>
    </w:pPr>
    <w:rPr>
      <w:lang w:eastAsia="en-AU"/>
    </w:rPr>
  </w:style>
  <w:style w:type="paragraph" w:styleId="FootnoteText">
    <w:name w:val="footnote text"/>
    <w:aliases w:val="(NECG) Footnote Text"/>
    <w:basedOn w:val="Normal"/>
    <w:link w:val="FootnoteTextChar"/>
    <w:rsid w:val="002A473A"/>
    <w:rPr>
      <w:sz w:val="20"/>
      <w:szCs w:val="20"/>
    </w:rPr>
  </w:style>
  <w:style w:type="character" w:customStyle="1" w:styleId="FootnoteTextChar">
    <w:name w:val="Footnote Text Char"/>
    <w:aliases w:val="(NECG) Footnote Text Char"/>
    <w:basedOn w:val="DefaultParagraphFont"/>
    <w:link w:val="FootnoteText"/>
    <w:rsid w:val="002A473A"/>
    <w:rPr>
      <w:lang w:eastAsia="en-US"/>
    </w:rPr>
  </w:style>
  <w:style w:type="character" w:styleId="FootnoteReference">
    <w:name w:val="footnote reference"/>
    <w:aliases w:val="(NECG) Footnote Reference"/>
    <w:basedOn w:val="DefaultParagraphFont"/>
    <w:rsid w:val="002A473A"/>
    <w:rPr>
      <w:vertAlign w:val="superscript"/>
    </w:rPr>
  </w:style>
  <w:style w:type="character" w:customStyle="1" w:styleId="ListParagraphChar">
    <w:name w:val="List Paragraph Char"/>
    <w:aliases w:val="Body text Char,Bullet point Char,Bullets Char,CV text Char,Dot pt Char,F5 List Paragraph Char,FooterText Char,L Char,List Paragraph1 Char,List Paragraph11 Char,List Paragraph111 Char,List Paragraph2 Char,NAST Quote Char,列 Char"/>
    <w:link w:val="ListParagraph"/>
    <w:uiPriority w:val="34"/>
    <w:locked/>
    <w:rsid w:val="003156B7"/>
    <w:rPr>
      <w:sz w:val="24"/>
      <w:szCs w:val="24"/>
      <w:lang w:eastAsia="en-US"/>
    </w:rPr>
  </w:style>
  <w:style w:type="table" w:styleId="TableGrid">
    <w:name w:val="Table Grid"/>
    <w:basedOn w:val="TableNormal"/>
    <w:rsid w:val="002B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E1AFC"/>
    <w:rPr>
      <w:color w:val="800080" w:themeColor="followedHyperlink"/>
      <w:u w:val="single"/>
    </w:rPr>
  </w:style>
  <w:style w:type="paragraph" w:customStyle="1" w:styleId="Pa4">
    <w:name w:val="Pa4"/>
    <w:basedOn w:val="Default"/>
    <w:next w:val="Default"/>
    <w:uiPriority w:val="99"/>
    <w:rsid w:val="004970AB"/>
    <w:pPr>
      <w:spacing w:line="221" w:lineRule="atLeast"/>
    </w:pPr>
    <w:rPr>
      <w:rFonts w:ascii="FS Me Pro" w:hAnsi="FS Me Pro"/>
      <w:color w:val="auto"/>
    </w:rPr>
  </w:style>
  <w:style w:type="paragraph" w:styleId="Revision">
    <w:name w:val="Revision"/>
    <w:hidden/>
    <w:uiPriority w:val="99"/>
    <w:semiHidden/>
    <w:rsid w:val="00FE3AD0"/>
    <w:rPr>
      <w:sz w:val="24"/>
      <w:szCs w:val="24"/>
      <w:lang w:eastAsia="en-US"/>
    </w:rPr>
  </w:style>
  <w:style w:type="paragraph" w:styleId="EndnoteText">
    <w:name w:val="endnote text"/>
    <w:basedOn w:val="Normal"/>
    <w:link w:val="EndnoteTextChar"/>
    <w:rsid w:val="00171A8F"/>
    <w:rPr>
      <w:sz w:val="20"/>
      <w:szCs w:val="20"/>
    </w:rPr>
  </w:style>
  <w:style w:type="character" w:customStyle="1" w:styleId="EndnoteTextChar">
    <w:name w:val="Endnote Text Char"/>
    <w:basedOn w:val="DefaultParagraphFont"/>
    <w:link w:val="EndnoteText"/>
    <w:rsid w:val="00171A8F"/>
    <w:rPr>
      <w:lang w:eastAsia="en-US"/>
    </w:rPr>
  </w:style>
  <w:style w:type="character" w:styleId="EndnoteReference">
    <w:name w:val="endnote reference"/>
    <w:basedOn w:val="DefaultParagraphFont"/>
    <w:rsid w:val="00171A8F"/>
    <w:rPr>
      <w:vertAlign w:val="superscript"/>
    </w:rPr>
  </w:style>
  <w:style w:type="paragraph" w:customStyle="1" w:styleId="Char">
    <w:name w:val="Char"/>
    <w:basedOn w:val="Normal"/>
    <w:rsid w:val="00250627"/>
    <w:rPr>
      <w:rFonts w:ascii="Arial" w:hAnsi="Arial" w:cs="Arial"/>
      <w:sz w:val="22"/>
      <w:szCs w:val="22"/>
    </w:rPr>
  </w:style>
  <w:style w:type="paragraph" w:customStyle="1" w:styleId="paralist1">
    <w:name w:val="para list 1"/>
    <w:basedOn w:val="ListParagraph"/>
    <w:link w:val="paralist1Char"/>
    <w:qFormat/>
    <w:rsid w:val="00DA348D"/>
    <w:pPr>
      <w:numPr>
        <w:numId w:val="59"/>
      </w:numPr>
      <w:spacing w:before="60"/>
      <w:ind w:left="395" w:hanging="395"/>
      <w:contextualSpacing w:val="0"/>
    </w:pPr>
  </w:style>
  <w:style w:type="character" w:customStyle="1" w:styleId="paralist1Char">
    <w:name w:val="para list 1 Char"/>
    <w:basedOn w:val="ListParagraphChar"/>
    <w:link w:val="paralist1"/>
    <w:rsid w:val="00DA34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3521">
      <w:bodyDiv w:val="1"/>
      <w:marLeft w:val="0"/>
      <w:marRight w:val="0"/>
      <w:marTop w:val="0"/>
      <w:marBottom w:val="0"/>
      <w:divBdr>
        <w:top w:val="none" w:sz="0" w:space="0" w:color="auto"/>
        <w:left w:val="none" w:sz="0" w:space="0" w:color="auto"/>
        <w:bottom w:val="none" w:sz="0" w:space="0" w:color="auto"/>
        <w:right w:val="none" w:sz="0" w:space="0" w:color="auto"/>
      </w:divBdr>
    </w:div>
    <w:div w:id="122047255">
      <w:bodyDiv w:val="1"/>
      <w:marLeft w:val="0"/>
      <w:marRight w:val="0"/>
      <w:marTop w:val="0"/>
      <w:marBottom w:val="0"/>
      <w:divBdr>
        <w:top w:val="none" w:sz="0" w:space="0" w:color="auto"/>
        <w:left w:val="none" w:sz="0" w:space="0" w:color="auto"/>
        <w:bottom w:val="none" w:sz="0" w:space="0" w:color="auto"/>
        <w:right w:val="none" w:sz="0" w:space="0" w:color="auto"/>
      </w:divBdr>
      <w:divsChild>
        <w:div w:id="1777098302">
          <w:marLeft w:val="0"/>
          <w:marRight w:val="0"/>
          <w:marTop w:val="0"/>
          <w:marBottom w:val="0"/>
          <w:divBdr>
            <w:top w:val="none" w:sz="0" w:space="0" w:color="auto"/>
            <w:left w:val="none" w:sz="0" w:space="0" w:color="auto"/>
            <w:bottom w:val="none" w:sz="0" w:space="0" w:color="auto"/>
            <w:right w:val="none" w:sz="0" w:space="0" w:color="auto"/>
          </w:divBdr>
          <w:divsChild>
            <w:div w:id="270743719">
              <w:marLeft w:val="0"/>
              <w:marRight w:val="0"/>
              <w:marTop w:val="0"/>
              <w:marBottom w:val="0"/>
              <w:divBdr>
                <w:top w:val="none" w:sz="0" w:space="0" w:color="auto"/>
                <w:left w:val="none" w:sz="0" w:space="0" w:color="auto"/>
                <w:bottom w:val="none" w:sz="0" w:space="0" w:color="auto"/>
                <w:right w:val="none" w:sz="0" w:space="0" w:color="auto"/>
              </w:divBdr>
              <w:divsChild>
                <w:div w:id="308676188">
                  <w:marLeft w:val="0"/>
                  <w:marRight w:val="0"/>
                  <w:marTop w:val="0"/>
                  <w:marBottom w:val="0"/>
                  <w:divBdr>
                    <w:top w:val="none" w:sz="0" w:space="0" w:color="auto"/>
                    <w:left w:val="none" w:sz="0" w:space="0" w:color="auto"/>
                    <w:bottom w:val="none" w:sz="0" w:space="0" w:color="auto"/>
                    <w:right w:val="none" w:sz="0" w:space="0" w:color="auto"/>
                  </w:divBdr>
                  <w:divsChild>
                    <w:div w:id="615067542">
                      <w:marLeft w:val="0"/>
                      <w:marRight w:val="0"/>
                      <w:marTop w:val="0"/>
                      <w:marBottom w:val="0"/>
                      <w:divBdr>
                        <w:top w:val="none" w:sz="0" w:space="0" w:color="auto"/>
                        <w:left w:val="none" w:sz="0" w:space="0" w:color="auto"/>
                        <w:bottom w:val="none" w:sz="0" w:space="0" w:color="auto"/>
                        <w:right w:val="none" w:sz="0" w:space="0" w:color="auto"/>
                      </w:divBdr>
                      <w:divsChild>
                        <w:div w:id="288097224">
                          <w:marLeft w:val="0"/>
                          <w:marRight w:val="0"/>
                          <w:marTop w:val="0"/>
                          <w:marBottom w:val="0"/>
                          <w:divBdr>
                            <w:top w:val="none" w:sz="0" w:space="0" w:color="auto"/>
                            <w:left w:val="none" w:sz="0" w:space="0" w:color="auto"/>
                            <w:bottom w:val="none" w:sz="0" w:space="0" w:color="auto"/>
                            <w:right w:val="none" w:sz="0" w:space="0" w:color="auto"/>
                          </w:divBdr>
                          <w:divsChild>
                            <w:div w:id="765542665">
                              <w:marLeft w:val="0"/>
                              <w:marRight w:val="0"/>
                              <w:marTop w:val="0"/>
                              <w:marBottom w:val="0"/>
                              <w:divBdr>
                                <w:top w:val="none" w:sz="0" w:space="0" w:color="auto"/>
                                <w:left w:val="none" w:sz="0" w:space="0" w:color="auto"/>
                                <w:bottom w:val="none" w:sz="0" w:space="0" w:color="auto"/>
                                <w:right w:val="none" w:sz="0" w:space="0" w:color="auto"/>
                              </w:divBdr>
                              <w:divsChild>
                                <w:div w:id="787042110">
                                  <w:marLeft w:val="0"/>
                                  <w:marRight w:val="0"/>
                                  <w:marTop w:val="0"/>
                                  <w:marBottom w:val="0"/>
                                  <w:divBdr>
                                    <w:top w:val="none" w:sz="0" w:space="0" w:color="auto"/>
                                    <w:left w:val="none" w:sz="0" w:space="0" w:color="auto"/>
                                    <w:bottom w:val="none" w:sz="0" w:space="0" w:color="auto"/>
                                    <w:right w:val="none" w:sz="0" w:space="0" w:color="auto"/>
                                  </w:divBdr>
                                  <w:divsChild>
                                    <w:div w:id="15376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07673">
      <w:bodyDiv w:val="1"/>
      <w:marLeft w:val="0"/>
      <w:marRight w:val="0"/>
      <w:marTop w:val="0"/>
      <w:marBottom w:val="0"/>
      <w:divBdr>
        <w:top w:val="none" w:sz="0" w:space="0" w:color="auto"/>
        <w:left w:val="none" w:sz="0" w:space="0" w:color="auto"/>
        <w:bottom w:val="none" w:sz="0" w:space="0" w:color="auto"/>
        <w:right w:val="none" w:sz="0" w:space="0" w:color="auto"/>
      </w:divBdr>
      <w:divsChild>
        <w:div w:id="1146160999">
          <w:marLeft w:val="0"/>
          <w:marRight w:val="0"/>
          <w:marTop w:val="0"/>
          <w:marBottom w:val="0"/>
          <w:divBdr>
            <w:top w:val="none" w:sz="0" w:space="0" w:color="auto"/>
            <w:left w:val="none" w:sz="0" w:space="0" w:color="auto"/>
            <w:bottom w:val="none" w:sz="0" w:space="0" w:color="auto"/>
            <w:right w:val="none" w:sz="0" w:space="0" w:color="auto"/>
          </w:divBdr>
          <w:divsChild>
            <w:div w:id="1700280796">
              <w:marLeft w:val="0"/>
              <w:marRight w:val="0"/>
              <w:marTop w:val="0"/>
              <w:marBottom w:val="0"/>
              <w:divBdr>
                <w:top w:val="none" w:sz="0" w:space="0" w:color="auto"/>
                <w:left w:val="none" w:sz="0" w:space="0" w:color="auto"/>
                <w:bottom w:val="none" w:sz="0" w:space="0" w:color="auto"/>
                <w:right w:val="none" w:sz="0" w:space="0" w:color="auto"/>
              </w:divBdr>
              <w:divsChild>
                <w:div w:id="1758136456">
                  <w:marLeft w:val="0"/>
                  <w:marRight w:val="0"/>
                  <w:marTop w:val="0"/>
                  <w:marBottom w:val="0"/>
                  <w:divBdr>
                    <w:top w:val="none" w:sz="0" w:space="0" w:color="auto"/>
                    <w:left w:val="none" w:sz="0" w:space="0" w:color="auto"/>
                    <w:bottom w:val="none" w:sz="0" w:space="0" w:color="auto"/>
                    <w:right w:val="none" w:sz="0" w:space="0" w:color="auto"/>
                  </w:divBdr>
                  <w:divsChild>
                    <w:div w:id="1953199095">
                      <w:marLeft w:val="-225"/>
                      <w:marRight w:val="-225"/>
                      <w:marTop w:val="0"/>
                      <w:marBottom w:val="0"/>
                      <w:divBdr>
                        <w:top w:val="none" w:sz="0" w:space="0" w:color="auto"/>
                        <w:left w:val="none" w:sz="0" w:space="0" w:color="auto"/>
                        <w:bottom w:val="none" w:sz="0" w:space="0" w:color="auto"/>
                        <w:right w:val="none" w:sz="0" w:space="0" w:color="auto"/>
                      </w:divBdr>
                      <w:divsChild>
                        <w:div w:id="2092193701">
                          <w:marLeft w:val="0"/>
                          <w:marRight w:val="0"/>
                          <w:marTop w:val="0"/>
                          <w:marBottom w:val="0"/>
                          <w:divBdr>
                            <w:top w:val="none" w:sz="0" w:space="0" w:color="auto"/>
                            <w:left w:val="none" w:sz="0" w:space="0" w:color="auto"/>
                            <w:bottom w:val="none" w:sz="0" w:space="0" w:color="auto"/>
                            <w:right w:val="none" w:sz="0" w:space="0" w:color="auto"/>
                          </w:divBdr>
                          <w:divsChild>
                            <w:div w:id="785924451">
                              <w:marLeft w:val="0"/>
                              <w:marRight w:val="0"/>
                              <w:marTop w:val="0"/>
                              <w:marBottom w:val="0"/>
                              <w:divBdr>
                                <w:top w:val="none" w:sz="0" w:space="0" w:color="auto"/>
                                <w:left w:val="none" w:sz="0" w:space="0" w:color="auto"/>
                                <w:bottom w:val="none" w:sz="0" w:space="0" w:color="auto"/>
                                <w:right w:val="none" w:sz="0" w:space="0" w:color="auto"/>
                              </w:divBdr>
                              <w:divsChild>
                                <w:div w:id="1013802779">
                                  <w:marLeft w:val="0"/>
                                  <w:marRight w:val="0"/>
                                  <w:marTop w:val="0"/>
                                  <w:marBottom w:val="0"/>
                                  <w:divBdr>
                                    <w:top w:val="none" w:sz="0" w:space="0" w:color="auto"/>
                                    <w:left w:val="none" w:sz="0" w:space="0" w:color="auto"/>
                                    <w:bottom w:val="none" w:sz="0" w:space="0" w:color="auto"/>
                                    <w:right w:val="none" w:sz="0" w:space="0" w:color="auto"/>
                                  </w:divBdr>
                                  <w:divsChild>
                                    <w:div w:id="1493985983">
                                      <w:marLeft w:val="0"/>
                                      <w:marRight w:val="0"/>
                                      <w:marTop w:val="0"/>
                                      <w:marBottom w:val="0"/>
                                      <w:divBdr>
                                        <w:top w:val="none" w:sz="0" w:space="0" w:color="auto"/>
                                        <w:left w:val="none" w:sz="0" w:space="0" w:color="auto"/>
                                        <w:bottom w:val="none" w:sz="0" w:space="0" w:color="auto"/>
                                        <w:right w:val="none" w:sz="0" w:space="0" w:color="auto"/>
                                      </w:divBdr>
                                      <w:divsChild>
                                        <w:div w:id="41712090">
                                          <w:marLeft w:val="0"/>
                                          <w:marRight w:val="0"/>
                                          <w:marTop w:val="0"/>
                                          <w:marBottom w:val="0"/>
                                          <w:divBdr>
                                            <w:top w:val="none" w:sz="0" w:space="0" w:color="auto"/>
                                            <w:left w:val="none" w:sz="0" w:space="0" w:color="auto"/>
                                            <w:bottom w:val="none" w:sz="0" w:space="0" w:color="auto"/>
                                            <w:right w:val="none" w:sz="0" w:space="0" w:color="auto"/>
                                          </w:divBdr>
                                          <w:divsChild>
                                            <w:div w:id="860430959">
                                              <w:marLeft w:val="0"/>
                                              <w:marRight w:val="0"/>
                                              <w:marTop w:val="0"/>
                                              <w:marBottom w:val="0"/>
                                              <w:divBdr>
                                                <w:top w:val="none" w:sz="0" w:space="0" w:color="auto"/>
                                                <w:left w:val="none" w:sz="0" w:space="0" w:color="auto"/>
                                                <w:bottom w:val="none" w:sz="0" w:space="0" w:color="auto"/>
                                                <w:right w:val="none" w:sz="0" w:space="0" w:color="auto"/>
                                              </w:divBdr>
                                              <w:divsChild>
                                                <w:div w:id="106434295">
                                                  <w:marLeft w:val="-225"/>
                                                  <w:marRight w:val="-225"/>
                                                  <w:marTop w:val="0"/>
                                                  <w:marBottom w:val="0"/>
                                                  <w:divBdr>
                                                    <w:top w:val="none" w:sz="0" w:space="0" w:color="auto"/>
                                                    <w:left w:val="none" w:sz="0" w:space="0" w:color="auto"/>
                                                    <w:bottom w:val="none" w:sz="0" w:space="0" w:color="auto"/>
                                                    <w:right w:val="none" w:sz="0" w:space="0" w:color="auto"/>
                                                  </w:divBdr>
                                                  <w:divsChild>
                                                    <w:div w:id="1575624673">
                                                      <w:marLeft w:val="0"/>
                                                      <w:marRight w:val="0"/>
                                                      <w:marTop w:val="0"/>
                                                      <w:marBottom w:val="0"/>
                                                      <w:divBdr>
                                                        <w:top w:val="none" w:sz="0" w:space="0" w:color="auto"/>
                                                        <w:left w:val="none" w:sz="0" w:space="0" w:color="auto"/>
                                                        <w:bottom w:val="none" w:sz="0" w:space="0" w:color="auto"/>
                                                        <w:right w:val="none" w:sz="0" w:space="0" w:color="auto"/>
                                                      </w:divBdr>
                                                      <w:divsChild>
                                                        <w:div w:id="4323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63588">
      <w:bodyDiv w:val="1"/>
      <w:marLeft w:val="0"/>
      <w:marRight w:val="0"/>
      <w:marTop w:val="0"/>
      <w:marBottom w:val="0"/>
      <w:divBdr>
        <w:top w:val="none" w:sz="0" w:space="0" w:color="auto"/>
        <w:left w:val="none" w:sz="0" w:space="0" w:color="auto"/>
        <w:bottom w:val="none" w:sz="0" w:space="0" w:color="auto"/>
        <w:right w:val="none" w:sz="0" w:space="0" w:color="auto"/>
      </w:divBdr>
      <w:divsChild>
        <w:div w:id="1495755137">
          <w:marLeft w:val="0"/>
          <w:marRight w:val="0"/>
          <w:marTop w:val="0"/>
          <w:marBottom w:val="0"/>
          <w:divBdr>
            <w:top w:val="none" w:sz="0" w:space="0" w:color="auto"/>
            <w:left w:val="none" w:sz="0" w:space="0" w:color="auto"/>
            <w:bottom w:val="none" w:sz="0" w:space="0" w:color="auto"/>
            <w:right w:val="none" w:sz="0" w:space="0" w:color="auto"/>
          </w:divBdr>
          <w:divsChild>
            <w:div w:id="191307153">
              <w:marLeft w:val="-225"/>
              <w:marRight w:val="-225"/>
              <w:marTop w:val="0"/>
              <w:marBottom w:val="0"/>
              <w:divBdr>
                <w:top w:val="none" w:sz="0" w:space="0" w:color="auto"/>
                <w:left w:val="none" w:sz="0" w:space="0" w:color="auto"/>
                <w:bottom w:val="none" w:sz="0" w:space="0" w:color="auto"/>
                <w:right w:val="none" w:sz="0" w:space="0" w:color="auto"/>
              </w:divBdr>
              <w:divsChild>
                <w:div w:id="1122842561">
                  <w:marLeft w:val="0"/>
                  <w:marRight w:val="0"/>
                  <w:marTop w:val="0"/>
                  <w:marBottom w:val="0"/>
                  <w:divBdr>
                    <w:top w:val="none" w:sz="0" w:space="0" w:color="auto"/>
                    <w:left w:val="none" w:sz="0" w:space="0" w:color="auto"/>
                    <w:bottom w:val="none" w:sz="0" w:space="0" w:color="auto"/>
                    <w:right w:val="none" w:sz="0" w:space="0" w:color="auto"/>
                  </w:divBdr>
                  <w:divsChild>
                    <w:div w:id="791368711">
                      <w:marLeft w:val="0"/>
                      <w:marRight w:val="0"/>
                      <w:marTop w:val="0"/>
                      <w:marBottom w:val="0"/>
                      <w:divBdr>
                        <w:top w:val="none" w:sz="0" w:space="0" w:color="auto"/>
                        <w:left w:val="none" w:sz="0" w:space="0" w:color="auto"/>
                        <w:bottom w:val="none" w:sz="0" w:space="0" w:color="auto"/>
                        <w:right w:val="none" w:sz="0" w:space="0" w:color="auto"/>
                      </w:divBdr>
                      <w:divsChild>
                        <w:div w:id="1518695417">
                          <w:marLeft w:val="0"/>
                          <w:marRight w:val="0"/>
                          <w:marTop w:val="0"/>
                          <w:marBottom w:val="0"/>
                          <w:divBdr>
                            <w:top w:val="none" w:sz="0" w:space="0" w:color="auto"/>
                            <w:left w:val="none" w:sz="0" w:space="0" w:color="auto"/>
                            <w:bottom w:val="none" w:sz="0" w:space="0" w:color="auto"/>
                            <w:right w:val="none" w:sz="0" w:space="0" w:color="auto"/>
                          </w:divBdr>
                          <w:divsChild>
                            <w:div w:id="16518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403182">
      <w:bodyDiv w:val="1"/>
      <w:marLeft w:val="0"/>
      <w:marRight w:val="0"/>
      <w:marTop w:val="0"/>
      <w:marBottom w:val="0"/>
      <w:divBdr>
        <w:top w:val="none" w:sz="0" w:space="0" w:color="auto"/>
        <w:left w:val="none" w:sz="0" w:space="0" w:color="auto"/>
        <w:bottom w:val="none" w:sz="0" w:space="0" w:color="auto"/>
        <w:right w:val="none" w:sz="0" w:space="0" w:color="auto"/>
      </w:divBdr>
    </w:div>
    <w:div w:id="539979671">
      <w:bodyDiv w:val="1"/>
      <w:marLeft w:val="0"/>
      <w:marRight w:val="0"/>
      <w:marTop w:val="0"/>
      <w:marBottom w:val="0"/>
      <w:divBdr>
        <w:top w:val="none" w:sz="0" w:space="0" w:color="auto"/>
        <w:left w:val="none" w:sz="0" w:space="0" w:color="auto"/>
        <w:bottom w:val="none" w:sz="0" w:space="0" w:color="auto"/>
        <w:right w:val="none" w:sz="0" w:space="0" w:color="auto"/>
      </w:divBdr>
      <w:divsChild>
        <w:div w:id="845091498">
          <w:marLeft w:val="0"/>
          <w:marRight w:val="0"/>
          <w:marTop w:val="0"/>
          <w:marBottom w:val="0"/>
          <w:divBdr>
            <w:top w:val="none" w:sz="0" w:space="0" w:color="auto"/>
            <w:left w:val="none" w:sz="0" w:space="0" w:color="auto"/>
            <w:bottom w:val="none" w:sz="0" w:space="0" w:color="auto"/>
            <w:right w:val="none" w:sz="0" w:space="0" w:color="auto"/>
          </w:divBdr>
          <w:divsChild>
            <w:div w:id="26873268">
              <w:marLeft w:val="0"/>
              <w:marRight w:val="0"/>
              <w:marTop w:val="0"/>
              <w:marBottom w:val="0"/>
              <w:divBdr>
                <w:top w:val="none" w:sz="0" w:space="0" w:color="auto"/>
                <w:left w:val="none" w:sz="0" w:space="0" w:color="auto"/>
                <w:bottom w:val="none" w:sz="0" w:space="0" w:color="auto"/>
                <w:right w:val="none" w:sz="0" w:space="0" w:color="auto"/>
              </w:divBdr>
              <w:divsChild>
                <w:div w:id="1199778662">
                  <w:marLeft w:val="0"/>
                  <w:marRight w:val="0"/>
                  <w:marTop w:val="0"/>
                  <w:marBottom w:val="0"/>
                  <w:divBdr>
                    <w:top w:val="none" w:sz="0" w:space="0" w:color="auto"/>
                    <w:left w:val="none" w:sz="0" w:space="0" w:color="auto"/>
                    <w:bottom w:val="none" w:sz="0" w:space="0" w:color="auto"/>
                    <w:right w:val="none" w:sz="0" w:space="0" w:color="auto"/>
                  </w:divBdr>
                  <w:divsChild>
                    <w:div w:id="265963717">
                      <w:marLeft w:val="0"/>
                      <w:marRight w:val="0"/>
                      <w:marTop w:val="0"/>
                      <w:marBottom w:val="0"/>
                      <w:divBdr>
                        <w:top w:val="none" w:sz="0" w:space="0" w:color="auto"/>
                        <w:left w:val="none" w:sz="0" w:space="0" w:color="auto"/>
                        <w:bottom w:val="none" w:sz="0" w:space="0" w:color="auto"/>
                        <w:right w:val="none" w:sz="0" w:space="0" w:color="auto"/>
                      </w:divBdr>
                      <w:divsChild>
                        <w:div w:id="681855782">
                          <w:marLeft w:val="0"/>
                          <w:marRight w:val="0"/>
                          <w:marTop w:val="0"/>
                          <w:marBottom w:val="0"/>
                          <w:divBdr>
                            <w:top w:val="none" w:sz="0" w:space="0" w:color="auto"/>
                            <w:left w:val="none" w:sz="0" w:space="0" w:color="auto"/>
                            <w:bottom w:val="none" w:sz="0" w:space="0" w:color="auto"/>
                            <w:right w:val="none" w:sz="0" w:space="0" w:color="auto"/>
                          </w:divBdr>
                          <w:divsChild>
                            <w:div w:id="420760525">
                              <w:marLeft w:val="0"/>
                              <w:marRight w:val="0"/>
                              <w:marTop w:val="0"/>
                              <w:marBottom w:val="0"/>
                              <w:divBdr>
                                <w:top w:val="none" w:sz="0" w:space="0" w:color="auto"/>
                                <w:left w:val="none" w:sz="0" w:space="0" w:color="auto"/>
                                <w:bottom w:val="none" w:sz="0" w:space="0" w:color="auto"/>
                                <w:right w:val="none" w:sz="0" w:space="0" w:color="auto"/>
                              </w:divBdr>
                              <w:divsChild>
                                <w:div w:id="655305915">
                                  <w:marLeft w:val="0"/>
                                  <w:marRight w:val="0"/>
                                  <w:marTop w:val="0"/>
                                  <w:marBottom w:val="0"/>
                                  <w:divBdr>
                                    <w:top w:val="none" w:sz="0" w:space="0" w:color="auto"/>
                                    <w:left w:val="none" w:sz="0" w:space="0" w:color="auto"/>
                                    <w:bottom w:val="none" w:sz="0" w:space="0" w:color="auto"/>
                                    <w:right w:val="none" w:sz="0" w:space="0" w:color="auto"/>
                                  </w:divBdr>
                                  <w:divsChild>
                                    <w:div w:id="492260598">
                                      <w:marLeft w:val="0"/>
                                      <w:marRight w:val="0"/>
                                      <w:marTop w:val="0"/>
                                      <w:marBottom w:val="0"/>
                                      <w:divBdr>
                                        <w:top w:val="none" w:sz="0" w:space="0" w:color="auto"/>
                                        <w:left w:val="none" w:sz="0" w:space="0" w:color="auto"/>
                                        <w:bottom w:val="none" w:sz="0" w:space="0" w:color="auto"/>
                                        <w:right w:val="none" w:sz="0" w:space="0" w:color="auto"/>
                                      </w:divBdr>
                                      <w:divsChild>
                                        <w:div w:id="1127814410">
                                          <w:marLeft w:val="0"/>
                                          <w:marRight w:val="0"/>
                                          <w:marTop w:val="0"/>
                                          <w:marBottom w:val="0"/>
                                          <w:divBdr>
                                            <w:top w:val="none" w:sz="0" w:space="0" w:color="auto"/>
                                            <w:left w:val="none" w:sz="0" w:space="0" w:color="auto"/>
                                            <w:bottom w:val="none" w:sz="0" w:space="0" w:color="auto"/>
                                            <w:right w:val="none" w:sz="0" w:space="0" w:color="auto"/>
                                          </w:divBdr>
                                          <w:divsChild>
                                            <w:div w:id="19420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733394">
      <w:bodyDiv w:val="1"/>
      <w:marLeft w:val="0"/>
      <w:marRight w:val="0"/>
      <w:marTop w:val="0"/>
      <w:marBottom w:val="0"/>
      <w:divBdr>
        <w:top w:val="none" w:sz="0" w:space="0" w:color="auto"/>
        <w:left w:val="none" w:sz="0" w:space="0" w:color="auto"/>
        <w:bottom w:val="none" w:sz="0" w:space="0" w:color="auto"/>
        <w:right w:val="none" w:sz="0" w:space="0" w:color="auto"/>
      </w:divBdr>
      <w:divsChild>
        <w:div w:id="1442530873">
          <w:marLeft w:val="0"/>
          <w:marRight w:val="0"/>
          <w:marTop w:val="0"/>
          <w:marBottom w:val="0"/>
          <w:divBdr>
            <w:top w:val="none" w:sz="0" w:space="0" w:color="auto"/>
            <w:left w:val="none" w:sz="0" w:space="0" w:color="auto"/>
            <w:bottom w:val="none" w:sz="0" w:space="0" w:color="auto"/>
            <w:right w:val="none" w:sz="0" w:space="0" w:color="auto"/>
          </w:divBdr>
          <w:divsChild>
            <w:div w:id="415594533">
              <w:marLeft w:val="0"/>
              <w:marRight w:val="0"/>
              <w:marTop w:val="0"/>
              <w:marBottom w:val="0"/>
              <w:divBdr>
                <w:top w:val="none" w:sz="0" w:space="0" w:color="auto"/>
                <w:left w:val="none" w:sz="0" w:space="0" w:color="auto"/>
                <w:bottom w:val="none" w:sz="0" w:space="0" w:color="auto"/>
                <w:right w:val="none" w:sz="0" w:space="0" w:color="auto"/>
              </w:divBdr>
              <w:divsChild>
                <w:div w:id="1853952469">
                  <w:marLeft w:val="0"/>
                  <w:marRight w:val="0"/>
                  <w:marTop w:val="0"/>
                  <w:marBottom w:val="0"/>
                  <w:divBdr>
                    <w:top w:val="none" w:sz="0" w:space="0" w:color="auto"/>
                    <w:left w:val="none" w:sz="0" w:space="0" w:color="auto"/>
                    <w:bottom w:val="none" w:sz="0" w:space="0" w:color="auto"/>
                    <w:right w:val="none" w:sz="0" w:space="0" w:color="auto"/>
                  </w:divBdr>
                  <w:divsChild>
                    <w:div w:id="1948193206">
                      <w:marLeft w:val="0"/>
                      <w:marRight w:val="0"/>
                      <w:marTop w:val="0"/>
                      <w:marBottom w:val="0"/>
                      <w:divBdr>
                        <w:top w:val="none" w:sz="0" w:space="0" w:color="auto"/>
                        <w:left w:val="none" w:sz="0" w:space="0" w:color="auto"/>
                        <w:bottom w:val="none" w:sz="0" w:space="0" w:color="auto"/>
                        <w:right w:val="none" w:sz="0" w:space="0" w:color="auto"/>
                      </w:divBdr>
                      <w:divsChild>
                        <w:div w:id="1752386144">
                          <w:marLeft w:val="0"/>
                          <w:marRight w:val="0"/>
                          <w:marTop w:val="0"/>
                          <w:marBottom w:val="0"/>
                          <w:divBdr>
                            <w:top w:val="none" w:sz="0" w:space="0" w:color="auto"/>
                            <w:left w:val="none" w:sz="0" w:space="0" w:color="auto"/>
                            <w:bottom w:val="none" w:sz="0" w:space="0" w:color="auto"/>
                            <w:right w:val="none" w:sz="0" w:space="0" w:color="auto"/>
                          </w:divBdr>
                          <w:divsChild>
                            <w:div w:id="1988126640">
                              <w:marLeft w:val="0"/>
                              <w:marRight w:val="0"/>
                              <w:marTop w:val="0"/>
                              <w:marBottom w:val="0"/>
                              <w:divBdr>
                                <w:top w:val="none" w:sz="0" w:space="0" w:color="auto"/>
                                <w:left w:val="none" w:sz="0" w:space="0" w:color="auto"/>
                                <w:bottom w:val="none" w:sz="0" w:space="0" w:color="auto"/>
                                <w:right w:val="none" w:sz="0" w:space="0" w:color="auto"/>
                              </w:divBdr>
                              <w:divsChild>
                                <w:div w:id="535898218">
                                  <w:marLeft w:val="0"/>
                                  <w:marRight w:val="0"/>
                                  <w:marTop w:val="0"/>
                                  <w:marBottom w:val="0"/>
                                  <w:divBdr>
                                    <w:top w:val="none" w:sz="0" w:space="0" w:color="auto"/>
                                    <w:left w:val="none" w:sz="0" w:space="0" w:color="auto"/>
                                    <w:bottom w:val="none" w:sz="0" w:space="0" w:color="auto"/>
                                    <w:right w:val="none" w:sz="0" w:space="0" w:color="auto"/>
                                  </w:divBdr>
                                  <w:divsChild>
                                    <w:div w:id="774058775">
                                      <w:marLeft w:val="0"/>
                                      <w:marRight w:val="0"/>
                                      <w:marTop w:val="0"/>
                                      <w:marBottom w:val="0"/>
                                      <w:divBdr>
                                        <w:top w:val="none" w:sz="0" w:space="0" w:color="auto"/>
                                        <w:left w:val="none" w:sz="0" w:space="0" w:color="auto"/>
                                        <w:bottom w:val="none" w:sz="0" w:space="0" w:color="auto"/>
                                        <w:right w:val="none" w:sz="0" w:space="0" w:color="auto"/>
                                      </w:divBdr>
                                      <w:divsChild>
                                        <w:div w:id="643655398">
                                          <w:marLeft w:val="0"/>
                                          <w:marRight w:val="0"/>
                                          <w:marTop w:val="0"/>
                                          <w:marBottom w:val="0"/>
                                          <w:divBdr>
                                            <w:top w:val="none" w:sz="0" w:space="0" w:color="auto"/>
                                            <w:left w:val="none" w:sz="0" w:space="0" w:color="auto"/>
                                            <w:bottom w:val="none" w:sz="0" w:space="0" w:color="auto"/>
                                            <w:right w:val="none" w:sz="0" w:space="0" w:color="auto"/>
                                          </w:divBdr>
                                          <w:divsChild>
                                            <w:div w:id="616715618">
                                              <w:marLeft w:val="0"/>
                                              <w:marRight w:val="0"/>
                                              <w:marTop w:val="0"/>
                                              <w:marBottom w:val="0"/>
                                              <w:divBdr>
                                                <w:top w:val="none" w:sz="0" w:space="0" w:color="auto"/>
                                                <w:left w:val="none" w:sz="0" w:space="0" w:color="auto"/>
                                                <w:bottom w:val="none" w:sz="0" w:space="0" w:color="auto"/>
                                                <w:right w:val="none" w:sz="0" w:space="0" w:color="auto"/>
                                              </w:divBdr>
                                              <w:divsChild>
                                                <w:div w:id="11605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190785">
      <w:bodyDiv w:val="1"/>
      <w:marLeft w:val="0"/>
      <w:marRight w:val="0"/>
      <w:marTop w:val="0"/>
      <w:marBottom w:val="0"/>
      <w:divBdr>
        <w:top w:val="none" w:sz="0" w:space="0" w:color="auto"/>
        <w:left w:val="none" w:sz="0" w:space="0" w:color="auto"/>
        <w:bottom w:val="none" w:sz="0" w:space="0" w:color="auto"/>
        <w:right w:val="none" w:sz="0" w:space="0" w:color="auto"/>
      </w:divBdr>
      <w:divsChild>
        <w:div w:id="1636330188">
          <w:marLeft w:val="0"/>
          <w:marRight w:val="0"/>
          <w:marTop w:val="0"/>
          <w:marBottom w:val="0"/>
          <w:divBdr>
            <w:top w:val="none" w:sz="0" w:space="0" w:color="auto"/>
            <w:left w:val="none" w:sz="0" w:space="0" w:color="auto"/>
            <w:bottom w:val="none" w:sz="0" w:space="0" w:color="auto"/>
            <w:right w:val="none" w:sz="0" w:space="0" w:color="auto"/>
          </w:divBdr>
          <w:divsChild>
            <w:div w:id="1428844070">
              <w:marLeft w:val="0"/>
              <w:marRight w:val="0"/>
              <w:marTop w:val="0"/>
              <w:marBottom w:val="0"/>
              <w:divBdr>
                <w:top w:val="none" w:sz="0" w:space="0" w:color="auto"/>
                <w:left w:val="none" w:sz="0" w:space="0" w:color="auto"/>
                <w:bottom w:val="none" w:sz="0" w:space="0" w:color="auto"/>
                <w:right w:val="none" w:sz="0" w:space="0" w:color="auto"/>
              </w:divBdr>
              <w:divsChild>
                <w:div w:id="43675273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942610500">
      <w:bodyDiv w:val="1"/>
      <w:marLeft w:val="0"/>
      <w:marRight w:val="0"/>
      <w:marTop w:val="0"/>
      <w:marBottom w:val="0"/>
      <w:divBdr>
        <w:top w:val="none" w:sz="0" w:space="0" w:color="auto"/>
        <w:left w:val="none" w:sz="0" w:space="0" w:color="auto"/>
        <w:bottom w:val="none" w:sz="0" w:space="0" w:color="auto"/>
        <w:right w:val="none" w:sz="0" w:space="0" w:color="auto"/>
      </w:divBdr>
      <w:divsChild>
        <w:div w:id="1735814483">
          <w:marLeft w:val="0"/>
          <w:marRight w:val="0"/>
          <w:marTop w:val="0"/>
          <w:marBottom w:val="0"/>
          <w:divBdr>
            <w:top w:val="none" w:sz="0" w:space="0" w:color="auto"/>
            <w:left w:val="none" w:sz="0" w:space="0" w:color="auto"/>
            <w:bottom w:val="none" w:sz="0" w:space="0" w:color="auto"/>
            <w:right w:val="none" w:sz="0" w:space="0" w:color="auto"/>
          </w:divBdr>
          <w:divsChild>
            <w:div w:id="1270940451">
              <w:marLeft w:val="0"/>
              <w:marRight w:val="0"/>
              <w:marTop w:val="0"/>
              <w:marBottom w:val="0"/>
              <w:divBdr>
                <w:top w:val="none" w:sz="0" w:space="0" w:color="auto"/>
                <w:left w:val="none" w:sz="0" w:space="0" w:color="auto"/>
                <w:bottom w:val="none" w:sz="0" w:space="0" w:color="auto"/>
                <w:right w:val="none" w:sz="0" w:space="0" w:color="auto"/>
              </w:divBdr>
              <w:divsChild>
                <w:div w:id="1926720992">
                  <w:marLeft w:val="0"/>
                  <w:marRight w:val="0"/>
                  <w:marTop w:val="0"/>
                  <w:marBottom w:val="0"/>
                  <w:divBdr>
                    <w:top w:val="none" w:sz="0" w:space="0" w:color="auto"/>
                    <w:left w:val="none" w:sz="0" w:space="0" w:color="auto"/>
                    <w:bottom w:val="none" w:sz="0" w:space="0" w:color="auto"/>
                    <w:right w:val="none" w:sz="0" w:space="0" w:color="auto"/>
                  </w:divBdr>
                  <w:divsChild>
                    <w:div w:id="533467337">
                      <w:marLeft w:val="150"/>
                      <w:marRight w:val="150"/>
                      <w:marTop w:val="0"/>
                      <w:marBottom w:val="0"/>
                      <w:divBdr>
                        <w:top w:val="none" w:sz="0" w:space="0" w:color="auto"/>
                        <w:left w:val="none" w:sz="0" w:space="0" w:color="auto"/>
                        <w:bottom w:val="none" w:sz="0" w:space="0" w:color="auto"/>
                        <w:right w:val="none" w:sz="0" w:space="0" w:color="auto"/>
                      </w:divBdr>
                      <w:divsChild>
                        <w:div w:id="1177228997">
                          <w:marLeft w:val="0"/>
                          <w:marRight w:val="0"/>
                          <w:marTop w:val="0"/>
                          <w:marBottom w:val="0"/>
                          <w:divBdr>
                            <w:top w:val="none" w:sz="0" w:space="0" w:color="auto"/>
                            <w:left w:val="none" w:sz="0" w:space="0" w:color="auto"/>
                            <w:bottom w:val="none" w:sz="0" w:space="0" w:color="auto"/>
                            <w:right w:val="none" w:sz="0" w:space="0" w:color="auto"/>
                          </w:divBdr>
                          <w:divsChild>
                            <w:div w:id="1722245622">
                              <w:marLeft w:val="0"/>
                              <w:marRight w:val="0"/>
                              <w:marTop w:val="0"/>
                              <w:marBottom w:val="0"/>
                              <w:divBdr>
                                <w:top w:val="none" w:sz="0" w:space="0" w:color="auto"/>
                                <w:left w:val="none" w:sz="0" w:space="0" w:color="auto"/>
                                <w:bottom w:val="none" w:sz="0" w:space="0" w:color="auto"/>
                                <w:right w:val="none" w:sz="0" w:space="0" w:color="auto"/>
                              </w:divBdr>
                              <w:divsChild>
                                <w:div w:id="1806850961">
                                  <w:marLeft w:val="0"/>
                                  <w:marRight w:val="0"/>
                                  <w:marTop w:val="0"/>
                                  <w:marBottom w:val="0"/>
                                  <w:divBdr>
                                    <w:top w:val="none" w:sz="0" w:space="0" w:color="auto"/>
                                    <w:left w:val="none" w:sz="0" w:space="0" w:color="auto"/>
                                    <w:bottom w:val="none" w:sz="0" w:space="0" w:color="auto"/>
                                    <w:right w:val="none" w:sz="0" w:space="0" w:color="auto"/>
                                  </w:divBdr>
                                  <w:divsChild>
                                    <w:div w:id="1444424239">
                                      <w:marLeft w:val="0"/>
                                      <w:marRight w:val="0"/>
                                      <w:marTop w:val="0"/>
                                      <w:marBottom w:val="0"/>
                                      <w:divBdr>
                                        <w:top w:val="none" w:sz="0" w:space="0" w:color="auto"/>
                                        <w:left w:val="none" w:sz="0" w:space="0" w:color="auto"/>
                                        <w:bottom w:val="none" w:sz="0" w:space="0" w:color="auto"/>
                                        <w:right w:val="none" w:sz="0" w:space="0" w:color="auto"/>
                                      </w:divBdr>
                                      <w:divsChild>
                                        <w:div w:id="2077392670">
                                          <w:marLeft w:val="0"/>
                                          <w:marRight w:val="0"/>
                                          <w:marTop w:val="0"/>
                                          <w:marBottom w:val="0"/>
                                          <w:divBdr>
                                            <w:top w:val="none" w:sz="0" w:space="0" w:color="auto"/>
                                            <w:left w:val="none" w:sz="0" w:space="0" w:color="auto"/>
                                            <w:bottom w:val="none" w:sz="0" w:space="0" w:color="auto"/>
                                            <w:right w:val="none" w:sz="0" w:space="0" w:color="auto"/>
                                          </w:divBdr>
                                          <w:divsChild>
                                            <w:div w:id="1752116077">
                                              <w:marLeft w:val="0"/>
                                              <w:marRight w:val="0"/>
                                              <w:marTop w:val="0"/>
                                              <w:marBottom w:val="0"/>
                                              <w:divBdr>
                                                <w:top w:val="none" w:sz="0" w:space="0" w:color="auto"/>
                                                <w:left w:val="none" w:sz="0" w:space="0" w:color="auto"/>
                                                <w:bottom w:val="none" w:sz="0" w:space="0" w:color="auto"/>
                                                <w:right w:val="none" w:sz="0" w:space="0" w:color="auto"/>
                                              </w:divBdr>
                                              <w:divsChild>
                                                <w:div w:id="329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096619">
      <w:bodyDiv w:val="1"/>
      <w:marLeft w:val="0"/>
      <w:marRight w:val="0"/>
      <w:marTop w:val="0"/>
      <w:marBottom w:val="0"/>
      <w:divBdr>
        <w:top w:val="none" w:sz="0" w:space="0" w:color="auto"/>
        <w:left w:val="none" w:sz="0" w:space="0" w:color="auto"/>
        <w:bottom w:val="none" w:sz="0" w:space="0" w:color="auto"/>
        <w:right w:val="none" w:sz="0" w:space="0" w:color="auto"/>
      </w:divBdr>
      <w:divsChild>
        <w:div w:id="1706834039">
          <w:marLeft w:val="0"/>
          <w:marRight w:val="0"/>
          <w:marTop w:val="0"/>
          <w:marBottom w:val="0"/>
          <w:divBdr>
            <w:top w:val="none" w:sz="0" w:space="0" w:color="auto"/>
            <w:left w:val="none" w:sz="0" w:space="0" w:color="auto"/>
            <w:bottom w:val="none" w:sz="0" w:space="0" w:color="auto"/>
            <w:right w:val="none" w:sz="0" w:space="0" w:color="auto"/>
          </w:divBdr>
          <w:divsChild>
            <w:div w:id="1560558659">
              <w:marLeft w:val="-225"/>
              <w:marRight w:val="-225"/>
              <w:marTop w:val="0"/>
              <w:marBottom w:val="0"/>
              <w:divBdr>
                <w:top w:val="none" w:sz="0" w:space="0" w:color="auto"/>
                <w:left w:val="none" w:sz="0" w:space="0" w:color="auto"/>
                <w:bottom w:val="none" w:sz="0" w:space="0" w:color="auto"/>
                <w:right w:val="none" w:sz="0" w:space="0" w:color="auto"/>
              </w:divBdr>
              <w:divsChild>
                <w:div w:id="1378628571">
                  <w:marLeft w:val="0"/>
                  <w:marRight w:val="0"/>
                  <w:marTop w:val="0"/>
                  <w:marBottom w:val="0"/>
                  <w:divBdr>
                    <w:top w:val="none" w:sz="0" w:space="0" w:color="auto"/>
                    <w:left w:val="none" w:sz="0" w:space="0" w:color="auto"/>
                    <w:bottom w:val="none" w:sz="0" w:space="0" w:color="auto"/>
                    <w:right w:val="none" w:sz="0" w:space="0" w:color="auto"/>
                  </w:divBdr>
                  <w:divsChild>
                    <w:div w:id="1447968888">
                      <w:marLeft w:val="0"/>
                      <w:marRight w:val="0"/>
                      <w:marTop w:val="0"/>
                      <w:marBottom w:val="0"/>
                      <w:divBdr>
                        <w:top w:val="none" w:sz="0" w:space="0" w:color="auto"/>
                        <w:left w:val="none" w:sz="0" w:space="0" w:color="auto"/>
                        <w:bottom w:val="none" w:sz="0" w:space="0" w:color="auto"/>
                        <w:right w:val="none" w:sz="0" w:space="0" w:color="auto"/>
                      </w:divBdr>
                      <w:divsChild>
                        <w:div w:id="548688046">
                          <w:marLeft w:val="0"/>
                          <w:marRight w:val="0"/>
                          <w:marTop w:val="0"/>
                          <w:marBottom w:val="0"/>
                          <w:divBdr>
                            <w:top w:val="none" w:sz="0" w:space="0" w:color="auto"/>
                            <w:left w:val="none" w:sz="0" w:space="0" w:color="auto"/>
                            <w:bottom w:val="none" w:sz="0" w:space="0" w:color="auto"/>
                            <w:right w:val="none" w:sz="0" w:space="0" w:color="auto"/>
                          </w:divBdr>
                          <w:divsChild>
                            <w:div w:id="1548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43066">
      <w:bodyDiv w:val="1"/>
      <w:marLeft w:val="0"/>
      <w:marRight w:val="0"/>
      <w:marTop w:val="0"/>
      <w:marBottom w:val="0"/>
      <w:divBdr>
        <w:top w:val="none" w:sz="0" w:space="0" w:color="auto"/>
        <w:left w:val="none" w:sz="0" w:space="0" w:color="auto"/>
        <w:bottom w:val="none" w:sz="0" w:space="0" w:color="auto"/>
        <w:right w:val="none" w:sz="0" w:space="0" w:color="auto"/>
      </w:divBdr>
      <w:divsChild>
        <w:div w:id="798455985">
          <w:marLeft w:val="0"/>
          <w:marRight w:val="0"/>
          <w:marTop w:val="0"/>
          <w:marBottom w:val="0"/>
          <w:divBdr>
            <w:top w:val="none" w:sz="0" w:space="0" w:color="auto"/>
            <w:left w:val="none" w:sz="0" w:space="0" w:color="auto"/>
            <w:bottom w:val="none" w:sz="0" w:space="0" w:color="auto"/>
            <w:right w:val="none" w:sz="0" w:space="0" w:color="auto"/>
          </w:divBdr>
          <w:divsChild>
            <w:div w:id="1614744251">
              <w:marLeft w:val="0"/>
              <w:marRight w:val="0"/>
              <w:marTop w:val="0"/>
              <w:marBottom w:val="0"/>
              <w:divBdr>
                <w:top w:val="none" w:sz="0" w:space="0" w:color="auto"/>
                <w:left w:val="none" w:sz="0" w:space="0" w:color="auto"/>
                <w:bottom w:val="none" w:sz="0" w:space="0" w:color="auto"/>
                <w:right w:val="none" w:sz="0" w:space="0" w:color="auto"/>
              </w:divBdr>
              <w:divsChild>
                <w:div w:id="167793866">
                  <w:marLeft w:val="0"/>
                  <w:marRight w:val="0"/>
                  <w:marTop w:val="0"/>
                  <w:marBottom w:val="0"/>
                  <w:divBdr>
                    <w:top w:val="none" w:sz="0" w:space="0" w:color="auto"/>
                    <w:left w:val="none" w:sz="0" w:space="0" w:color="auto"/>
                    <w:bottom w:val="none" w:sz="0" w:space="0" w:color="auto"/>
                    <w:right w:val="none" w:sz="0" w:space="0" w:color="auto"/>
                  </w:divBdr>
                  <w:divsChild>
                    <w:div w:id="1881235943">
                      <w:marLeft w:val="0"/>
                      <w:marRight w:val="0"/>
                      <w:marTop w:val="0"/>
                      <w:marBottom w:val="0"/>
                      <w:divBdr>
                        <w:top w:val="none" w:sz="0" w:space="0" w:color="auto"/>
                        <w:left w:val="none" w:sz="0" w:space="0" w:color="auto"/>
                        <w:bottom w:val="none" w:sz="0" w:space="0" w:color="auto"/>
                        <w:right w:val="none" w:sz="0" w:space="0" w:color="auto"/>
                      </w:divBdr>
                      <w:divsChild>
                        <w:div w:id="420569505">
                          <w:marLeft w:val="-225"/>
                          <w:marRight w:val="-225"/>
                          <w:marTop w:val="0"/>
                          <w:marBottom w:val="0"/>
                          <w:divBdr>
                            <w:top w:val="none" w:sz="0" w:space="0" w:color="auto"/>
                            <w:left w:val="none" w:sz="0" w:space="0" w:color="auto"/>
                            <w:bottom w:val="none" w:sz="0" w:space="0" w:color="auto"/>
                            <w:right w:val="none" w:sz="0" w:space="0" w:color="auto"/>
                          </w:divBdr>
                          <w:divsChild>
                            <w:div w:id="1637758957">
                              <w:marLeft w:val="0"/>
                              <w:marRight w:val="0"/>
                              <w:marTop w:val="0"/>
                              <w:marBottom w:val="0"/>
                              <w:divBdr>
                                <w:top w:val="none" w:sz="0" w:space="0" w:color="auto"/>
                                <w:left w:val="none" w:sz="0" w:space="0" w:color="auto"/>
                                <w:bottom w:val="none" w:sz="0" w:space="0" w:color="auto"/>
                                <w:right w:val="none" w:sz="0" w:space="0" w:color="auto"/>
                              </w:divBdr>
                              <w:divsChild>
                                <w:div w:id="1583030737">
                                  <w:marLeft w:val="0"/>
                                  <w:marRight w:val="0"/>
                                  <w:marTop w:val="0"/>
                                  <w:marBottom w:val="0"/>
                                  <w:divBdr>
                                    <w:top w:val="none" w:sz="0" w:space="0" w:color="auto"/>
                                    <w:left w:val="none" w:sz="0" w:space="0" w:color="auto"/>
                                    <w:bottom w:val="none" w:sz="0" w:space="0" w:color="auto"/>
                                    <w:right w:val="none" w:sz="0" w:space="0" w:color="auto"/>
                                  </w:divBdr>
                                  <w:divsChild>
                                    <w:div w:id="515653198">
                                      <w:marLeft w:val="0"/>
                                      <w:marRight w:val="0"/>
                                      <w:marTop w:val="0"/>
                                      <w:marBottom w:val="0"/>
                                      <w:divBdr>
                                        <w:top w:val="none" w:sz="0" w:space="0" w:color="auto"/>
                                        <w:left w:val="none" w:sz="0" w:space="0" w:color="auto"/>
                                        <w:bottom w:val="none" w:sz="0" w:space="0" w:color="auto"/>
                                        <w:right w:val="none" w:sz="0" w:space="0" w:color="auto"/>
                                      </w:divBdr>
                                      <w:divsChild>
                                        <w:div w:id="20144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029969">
      <w:bodyDiv w:val="1"/>
      <w:marLeft w:val="0"/>
      <w:marRight w:val="0"/>
      <w:marTop w:val="0"/>
      <w:marBottom w:val="0"/>
      <w:divBdr>
        <w:top w:val="none" w:sz="0" w:space="0" w:color="auto"/>
        <w:left w:val="none" w:sz="0" w:space="0" w:color="auto"/>
        <w:bottom w:val="none" w:sz="0" w:space="0" w:color="auto"/>
        <w:right w:val="none" w:sz="0" w:space="0" w:color="auto"/>
      </w:divBdr>
      <w:divsChild>
        <w:div w:id="1842550607">
          <w:marLeft w:val="0"/>
          <w:marRight w:val="0"/>
          <w:marTop w:val="0"/>
          <w:marBottom w:val="0"/>
          <w:divBdr>
            <w:top w:val="none" w:sz="0" w:space="0" w:color="auto"/>
            <w:left w:val="none" w:sz="0" w:space="0" w:color="auto"/>
            <w:bottom w:val="none" w:sz="0" w:space="0" w:color="auto"/>
            <w:right w:val="none" w:sz="0" w:space="0" w:color="auto"/>
          </w:divBdr>
          <w:divsChild>
            <w:div w:id="878199145">
              <w:marLeft w:val="0"/>
              <w:marRight w:val="0"/>
              <w:marTop w:val="0"/>
              <w:marBottom w:val="0"/>
              <w:divBdr>
                <w:top w:val="none" w:sz="0" w:space="0" w:color="auto"/>
                <w:left w:val="none" w:sz="0" w:space="0" w:color="auto"/>
                <w:bottom w:val="none" w:sz="0" w:space="0" w:color="auto"/>
                <w:right w:val="none" w:sz="0" w:space="0" w:color="auto"/>
              </w:divBdr>
              <w:divsChild>
                <w:div w:id="779105752">
                  <w:marLeft w:val="0"/>
                  <w:marRight w:val="0"/>
                  <w:marTop w:val="0"/>
                  <w:marBottom w:val="0"/>
                  <w:divBdr>
                    <w:top w:val="none" w:sz="0" w:space="0" w:color="auto"/>
                    <w:left w:val="none" w:sz="0" w:space="0" w:color="auto"/>
                    <w:bottom w:val="none" w:sz="0" w:space="0" w:color="auto"/>
                    <w:right w:val="none" w:sz="0" w:space="0" w:color="auto"/>
                  </w:divBdr>
                  <w:divsChild>
                    <w:div w:id="1572886312">
                      <w:marLeft w:val="0"/>
                      <w:marRight w:val="0"/>
                      <w:marTop w:val="0"/>
                      <w:marBottom w:val="0"/>
                      <w:divBdr>
                        <w:top w:val="none" w:sz="0" w:space="0" w:color="auto"/>
                        <w:left w:val="none" w:sz="0" w:space="0" w:color="auto"/>
                        <w:bottom w:val="none" w:sz="0" w:space="0" w:color="auto"/>
                        <w:right w:val="none" w:sz="0" w:space="0" w:color="auto"/>
                      </w:divBdr>
                      <w:divsChild>
                        <w:div w:id="1313487752">
                          <w:marLeft w:val="0"/>
                          <w:marRight w:val="0"/>
                          <w:marTop w:val="0"/>
                          <w:marBottom w:val="0"/>
                          <w:divBdr>
                            <w:top w:val="none" w:sz="0" w:space="0" w:color="auto"/>
                            <w:left w:val="none" w:sz="0" w:space="0" w:color="auto"/>
                            <w:bottom w:val="none" w:sz="0" w:space="0" w:color="auto"/>
                            <w:right w:val="none" w:sz="0" w:space="0" w:color="auto"/>
                          </w:divBdr>
                          <w:divsChild>
                            <w:div w:id="20545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666217">
      <w:bodyDiv w:val="1"/>
      <w:marLeft w:val="0"/>
      <w:marRight w:val="0"/>
      <w:marTop w:val="0"/>
      <w:marBottom w:val="0"/>
      <w:divBdr>
        <w:top w:val="none" w:sz="0" w:space="0" w:color="auto"/>
        <w:left w:val="none" w:sz="0" w:space="0" w:color="auto"/>
        <w:bottom w:val="none" w:sz="0" w:space="0" w:color="auto"/>
        <w:right w:val="none" w:sz="0" w:space="0" w:color="auto"/>
      </w:divBdr>
    </w:div>
    <w:div w:id="1315645829">
      <w:bodyDiv w:val="1"/>
      <w:marLeft w:val="0"/>
      <w:marRight w:val="0"/>
      <w:marTop w:val="0"/>
      <w:marBottom w:val="0"/>
      <w:divBdr>
        <w:top w:val="none" w:sz="0" w:space="0" w:color="auto"/>
        <w:left w:val="none" w:sz="0" w:space="0" w:color="auto"/>
        <w:bottom w:val="none" w:sz="0" w:space="0" w:color="auto"/>
        <w:right w:val="none" w:sz="0" w:space="0" w:color="auto"/>
      </w:divBdr>
      <w:divsChild>
        <w:div w:id="1612980672">
          <w:marLeft w:val="0"/>
          <w:marRight w:val="0"/>
          <w:marTop w:val="240"/>
          <w:marBottom w:val="480"/>
          <w:divBdr>
            <w:top w:val="none" w:sz="0" w:space="0" w:color="auto"/>
            <w:left w:val="none" w:sz="0" w:space="0" w:color="auto"/>
            <w:bottom w:val="none" w:sz="0" w:space="0" w:color="auto"/>
            <w:right w:val="none" w:sz="0" w:space="0" w:color="auto"/>
          </w:divBdr>
          <w:divsChild>
            <w:div w:id="1862664248">
              <w:marLeft w:val="0"/>
              <w:marRight w:val="0"/>
              <w:marTop w:val="0"/>
              <w:marBottom w:val="0"/>
              <w:divBdr>
                <w:top w:val="none" w:sz="0" w:space="0" w:color="auto"/>
                <w:left w:val="none" w:sz="0" w:space="0" w:color="auto"/>
                <w:bottom w:val="none" w:sz="0" w:space="0" w:color="auto"/>
                <w:right w:val="none" w:sz="0" w:space="0" w:color="auto"/>
              </w:divBdr>
              <w:divsChild>
                <w:div w:id="1266688135">
                  <w:marLeft w:val="0"/>
                  <w:marRight w:val="0"/>
                  <w:marTop w:val="0"/>
                  <w:marBottom w:val="0"/>
                  <w:divBdr>
                    <w:top w:val="none" w:sz="0" w:space="0" w:color="auto"/>
                    <w:left w:val="none" w:sz="0" w:space="0" w:color="auto"/>
                    <w:bottom w:val="none" w:sz="0" w:space="0" w:color="auto"/>
                    <w:right w:val="none" w:sz="0" w:space="0" w:color="auto"/>
                  </w:divBdr>
                  <w:divsChild>
                    <w:div w:id="952441893">
                      <w:marLeft w:val="0"/>
                      <w:marRight w:val="0"/>
                      <w:marTop w:val="0"/>
                      <w:marBottom w:val="0"/>
                      <w:divBdr>
                        <w:top w:val="none" w:sz="0" w:space="0" w:color="auto"/>
                        <w:left w:val="none" w:sz="0" w:space="0" w:color="auto"/>
                        <w:bottom w:val="none" w:sz="0" w:space="0" w:color="auto"/>
                        <w:right w:val="none" w:sz="0" w:space="0" w:color="auto"/>
                      </w:divBdr>
                      <w:divsChild>
                        <w:div w:id="4763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97762">
      <w:bodyDiv w:val="1"/>
      <w:marLeft w:val="0"/>
      <w:marRight w:val="0"/>
      <w:marTop w:val="0"/>
      <w:marBottom w:val="0"/>
      <w:divBdr>
        <w:top w:val="none" w:sz="0" w:space="0" w:color="auto"/>
        <w:left w:val="none" w:sz="0" w:space="0" w:color="auto"/>
        <w:bottom w:val="none" w:sz="0" w:space="0" w:color="auto"/>
        <w:right w:val="none" w:sz="0" w:space="0" w:color="auto"/>
      </w:divBdr>
      <w:divsChild>
        <w:div w:id="901134786">
          <w:marLeft w:val="0"/>
          <w:marRight w:val="0"/>
          <w:marTop w:val="0"/>
          <w:marBottom w:val="300"/>
          <w:divBdr>
            <w:top w:val="none" w:sz="0" w:space="0" w:color="auto"/>
            <w:left w:val="none" w:sz="0" w:space="0" w:color="auto"/>
            <w:bottom w:val="none" w:sz="0" w:space="0" w:color="auto"/>
            <w:right w:val="none" w:sz="0" w:space="0" w:color="auto"/>
          </w:divBdr>
          <w:divsChild>
            <w:div w:id="277876171">
              <w:marLeft w:val="0"/>
              <w:marRight w:val="0"/>
              <w:marTop w:val="0"/>
              <w:marBottom w:val="0"/>
              <w:divBdr>
                <w:top w:val="none" w:sz="0" w:space="0" w:color="auto"/>
                <w:left w:val="none" w:sz="0" w:space="0" w:color="auto"/>
                <w:bottom w:val="none" w:sz="0" w:space="0" w:color="auto"/>
                <w:right w:val="none" w:sz="0" w:space="0" w:color="auto"/>
              </w:divBdr>
              <w:divsChild>
                <w:div w:id="2042053153">
                  <w:marLeft w:val="0"/>
                  <w:marRight w:val="0"/>
                  <w:marTop w:val="210"/>
                  <w:marBottom w:val="0"/>
                  <w:divBdr>
                    <w:top w:val="single" w:sz="48" w:space="0" w:color="18414C"/>
                    <w:left w:val="single" w:sz="2" w:space="21" w:color="18414C"/>
                    <w:bottom w:val="single" w:sz="48" w:space="0" w:color="18414C"/>
                    <w:right w:val="single" w:sz="2" w:space="21" w:color="18414C"/>
                  </w:divBdr>
                  <w:divsChild>
                    <w:div w:id="163398987">
                      <w:marLeft w:val="0"/>
                      <w:marRight w:val="0"/>
                      <w:marTop w:val="0"/>
                      <w:marBottom w:val="0"/>
                      <w:divBdr>
                        <w:top w:val="none" w:sz="0" w:space="0" w:color="auto"/>
                        <w:left w:val="none" w:sz="0" w:space="0" w:color="auto"/>
                        <w:bottom w:val="none" w:sz="0" w:space="0" w:color="auto"/>
                        <w:right w:val="none" w:sz="0" w:space="0" w:color="auto"/>
                      </w:divBdr>
                      <w:divsChild>
                        <w:div w:id="14043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91089">
      <w:bodyDiv w:val="1"/>
      <w:marLeft w:val="0"/>
      <w:marRight w:val="0"/>
      <w:marTop w:val="0"/>
      <w:marBottom w:val="0"/>
      <w:divBdr>
        <w:top w:val="none" w:sz="0" w:space="0" w:color="auto"/>
        <w:left w:val="none" w:sz="0" w:space="0" w:color="auto"/>
        <w:bottom w:val="none" w:sz="0" w:space="0" w:color="auto"/>
        <w:right w:val="none" w:sz="0" w:space="0" w:color="auto"/>
      </w:divBdr>
    </w:div>
    <w:div w:id="1433865624">
      <w:bodyDiv w:val="1"/>
      <w:marLeft w:val="0"/>
      <w:marRight w:val="0"/>
      <w:marTop w:val="0"/>
      <w:marBottom w:val="0"/>
      <w:divBdr>
        <w:top w:val="none" w:sz="0" w:space="0" w:color="auto"/>
        <w:left w:val="none" w:sz="0" w:space="0" w:color="auto"/>
        <w:bottom w:val="none" w:sz="0" w:space="0" w:color="auto"/>
        <w:right w:val="none" w:sz="0" w:space="0" w:color="auto"/>
      </w:divBdr>
      <w:divsChild>
        <w:div w:id="700588844">
          <w:marLeft w:val="0"/>
          <w:marRight w:val="0"/>
          <w:marTop w:val="240"/>
          <w:marBottom w:val="480"/>
          <w:divBdr>
            <w:top w:val="none" w:sz="0" w:space="0" w:color="auto"/>
            <w:left w:val="none" w:sz="0" w:space="0" w:color="auto"/>
            <w:bottom w:val="none" w:sz="0" w:space="0" w:color="auto"/>
            <w:right w:val="none" w:sz="0" w:space="0" w:color="auto"/>
          </w:divBdr>
          <w:divsChild>
            <w:div w:id="342972316">
              <w:marLeft w:val="0"/>
              <w:marRight w:val="0"/>
              <w:marTop w:val="0"/>
              <w:marBottom w:val="0"/>
              <w:divBdr>
                <w:top w:val="none" w:sz="0" w:space="0" w:color="auto"/>
                <w:left w:val="none" w:sz="0" w:space="0" w:color="auto"/>
                <w:bottom w:val="none" w:sz="0" w:space="0" w:color="auto"/>
                <w:right w:val="none" w:sz="0" w:space="0" w:color="auto"/>
              </w:divBdr>
              <w:divsChild>
                <w:div w:id="579411887">
                  <w:marLeft w:val="0"/>
                  <w:marRight w:val="0"/>
                  <w:marTop w:val="0"/>
                  <w:marBottom w:val="0"/>
                  <w:divBdr>
                    <w:top w:val="none" w:sz="0" w:space="0" w:color="auto"/>
                    <w:left w:val="none" w:sz="0" w:space="0" w:color="auto"/>
                    <w:bottom w:val="none" w:sz="0" w:space="0" w:color="auto"/>
                    <w:right w:val="none" w:sz="0" w:space="0" w:color="auto"/>
                  </w:divBdr>
                  <w:divsChild>
                    <w:div w:id="962617125">
                      <w:marLeft w:val="0"/>
                      <w:marRight w:val="0"/>
                      <w:marTop w:val="0"/>
                      <w:marBottom w:val="0"/>
                      <w:divBdr>
                        <w:top w:val="none" w:sz="0" w:space="0" w:color="auto"/>
                        <w:left w:val="none" w:sz="0" w:space="0" w:color="auto"/>
                        <w:bottom w:val="none" w:sz="0" w:space="0" w:color="auto"/>
                        <w:right w:val="none" w:sz="0" w:space="0" w:color="auto"/>
                      </w:divBdr>
                      <w:divsChild>
                        <w:div w:id="13264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605919">
      <w:bodyDiv w:val="1"/>
      <w:marLeft w:val="0"/>
      <w:marRight w:val="0"/>
      <w:marTop w:val="0"/>
      <w:marBottom w:val="0"/>
      <w:divBdr>
        <w:top w:val="none" w:sz="0" w:space="0" w:color="auto"/>
        <w:left w:val="none" w:sz="0" w:space="0" w:color="auto"/>
        <w:bottom w:val="none" w:sz="0" w:space="0" w:color="auto"/>
        <w:right w:val="none" w:sz="0" w:space="0" w:color="auto"/>
      </w:divBdr>
      <w:divsChild>
        <w:div w:id="916666111">
          <w:marLeft w:val="0"/>
          <w:marRight w:val="0"/>
          <w:marTop w:val="0"/>
          <w:marBottom w:val="0"/>
          <w:divBdr>
            <w:top w:val="none" w:sz="0" w:space="0" w:color="auto"/>
            <w:left w:val="none" w:sz="0" w:space="0" w:color="auto"/>
            <w:bottom w:val="none" w:sz="0" w:space="0" w:color="auto"/>
            <w:right w:val="none" w:sz="0" w:space="0" w:color="auto"/>
          </w:divBdr>
          <w:divsChild>
            <w:div w:id="1821726250">
              <w:marLeft w:val="-225"/>
              <w:marRight w:val="-225"/>
              <w:marTop w:val="0"/>
              <w:marBottom w:val="0"/>
              <w:divBdr>
                <w:top w:val="none" w:sz="0" w:space="0" w:color="auto"/>
                <w:left w:val="none" w:sz="0" w:space="0" w:color="auto"/>
                <w:bottom w:val="none" w:sz="0" w:space="0" w:color="auto"/>
                <w:right w:val="none" w:sz="0" w:space="0" w:color="auto"/>
              </w:divBdr>
              <w:divsChild>
                <w:div w:id="286205917">
                  <w:marLeft w:val="0"/>
                  <w:marRight w:val="0"/>
                  <w:marTop w:val="0"/>
                  <w:marBottom w:val="0"/>
                  <w:divBdr>
                    <w:top w:val="none" w:sz="0" w:space="0" w:color="auto"/>
                    <w:left w:val="none" w:sz="0" w:space="0" w:color="auto"/>
                    <w:bottom w:val="none" w:sz="0" w:space="0" w:color="auto"/>
                    <w:right w:val="none" w:sz="0" w:space="0" w:color="auto"/>
                  </w:divBdr>
                  <w:divsChild>
                    <w:div w:id="1647200221">
                      <w:marLeft w:val="0"/>
                      <w:marRight w:val="0"/>
                      <w:marTop w:val="0"/>
                      <w:marBottom w:val="0"/>
                      <w:divBdr>
                        <w:top w:val="none" w:sz="0" w:space="0" w:color="auto"/>
                        <w:left w:val="none" w:sz="0" w:space="0" w:color="auto"/>
                        <w:bottom w:val="none" w:sz="0" w:space="0" w:color="auto"/>
                        <w:right w:val="none" w:sz="0" w:space="0" w:color="auto"/>
                      </w:divBdr>
                      <w:divsChild>
                        <w:div w:id="765657971">
                          <w:marLeft w:val="0"/>
                          <w:marRight w:val="0"/>
                          <w:marTop w:val="0"/>
                          <w:marBottom w:val="0"/>
                          <w:divBdr>
                            <w:top w:val="none" w:sz="0" w:space="0" w:color="auto"/>
                            <w:left w:val="none" w:sz="0" w:space="0" w:color="auto"/>
                            <w:bottom w:val="none" w:sz="0" w:space="0" w:color="auto"/>
                            <w:right w:val="none" w:sz="0" w:space="0" w:color="auto"/>
                          </w:divBdr>
                          <w:divsChild>
                            <w:div w:id="12846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595789">
      <w:bodyDiv w:val="1"/>
      <w:marLeft w:val="0"/>
      <w:marRight w:val="0"/>
      <w:marTop w:val="0"/>
      <w:marBottom w:val="0"/>
      <w:divBdr>
        <w:top w:val="none" w:sz="0" w:space="0" w:color="auto"/>
        <w:left w:val="none" w:sz="0" w:space="0" w:color="auto"/>
        <w:bottom w:val="none" w:sz="0" w:space="0" w:color="auto"/>
        <w:right w:val="none" w:sz="0" w:space="0" w:color="auto"/>
      </w:divBdr>
      <w:divsChild>
        <w:div w:id="1092966762">
          <w:marLeft w:val="0"/>
          <w:marRight w:val="0"/>
          <w:marTop w:val="0"/>
          <w:marBottom w:val="0"/>
          <w:divBdr>
            <w:top w:val="none" w:sz="0" w:space="0" w:color="auto"/>
            <w:left w:val="none" w:sz="0" w:space="0" w:color="auto"/>
            <w:bottom w:val="none" w:sz="0" w:space="0" w:color="auto"/>
            <w:right w:val="none" w:sz="0" w:space="0" w:color="auto"/>
          </w:divBdr>
          <w:divsChild>
            <w:div w:id="591548617">
              <w:marLeft w:val="0"/>
              <w:marRight w:val="0"/>
              <w:marTop w:val="0"/>
              <w:marBottom w:val="0"/>
              <w:divBdr>
                <w:top w:val="none" w:sz="0" w:space="0" w:color="auto"/>
                <w:left w:val="none" w:sz="0" w:space="0" w:color="auto"/>
                <w:bottom w:val="none" w:sz="0" w:space="0" w:color="auto"/>
                <w:right w:val="none" w:sz="0" w:space="0" w:color="auto"/>
              </w:divBdr>
              <w:divsChild>
                <w:div w:id="2120833044">
                  <w:marLeft w:val="0"/>
                  <w:marRight w:val="0"/>
                  <w:marTop w:val="0"/>
                  <w:marBottom w:val="0"/>
                  <w:divBdr>
                    <w:top w:val="none" w:sz="0" w:space="0" w:color="auto"/>
                    <w:left w:val="none" w:sz="0" w:space="0" w:color="auto"/>
                    <w:bottom w:val="none" w:sz="0" w:space="0" w:color="auto"/>
                    <w:right w:val="none" w:sz="0" w:space="0" w:color="auto"/>
                  </w:divBdr>
                  <w:divsChild>
                    <w:div w:id="67776562">
                      <w:marLeft w:val="0"/>
                      <w:marRight w:val="0"/>
                      <w:marTop w:val="0"/>
                      <w:marBottom w:val="0"/>
                      <w:divBdr>
                        <w:top w:val="none" w:sz="0" w:space="0" w:color="auto"/>
                        <w:left w:val="none" w:sz="0" w:space="0" w:color="auto"/>
                        <w:bottom w:val="none" w:sz="0" w:space="0" w:color="auto"/>
                        <w:right w:val="none" w:sz="0" w:space="0" w:color="auto"/>
                      </w:divBdr>
                      <w:divsChild>
                        <w:div w:id="1723670987">
                          <w:marLeft w:val="0"/>
                          <w:marRight w:val="0"/>
                          <w:marTop w:val="0"/>
                          <w:marBottom w:val="0"/>
                          <w:divBdr>
                            <w:top w:val="none" w:sz="0" w:space="0" w:color="auto"/>
                            <w:left w:val="none" w:sz="0" w:space="0" w:color="auto"/>
                            <w:bottom w:val="none" w:sz="0" w:space="0" w:color="auto"/>
                            <w:right w:val="none" w:sz="0" w:space="0" w:color="auto"/>
                          </w:divBdr>
                          <w:divsChild>
                            <w:div w:id="1788743006">
                              <w:marLeft w:val="0"/>
                              <w:marRight w:val="0"/>
                              <w:marTop w:val="0"/>
                              <w:marBottom w:val="0"/>
                              <w:divBdr>
                                <w:top w:val="none" w:sz="0" w:space="0" w:color="auto"/>
                                <w:left w:val="none" w:sz="0" w:space="0" w:color="auto"/>
                                <w:bottom w:val="none" w:sz="0" w:space="0" w:color="auto"/>
                                <w:right w:val="none" w:sz="0" w:space="0" w:color="auto"/>
                              </w:divBdr>
                              <w:divsChild>
                                <w:div w:id="1131821847">
                                  <w:marLeft w:val="0"/>
                                  <w:marRight w:val="0"/>
                                  <w:marTop w:val="0"/>
                                  <w:marBottom w:val="0"/>
                                  <w:divBdr>
                                    <w:top w:val="none" w:sz="0" w:space="0" w:color="auto"/>
                                    <w:left w:val="none" w:sz="0" w:space="0" w:color="auto"/>
                                    <w:bottom w:val="none" w:sz="0" w:space="0" w:color="auto"/>
                                    <w:right w:val="none" w:sz="0" w:space="0" w:color="auto"/>
                                  </w:divBdr>
                                  <w:divsChild>
                                    <w:div w:id="7987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356692">
      <w:bodyDiv w:val="1"/>
      <w:marLeft w:val="0"/>
      <w:marRight w:val="0"/>
      <w:marTop w:val="0"/>
      <w:marBottom w:val="0"/>
      <w:divBdr>
        <w:top w:val="none" w:sz="0" w:space="0" w:color="auto"/>
        <w:left w:val="none" w:sz="0" w:space="0" w:color="auto"/>
        <w:bottom w:val="none" w:sz="0" w:space="0" w:color="auto"/>
        <w:right w:val="none" w:sz="0" w:space="0" w:color="auto"/>
      </w:divBdr>
    </w:div>
    <w:div w:id="1637252949">
      <w:bodyDiv w:val="1"/>
      <w:marLeft w:val="0"/>
      <w:marRight w:val="0"/>
      <w:marTop w:val="0"/>
      <w:marBottom w:val="0"/>
      <w:divBdr>
        <w:top w:val="none" w:sz="0" w:space="0" w:color="auto"/>
        <w:left w:val="none" w:sz="0" w:space="0" w:color="auto"/>
        <w:bottom w:val="none" w:sz="0" w:space="0" w:color="auto"/>
        <w:right w:val="none" w:sz="0" w:space="0" w:color="auto"/>
      </w:divBdr>
      <w:divsChild>
        <w:div w:id="1596397005">
          <w:marLeft w:val="0"/>
          <w:marRight w:val="0"/>
          <w:marTop w:val="0"/>
          <w:marBottom w:val="0"/>
          <w:divBdr>
            <w:top w:val="none" w:sz="0" w:space="0" w:color="auto"/>
            <w:left w:val="none" w:sz="0" w:space="0" w:color="auto"/>
            <w:bottom w:val="none" w:sz="0" w:space="0" w:color="auto"/>
            <w:right w:val="none" w:sz="0" w:space="0" w:color="auto"/>
          </w:divBdr>
          <w:divsChild>
            <w:div w:id="107821850">
              <w:marLeft w:val="0"/>
              <w:marRight w:val="0"/>
              <w:marTop w:val="0"/>
              <w:marBottom w:val="0"/>
              <w:divBdr>
                <w:top w:val="none" w:sz="0" w:space="0" w:color="auto"/>
                <w:left w:val="none" w:sz="0" w:space="0" w:color="auto"/>
                <w:bottom w:val="none" w:sz="0" w:space="0" w:color="auto"/>
                <w:right w:val="none" w:sz="0" w:space="0" w:color="auto"/>
              </w:divBdr>
              <w:divsChild>
                <w:div w:id="1977566910">
                  <w:marLeft w:val="0"/>
                  <w:marRight w:val="0"/>
                  <w:marTop w:val="0"/>
                  <w:marBottom w:val="0"/>
                  <w:divBdr>
                    <w:top w:val="none" w:sz="0" w:space="0" w:color="auto"/>
                    <w:left w:val="none" w:sz="0" w:space="0" w:color="auto"/>
                    <w:bottom w:val="none" w:sz="0" w:space="0" w:color="auto"/>
                    <w:right w:val="none" w:sz="0" w:space="0" w:color="auto"/>
                  </w:divBdr>
                  <w:divsChild>
                    <w:div w:id="1586960405">
                      <w:marLeft w:val="0"/>
                      <w:marRight w:val="0"/>
                      <w:marTop w:val="0"/>
                      <w:marBottom w:val="0"/>
                      <w:divBdr>
                        <w:top w:val="none" w:sz="0" w:space="0" w:color="auto"/>
                        <w:left w:val="none" w:sz="0" w:space="0" w:color="auto"/>
                        <w:bottom w:val="none" w:sz="0" w:space="0" w:color="auto"/>
                        <w:right w:val="none" w:sz="0" w:space="0" w:color="auto"/>
                      </w:divBdr>
                      <w:divsChild>
                        <w:div w:id="1013411213">
                          <w:marLeft w:val="0"/>
                          <w:marRight w:val="0"/>
                          <w:marTop w:val="0"/>
                          <w:marBottom w:val="0"/>
                          <w:divBdr>
                            <w:top w:val="none" w:sz="0" w:space="0" w:color="auto"/>
                            <w:left w:val="none" w:sz="0" w:space="0" w:color="auto"/>
                            <w:bottom w:val="none" w:sz="0" w:space="0" w:color="auto"/>
                            <w:right w:val="none" w:sz="0" w:space="0" w:color="auto"/>
                          </w:divBdr>
                          <w:divsChild>
                            <w:div w:id="1868063349">
                              <w:marLeft w:val="0"/>
                              <w:marRight w:val="0"/>
                              <w:marTop w:val="0"/>
                              <w:marBottom w:val="0"/>
                              <w:divBdr>
                                <w:top w:val="none" w:sz="0" w:space="0" w:color="auto"/>
                                <w:left w:val="none" w:sz="0" w:space="0" w:color="auto"/>
                                <w:bottom w:val="none" w:sz="0" w:space="0" w:color="auto"/>
                                <w:right w:val="none" w:sz="0" w:space="0" w:color="auto"/>
                              </w:divBdr>
                              <w:divsChild>
                                <w:div w:id="395325623">
                                  <w:marLeft w:val="0"/>
                                  <w:marRight w:val="0"/>
                                  <w:marTop w:val="0"/>
                                  <w:marBottom w:val="0"/>
                                  <w:divBdr>
                                    <w:top w:val="none" w:sz="0" w:space="0" w:color="auto"/>
                                    <w:left w:val="none" w:sz="0" w:space="0" w:color="auto"/>
                                    <w:bottom w:val="none" w:sz="0" w:space="0" w:color="auto"/>
                                    <w:right w:val="none" w:sz="0" w:space="0" w:color="auto"/>
                                  </w:divBdr>
                                  <w:divsChild>
                                    <w:div w:id="1116867365">
                                      <w:marLeft w:val="0"/>
                                      <w:marRight w:val="0"/>
                                      <w:marTop w:val="0"/>
                                      <w:marBottom w:val="0"/>
                                      <w:divBdr>
                                        <w:top w:val="single" w:sz="2" w:space="0" w:color="EAE9E9"/>
                                        <w:left w:val="none" w:sz="0" w:space="0" w:color="EAE9E9"/>
                                        <w:bottom w:val="single" w:sz="2" w:space="15" w:color="EAE9E9"/>
                                        <w:right w:val="none" w:sz="0" w:space="0" w:color="EAE9E9"/>
                                      </w:divBdr>
                                      <w:divsChild>
                                        <w:div w:id="759522529">
                                          <w:marLeft w:val="0"/>
                                          <w:marRight w:val="0"/>
                                          <w:marTop w:val="0"/>
                                          <w:marBottom w:val="0"/>
                                          <w:divBdr>
                                            <w:top w:val="none" w:sz="0" w:space="0" w:color="auto"/>
                                            <w:left w:val="none" w:sz="0" w:space="0" w:color="auto"/>
                                            <w:bottom w:val="none" w:sz="0" w:space="0" w:color="auto"/>
                                            <w:right w:val="none" w:sz="0" w:space="0" w:color="auto"/>
                                          </w:divBdr>
                                          <w:divsChild>
                                            <w:div w:id="1513494310">
                                              <w:marLeft w:val="0"/>
                                              <w:marRight w:val="0"/>
                                              <w:marTop w:val="0"/>
                                              <w:marBottom w:val="0"/>
                                              <w:divBdr>
                                                <w:top w:val="none" w:sz="0" w:space="0" w:color="auto"/>
                                                <w:left w:val="none" w:sz="0" w:space="0" w:color="auto"/>
                                                <w:bottom w:val="none" w:sz="0" w:space="0" w:color="auto"/>
                                                <w:right w:val="none" w:sz="0" w:space="0" w:color="auto"/>
                                              </w:divBdr>
                                              <w:divsChild>
                                                <w:div w:id="3987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132623">
      <w:bodyDiv w:val="1"/>
      <w:marLeft w:val="0"/>
      <w:marRight w:val="0"/>
      <w:marTop w:val="0"/>
      <w:marBottom w:val="0"/>
      <w:divBdr>
        <w:top w:val="none" w:sz="0" w:space="0" w:color="auto"/>
        <w:left w:val="none" w:sz="0" w:space="0" w:color="auto"/>
        <w:bottom w:val="none" w:sz="0" w:space="0" w:color="auto"/>
        <w:right w:val="none" w:sz="0" w:space="0" w:color="auto"/>
      </w:divBdr>
    </w:div>
    <w:div w:id="1768385604">
      <w:bodyDiv w:val="1"/>
      <w:marLeft w:val="0"/>
      <w:marRight w:val="0"/>
      <w:marTop w:val="0"/>
      <w:marBottom w:val="0"/>
      <w:divBdr>
        <w:top w:val="none" w:sz="0" w:space="0" w:color="auto"/>
        <w:left w:val="none" w:sz="0" w:space="0" w:color="auto"/>
        <w:bottom w:val="none" w:sz="0" w:space="0" w:color="auto"/>
        <w:right w:val="none" w:sz="0" w:space="0" w:color="auto"/>
      </w:divBdr>
    </w:div>
    <w:div w:id="1809854259">
      <w:bodyDiv w:val="1"/>
      <w:marLeft w:val="0"/>
      <w:marRight w:val="0"/>
      <w:marTop w:val="0"/>
      <w:marBottom w:val="0"/>
      <w:divBdr>
        <w:top w:val="none" w:sz="0" w:space="0" w:color="auto"/>
        <w:left w:val="none" w:sz="0" w:space="0" w:color="auto"/>
        <w:bottom w:val="none" w:sz="0" w:space="0" w:color="auto"/>
        <w:right w:val="none" w:sz="0" w:space="0" w:color="auto"/>
      </w:divBdr>
      <w:divsChild>
        <w:div w:id="271909537">
          <w:marLeft w:val="0"/>
          <w:marRight w:val="0"/>
          <w:marTop w:val="0"/>
          <w:marBottom w:val="0"/>
          <w:divBdr>
            <w:top w:val="none" w:sz="0" w:space="0" w:color="auto"/>
            <w:left w:val="none" w:sz="0" w:space="0" w:color="auto"/>
            <w:bottom w:val="none" w:sz="0" w:space="0" w:color="auto"/>
            <w:right w:val="none" w:sz="0" w:space="0" w:color="auto"/>
          </w:divBdr>
          <w:divsChild>
            <w:div w:id="1557544501">
              <w:marLeft w:val="0"/>
              <w:marRight w:val="0"/>
              <w:marTop w:val="0"/>
              <w:marBottom w:val="0"/>
              <w:divBdr>
                <w:top w:val="none" w:sz="0" w:space="0" w:color="auto"/>
                <w:left w:val="none" w:sz="0" w:space="0" w:color="auto"/>
                <w:bottom w:val="none" w:sz="0" w:space="0" w:color="auto"/>
                <w:right w:val="none" w:sz="0" w:space="0" w:color="auto"/>
              </w:divBdr>
              <w:divsChild>
                <w:div w:id="1864123346">
                  <w:marLeft w:val="0"/>
                  <w:marRight w:val="0"/>
                  <w:marTop w:val="0"/>
                  <w:marBottom w:val="0"/>
                  <w:divBdr>
                    <w:top w:val="none" w:sz="0" w:space="0" w:color="auto"/>
                    <w:left w:val="none" w:sz="0" w:space="0" w:color="auto"/>
                    <w:bottom w:val="none" w:sz="0" w:space="0" w:color="auto"/>
                    <w:right w:val="none" w:sz="0" w:space="0" w:color="auto"/>
                  </w:divBdr>
                  <w:divsChild>
                    <w:div w:id="830945123">
                      <w:marLeft w:val="0"/>
                      <w:marRight w:val="0"/>
                      <w:marTop w:val="0"/>
                      <w:marBottom w:val="0"/>
                      <w:divBdr>
                        <w:top w:val="none" w:sz="0" w:space="0" w:color="auto"/>
                        <w:left w:val="none" w:sz="0" w:space="0" w:color="auto"/>
                        <w:bottom w:val="none" w:sz="0" w:space="0" w:color="auto"/>
                        <w:right w:val="none" w:sz="0" w:space="0" w:color="auto"/>
                      </w:divBdr>
                      <w:divsChild>
                        <w:div w:id="606887010">
                          <w:marLeft w:val="0"/>
                          <w:marRight w:val="0"/>
                          <w:marTop w:val="0"/>
                          <w:marBottom w:val="0"/>
                          <w:divBdr>
                            <w:top w:val="none" w:sz="0" w:space="0" w:color="auto"/>
                            <w:left w:val="none" w:sz="0" w:space="0" w:color="auto"/>
                            <w:bottom w:val="none" w:sz="0" w:space="0" w:color="auto"/>
                            <w:right w:val="none" w:sz="0" w:space="0" w:color="auto"/>
                          </w:divBdr>
                          <w:divsChild>
                            <w:div w:id="801926142">
                              <w:marLeft w:val="0"/>
                              <w:marRight w:val="0"/>
                              <w:marTop w:val="0"/>
                              <w:marBottom w:val="0"/>
                              <w:divBdr>
                                <w:top w:val="none" w:sz="0" w:space="0" w:color="auto"/>
                                <w:left w:val="none" w:sz="0" w:space="0" w:color="auto"/>
                                <w:bottom w:val="none" w:sz="0" w:space="0" w:color="auto"/>
                                <w:right w:val="none" w:sz="0" w:space="0" w:color="auto"/>
                              </w:divBdr>
                              <w:divsChild>
                                <w:div w:id="150996503">
                                  <w:marLeft w:val="0"/>
                                  <w:marRight w:val="0"/>
                                  <w:marTop w:val="0"/>
                                  <w:marBottom w:val="0"/>
                                  <w:divBdr>
                                    <w:top w:val="none" w:sz="0" w:space="0" w:color="auto"/>
                                    <w:left w:val="none" w:sz="0" w:space="0" w:color="auto"/>
                                    <w:bottom w:val="none" w:sz="0" w:space="0" w:color="auto"/>
                                    <w:right w:val="none" w:sz="0" w:space="0" w:color="auto"/>
                                  </w:divBdr>
                                  <w:divsChild>
                                    <w:div w:id="1591306835">
                                      <w:marLeft w:val="0"/>
                                      <w:marRight w:val="0"/>
                                      <w:marTop w:val="0"/>
                                      <w:marBottom w:val="0"/>
                                      <w:divBdr>
                                        <w:top w:val="none" w:sz="0" w:space="0" w:color="auto"/>
                                        <w:left w:val="none" w:sz="0" w:space="0" w:color="auto"/>
                                        <w:bottom w:val="none" w:sz="0" w:space="0" w:color="auto"/>
                                        <w:right w:val="none" w:sz="0" w:space="0" w:color="auto"/>
                                      </w:divBdr>
                                      <w:divsChild>
                                        <w:div w:id="1507286038">
                                          <w:marLeft w:val="0"/>
                                          <w:marRight w:val="0"/>
                                          <w:marTop w:val="0"/>
                                          <w:marBottom w:val="0"/>
                                          <w:divBdr>
                                            <w:top w:val="none" w:sz="0" w:space="0" w:color="auto"/>
                                            <w:left w:val="none" w:sz="0" w:space="0" w:color="auto"/>
                                            <w:bottom w:val="none" w:sz="0" w:space="0" w:color="auto"/>
                                            <w:right w:val="none" w:sz="0" w:space="0" w:color="auto"/>
                                          </w:divBdr>
                                          <w:divsChild>
                                            <w:div w:id="4136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8218">
      <w:bodyDiv w:val="1"/>
      <w:marLeft w:val="0"/>
      <w:marRight w:val="0"/>
      <w:marTop w:val="0"/>
      <w:marBottom w:val="0"/>
      <w:divBdr>
        <w:top w:val="none" w:sz="0" w:space="0" w:color="auto"/>
        <w:left w:val="none" w:sz="0" w:space="0" w:color="auto"/>
        <w:bottom w:val="none" w:sz="0" w:space="0" w:color="auto"/>
        <w:right w:val="none" w:sz="0" w:space="0" w:color="auto"/>
      </w:divBdr>
      <w:divsChild>
        <w:div w:id="91512408">
          <w:marLeft w:val="0"/>
          <w:marRight w:val="0"/>
          <w:marTop w:val="0"/>
          <w:marBottom w:val="0"/>
          <w:divBdr>
            <w:top w:val="none" w:sz="0" w:space="0" w:color="auto"/>
            <w:left w:val="none" w:sz="0" w:space="0" w:color="auto"/>
            <w:bottom w:val="none" w:sz="0" w:space="0" w:color="auto"/>
            <w:right w:val="none" w:sz="0" w:space="0" w:color="auto"/>
          </w:divBdr>
          <w:divsChild>
            <w:div w:id="857281841">
              <w:marLeft w:val="0"/>
              <w:marRight w:val="0"/>
              <w:marTop w:val="0"/>
              <w:marBottom w:val="0"/>
              <w:divBdr>
                <w:top w:val="none" w:sz="0" w:space="0" w:color="auto"/>
                <w:left w:val="none" w:sz="0" w:space="0" w:color="auto"/>
                <w:bottom w:val="none" w:sz="0" w:space="0" w:color="auto"/>
                <w:right w:val="none" w:sz="0" w:space="0" w:color="auto"/>
              </w:divBdr>
              <w:divsChild>
                <w:div w:id="11195717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31086987">
      <w:bodyDiv w:val="1"/>
      <w:marLeft w:val="0"/>
      <w:marRight w:val="0"/>
      <w:marTop w:val="0"/>
      <w:marBottom w:val="0"/>
      <w:divBdr>
        <w:top w:val="none" w:sz="0" w:space="0" w:color="auto"/>
        <w:left w:val="none" w:sz="0" w:space="0" w:color="auto"/>
        <w:bottom w:val="none" w:sz="0" w:space="0" w:color="auto"/>
        <w:right w:val="none" w:sz="0" w:space="0" w:color="auto"/>
      </w:divBdr>
    </w:div>
    <w:div w:id="2034764731">
      <w:bodyDiv w:val="1"/>
      <w:marLeft w:val="0"/>
      <w:marRight w:val="0"/>
      <w:marTop w:val="0"/>
      <w:marBottom w:val="0"/>
      <w:divBdr>
        <w:top w:val="none" w:sz="0" w:space="0" w:color="auto"/>
        <w:left w:val="none" w:sz="0" w:space="0" w:color="auto"/>
        <w:bottom w:val="none" w:sz="0" w:space="0" w:color="auto"/>
        <w:right w:val="none" w:sz="0" w:space="0" w:color="auto"/>
      </w:divBdr>
      <w:divsChild>
        <w:div w:id="637954345">
          <w:marLeft w:val="0"/>
          <w:marRight w:val="0"/>
          <w:marTop w:val="0"/>
          <w:marBottom w:val="0"/>
          <w:divBdr>
            <w:top w:val="none" w:sz="0" w:space="0" w:color="auto"/>
            <w:left w:val="none" w:sz="0" w:space="0" w:color="auto"/>
            <w:bottom w:val="none" w:sz="0" w:space="0" w:color="auto"/>
            <w:right w:val="none" w:sz="0" w:space="0" w:color="auto"/>
          </w:divBdr>
          <w:divsChild>
            <w:div w:id="2061400927">
              <w:marLeft w:val="0"/>
              <w:marRight w:val="0"/>
              <w:marTop w:val="0"/>
              <w:marBottom w:val="0"/>
              <w:divBdr>
                <w:top w:val="none" w:sz="0" w:space="0" w:color="auto"/>
                <w:left w:val="none" w:sz="0" w:space="0" w:color="auto"/>
                <w:bottom w:val="none" w:sz="0" w:space="0" w:color="auto"/>
                <w:right w:val="none" w:sz="0" w:space="0" w:color="auto"/>
              </w:divBdr>
              <w:divsChild>
                <w:div w:id="1253124742">
                  <w:marLeft w:val="0"/>
                  <w:marRight w:val="0"/>
                  <w:marTop w:val="0"/>
                  <w:marBottom w:val="0"/>
                  <w:divBdr>
                    <w:top w:val="none" w:sz="0" w:space="0" w:color="auto"/>
                    <w:left w:val="none" w:sz="0" w:space="0" w:color="auto"/>
                    <w:bottom w:val="none" w:sz="0" w:space="0" w:color="auto"/>
                    <w:right w:val="none" w:sz="0" w:space="0" w:color="auto"/>
                  </w:divBdr>
                  <w:divsChild>
                    <w:div w:id="255286814">
                      <w:marLeft w:val="150"/>
                      <w:marRight w:val="150"/>
                      <w:marTop w:val="0"/>
                      <w:marBottom w:val="0"/>
                      <w:divBdr>
                        <w:top w:val="none" w:sz="0" w:space="0" w:color="auto"/>
                        <w:left w:val="none" w:sz="0" w:space="0" w:color="auto"/>
                        <w:bottom w:val="none" w:sz="0" w:space="0" w:color="auto"/>
                        <w:right w:val="none" w:sz="0" w:space="0" w:color="auto"/>
                      </w:divBdr>
                      <w:divsChild>
                        <w:div w:id="1897232693">
                          <w:marLeft w:val="0"/>
                          <w:marRight w:val="0"/>
                          <w:marTop w:val="0"/>
                          <w:marBottom w:val="0"/>
                          <w:divBdr>
                            <w:top w:val="none" w:sz="0" w:space="0" w:color="auto"/>
                            <w:left w:val="none" w:sz="0" w:space="0" w:color="auto"/>
                            <w:bottom w:val="none" w:sz="0" w:space="0" w:color="auto"/>
                            <w:right w:val="none" w:sz="0" w:space="0" w:color="auto"/>
                          </w:divBdr>
                          <w:divsChild>
                            <w:div w:id="826677563">
                              <w:marLeft w:val="0"/>
                              <w:marRight w:val="0"/>
                              <w:marTop w:val="0"/>
                              <w:marBottom w:val="0"/>
                              <w:divBdr>
                                <w:top w:val="none" w:sz="0" w:space="0" w:color="auto"/>
                                <w:left w:val="none" w:sz="0" w:space="0" w:color="auto"/>
                                <w:bottom w:val="none" w:sz="0" w:space="0" w:color="auto"/>
                                <w:right w:val="none" w:sz="0" w:space="0" w:color="auto"/>
                              </w:divBdr>
                              <w:divsChild>
                                <w:div w:id="1249466419">
                                  <w:marLeft w:val="0"/>
                                  <w:marRight w:val="0"/>
                                  <w:marTop w:val="0"/>
                                  <w:marBottom w:val="0"/>
                                  <w:divBdr>
                                    <w:top w:val="none" w:sz="0" w:space="0" w:color="auto"/>
                                    <w:left w:val="none" w:sz="0" w:space="0" w:color="auto"/>
                                    <w:bottom w:val="none" w:sz="0" w:space="0" w:color="auto"/>
                                    <w:right w:val="none" w:sz="0" w:space="0" w:color="auto"/>
                                  </w:divBdr>
                                  <w:divsChild>
                                    <w:div w:id="98138936">
                                      <w:marLeft w:val="0"/>
                                      <w:marRight w:val="0"/>
                                      <w:marTop w:val="0"/>
                                      <w:marBottom w:val="0"/>
                                      <w:divBdr>
                                        <w:top w:val="none" w:sz="0" w:space="0" w:color="auto"/>
                                        <w:left w:val="none" w:sz="0" w:space="0" w:color="auto"/>
                                        <w:bottom w:val="none" w:sz="0" w:space="0" w:color="auto"/>
                                        <w:right w:val="none" w:sz="0" w:space="0" w:color="auto"/>
                                      </w:divBdr>
                                      <w:divsChild>
                                        <w:div w:id="357969493">
                                          <w:marLeft w:val="0"/>
                                          <w:marRight w:val="0"/>
                                          <w:marTop w:val="0"/>
                                          <w:marBottom w:val="0"/>
                                          <w:divBdr>
                                            <w:top w:val="none" w:sz="0" w:space="0" w:color="auto"/>
                                            <w:left w:val="none" w:sz="0" w:space="0" w:color="auto"/>
                                            <w:bottom w:val="none" w:sz="0" w:space="0" w:color="auto"/>
                                            <w:right w:val="none" w:sz="0" w:space="0" w:color="auto"/>
                                          </w:divBdr>
                                          <w:divsChild>
                                            <w:div w:id="1331955693">
                                              <w:marLeft w:val="0"/>
                                              <w:marRight w:val="0"/>
                                              <w:marTop w:val="0"/>
                                              <w:marBottom w:val="0"/>
                                              <w:divBdr>
                                                <w:top w:val="none" w:sz="0" w:space="0" w:color="auto"/>
                                                <w:left w:val="none" w:sz="0" w:space="0" w:color="auto"/>
                                                <w:bottom w:val="none" w:sz="0" w:space="0" w:color="auto"/>
                                                <w:right w:val="none" w:sz="0" w:space="0" w:color="auto"/>
                                              </w:divBdr>
                                              <w:divsChild>
                                                <w:div w:id="13153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health.gov.au/internet/main/publishing.nsf/Content/examination-of-australian-government-indigenous-ear-and-hearing-health-initiativ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0336-36A0-4FEB-B7FB-9B9FABABD015}">
  <ds:schemaRefs>
    <ds:schemaRef ds:uri="http://schemas.microsoft.com/office/2006/metadata/properties"/>
    <ds:schemaRef ds:uri="http://schemas.microsoft.com/office/2006/documentManagement/types"/>
    <ds:schemaRef ds:uri="http://purl.org/dc/terms/"/>
    <ds:schemaRef ds:uri="AE32FDDF-71FF-45F5-8889-470B81BC5115"/>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21D0679-7047-49A0-BA6C-7E810C271402}">
  <ds:schemaRefs>
    <ds:schemaRef ds:uri="http://schemas.microsoft.com/sharepoint/v3/contenttype/forms"/>
  </ds:schemaRefs>
</ds:datastoreItem>
</file>

<file path=customXml/itemProps3.xml><?xml version="1.0" encoding="utf-8"?>
<ds:datastoreItem xmlns:ds="http://schemas.openxmlformats.org/officeDocument/2006/customXml" ds:itemID="{57640C3B-53F4-4131-81AB-740E0B8A8790}"/>
</file>

<file path=customXml/itemProps4.xml><?xml version="1.0" encoding="utf-8"?>
<ds:datastoreItem xmlns:ds="http://schemas.openxmlformats.org/officeDocument/2006/customXml" ds:itemID="{24EAAAEC-66E3-4707-A34E-4A670B6C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4901</Words>
  <Characters>29674</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Huard John</dc:creator>
  <cp:lastModifiedBy>Huard John</cp:lastModifiedBy>
  <cp:revision>2</cp:revision>
  <cp:lastPrinted>2018-04-13T04:09:00Z</cp:lastPrinted>
  <dcterms:created xsi:type="dcterms:W3CDTF">2018-08-14T06:09:00Z</dcterms:created>
  <dcterms:modified xsi:type="dcterms:W3CDTF">2018-08-14T06:09:00Z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