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34C4D">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20602B" w:rsidP="00DF7ADB">
      <w:pPr>
        <w:pStyle w:val="Subtitle"/>
      </w:pPr>
      <w:r>
        <w:t>Stage 2 Reform</w:t>
      </w:r>
      <w:r w:rsidR="00A861D8" w:rsidRPr="0069456D">
        <w:t xml:space="preserve">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0C396E5">
            <wp:simplePos x="0" y="0"/>
            <wp:positionH relativeFrom="column">
              <wp:posOffset>-34925</wp:posOffset>
            </wp:positionH>
            <wp:positionV relativeFrom="page">
              <wp:posOffset>2338070</wp:posOffset>
            </wp:positionV>
            <wp:extent cx="1123315" cy="1123315"/>
            <wp:effectExtent l="0" t="0" r="635" b="635"/>
            <wp:wrapNone/>
            <wp:docPr id="21" name="Picture 21" descr="Reporting and compli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porting and compliance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D44FE7205DA74AEE9FD1BE507571B050"/>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2D699C" w:rsidP="00A65874">
          <w:pPr>
            <w:pStyle w:val="Title"/>
          </w:pPr>
          <w:r>
            <w:t>Report</w:t>
          </w:r>
          <w:r w:rsidR="00CB436E">
            <w:t>ing and compliance: Reporting</w:t>
          </w:r>
        </w:p>
      </w:sdtContent>
    </w:sdt>
    <w:p w:rsidR="00CB436E" w:rsidRPr="00CB436E" w:rsidRDefault="0049649C" w:rsidP="005F794B">
      <w:pPr>
        <w:pStyle w:val="Heading2"/>
        <w:rPr>
          <w:rFonts w:asciiTheme="minorHAnsi" w:eastAsiaTheme="minorHAnsi" w:hAnsiTheme="minorHAnsi" w:cstheme="minorBidi"/>
          <w:color w:val="auto"/>
          <w:sz w:val="26"/>
          <w:szCs w:val="20"/>
          <w:lang w:val="en-US"/>
        </w:rPr>
      </w:pPr>
      <w:bookmarkStart w:id="0" w:name="_Toc49855349"/>
      <w:r>
        <w:rPr>
          <w:rFonts w:asciiTheme="minorHAnsi" w:eastAsiaTheme="minorHAnsi" w:hAnsiTheme="minorHAnsi" w:cstheme="minorBidi"/>
          <w:color w:val="auto"/>
          <w:sz w:val="26"/>
          <w:szCs w:val="20"/>
          <w:lang w:val="en-US"/>
        </w:rPr>
        <w:t>Currently, t</w:t>
      </w:r>
      <w:r w:rsidR="00CB436E" w:rsidRPr="00CB436E">
        <w:rPr>
          <w:rFonts w:asciiTheme="minorHAnsi" w:eastAsiaTheme="minorHAnsi" w:hAnsiTheme="minorHAnsi" w:cstheme="minorBidi"/>
          <w:color w:val="auto"/>
          <w:sz w:val="26"/>
          <w:szCs w:val="20"/>
          <w:lang w:val="en-US"/>
        </w:rPr>
        <w:t xml:space="preserve">here are no provisions for reporting data on compliance with the Transport Standards, and therefore no nationally consistent compliance data currently exists. There is an opportunity to develop and implement a nationally consistent reporting framework for measuring compliance. </w:t>
      </w:r>
    </w:p>
    <w:bookmarkEnd w:id="0"/>
    <w:p w:rsidR="005F794B" w:rsidRPr="00CB436E" w:rsidRDefault="00CB436E" w:rsidP="00CB436E">
      <w:pPr>
        <w:pStyle w:val="Heading2"/>
      </w:pPr>
      <w:r w:rsidRPr="00CB436E">
        <w:t>Reform options</w:t>
      </w:r>
    </w:p>
    <w:p w:rsidR="005F794B" w:rsidRPr="005F794B" w:rsidRDefault="00CB436E" w:rsidP="006A266A">
      <w:pPr>
        <w:pStyle w:val="Heading3"/>
      </w:pPr>
      <w:r>
        <w:t>Maintain current requirements in the Transport Standards</w:t>
      </w:r>
    </w:p>
    <w:p w:rsidR="00D31608" w:rsidRPr="0020602B" w:rsidRDefault="00D31608" w:rsidP="005F794B">
      <w:pPr>
        <w:rPr>
          <w:sz w:val="22"/>
          <w:lang w:val="en-US"/>
        </w:rPr>
      </w:pPr>
      <w:r w:rsidRPr="0020602B">
        <w:rPr>
          <w:sz w:val="22"/>
          <w:lang w:val="en-US"/>
        </w:rPr>
        <w:t>The Transport Standards would remain unchanged and no guidance material would be issued.</w:t>
      </w:r>
    </w:p>
    <w:p w:rsidR="00D31608" w:rsidRDefault="00D31608" w:rsidP="00CB436E">
      <w:pPr>
        <w:pStyle w:val="Heading3"/>
      </w:pPr>
      <w:r>
        <w:t>Non-regulatory option: self-reporting against compliance plans</w:t>
      </w:r>
    </w:p>
    <w:p w:rsidR="00D31608" w:rsidRPr="0020602B" w:rsidRDefault="00D31608" w:rsidP="00CB436E">
      <w:pPr>
        <w:rPr>
          <w:sz w:val="22"/>
          <w:lang w:val="en-US"/>
        </w:rPr>
      </w:pPr>
      <w:r w:rsidRPr="0020602B">
        <w:rPr>
          <w:sz w:val="22"/>
          <w:lang w:val="en-US"/>
        </w:rPr>
        <w:t>Guidance material would be provided, encouraging operators and providers to:</w:t>
      </w:r>
    </w:p>
    <w:p w:rsidR="00D31608" w:rsidRPr="0020602B" w:rsidRDefault="00D31608" w:rsidP="00D31608">
      <w:pPr>
        <w:pStyle w:val="Bullet1"/>
        <w:rPr>
          <w:sz w:val="22"/>
        </w:rPr>
      </w:pPr>
      <w:r w:rsidRPr="0020602B">
        <w:rPr>
          <w:sz w:val="22"/>
          <w:lang w:val="en-US"/>
        </w:rPr>
        <w:t>Publish plans on compliance with the Transport Standards</w:t>
      </w:r>
    </w:p>
    <w:p w:rsidR="00D31608" w:rsidRPr="0020602B" w:rsidRDefault="00D31608" w:rsidP="00D31608">
      <w:pPr>
        <w:pStyle w:val="Bullet1"/>
        <w:rPr>
          <w:sz w:val="22"/>
        </w:rPr>
      </w:pPr>
      <w:r w:rsidRPr="0020602B">
        <w:rPr>
          <w:sz w:val="22"/>
          <w:lang w:val="en-US"/>
        </w:rPr>
        <w:t>Publish progress reports based on their compliance against these plans</w:t>
      </w:r>
    </w:p>
    <w:p w:rsidR="00D31608" w:rsidRPr="0020602B" w:rsidRDefault="00D31608" w:rsidP="00D31608">
      <w:pPr>
        <w:rPr>
          <w:sz w:val="22"/>
          <w:lang w:val="en-US"/>
        </w:rPr>
      </w:pPr>
      <w:r w:rsidRPr="0020602B">
        <w:rPr>
          <w:sz w:val="22"/>
          <w:lang w:val="en-US"/>
        </w:rPr>
        <w:t>Additional guidance would be provided regarding the data and information that should include in compliance plans and reports, including the format these documents should be published in. Components may include:</w:t>
      </w:r>
    </w:p>
    <w:p w:rsidR="00D31608" w:rsidRPr="0020602B" w:rsidRDefault="00D31608" w:rsidP="00D31608">
      <w:pPr>
        <w:pStyle w:val="Bullet1"/>
        <w:rPr>
          <w:sz w:val="22"/>
        </w:rPr>
      </w:pPr>
      <w:r w:rsidRPr="0020602B">
        <w:rPr>
          <w:sz w:val="22"/>
          <w:lang w:val="en-US"/>
        </w:rPr>
        <w:t>Consistent definition of terms</w:t>
      </w:r>
    </w:p>
    <w:p w:rsidR="00D31608" w:rsidRPr="0020602B" w:rsidRDefault="00D31608" w:rsidP="00D31608">
      <w:pPr>
        <w:pStyle w:val="Bullet1"/>
        <w:rPr>
          <w:sz w:val="22"/>
        </w:rPr>
      </w:pPr>
      <w:r w:rsidRPr="0020602B">
        <w:rPr>
          <w:sz w:val="22"/>
          <w:lang w:val="en-US"/>
        </w:rPr>
        <w:t>Frequency of renewing compliance plans and providing compliance reports</w:t>
      </w:r>
    </w:p>
    <w:p w:rsidR="00D31608" w:rsidRPr="0020602B" w:rsidRDefault="00D31608" w:rsidP="00D31608">
      <w:pPr>
        <w:pStyle w:val="Bullet1"/>
        <w:rPr>
          <w:sz w:val="22"/>
        </w:rPr>
      </w:pPr>
      <w:r w:rsidRPr="0020602B">
        <w:rPr>
          <w:sz w:val="22"/>
          <w:lang w:val="en-US"/>
        </w:rPr>
        <w:t>Templates to support national consistency in reporting</w:t>
      </w:r>
    </w:p>
    <w:p w:rsidR="00D31608" w:rsidRPr="0020602B" w:rsidRDefault="00D31608" w:rsidP="00D31608">
      <w:pPr>
        <w:pStyle w:val="Bullet1"/>
        <w:rPr>
          <w:sz w:val="22"/>
        </w:rPr>
      </w:pPr>
      <w:r w:rsidRPr="0020602B">
        <w:rPr>
          <w:sz w:val="22"/>
          <w:lang w:val="en-US"/>
        </w:rPr>
        <w:t>Guidance on how compliance plans and reporting should be published, ensuring they meet accessibility requirements</w:t>
      </w:r>
    </w:p>
    <w:p w:rsidR="00D31608" w:rsidRPr="0020602B" w:rsidRDefault="00D31608" w:rsidP="00D31608">
      <w:pPr>
        <w:rPr>
          <w:sz w:val="22"/>
          <w:lang w:val="en-US"/>
        </w:rPr>
      </w:pPr>
      <w:r w:rsidRPr="0020602B">
        <w:rPr>
          <w:sz w:val="22"/>
          <w:lang w:val="en-US"/>
        </w:rPr>
        <w:t>The Australian Government may provide a central repository of published compliance plans and progress reports.</w:t>
      </w:r>
    </w:p>
    <w:p w:rsidR="00CB436E" w:rsidRPr="005F794B" w:rsidRDefault="00D31608" w:rsidP="00CB436E">
      <w:pPr>
        <w:pStyle w:val="Heading3"/>
      </w:pPr>
      <w:r>
        <w:t>Regulatory option: mandatory reporting on assets</w:t>
      </w:r>
    </w:p>
    <w:p w:rsidR="00D31608" w:rsidRPr="0020602B" w:rsidRDefault="00D31608" w:rsidP="00D31608">
      <w:pPr>
        <w:rPr>
          <w:sz w:val="22"/>
        </w:rPr>
      </w:pPr>
      <w:r w:rsidRPr="0020602B">
        <w:rPr>
          <w:sz w:val="22"/>
        </w:rPr>
        <w:t>The Australian Government would work with state and territory governments, operators and providers and the disability community to:</w:t>
      </w:r>
    </w:p>
    <w:p w:rsidR="00D31608" w:rsidRPr="0020602B" w:rsidRDefault="00D31608" w:rsidP="00D31608">
      <w:pPr>
        <w:pStyle w:val="Bullet1"/>
        <w:rPr>
          <w:sz w:val="22"/>
        </w:rPr>
      </w:pPr>
      <w:r w:rsidRPr="0020602B">
        <w:rPr>
          <w:sz w:val="22"/>
        </w:rPr>
        <w:t>develop a national compliance reporting framework (the framework) and</w:t>
      </w:r>
    </w:p>
    <w:p w:rsidR="00D31608" w:rsidRPr="0020602B" w:rsidRDefault="00D31608" w:rsidP="00D31608">
      <w:pPr>
        <w:pStyle w:val="Bullet1"/>
        <w:rPr>
          <w:sz w:val="22"/>
        </w:rPr>
      </w:pPr>
      <w:r w:rsidRPr="0020602B">
        <w:rPr>
          <w:sz w:val="22"/>
        </w:rPr>
        <w:t>establish a database to receive and store compliance data for all public transport assets.</w:t>
      </w:r>
    </w:p>
    <w:p w:rsidR="00D31608" w:rsidRPr="0020602B" w:rsidRDefault="00D31608" w:rsidP="00D31608">
      <w:pPr>
        <w:rPr>
          <w:sz w:val="22"/>
        </w:rPr>
      </w:pPr>
      <w:r w:rsidRPr="0020602B">
        <w:rPr>
          <w:sz w:val="22"/>
        </w:rPr>
        <w:lastRenderedPageBreak/>
        <w:t>The framework could include information on, but not be limited to:</w:t>
      </w:r>
    </w:p>
    <w:p w:rsidR="00D31608" w:rsidRPr="0020602B" w:rsidRDefault="00D31608" w:rsidP="00D31608">
      <w:pPr>
        <w:pStyle w:val="Bullet1"/>
        <w:rPr>
          <w:sz w:val="22"/>
        </w:rPr>
      </w:pPr>
      <w:r w:rsidRPr="0020602B">
        <w:rPr>
          <w:sz w:val="22"/>
        </w:rPr>
        <w:t>the purpose and methodology of data collection</w:t>
      </w:r>
    </w:p>
    <w:p w:rsidR="00D31608" w:rsidRPr="0020602B" w:rsidRDefault="00D31608" w:rsidP="00D31608">
      <w:pPr>
        <w:pStyle w:val="Bullet1"/>
        <w:rPr>
          <w:sz w:val="22"/>
        </w:rPr>
      </w:pPr>
      <w:r w:rsidRPr="0020602B">
        <w:rPr>
          <w:sz w:val="22"/>
        </w:rPr>
        <w:t>responsibilities for data collection and collation, incorporating scalability considerations of responsible reporting entities</w:t>
      </w:r>
    </w:p>
    <w:p w:rsidR="00D31608" w:rsidRPr="0020602B" w:rsidRDefault="00D31608" w:rsidP="00D31608">
      <w:pPr>
        <w:pStyle w:val="Bullet1"/>
        <w:rPr>
          <w:sz w:val="22"/>
        </w:rPr>
      </w:pPr>
      <w:r w:rsidRPr="0020602B">
        <w:rPr>
          <w:sz w:val="22"/>
        </w:rPr>
        <w:t>responsibilities for data storage and dissemination (if required)</w:t>
      </w:r>
    </w:p>
    <w:p w:rsidR="00D31608" w:rsidRPr="0020602B" w:rsidRDefault="00D31608" w:rsidP="00D31608">
      <w:pPr>
        <w:pStyle w:val="Bullet1"/>
        <w:rPr>
          <w:sz w:val="22"/>
        </w:rPr>
      </w:pPr>
      <w:r w:rsidRPr="0020602B">
        <w:rPr>
          <w:sz w:val="22"/>
        </w:rPr>
        <w:t>how data will be stored and used, including the potential publication of data</w:t>
      </w:r>
    </w:p>
    <w:p w:rsidR="00D31608" w:rsidRPr="0020602B" w:rsidRDefault="00D31608" w:rsidP="00D31608">
      <w:pPr>
        <w:pStyle w:val="Bullet1"/>
        <w:rPr>
          <w:sz w:val="22"/>
        </w:rPr>
      </w:pPr>
      <w:r w:rsidRPr="0020602B">
        <w:rPr>
          <w:sz w:val="22"/>
        </w:rPr>
        <w:t>the scope of aspects / elements of the Transport Standards to be measured</w:t>
      </w:r>
    </w:p>
    <w:p w:rsidR="00D31608" w:rsidRPr="0020602B" w:rsidRDefault="00D31608" w:rsidP="00D31608">
      <w:pPr>
        <w:pStyle w:val="Bullet1"/>
        <w:rPr>
          <w:sz w:val="22"/>
        </w:rPr>
      </w:pPr>
      <w:r w:rsidRPr="0020602B">
        <w:rPr>
          <w:sz w:val="22"/>
        </w:rPr>
        <w:t>consistent definitions of terms</w:t>
      </w:r>
    </w:p>
    <w:p w:rsidR="00D31608" w:rsidRPr="0020602B" w:rsidRDefault="00D31608" w:rsidP="00D31608">
      <w:pPr>
        <w:pStyle w:val="Bullet1"/>
        <w:rPr>
          <w:sz w:val="22"/>
        </w:rPr>
      </w:pPr>
      <w:r w:rsidRPr="0020602B">
        <w:rPr>
          <w:sz w:val="22"/>
        </w:rPr>
        <w:t>frequency of reporting</w:t>
      </w:r>
    </w:p>
    <w:p w:rsidR="00D31608" w:rsidRPr="0020602B" w:rsidRDefault="00D31608" w:rsidP="00D31608">
      <w:pPr>
        <w:pStyle w:val="Bullet1"/>
        <w:rPr>
          <w:sz w:val="22"/>
        </w:rPr>
      </w:pPr>
      <w:r w:rsidRPr="0020602B">
        <w:rPr>
          <w:sz w:val="22"/>
        </w:rPr>
        <w:t>guidance on how to achieve consistent and / or comparable data</w:t>
      </w:r>
    </w:p>
    <w:p w:rsidR="00D31608" w:rsidRPr="0020602B" w:rsidRDefault="00D31608" w:rsidP="00D31608">
      <w:pPr>
        <w:pStyle w:val="Bullet1"/>
        <w:rPr>
          <w:sz w:val="22"/>
        </w:rPr>
      </w:pPr>
      <w:r w:rsidRPr="0020602B">
        <w:rPr>
          <w:sz w:val="22"/>
        </w:rPr>
        <w:t>guidance on how to use the framework.</w:t>
      </w:r>
    </w:p>
    <w:p w:rsidR="00D31608" w:rsidRPr="0020602B" w:rsidRDefault="00D31608" w:rsidP="00D31608">
      <w:pPr>
        <w:rPr>
          <w:sz w:val="22"/>
        </w:rPr>
      </w:pPr>
      <w:r w:rsidRPr="0020602B">
        <w:rPr>
          <w:sz w:val="22"/>
        </w:rPr>
        <w:t>The framework would require operators and providers to:</w:t>
      </w:r>
    </w:p>
    <w:p w:rsidR="00D31608" w:rsidRPr="0020602B" w:rsidRDefault="00D31608" w:rsidP="00D31608">
      <w:pPr>
        <w:pStyle w:val="Bullet1"/>
        <w:rPr>
          <w:sz w:val="22"/>
        </w:rPr>
      </w:pPr>
      <w:r w:rsidRPr="0020602B">
        <w:rPr>
          <w:sz w:val="22"/>
        </w:rPr>
        <w:t>report identification information for an asset and whether it is compliant with the prescriptive standards or not</w:t>
      </w:r>
    </w:p>
    <w:p w:rsidR="00D31608" w:rsidRPr="0020602B" w:rsidRDefault="00D31608" w:rsidP="00D31608">
      <w:pPr>
        <w:pStyle w:val="Bullet1"/>
        <w:rPr>
          <w:sz w:val="22"/>
        </w:rPr>
      </w:pPr>
      <w:r w:rsidRPr="0020602B">
        <w:rPr>
          <w:sz w:val="22"/>
        </w:rPr>
        <w:t>report any cases where the assets do not meet the select prescriptive standards in the Transport Standards, and how the asset meets the requirements of the Transport Standards through unjustifiable hardship, direct assistance or equivalent access.</w:t>
      </w:r>
    </w:p>
    <w:p w:rsidR="00D31608" w:rsidRPr="0020602B" w:rsidRDefault="00D31608" w:rsidP="00310A35">
      <w:pPr>
        <w:pStyle w:val="Heading5"/>
      </w:pPr>
      <w:r w:rsidRPr="0020602B">
        <w:t>Three regulatory options are presented for consideration:</w:t>
      </w:r>
    </w:p>
    <w:p w:rsidR="00D31608" w:rsidRPr="0020602B" w:rsidRDefault="00D31608" w:rsidP="00D31608">
      <w:pPr>
        <w:pStyle w:val="ListLegal1"/>
        <w:rPr>
          <w:sz w:val="22"/>
        </w:rPr>
      </w:pPr>
      <w:r w:rsidRPr="0020602B">
        <w:rPr>
          <w:sz w:val="22"/>
        </w:rPr>
        <w:t>Report compliance on new or substantially refurbished or upgraded assets only</w:t>
      </w:r>
    </w:p>
    <w:p w:rsidR="00D31608" w:rsidRPr="0020602B" w:rsidRDefault="00D31608" w:rsidP="00D31608">
      <w:pPr>
        <w:pStyle w:val="ListLegal1"/>
        <w:rPr>
          <w:sz w:val="22"/>
        </w:rPr>
      </w:pPr>
      <w:r w:rsidRPr="0020602B">
        <w:rPr>
          <w:sz w:val="22"/>
        </w:rPr>
        <w:t>Report compliance data on new or substantially refurbished and upgraded assets AND all assets for select sections of the Transport Standards only</w:t>
      </w:r>
    </w:p>
    <w:p w:rsidR="00D31608" w:rsidRPr="0020602B" w:rsidRDefault="00D31608" w:rsidP="00D31608">
      <w:pPr>
        <w:pStyle w:val="ListLegal1"/>
        <w:rPr>
          <w:sz w:val="22"/>
        </w:rPr>
      </w:pPr>
      <w:r w:rsidRPr="0020602B">
        <w:rPr>
          <w:sz w:val="22"/>
        </w:rPr>
        <w:t>Report compliance data on new or substantially refurbished and upgraded assets AND for specific assets only</w:t>
      </w:r>
    </w:p>
    <w:p w:rsidR="00DE4FE2" w:rsidRDefault="00D31608" w:rsidP="00D31608">
      <w:pPr>
        <w:pStyle w:val="Heading2"/>
      </w:pPr>
      <w:r>
        <w:t>Have your say</w:t>
      </w:r>
    </w:p>
    <w:p w:rsidR="00D31608" w:rsidRPr="0020602B" w:rsidRDefault="00D31608" w:rsidP="00D31608">
      <w:pPr>
        <w:rPr>
          <w:sz w:val="22"/>
        </w:rPr>
      </w:pPr>
      <w:r w:rsidRPr="0020602B">
        <w:rPr>
          <w:sz w:val="22"/>
        </w:rPr>
        <w:t>Public consultation on the Stage 2 reform of the Transport Standards wi</w:t>
      </w:r>
      <w:r w:rsidR="0020602B" w:rsidRPr="0020602B">
        <w:rPr>
          <w:sz w:val="22"/>
        </w:rPr>
        <w:t xml:space="preserve">ll open from </w:t>
      </w:r>
      <w:r w:rsidR="005D03F4">
        <w:rPr>
          <w:sz w:val="22"/>
        </w:rPr>
        <w:t>15 March to 9 August</w:t>
      </w:r>
      <w:r w:rsidR="0020602B" w:rsidRPr="0020602B">
        <w:rPr>
          <w:sz w:val="22"/>
        </w:rPr>
        <w:t xml:space="preserve"> 2022. </w:t>
      </w:r>
    </w:p>
    <w:p w:rsidR="0020602B" w:rsidRPr="0020602B" w:rsidRDefault="0020602B" w:rsidP="00D31608">
      <w:pPr>
        <w:rPr>
          <w:sz w:val="22"/>
        </w:rPr>
      </w:pPr>
      <w:r w:rsidRPr="0020602B">
        <w:rPr>
          <w:sz w:val="22"/>
        </w:rPr>
        <w:t>For further information:</w:t>
      </w:r>
    </w:p>
    <w:p w:rsidR="0020602B" w:rsidRPr="0020602B" w:rsidRDefault="0020602B" w:rsidP="0020602B">
      <w:pPr>
        <w:pStyle w:val="Bullet1"/>
        <w:rPr>
          <w:sz w:val="22"/>
        </w:rPr>
      </w:pPr>
      <w:r w:rsidRPr="0020602B">
        <w:rPr>
          <w:b/>
          <w:sz w:val="22"/>
          <w:lang w:val="en-US"/>
        </w:rPr>
        <w:t xml:space="preserve">Website: </w:t>
      </w:r>
      <w:hyperlink r:id="rId19" w:history="1">
        <w:r w:rsidRPr="0020602B">
          <w:rPr>
            <w:rStyle w:val="Hyperlink"/>
            <w:sz w:val="22"/>
            <w:lang w:val="en-US"/>
          </w:rPr>
          <w:t>https://www.infrastructure.gov.au</w:t>
        </w:r>
      </w:hyperlink>
    </w:p>
    <w:p w:rsidR="0020602B" w:rsidRPr="0020602B" w:rsidRDefault="0020602B" w:rsidP="0020602B">
      <w:pPr>
        <w:pStyle w:val="Bullet1"/>
        <w:rPr>
          <w:sz w:val="22"/>
        </w:rPr>
      </w:pPr>
      <w:r w:rsidRPr="0020602B">
        <w:rPr>
          <w:b/>
          <w:sz w:val="22"/>
          <w:lang w:val="en-US"/>
        </w:rPr>
        <w:t>Call:</w:t>
      </w:r>
      <w:r w:rsidRPr="0020602B">
        <w:rPr>
          <w:sz w:val="22"/>
          <w:lang w:val="en-US"/>
        </w:rPr>
        <w:t xml:space="preserve"> 1800 621 372</w:t>
      </w:r>
    </w:p>
    <w:p w:rsidR="0020602B" w:rsidRPr="00C92BDA" w:rsidRDefault="0020602B" w:rsidP="0020602B">
      <w:pPr>
        <w:pStyle w:val="Bullet1"/>
        <w:rPr>
          <w:sz w:val="22"/>
        </w:rPr>
      </w:pPr>
      <w:r w:rsidRPr="0020602B">
        <w:rPr>
          <w:b/>
          <w:sz w:val="22"/>
          <w:lang w:val="en-US"/>
        </w:rPr>
        <w:t>Email:</w:t>
      </w:r>
      <w:r w:rsidRPr="0020602B">
        <w:rPr>
          <w:sz w:val="22"/>
          <w:lang w:val="en-US"/>
        </w:rPr>
        <w:t xml:space="preserve"> DisabilityTransport@infrastructure.gov.au </w:t>
      </w:r>
    </w:p>
    <w:p w:rsidR="00C92BDA" w:rsidRPr="0020602B" w:rsidRDefault="00C92BDA" w:rsidP="0020602B">
      <w:pPr>
        <w:pStyle w:val="Bullet1"/>
        <w:rPr>
          <w:sz w:val="22"/>
        </w:rPr>
      </w:pPr>
      <w:r>
        <w:rPr>
          <w:b/>
          <w:sz w:val="22"/>
          <w:lang w:val="en-US"/>
        </w:rPr>
        <w:t xml:space="preserve">Survey: </w:t>
      </w:r>
      <w:hyperlink r:id="rId20" w:tgtFrame="_blank" w:history="1">
        <w:r w:rsidRPr="00BD17CA">
          <w:rPr>
            <w:rStyle w:val="Hyperlink"/>
            <w:color w:val="0000FF"/>
            <w:sz w:val="22"/>
            <w:szCs w:val="22"/>
            <w:lang w:val="en-US"/>
          </w:rPr>
          <w:t>https://edm.infrastructure.gov.au/survey.php?sid=2</w:t>
        </w:r>
        <w:bookmarkStart w:id="1" w:name="_GoBack"/>
        <w:bookmarkEnd w:id="1"/>
        <w:r w:rsidRPr="00BD17CA">
          <w:rPr>
            <w:rStyle w:val="Hyperlink"/>
            <w:color w:val="0000FF"/>
            <w:sz w:val="22"/>
            <w:szCs w:val="22"/>
            <w:lang w:val="en-US"/>
          </w:rPr>
          <w:t>8714&amp;name=reporting</w:t>
        </w:r>
      </w:hyperlink>
    </w:p>
    <w:sectPr w:rsidR="00C92BDA" w:rsidRPr="0020602B"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6E" w:rsidRDefault="00CB436E" w:rsidP="008456D5">
      <w:pPr>
        <w:spacing w:before="0" w:after="0"/>
      </w:pPr>
      <w:r>
        <w:separator/>
      </w:r>
    </w:p>
  </w:endnote>
  <w:endnote w:type="continuationSeparator" w:id="0">
    <w:p w:rsidR="00CB436E" w:rsidRDefault="00CB436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CB436E" w:rsidP="009A2D48">
                              <w:pPr>
                                <w:pStyle w:val="Footer"/>
                              </w:pPr>
                              <w:r>
                                <w:t>Reporting and compliance: Reporting</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CB436E" w:rsidP="009A2D48">
                        <w:pPr>
                          <w:pStyle w:val="Footer"/>
                        </w:pPr>
                        <w:r>
                          <w:t>Reporting and compliance: Reporting</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2D11">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2D11">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CB436E" w:rsidP="007A05BE">
                              <w:pPr>
                                <w:pStyle w:val="Footer"/>
                                <w:jc w:val="right"/>
                              </w:pPr>
                              <w:r>
                                <w:t>Reporting and compliance: Reporting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CB436E" w:rsidP="007A05BE">
                        <w:pPr>
                          <w:pStyle w:val="Footer"/>
                          <w:jc w:val="right"/>
                        </w:pPr>
                        <w:r>
                          <w:t>Reporting and compliance: Reporting</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A9D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1547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2D11">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2D11">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CB436E" w:rsidP="00D02062">
                              <w:pPr>
                                <w:pStyle w:val="Footer"/>
                                <w:jc w:val="right"/>
                              </w:pPr>
                              <w:r>
                                <w:t>Reporting and compliance: Reporting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CB436E" w:rsidP="00D02062">
                        <w:pPr>
                          <w:pStyle w:val="Footer"/>
                          <w:jc w:val="right"/>
                        </w:pPr>
                        <w:r>
                          <w:t>Reporting and compliance: Reporting</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6E" w:rsidRPr="005912BE" w:rsidRDefault="00CB436E" w:rsidP="005912BE">
      <w:pPr>
        <w:spacing w:before="300"/>
        <w:rPr>
          <w:color w:val="008089" w:themeColor="accent2"/>
        </w:rPr>
      </w:pPr>
      <w:r>
        <w:rPr>
          <w:color w:val="008089" w:themeColor="accent2"/>
        </w:rPr>
        <w:t>----------</w:t>
      </w:r>
    </w:p>
  </w:footnote>
  <w:footnote w:type="continuationSeparator" w:id="0">
    <w:p w:rsidR="00CB436E" w:rsidRDefault="00CB436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310A35" w:rsidP="009A2D48">
    <w:pPr>
      <w:pStyle w:val="Header"/>
      <w:spacing w:after="1320"/>
      <w:jc w:val="left"/>
    </w:pPr>
    <w:r>
      <w:fldChar w:fldCharType="begin"/>
    </w:r>
    <w:r>
      <w:instrText xml:space="preserve"> STYLEREF  "Heading 1" \l  \* MERGEFORMAT </w:instrText>
    </w:r>
    <w:r>
      <w:fldChar w:fldCharType="separate"/>
    </w:r>
    <w:r w:rsidR="00C32D11">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C32D11">
    <w:pPr>
      <w:pStyle w:val="Header"/>
    </w:pPr>
    <w:r>
      <w:fldChar w:fldCharType="begin"/>
    </w:r>
    <w:r>
      <w:instrText xml:space="preserve"> STYLEREF  Subtitle  \* MERGEFORMAT </w:instrText>
    </w:r>
    <w:r>
      <w:fldChar w:fldCharType="separate"/>
    </w:r>
    <w:r>
      <w:rPr>
        <w:noProof/>
      </w:rPr>
      <w:t>Stage 2 Reform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5E20C2A"/>
    <w:multiLevelType w:val="hybridMultilevel"/>
    <w:tmpl w:val="9F30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3F14F3"/>
    <w:multiLevelType w:val="hybridMultilevel"/>
    <w:tmpl w:val="647096C8"/>
    <w:lvl w:ilvl="0" w:tplc="0C090001">
      <w:start w:val="1"/>
      <w:numFmt w:val="bullet"/>
      <w:lvlText w:val=""/>
      <w:lvlJc w:val="left"/>
      <w:pPr>
        <w:ind w:left="720" w:hanging="360"/>
      </w:pPr>
      <w:rPr>
        <w:rFonts w:ascii="Symbol" w:hAnsi="Symbol" w:hint="default"/>
      </w:rPr>
    </w:lvl>
    <w:lvl w:ilvl="1" w:tplc="E6C0F11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AD85910"/>
    <w:multiLevelType w:val="hybridMultilevel"/>
    <w:tmpl w:val="F2B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6E"/>
    <w:rsid w:val="0001430B"/>
    <w:rsid w:val="000B5AB5"/>
    <w:rsid w:val="000E24BA"/>
    <w:rsid w:val="000E5674"/>
    <w:rsid w:val="001349C6"/>
    <w:rsid w:val="002037D1"/>
    <w:rsid w:val="0020602B"/>
    <w:rsid w:val="00223FAD"/>
    <w:rsid w:val="002254D5"/>
    <w:rsid w:val="0022611D"/>
    <w:rsid w:val="0026422D"/>
    <w:rsid w:val="00284164"/>
    <w:rsid w:val="002B3569"/>
    <w:rsid w:val="002B7197"/>
    <w:rsid w:val="002D699C"/>
    <w:rsid w:val="002E1ADA"/>
    <w:rsid w:val="00310A35"/>
    <w:rsid w:val="00367B1D"/>
    <w:rsid w:val="003720E9"/>
    <w:rsid w:val="003C625A"/>
    <w:rsid w:val="003F775D"/>
    <w:rsid w:val="00420F04"/>
    <w:rsid w:val="00450D0E"/>
    <w:rsid w:val="00477E77"/>
    <w:rsid w:val="0049649C"/>
    <w:rsid w:val="00534C4D"/>
    <w:rsid w:val="00541213"/>
    <w:rsid w:val="00546218"/>
    <w:rsid w:val="005912BE"/>
    <w:rsid w:val="005B3E67"/>
    <w:rsid w:val="005D03F4"/>
    <w:rsid w:val="005D4DA7"/>
    <w:rsid w:val="005F794B"/>
    <w:rsid w:val="006814B0"/>
    <w:rsid w:val="00686A7B"/>
    <w:rsid w:val="006A266A"/>
    <w:rsid w:val="006E1ECA"/>
    <w:rsid w:val="007A05BE"/>
    <w:rsid w:val="007E41CF"/>
    <w:rsid w:val="007F4A24"/>
    <w:rsid w:val="008067A1"/>
    <w:rsid w:val="008456D5"/>
    <w:rsid w:val="0084634B"/>
    <w:rsid w:val="008A1887"/>
    <w:rsid w:val="008B6A81"/>
    <w:rsid w:val="008E2A0D"/>
    <w:rsid w:val="00981741"/>
    <w:rsid w:val="009A2D48"/>
    <w:rsid w:val="009B00F2"/>
    <w:rsid w:val="00A070A2"/>
    <w:rsid w:val="00A65874"/>
    <w:rsid w:val="00A861D8"/>
    <w:rsid w:val="00A95970"/>
    <w:rsid w:val="00AD7703"/>
    <w:rsid w:val="00B42AC2"/>
    <w:rsid w:val="00BB3AAC"/>
    <w:rsid w:val="00BE3AD8"/>
    <w:rsid w:val="00C32D11"/>
    <w:rsid w:val="00C92BDA"/>
    <w:rsid w:val="00CB436E"/>
    <w:rsid w:val="00CD233E"/>
    <w:rsid w:val="00CF6CFD"/>
    <w:rsid w:val="00D02062"/>
    <w:rsid w:val="00D31608"/>
    <w:rsid w:val="00D5655E"/>
    <w:rsid w:val="00DE4362"/>
    <w:rsid w:val="00DE4FE2"/>
    <w:rsid w:val="00DF7ADB"/>
    <w:rsid w:val="00E04908"/>
    <w:rsid w:val="00E07637"/>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5140B"/>
  <w15:chartTrackingRefBased/>
  <w15:docId w15:val="{45CC2AF6-D298-429A-95BF-754F9FE2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4D"/>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81741"/>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98174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unhideWhenUsed/>
    <w:qFormat/>
    <w:rsid w:val="00D31608"/>
    <w:pPr>
      <w:ind w:left="720"/>
      <w:contextualSpacing/>
    </w:p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D31608"/>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4&amp;name=repor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Downloads\READ%20ONLY%20-%20%5b22%2332717DOC%5d%20DTSR%20Factsheet%20-%2001%20Reporting%20and%20Complianc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4FE7205DA74AEE9FD1BE507571B050"/>
        <w:category>
          <w:name w:val="General"/>
          <w:gallery w:val="placeholder"/>
        </w:category>
        <w:types>
          <w:type w:val="bbPlcHdr"/>
        </w:types>
        <w:behaviors>
          <w:behavior w:val="content"/>
        </w:behaviors>
        <w:guid w:val="{62B19986-E8FE-4A5F-B97D-69BED1BB4C51}"/>
      </w:docPartPr>
      <w:docPartBody>
        <w:p w:rsidR="00D631BA" w:rsidRDefault="00D631BA">
          <w:pPr>
            <w:pStyle w:val="D44FE7205DA74AEE9FD1BE507571B05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BA"/>
    <w:rsid w:val="00D63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4FE7205DA74AEE9FD1BE507571B050">
    <w:name w:val="D44FE7205DA74AEE9FD1BE507571B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4013C-F77B-4AED-A4AD-E7077B88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READ ONLY - [22#32717DOC] DTSR Factsheet - 01 Reporting and Compliance - Title_01.DOTX</Template>
  <TotalTime>32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Reporting and compliance: Reporting</vt:lpstr>
    </vt:vector>
  </TitlesOfParts>
  <Company>Department of Infrastructure &amp; Regional Development</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and compliance: Reporting</dc:title>
  <dc:subject/>
  <dc:creator>EGAN Harry</dc:creator>
  <cp:keywords/>
  <dc:description/>
  <cp:lastModifiedBy>EGAN Harry</cp:lastModifiedBy>
  <cp:revision>7</cp:revision>
  <cp:lastPrinted>2022-03-08T04:16:00Z</cp:lastPrinted>
  <dcterms:created xsi:type="dcterms:W3CDTF">2022-02-15T05:45:00Z</dcterms:created>
  <dcterms:modified xsi:type="dcterms:W3CDTF">2022-03-08T04:17:00Z</dcterms:modified>
</cp:coreProperties>
</file>