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A3C28" w:rsidRDefault="00B67CDD" w:rsidP="00E0330E">
      <w:pPr>
        <w:spacing w:before="240" w:after="0"/>
      </w:pPr>
      <w:r>
        <w:rPr>
          <w:noProof/>
        </w:rPr>
        <w:drawing>
          <wp:inline distT="0" distB="0" distL="0" distR="0" wp14:anchorId="074986A2" wp14:editId="5FE93ADE">
            <wp:extent cx="5482990" cy="89535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145" cy="929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EA3C28" w:rsidRDefault="00EA3C28" w:rsidP="00E0330E">
      <w:pPr>
        <w:spacing w:before="240" w:after="0"/>
        <w:sectPr w:rsidR="00EA3C28" w:rsidSect="00EA3C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567" w:right="1276" w:bottom="991" w:left="1276" w:header="567" w:footer="0" w:gutter="0"/>
          <w:cols w:space="708"/>
          <w:titlePg/>
          <w:docGrid w:linePitch="360"/>
        </w:sectPr>
      </w:pPr>
    </w:p>
    <w:p w14:paraId="7A266549" w14:textId="77777777" w:rsidR="00906533" w:rsidRPr="00B041CB" w:rsidRDefault="00C101C3" w:rsidP="00E0330E">
      <w:pPr>
        <w:pStyle w:val="Heading1"/>
      </w:pPr>
      <w:r>
        <w:rPr>
          <w:sz w:val="48"/>
          <w:szCs w:val="48"/>
        </w:rPr>
        <w:t>regional</w:t>
      </w:r>
      <w:r w:rsidR="00244E39" w:rsidRPr="00F4684C">
        <w:rPr>
          <w:sz w:val="48"/>
          <w:szCs w:val="48"/>
        </w:rPr>
        <w:t xml:space="preserve"> Precincts and Partnerships Program</w:t>
      </w:r>
      <w:r w:rsidR="00244E39">
        <w:rPr>
          <w:sz w:val="48"/>
          <w:szCs w:val="48"/>
        </w:rPr>
        <w:t>—Announced</w:t>
      </w:r>
      <w:r w:rsidR="00244E39" w:rsidRPr="00F4684C">
        <w:rPr>
          <w:sz w:val="48"/>
          <w:szCs w:val="48"/>
        </w:rPr>
        <w:t xml:space="preserve"> Projects</w:t>
      </w:r>
    </w:p>
    <w:p w14:paraId="22C97AB2" w14:textId="677E379E" w:rsidR="00244E39" w:rsidRDefault="00A30298" w:rsidP="00EA3C28">
      <w:pPr>
        <w:suppressAutoHyphens/>
        <w:spacing w:before="120" w:after="240"/>
        <w:rPr>
          <w:rFonts w:eastAsia="Calibri" w:cs="Times New Roman"/>
          <w:b/>
          <w:color w:val="081E3E"/>
          <w:kern w:val="12"/>
          <w:szCs w:val="20"/>
        </w:rPr>
      </w:pPr>
      <w:r>
        <w:rPr>
          <w:rFonts w:eastAsia="Calibri" w:cs="Times New Roman"/>
          <w:b/>
          <w:color w:val="081E3E"/>
          <w:kern w:val="12"/>
          <w:szCs w:val="20"/>
        </w:rPr>
        <w:t>May 2026</w:t>
      </w:r>
    </w:p>
    <w:tbl>
      <w:tblPr>
        <w:tblStyle w:val="DefaultTable11"/>
        <w:tblW w:w="5366" w:type="pct"/>
        <w:tblInd w:w="-426" w:type="dxa"/>
        <w:tblLook w:val="04A0" w:firstRow="1" w:lastRow="0" w:firstColumn="1" w:lastColumn="0" w:noHBand="0" w:noVBand="1"/>
        <w:tblDescription w:val="regional Precincts and Partnerships Program—Announced Projects—January 2025"/>
      </w:tblPr>
      <w:tblGrid>
        <w:gridCol w:w="1422"/>
        <w:gridCol w:w="1785"/>
        <w:gridCol w:w="1794"/>
        <w:gridCol w:w="3937"/>
        <w:gridCol w:w="1785"/>
        <w:gridCol w:w="1052"/>
        <w:gridCol w:w="1785"/>
        <w:gridCol w:w="1772"/>
      </w:tblGrid>
      <w:tr w:rsidR="00A81480" w:rsidRPr="00E17389" w14:paraId="3770B3A1" w14:textId="77777777" w:rsidTr="75A6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E494C48" w14:textId="77777777" w:rsidR="00F85504" w:rsidRPr="00E17389" w:rsidRDefault="00F85504" w:rsidP="00085605">
            <w:pPr>
              <w:pStyle w:val="Tablerowcolumnheading"/>
              <w:spacing w:before="40" w:after="40"/>
              <w:rPr>
                <w:b/>
                <w:sz w:val="22"/>
                <w:szCs w:val="22"/>
              </w:rPr>
            </w:pPr>
            <w:proofErr w:type="spellStart"/>
            <w:r w:rsidRPr="00E17389">
              <w:rPr>
                <w:b/>
                <w:sz w:val="22"/>
                <w:szCs w:val="22"/>
              </w:rPr>
              <w:t>rPPP</w:t>
            </w:r>
            <w:proofErr w:type="spellEnd"/>
            <w:r w:rsidRPr="00E17389">
              <w:rPr>
                <w:b/>
                <w:sz w:val="22"/>
                <w:szCs w:val="22"/>
              </w:rPr>
              <w:t xml:space="preserve"> Program stream</w:t>
            </w:r>
          </w:p>
        </w:tc>
        <w:tc>
          <w:tcPr>
            <w:tcW w:w="582" w:type="pct"/>
          </w:tcPr>
          <w:p w14:paraId="6BFC1FFB" w14:textId="77777777" w:rsidR="00F85504" w:rsidRPr="00E17389" w:rsidRDefault="00F85504" w:rsidP="00085605">
            <w:pPr>
              <w:pStyle w:val="Tablerowcolumnheading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17389">
              <w:rPr>
                <w:b/>
                <w:sz w:val="22"/>
                <w:szCs w:val="22"/>
              </w:rPr>
              <w:t>Applicant Organisation</w:t>
            </w:r>
          </w:p>
        </w:tc>
        <w:tc>
          <w:tcPr>
            <w:tcW w:w="585" w:type="pct"/>
          </w:tcPr>
          <w:p w14:paraId="016BB6A0" w14:textId="77777777" w:rsidR="00F85504" w:rsidRPr="00E17389" w:rsidRDefault="00F85504" w:rsidP="00085605">
            <w:pPr>
              <w:pStyle w:val="Tablerowcolumnheading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17389">
              <w:rPr>
                <w:b/>
                <w:sz w:val="22"/>
                <w:szCs w:val="22"/>
              </w:rPr>
              <w:t>Project Title</w:t>
            </w:r>
          </w:p>
        </w:tc>
        <w:tc>
          <w:tcPr>
            <w:tcW w:w="1284" w:type="pct"/>
          </w:tcPr>
          <w:p w14:paraId="54A6B46E" w14:textId="77777777" w:rsidR="00F85504" w:rsidRPr="00E17389" w:rsidRDefault="00F85504" w:rsidP="00085605">
            <w:pPr>
              <w:pStyle w:val="Tablerowcolumnheading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17389">
              <w:rPr>
                <w:b/>
                <w:sz w:val="22"/>
                <w:szCs w:val="22"/>
              </w:rPr>
              <w:t xml:space="preserve">Project Description </w:t>
            </w:r>
          </w:p>
        </w:tc>
        <w:tc>
          <w:tcPr>
            <w:tcW w:w="582" w:type="pct"/>
          </w:tcPr>
          <w:p w14:paraId="543915C3" w14:textId="77777777" w:rsidR="00F85504" w:rsidRPr="00E17389" w:rsidRDefault="00F85504" w:rsidP="00085605">
            <w:pPr>
              <w:pStyle w:val="Tablerowcolumnheading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17389">
              <w:rPr>
                <w:b/>
                <w:sz w:val="22"/>
                <w:szCs w:val="22"/>
              </w:rPr>
              <w:t xml:space="preserve">Project Location </w:t>
            </w:r>
          </w:p>
        </w:tc>
        <w:tc>
          <w:tcPr>
            <w:tcW w:w="343" w:type="pct"/>
          </w:tcPr>
          <w:p w14:paraId="02AFDB51" w14:textId="77777777" w:rsidR="00F85504" w:rsidRPr="00E17389" w:rsidRDefault="00F85504" w:rsidP="00085605">
            <w:pPr>
              <w:pStyle w:val="Tablerowcolumnheading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17389">
              <w:rPr>
                <w:b/>
                <w:sz w:val="22"/>
                <w:szCs w:val="22"/>
              </w:rPr>
              <w:t>State</w:t>
            </w:r>
          </w:p>
        </w:tc>
        <w:tc>
          <w:tcPr>
            <w:tcW w:w="582" w:type="pct"/>
          </w:tcPr>
          <w:p w14:paraId="7C61ADF8" w14:textId="77777777" w:rsidR="00F85504" w:rsidRPr="00E17389" w:rsidRDefault="00F85504" w:rsidP="00085605">
            <w:pPr>
              <w:pStyle w:val="Tablerowcolumnheading"/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17389">
              <w:rPr>
                <w:b/>
                <w:sz w:val="22"/>
                <w:szCs w:val="22"/>
              </w:rPr>
              <w:t>Commonwealth Funding Approved</w:t>
            </w:r>
          </w:p>
        </w:tc>
        <w:tc>
          <w:tcPr>
            <w:tcW w:w="578" w:type="pct"/>
          </w:tcPr>
          <w:p w14:paraId="0EE22952" w14:textId="77777777" w:rsidR="00F85504" w:rsidRPr="00E17389" w:rsidRDefault="00F85504" w:rsidP="00085605">
            <w:pPr>
              <w:pStyle w:val="Tablerowcolumnheadingcentred"/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 w:rsidRPr="00E17389">
              <w:rPr>
                <w:b/>
                <w:sz w:val="22"/>
                <w:szCs w:val="22"/>
              </w:rPr>
              <w:t>Date Announced</w:t>
            </w:r>
          </w:p>
        </w:tc>
      </w:tr>
      <w:tr w:rsidR="00A81480" w:rsidRPr="00654F9E" w14:paraId="0F81893A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4638C84E" w14:textId="77777777" w:rsidR="00F85504" w:rsidRDefault="00F85504" w:rsidP="00EF5FD0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1F4765D5" w14:textId="77777777" w:rsidR="00F85504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Bathurst Regional Council</w:t>
            </w:r>
          </w:p>
        </w:tc>
        <w:tc>
          <w:tcPr>
            <w:tcW w:w="585" w:type="pct"/>
          </w:tcPr>
          <w:p w14:paraId="5A223DEB" w14:textId="77777777" w:rsidR="00F85504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Bathurst – Connected Regional Neighbourhoods</w:t>
            </w:r>
          </w:p>
        </w:tc>
        <w:tc>
          <w:tcPr>
            <w:tcW w:w="1284" w:type="pct"/>
          </w:tcPr>
          <w:p w14:paraId="7DD60EAE" w14:textId="77777777" w:rsidR="00F85504" w:rsidRPr="008879BA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CAB">
              <w:t xml:space="preserve">Funding will support </w:t>
            </w:r>
            <w:r w:rsidRPr="008879BA">
              <w:t>concept designs incorporating active transport infrastructure, streetscape enhancements and smart, sustainable technology to revitalise the Bathurst CBD.</w:t>
            </w:r>
          </w:p>
        </w:tc>
        <w:tc>
          <w:tcPr>
            <w:tcW w:w="582" w:type="pct"/>
          </w:tcPr>
          <w:p w14:paraId="498B504B" w14:textId="77777777" w:rsidR="00F85504" w:rsidRPr="008879BA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9BA">
              <w:t>Bathurst</w:t>
            </w:r>
          </w:p>
        </w:tc>
        <w:tc>
          <w:tcPr>
            <w:tcW w:w="343" w:type="pct"/>
          </w:tcPr>
          <w:p w14:paraId="40E56360" w14:textId="77777777" w:rsidR="00F85504" w:rsidRPr="008879BA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9BA">
              <w:t>NSW</w:t>
            </w:r>
          </w:p>
        </w:tc>
        <w:tc>
          <w:tcPr>
            <w:tcW w:w="582" w:type="pct"/>
          </w:tcPr>
          <w:p w14:paraId="09AA5038" w14:textId="77777777" w:rsidR="00F85504" w:rsidRPr="008879BA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9BA">
              <w:t>$1,720,400</w:t>
            </w:r>
          </w:p>
        </w:tc>
        <w:tc>
          <w:tcPr>
            <w:tcW w:w="578" w:type="pct"/>
          </w:tcPr>
          <w:p w14:paraId="502D44FE" w14:textId="77777777" w:rsidR="00F85504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 February 2025</w:t>
            </w:r>
          </w:p>
        </w:tc>
      </w:tr>
      <w:tr w:rsidR="00A81480" w:rsidRPr="00654F9E" w14:paraId="6CCD9947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CB53F9C" w14:textId="77777777" w:rsidR="00F85504" w:rsidRDefault="00F85504" w:rsidP="00EF5FD0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3BA1A7C6" w14:textId="77777777" w:rsidR="00F85504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Cobar Shire Council</w:t>
            </w:r>
          </w:p>
        </w:tc>
        <w:tc>
          <w:tcPr>
            <w:tcW w:w="585" w:type="pct"/>
          </w:tcPr>
          <w:p w14:paraId="7B9BA48E" w14:textId="77777777" w:rsidR="00F85504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t>The Grand Central Precinct Planning and Design Project</w:t>
            </w:r>
          </w:p>
        </w:tc>
        <w:tc>
          <w:tcPr>
            <w:tcW w:w="1284" w:type="pct"/>
          </w:tcPr>
          <w:p w14:paraId="316A02F1" w14:textId="77777777" w:rsidR="00F85504" w:rsidRPr="008879BA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CAB">
              <w:t xml:space="preserve">Funding will support </w:t>
            </w:r>
            <w:r w:rsidRPr="008879BA">
              <w:t>design and planning works across key sites including a cultural-commercial hub, enhanced library services and functionality, multi-purpose town hall restoration, additional senior housing and streetscape improvements.</w:t>
            </w:r>
          </w:p>
        </w:tc>
        <w:tc>
          <w:tcPr>
            <w:tcW w:w="582" w:type="pct"/>
          </w:tcPr>
          <w:p w14:paraId="3FB35678" w14:textId="77777777" w:rsidR="00F85504" w:rsidRPr="008879BA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color w:val="000000" w:themeColor="text1"/>
              </w:rPr>
              <w:t>Cobar</w:t>
            </w:r>
          </w:p>
        </w:tc>
        <w:tc>
          <w:tcPr>
            <w:tcW w:w="343" w:type="pct"/>
          </w:tcPr>
          <w:p w14:paraId="0D7FE965" w14:textId="77777777" w:rsidR="00F85504" w:rsidRPr="008879BA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582" w:type="pct"/>
          </w:tcPr>
          <w:p w14:paraId="4990FEC4" w14:textId="77777777" w:rsidR="00F85504" w:rsidRPr="008879BA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  <w:color w:val="000000" w:themeColor="text1"/>
              </w:rPr>
              <w:t>$3,466,203</w:t>
            </w:r>
          </w:p>
        </w:tc>
        <w:tc>
          <w:tcPr>
            <w:tcW w:w="578" w:type="pct"/>
          </w:tcPr>
          <w:p w14:paraId="29987A45" w14:textId="77777777" w:rsidR="00F85504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3953CB">
              <w:rPr>
                <w:rFonts w:cstheme="minorHAnsi"/>
              </w:rPr>
              <w:t>14 February 2025</w:t>
            </w:r>
          </w:p>
        </w:tc>
      </w:tr>
      <w:tr w:rsidR="00A81480" w:rsidRPr="00654F9E" w14:paraId="2BBFC372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5A7D55D" w14:textId="77777777" w:rsidR="00F85504" w:rsidRDefault="00F85504" w:rsidP="00EE3294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2FA586E6" w14:textId="77777777" w:rsidR="00F85504" w:rsidRDefault="00F85504" w:rsidP="00EE329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Mid-Western Regional Council</w:t>
            </w:r>
          </w:p>
        </w:tc>
        <w:tc>
          <w:tcPr>
            <w:tcW w:w="585" w:type="pct"/>
          </w:tcPr>
          <w:p w14:paraId="2912D2F5" w14:textId="77777777" w:rsidR="00F85504" w:rsidRDefault="00F85504" w:rsidP="00EE329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Planning of the Mortimer Street Mudgee Precinct Development Project</w:t>
            </w:r>
          </w:p>
        </w:tc>
        <w:tc>
          <w:tcPr>
            <w:tcW w:w="1284" w:type="pct"/>
          </w:tcPr>
          <w:p w14:paraId="5C8DC73A" w14:textId="77777777" w:rsidR="00F85504" w:rsidRPr="008879BA" w:rsidRDefault="00F85504" w:rsidP="00EE329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6CAB">
              <w:t xml:space="preserve">Funding will support </w:t>
            </w:r>
            <w:r>
              <w:t xml:space="preserve">revitalisation of </w:t>
            </w:r>
            <w:r w:rsidRPr="008879BA">
              <w:t>the South-Eastern section of the Mudgee CBD</w:t>
            </w:r>
            <w:r>
              <w:t xml:space="preserve"> by delivering </w:t>
            </w:r>
            <w:r w:rsidRPr="008879BA">
              <w:t>plans for the construction of a hotel, residential apartments, commercial shops, restaurants, car parks, green spaces</w:t>
            </w:r>
            <w:r>
              <w:t xml:space="preserve"> and</w:t>
            </w:r>
            <w:r w:rsidRPr="008879BA">
              <w:t xml:space="preserve"> designated pedestrian connections. </w:t>
            </w:r>
          </w:p>
        </w:tc>
        <w:tc>
          <w:tcPr>
            <w:tcW w:w="582" w:type="pct"/>
          </w:tcPr>
          <w:p w14:paraId="2A63F7C0" w14:textId="77777777" w:rsidR="00F85504" w:rsidRPr="008879BA" w:rsidRDefault="00F85504" w:rsidP="00EE329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9BA">
              <w:t>Mudgee</w:t>
            </w:r>
          </w:p>
        </w:tc>
        <w:tc>
          <w:tcPr>
            <w:tcW w:w="343" w:type="pct"/>
          </w:tcPr>
          <w:p w14:paraId="587AF5FE" w14:textId="77777777" w:rsidR="00F85504" w:rsidRPr="008879BA" w:rsidRDefault="00F85504" w:rsidP="00EE329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9BA">
              <w:t>NSW</w:t>
            </w:r>
          </w:p>
        </w:tc>
        <w:tc>
          <w:tcPr>
            <w:tcW w:w="582" w:type="pct"/>
          </w:tcPr>
          <w:p w14:paraId="72A1BDE0" w14:textId="77777777" w:rsidR="00F85504" w:rsidRPr="008879BA" w:rsidRDefault="00F85504" w:rsidP="00EE329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79BA">
              <w:t>$2,000,000</w:t>
            </w:r>
          </w:p>
        </w:tc>
        <w:tc>
          <w:tcPr>
            <w:tcW w:w="578" w:type="pct"/>
          </w:tcPr>
          <w:p w14:paraId="622A07DE" w14:textId="77777777" w:rsidR="00F85504" w:rsidRDefault="00F85504" w:rsidP="00EE329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77607">
              <w:rPr>
                <w:rFonts w:cstheme="minorHAnsi"/>
              </w:rPr>
              <w:t>14 February 2025</w:t>
            </w:r>
          </w:p>
        </w:tc>
      </w:tr>
      <w:tr w:rsidR="00A81480" w:rsidRPr="00654F9E" w14:paraId="77894D72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6ECDC3C" w14:textId="77777777" w:rsidR="00F85504" w:rsidRDefault="00F85504" w:rsidP="00EE3294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41CA34F0" w14:textId="77777777" w:rsidR="00F85504" w:rsidRDefault="00F85504" w:rsidP="00EE3294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Karitane</w:t>
            </w:r>
          </w:p>
        </w:tc>
        <w:tc>
          <w:tcPr>
            <w:tcW w:w="585" w:type="pct"/>
          </w:tcPr>
          <w:p w14:paraId="79A648DD" w14:textId="77777777" w:rsidR="00F85504" w:rsidRDefault="00F85504" w:rsidP="00EE3294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Shellharbour Integrated Child and Family Precinct Masterplan</w:t>
            </w:r>
          </w:p>
        </w:tc>
        <w:tc>
          <w:tcPr>
            <w:tcW w:w="1284" w:type="pct"/>
          </w:tcPr>
          <w:p w14:paraId="7DBEE78F" w14:textId="77777777" w:rsidR="00F85504" w:rsidRPr="008879BA" w:rsidRDefault="00F85504" w:rsidP="00EE3294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CAB">
              <w:t xml:space="preserve">Funding will support </w:t>
            </w:r>
            <w:r w:rsidRPr="008879BA">
              <w:t>a masterplan for an integrated child and family precinct in Shellharbour offering integrated care across a wide range of services for families with young children.</w:t>
            </w:r>
          </w:p>
        </w:tc>
        <w:tc>
          <w:tcPr>
            <w:tcW w:w="582" w:type="pct"/>
          </w:tcPr>
          <w:p w14:paraId="70C13AD2" w14:textId="77777777" w:rsidR="00F85504" w:rsidRPr="008879BA" w:rsidRDefault="00F85504" w:rsidP="00EE3294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Shellharbour</w:t>
            </w:r>
          </w:p>
        </w:tc>
        <w:tc>
          <w:tcPr>
            <w:tcW w:w="343" w:type="pct"/>
          </w:tcPr>
          <w:p w14:paraId="118FB008" w14:textId="77777777" w:rsidR="00F85504" w:rsidRPr="008879BA" w:rsidRDefault="00F85504" w:rsidP="00EE3294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NSW</w:t>
            </w:r>
          </w:p>
        </w:tc>
        <w:tc>
          <w:tcPr>
            <w:tcW w:w="582" w:type="pct"/>
          </w:tcPr>
          <w:p w14:paraId="63ADB0E8" w14:textId="77777777" w:rsidR="00F85504" w:rsidRPr="008879BA" w:rsidRDefault="00F85504" w:rsidP="00EE3294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$851,279</w:t>
            </w:r>
          </w:p>
        </w:tc>
        <w:tc>
          <w:tcPr>
            <w:tcW w:w="578" w:type="pct"/>
          </w:tcPr>
          <w:p w14:paraId="09F206AD" w14:textId="77777777" w:rsidR="00F85504" w:rsidRDefault="00F85504" w:rsidP="00EE3294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 February 2025</w:t>
            </w:r>
          </w:p>
        </w:tc>
      </w:tr>
      <w:tr w:rsidR="00A81480" w:rsidRPr="00654F9E" w14:paraId="408885B9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0F4AE37" w14:textId="77777777" w:rsidR="00F85504" w:rsidRDefault="00F85504" w:rsidP="00EF5FD0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 xml:space="preserve">One </w:t>
            </w:r>
          </w:p>
        </w:tc>
        <w:tc>
          <w:tcPr>
            <w:tcW w:w="582" w:type="pct"/>
          </w:tcPr>
          <w:p w14:paraId="312CEEF0" w14:textId="77777777" w:rsidR="00F85504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Shoalhaven City Council</w:t>
            </w:r>
          </w:p>
        </w:tc>
        <w:tc>
          <w:tcPr>
            <w:tcW w:w="585" w:type="pct"/>
          </w:tcPr>
          <w:p w14:paraId="4E7575A4" w14:textId="77777777" w:rsidR="00F85504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Nowra Riverfront Precinct Activation</w:t>
            </w:r>
          </w:p>
        </w:tc>
        <w:tc>
          <w:tcPr>
            <w:tcW w:w="1284" w:type="pct"/>
          </w:tcPr>
          <w:p w14:paraId="7314E890" w14:textId="77777777" w:rsidR="00F85504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F00E10">
              <w:t>Funding will support the delivery of a master plan for the reconnection of Nowra City Centre and Shoalhaven River.</w:t>
            </w:r>
          </w:p>
        </w:tc>
        <w:tc>
          <w:tcPr>
            <w:tcW w:w="582" w:type="pct"/>
          </w:tcPr>
          <w:p w14:paraId="25E72301" w14:textId="77777777" w:rsidR="00F85504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79BA">
              <w:t>Nowra</w:t>
            </w:r>
          </w:p>
        </w:tc>
        <w:tc>
          <w:tcPr>
            <w:tcW w:w="343" w:type="pct"/>
          </w:tcPr>
          <w:p w14:paraId="420BF636" w14:textId="77777777" w:rsidR="00F85504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NSW</w:t>
            </w:r>
          </w:p>
        </w:tc>
        <w:tc>
          <w:tcPr>
            <w:tcW w:w="582" w:type="pct"/>
          </w:tcPr>
          <w:p w14:paraId="3093C57F" w14:textId="77777777" w:rsidR="00F85504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$5,000,000</w:t>
            </w:r>
          </w:p>
        </w:tc>
        <w:tc>
          <w:tcPr>
            <w:tcW w:w="578" w:type="pct"/>
          </w:tcPr>
          <w:p w14:paraId="3D6A8305" w14:textId="77777777" w:rsidR="00F85504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14 January 2025</w:t>
            </w:r>
          </w:p>
        </w:tc>
      </w:tr>
      <w:tr w:rsidR="007C4059" w:rsidRPr="00654F9E" w14:paraId="01268BFE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79C4BC23" w14:textId="2DCD94C7" w:rsidR="0076162B" w:rsidRDefault="003A7989" w:rsidP="00EF5FD0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0B727CAF" w14:textId="7D8AEA2E" w:rsidR="0076162B" w:rsidRPr="00C647A3" w:rsidRDefault="000E21F6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7A3">
              <w:t>Kempsey Shire Council</w:t>
            </w:r>
          </w:p>
        </w:tc>
        <w:tc>
          <w:tcPr>
            <w:tcW w:w="585" w:type="pct"/>
          </w:tcPr>
          <w:p w14:paraId="422603B1" w14:textId="569CF0BE" w:rsidR="0076162B" w:rsidRDefault="009979C9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C647A3">
              <w:t>Kundabung Precinct Strategic Plan: A Blueprint for Sustainable Growth</w:t>
            </w:r>
          </w:p>
        </w:tc>
        <w:tc>
          <w:tcPr>
            <w:tcW w:w="1284" w:type="pct"/>
          </w:tcPr>
          <w:p w14:paraId="47686708" w14:textId="161C34CB" w:rsidR="0076162B" w:rsidRPr="00F00E10" w:rsidRDefault="00673A68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C647A3">
              <w:t>Funding will support a detailed framework for sustainable residential and industrial development, focusing on rezoning opportunities, infrastructure needs, and community priorities to support economic growth, housing, and local employment</w:t>
            </w:r>
            <w:r w:rsidR="00C647A3" w:rsidRPr="00C647A3">
              <w:t>.</w:t>
            </w:r>
          </w:p>
        </w:tc>
        <w:tc>
          <w:tcPr>
            <w:tcW w:w="582" w:type="pct"/>
          </w:tcPr>
          <w:p w14:paraId="0B456D8F" w14:textId="6E20DA7A" w:rsidR="0076162B" w:rsidRPr="008879BA" w:rsidRDefault="00743AE2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Kempsey</w:t>
            </w:r>
          </w:p>
        </w:tc>
        <w:tc>
          <w:tcPr>
            <w:tcW w:w="343" w:type="pct"/>
          </w:tcPr>
          <w:p w14:paraId="0188BDA7" w14:textId="5819906A" w:rsidR="0076162B" w:rsidRPr="008879BA" w:rsidRDefault="0018609D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NSW</w:t>
            </w:r>
          </w:p>
        </w:tc>
        <w:tc>
          <w:tcPr>
            <w:tcW w:w="582" w:type="pct"/>
          </w:tcPr>
          <w:p w14:paraId="75E053B5" w14:textId="254A3BD8" w:rsidR="0076162B" w:rsidRPr="008879BA" w:rsidRDefault="00A81480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="00BA32A1">
              <w:t>850,500</w:t>
            </w:r>
          </w:p>
        </w:tc>
        <w:tc>
          <w:tcPr>
            <w:tcW w:w="578" w:type="pct"/>
          </w:tcPr>
          <w:p w14:paraId="39F82EC2" w14:textId="7FF7F9B4" w:rsidR="0076162B" w:rsidRDefault="000849DE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C233B5" w:rsidRPr="00654F9E" w14:paraId="1D3942E1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5AD672B" w14:textId="79EFCC74" w:rsidR="00C233B5" w:rsidRDefault="00ED1101" w:rsidP="00EF5FD0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485BBDBA" w14:textId="6DA1020D" w:rsidR="00C233B5" w:rsidRPr="00C647A3" w:rsidRDefault="00ED1101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Lithgow City Council</w:t>
            </w:r>
          </w:p>
        </w:tc>
        <w:tc>
          <w:tcPr>
            <w:tcW w:w="585" w:type="pct"/>
          </w:tcPr>
          <w:p w14:paraId="028A7200" w14:textId="3311C1D7" w:rsidR="00C233B5" w:rsidRPr="00C647A3" w:rsidRDefault="005D3799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D3799">
              <w:t>Lithgow Net Zero Transition Precinct</w:t>
            </w:r>
          </w:p>
        </w:tc>
        <w:tc>
          <w:tcPr>
            <w:tcW w:w="1284" w:type="pct"/>
          </w:tcPr>
          <w:p w14:paraId="14440CEB" w14:textId="24EA2317" w:rsidR="00C233B5" w:rsidRPr="00C647A3" w:rsidRDefault="001F4D5A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will support</w:t>
            </w:r>
            <w:r w:rsidR="00F06437">
              <w:t xml:space="preserve"> </w:t>
            </w:r>
            <w:r w:rsidR="009B3FC4">
              <w:t xml:space="preserve">detailed </w:t>
            </w:r>
            <w:r w:rsidR="0004224C">
              <w:t xml:space="preserve">planning </w:t>
            </w:r>
            <w:r w:rsidRPr="001F4D5A">
              <w:t>to unlock redundant former government industrial land, addressing historical barriers to development and preparing the sites for the high-value industries logistics, renewable energy, and advanced manufacturing.</w:t>
            </w:r>
          </w:p>
        </w:tc>
        <w:tc>
          <w:tcPr>
            <w:tcW w:w="582" w:type="pct"/>
          </w:tcPr>
          <w:p w14:paraId="11B05F94" w14:textId="739D0DD9" w:rsidR="00C233B5" w:rsidRDefault="009B3FC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Lithgow</w:t>
            </w:r>
          </w:p>
        </w:tc>
        <w:tc>
          <w:tcPr>
            <w:tcW w:w="343" w:type="pct"/>
          </w:tcPr>
          <w:p w14:paraId="364F70D5" w14:textId="1F6A2988" w:rsidR="00C233B5" w:rsidRDefault="005D4143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NSW</w:t>
            </w:r>
          </w:p>
        </w:tc>
        <w:tc>
          <w:tcPr>
            <w:tcW w:w="582" w:type="pct"/>
          </w:tcPr>
          <w:p w14:paraId="20A85A79" w14:textId="678E31DC" w:rsidR="00C233B5" w:rsidRDefault="005D4143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$1,500,000</w:t>
            </w:r>
          </w:p>
        </w:tc>
        <w:tc>
          <w:tcPr>
            <w:tcW w:w="578" w:type="pct"/>
          </w:tcPr>
          <w:p w14:paraId="75A3852F" w14:textId="0DCCD3B1" w:rsidR="00C233B5" w:rsidRDefault="005D4143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A81480" w:rsidRPr="00654F9E" w14:paraId="11C4786E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752BDAC4" w14:textId="77777777" w:rsidR="00F85504" w:rsidRDefault="00F85504" w:rsidP="00F85504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6FAC6BC3" w14:textId="77777777" w:rsidR="00F85504" w:rsidRDefault="00F85504" w:rsidP="00F8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The Arnhem Land Progress Aboriginal Corporation</w:t>
            </w:r>
          </w:p>
        </w:tc>
        <w:tc>
          <w:tcPr>
            <w:tcW w:w="585" w:type="pct"/>
          </w:tcPr>
          <w:p w14:paraId="082D229B" w14:textId="77777777" w:rsidR="00F85504" w:rsidRDefault="00F85504" w:rsidP="00F8550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>
              <w:rPr>
                <w:rFonts w:eastAsia="Times New Roman" w:cs="Calibri"/>
                <w:lang w:eastAsia="en-AU"/>
              </w:rPr>
              <w:t>Gapuwiyak</w:t>
            </w:r>
            <w:proofErr w:type="spellEnd"/>
            <w:r>
              <w:rPr>
                <w:rFonts w:eastAsia="Times New Roman" w:cs="Calibri"/>
                <w:lang w:eastAsia="en-AU"/>
              </w:rPr>
              <w:t xml:space="preserve"> Industrial and Commercial Precinct</w:t>
            </w:r>
          </w:p>
        </w:tc>
        <w:tc>
          <w:tcPr>
            <w:tcW w:w="1284" w:type="pct"/>
          </w:tcPr>
          <w:p w14:paraId="1511E954" w14:textId="77777777" w:rsidR="00F85504" w:rsidRDefault="00F85504" w:rsidP="00F85504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Funding will support the planning</w:t>
            </w:r>
            <w:r w:rsidRPr="00EF5FD0">
              <w:rPr>
                <w:rFonts w:eastAsia="Times New Roman" w:cstheme="minorHAnsi"/>
                <w:lang w:eastAsia="en-AU"/>
              </w:rPr>
              <w:t xml:space="preserve"> for a business precinct in the </w:t>
            </w:r>
            <w:proofErr w:type="spellStart"/>
            <w:r w:rsidRPr="00EF5FD0">
              <w:rPr>
                <w:rFonts w:eastAsia="Times New Roman" w:cstheme="minorHAnsi"/>
                <w:lang w:eastAsia="en-AU"/>
              </w:rPr>
              <w:t>Gapuwiyak</w:t>
            </w:r>
            <w:proofErr w:type="spellEnd"/>
            <w:r w:rsidRPr="00EF5FD0">
              <w:rPr>
                <w:rFonts w:eastAsia="Times New Roman" w:cstheme="minorHAnsi"/>
                <w:lang w:eastAsia="en-AU"/>
              </w:rPr>
              <w:t xml:space="preserve"> community</w:t>
            </w:r>
            <w:r>
              <w:rPr>
                <w:rFonts w:eastAsia="Times New Roman" w:cstheme="minorHAnsi"/>
                <w:lang w:eastAsia="en-AU"/>
              </w:rPr>
              <w:t xml:space="preserve"> with consideration of an</w:t>
            </w:r>
            <w:r w:rsidRPr="00EF5FD0">
              <w:rPr>
                <w:rFonts w:eastAsia="Times New Roman" w:cstheme="minorHAnsi"/>
                <w:lang w:eastAsia="en-AU"/>
              </w:rPr>
              <w:t xml:space="preserve"> industrial </w:t>
            </w:r>
            <w:r>
              <w:rPr>
                <w:rFonts w:eastAsia="Times New Roman" w:cstheme="minorHAnsi"/>
                <w:lang w:eastAsia="en-AU"/>
              </w:rPr>
              <w:t>and</w:t>
            </w:r>
            <w:r w:rsidRPr="00EF5FD0">
              <w:rPr>
                <w:rFonts w:eastAsia="Times New Roman" w:cstheme="minorHAnsi"/>
                <w:lang w:eastAsia="en-AU"/>
              </w:rPr>
              <w:t xml:space="preserve"> commercial hub</w:t>
            </w:r>
            <w:r>
              <w:rPr>
                <w:rFonts w:eastAsia="Times New Roman" w:cstheme="minorHAnsi"/>
                <w:lang w:eastAsia="en-AU"/>
              </w:rPr>
              <w:t>s</w:t>
            </w:r>
            <w:r w:rsidRPr="00EF5FD0">
              <w:rPr>
                <w:rFonts w:eastAsia="Times New Roman" w:cstheme="minorHAnsi"/>
                <w:lang w:eastAsia="en-AU"/>
              </w:rPr>
              <w:t>, and short-to-medium-term staff accommodation.</w:t>
            </w:r>
          </w:p>
        </w:tc>
        <w:tc>
          <w:tcPr>
            <w:tcW w:w="582" w:type="pct"/>
          </w:tcPr>
          <w:p w14:paraId="57E5B716" w14:textId="77777777" w:rsidR="00F85504" w:rsidRDefault="00F85504" w:rsidP="00F85504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5BDB">
              <w:rPr>
                <w:rFonts w:cstheme="minorHAnsi"/>
                <w:noProof/>
              </w:rPr>
              <w:t>Gapuwiyak</w:t>
            </w:r>
          </w:p>
        </w:tc>
        <w:tc>
          <w:tcPr>
            <w:tcW w:w="343" w:type="pct"/>
          </w:tcPr>
          <w:p w14:paraId="4E2C677D" w14:textId="77777777" w:rsidR="00F85504" w:rsidRDefault="00F85504" w:rsidP="00F85504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t>NT</w:t>
            </w:r>
          </w:p>
        </w:tc>
        <w:tc>
          <w:tcPr>
            <w:tcW w:w="582" w:type="pct"/>
          </w:tcPr>
          <w:p w14:paraId="253E9D5D" w14:textId="77777777" w:rsidR="00F85504" w:rsidRDefault="00F85504" w:rsidP="00F855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$770,000</w:t>
            </w:r>
          </w:p>
        </w:tc>
        <w:tc>
          <w:tcPr>
            <w:tcW w:w="578" w:type="pct"/>
          </w:tcPr>
          <w:p w14:paraId="661772A5" w14:textId="77777777" w:rsidR="00F85504" w:rsidRDefault="00F85504" w:rsidP="00F85504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14384FBA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773F779D" w14:textId="77777777" w:rsidR="00F85504" w:rsidRDefault="00F85504" w:rsidP="00F85504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49B5B3BA" w14:textId="77777777" w:rsidR="00F85504" w:rsidRDefault="00F85504" w:rsidP="00F8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Charles Darwin University</w:t>
            </w:r>
          </w:p>
        </w:tc>
        <w:tc>
          <w:tcPr>
            <w:tcW w:w="585" w:type="pct"/>
          </w:tcPr>
          <w:p w14:paraId="6DF6FF67" w14:textId="77777777" w:rsidR="00F85504" w:rsidRDefault="00F85504" w:rsidP="00F855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Big Rivers Region Bush Foods, Botanicals &amp; Community Precinct</w:t>
            </w:r>
          </w:p>
        </w:tc>
        <w:tc>
          <w:tcPr>
            <w:tcW w:w="1284" w:type="pct"/>
          </w:tcPr>
          <w:p w14:paraId="64005FE8" w14:textId="77777777" w:rsidR="00F85504" w:rsidRDefault="00F85504" w:rsidP="00F8550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</w:t>
            </w:r>
            <w:r w:rsidRPr="00EF5FD0">
              <w:rPr>
                <w:rFonts w:eastAsia="Times New Roman" w:cstheme="minorHAnsi"/>
                <w:lang w:eastAsia="en-AU"/>
              </w:rPr>
              <w:t xml:space="preserve">Charles Darwin University </w:t>
            </w:r>
            <w:r>
              <w:rPr>
                <w:rFonts w:eastAsia="Times New Roman" w:cstheme="minorHAnsi"/>
                <w:lang w:eastAsia="en-AU"/>
              </w:rPr>
              <w:t xml:space="preserve">to </w:t>
            </w:r>
            <w:r w:rsidRPr="00EF5FD0">
              <w:rPr>
                <w:rFonts w:eastAsia="Times New Roman" w:cstheme="minorHAnsi"/>
                <w:lang w:eastAsia="en-AU"/>
              </w:rPr>
              <w:t>consult, design and develop a shovel-ready scope of works to establish a Bush Foods, Botanicals; Community Precinct at CDU's Katherine Rural Campus.</w:t>
            </w:r>
          </w:p>
        </w:tc>
        <w:tc>
          <w:tcPr>
            <w:tcW w:w="582" w:type="pct"/>
          </w:tcPr>
          <w:p w14:paraId="59653053" w14:textId="77777777" w:rsidR="00F85504" w:rsidRDefault="00F85504" w:rsidP="00F85504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Katherine</w:t>
            </w:r>
          </w:p>
        </w:tc>
        <w:tc>
          <w:tcPr>
            <w:tcW w:w="343" w:type="pct"/>
          </w:tcPr>
          <w:p w14:paraId="40CB83A4" w14:textId="77777777" w:rsidR="00F85504" w:rsidRDefault="00F85504" w:rsidP="00F8550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t>NT</w:t>
            </w:r>
          </w:p>
        </w:tc>
        <w:tc>
          <w:tcPr>
            <w:tcW w:w="582" w:type="pct"/>
          </w:tcPr>
          <w:p w14:paraId="596E331F" w14:textId="77777777" w:rsidR="00F85504" w:rsidRDefault="00F85504" w:rsidP="00F855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</w:t>
            </w:r>
            <w:r w:rsidRPr="00FB141B">
              <w:t>2,450,664</w:t>
            </w:r>
          </w:p>
        </w:tc>
        <w:tc>
          <w:tcPr>
            <w:tcW w:w="578" w:type="pct"/>
          </w:tcPr>
          <w:p w14:paraId="4A631803" w14:textId="77777777" w:rsidR="00F85504" w:rsidRDefault="00F85504" w:rsidP="00F85504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55809936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24D7688" w14:textId="77777777" w:rsidR="00B67CDD" w:rsidRDefault="00B67CDD" w:rsidP="00AC3D9C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2C2E7F59" w14:textId="77777777" w:rsidR="00B67CDD" w:rsidRDefault="00B67CDD" w:rsidP="00AC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Katherine Town Council</w:t>
            </w:r>
          </w:p>
        </w:tc>
        <w:tc>
          <w:tcPr>
            <w:tcW w:w="585" w:type="pct"/>
          </w:tcPr>
          <w:p w14:paraId="41D32F39" w14:textId="77777777" w:rsidR="00B67CDD" w:rsidRDefault="00B67CDD" w:rsidP="00AC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Katherine and Big Rivers Multipurpose Sport and Recreation Precinct</w:t>
            </w:r>
          </w:p>
        </w:tc>
        <w:tc>
          <w:tcPr>
            <w:tcW w:w="1284" w:type="pct"/>
          </w:tcPr>
          <w:p w14:paraId="2443569F" w14:textId="77777777" w:rsidR="00B67CDD" w:rsidRDefault="00B67CDD" w:rsidP="00AC3D9C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</w:t>
            </w:r>
            <w:r w:rsidRPr="00EF5FD0">
              <w:rPr>
                <w:rFonts w:eastAsia="Times New Roman" w:cstheme="minorHAnsi"/>
                <w:lang w:eastAsia="en-AU"/>
              </w:rPr>
              <w:t xml:space="preserve">Katherine Town Council </w:t>
            </w:r>
            <w:r>
              <w:rPr>
                <w:rFonts w:eastAsia="Times New Roman" w:cstheme="minorHAnsi"/>
                <w:lang w:eastAsia="en-AU"/>
              </w:rPr>
              <w:t xml:space="preserve">and partners </w:t>
            </w:r>
            <w:r w:rsidRPr="00EF5FD0">
              <w:rPr>
                <w:rFonts w:eastAsia="Times New Roman" w:cstheme="minorHAnsi"/>
                <w:lang w:eastAsia="en-AU"/>
              </w:rPr>
              <w:t xml:space="preserve">to plan the development of a multipurpose regional sports, recreation, and community precinct linking the existing Katherine Aquatic Centre and surrounding </w:t>
            </w:r>
            <w:r>
              <w:rPr>
                <w:rFonts w:eastAsia="Times New Roman" w:cstheme="minorHAnsi"/>
                <w:lang w:eastAsia="en-AU"/>
              </w:rPr>
              <w:t>sporting facilities.</w:t>
            </w:r>
          </w:p>
        </w:tc>
        <w:tc>
          <w:tcPr>
            <w:tcW w:w="582" w:type="pct"/>
          </w:tcPr>
          <w:p w14:paraId="073E2972" w14:textId="77777777" w:rsidR="00B67CDD" w:rsidRDefault="00B67CDD" w:rsidP="00AC3D9C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E5BDB">
              <w:rPr>
                <w:rFonts w:cstheme="minorHAnsi"/>
                <w:noProof/>
              </w:rPr>
              <w:t>Katherine</w:t>
            </w:r>
          </w:p>
        </w:tc>
        <w:tc>
          <w:tcPr>
            <w:tcW w:w="343" w:type="pct"/>
          </w:tcPr>
          <w:p w14:paraId="3A738A7C" w14:textId="77777777" w:rsidR="00B67CDD" w:rsidRDefault="00B67CDD" w:rsidP="00AC3D9C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t>NT</w:t>
            </w:r>
          </w:p>
        </w:tc>
        <w:tc>
          <w:tcPr>
            <w:tcW w:w="582" w:type="pct"/>
          </w:tcPr>
          <w:p w14:paraId="7D5633C0" w14:textId="77777777" w:rsidR="00B67CDD" w:rsidRDefault="00B67CDD" w:rsidP="00AC3D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$1,607,918</w:t>
            </w:r>
          </w:p>
        </w:tc>
        <w:tc>
          <w:tcPr>
            <w:tcW w:w="578" w:type="pct"/>
          </w:tcPr>
          <w:p w14:paraId="101A1415" w14:textId="77777777" w:rsidR="00B67CDD" w:rsidRDefault="00B67CDD" w:rsidP="00AC3D9C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009D7D11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F3EFE92" w14:textId="77777777" w:rsidR="00F85504" w:rsidRDefault="00F85504" w:rsidP="00345AF9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One</w:t>
            </w:r>
          </w:p>
        </w:tc>
        <w:tc>
          <w:tcPr>
            <w:tcW w:w="582" w:type="pct"/>
          </w:tcPr>
          <w:p w14:paraId="6E163EAA" w14:textId="77777777" w:rsidR="00F85504" w:rsidRPr="00FE708A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A04AE">
              <w:t>Jawoyn</w:t>
            </w:r>
            <w:proofErr w:type="spellEnd"/>
            <w:r w:rsidRPr="00AA04AE">
              <w:t xml:space="preserve"> Association Aboriginal Corporation</w:t>
            </w:r>
          </w:p>
        </w:tc>
        <w:tc>
          <w:tcPr>
            <w:tcW w:w="585" w:type="pct"/>
          </w:tcPr>
          <w:p w14:paraId="4E0E834A" w14:textId="77777777" w:rsidR="00F85504" w:rsidRPr="00FE708A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A04AE">
              <w:t>Nitmiluk</w:t>
            </w:r>
            <w:proofErr w:type="spellEnd"/>
            <w:r w:rsidRPr="00AA04AE">
              <w:t xml:space="preserve"> Tourism Services Precinct</w:t>
            </w:r>
          </w:p>
        </w:tc>
        <w:tc>
          <w:tcPr>
            <w:tcW w:w="1284" w:type="pct"/>
          </w:tcPr>
          <w:p w14:paraId="58E58188" w14:textId="77777777" w:rsidR="00F85504" w:rsidRPr="00FE708A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F3C03">
              <w:t xml:space="preserve">Funding will support the design and development of a master plan for upgrading key infrastructure in </w:t>
            </w:r>
            <w:proofErr w:type="spellStart"/>
            <w:r w:rsidRPr="007F3C03">
              <w:t>Nitmiluk</w:t>
            </w:r>
            <w:proofErr w:type="spellEnd"/>
            <w:r w:rsidRPr="007F3C03">
              <w:t xml:space="preserve"> National Park.</w:t>
            </w:r>
          </w:p>
        </w:tc>
        <w:tc>
          <w:tcPr>
            <w:tcW w:w="582" w:type="pct"/>
          </w:tcPr>
          <w:p w14:paraId="473E9F5D" w14:textId="77777777" w:rsidR="00F85504" w:rsidRPr="000C6A9B" w:rsidRDefault="00F85504" w:rsidP="00345AF9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C6A9B">
              <w:t>Katherine</w:t>
            </w:r>
          </w:p>
        </w:tc>
        <w:tc>
          <w:tcPr>
            <w:tcW w:w="343" w:type="pct"/>
          </w:tcPr>
          <w:p w14:paraId="794342A6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4AE">
              <w:t>NT</w:t>
            </w:r>
          </w:p>
        </w:tc>
        <w:tc>
          <w:tcPr>
            <w:tcW w:w="582" w:type="pct"/>
          </w:tcPr>
          <w:p w14:paraId="124D98C0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A04AE">
              <w:t>$4,000,000</w:t>
            </w:r>
          </w:p>
        </w:tc>
        <w:tc>
          <w:tcPr>
            <w:tcW w:w="578" w:type="pct"/>
          </w:tcPr>
          <w:p w14:paraId="017BB141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 January 2025</w:t>
            </w:r>
          </w:p>
        </w:tc>
      </w:tr>
      <w:tr w:rsidR="00A81480" w:rsidRPr="00654F9E" w14:paraId="731D5E8F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F1DEE5F" w14:textId="77777777" w:rsidR="00F85504" w:rsidRDefault="00F85504" w:rsidP="00345AF9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>One</w:t>
            </w:r>
          </w:p>
        </w:tc>
        <w:tc>
          <w:tcPr>
            <w:tcW w:w="582" w:type="pct"/>
          </w:tcPr>
          <w:p w14:paraId="12DBB800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FE708A">
              <w:t>Northern Territory of Australia</w:t>
            </w:r>
          </w:p>
        </w:tc>
        <w:tc>
          <w:tcPr>
            <w:tcW w:w="585" w:type="pct"/>
          </w:tcPr>
          <w:p w14:paraId="47F6AC9C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FE708A">
              <w:t>Central Australian Regional Community Precincts</w:t>
            </w:r>
          </w:p>
        </w:tc>
        <w:tc>
          <w:tcPr>
            <w:tcW w:w="1284" w:type="pct"/>
          </w:tcPr>
          <w:p w14:paraId="0D3FAE90" w14:textId="77777777" w:rsidR="00F85504" w:rsidRPr="008879BA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36CAB">
              <w:t>Funding will support the planning of six multi-purpose precincts across Central Australia.</w:t>
            </w:r>
          </w:p>
        </w:tc>
        <w:tc>
          <w:tcPr>
            <w:tcW w:w="582" w:type="pct"/>
          </w:tcPr>
          <w:p w14:paraId="218E2ECE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Papunya</w:t>
            </w:r>
          </w:p>
          <w:p w14:paraId="3017C4BF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Ti Tree</w:t>
            </w:r>
          </w:p>
          <w:p w14:paraId="30FC0D52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8879BA">
              <w:t>Ntaria</w:t>
            </w:r>
            <w:proofErr w:type="spellEnd"/>
          </w:p>
          <w:p w14:paraId="1551EF88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proofErr w:type="spellStart"/>
            <w:r w:rsidRPr="008879BA">
              <w:t>Atitjere</w:t>
            </w:r>
            <w:proofErr w:type="spellEnd"/>
          </w:p>
          <w:p w14:paraId="5E0B3D19" w14:textId="77777777" w:rsidR="00F85504" w:rsidRDefault="00F85504" w:rsidP="00345AF9">
            <w:pPr>
              <w:pStyle w:val="ListParagraph"/>
              <w:numPr>
                <w:ilvl w:val="0"/>
                <w:numId w:val="19"/>
              </w:numPr>
              <w:spacing w:before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Santa Teresa</w:t>
            </w:r>
          </w:p>
          <w:p w14:paraId="08128DE8" w14:textId="77777777" w:rsidR="00F85504" w:rsidRPr="000C6A9B" w:rsidRDefault="00F85504" w:rsidP="00345AF9">
            <w:pPr>
              <w:pStyle w:val="ListParagraph"/>
              <w:numPr>
                <w:ilvl w:val="0"/>
                <w:numId w:val="19"/>
              </w:numPr>
              <w:spacing w:before="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C6A9B">
              <w:t>Yuendumu</w:t>
            </w:r>
          </w:p>
        </w:tc>
        <w:tc>
          <w:tcPr>
            <w:tcW w:w="343" w:type="pct"/>
          </w:tcPr>
          <w:p w14:paraId="5FF19C0C" w14:textId="77777777" w:rsidR="00F85504" w:rsidRPr="008879BA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NT</w:t>
            </w:r>
          </w:p>
        </w:tc>
        <w:tc>
          <w:tcPr>
            <w:tcW w:w="582" w:type="pct"/>
          </w:tcPr>
          <w:p w14:paraId="594106FD" w14:textId="77777777" w:rsidR="00F85504" w:rsidRPr="008879BA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$4,725,000</w:t>
            </w:r>
          </w:p>
        </w:tc>
        <w:tc>
          <w:tcPr>
            <w:tcW w:w="578" w:type="pct"/>
          </w:tcPr>
          <w:p w14:paraId="6A2D30FA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30 January 2025</w:t>
            </w:r>
          </w:p>
        </w:tc>
      </w:tr>
      <w:tr w:rsidR="00A81480" w:rsidRPr="00654F9E" w14:paraId="37EC2B5B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29D53814" w14:textId="77777777" w:rsidR="00F85504" w:rsidRDefault="00F85504" w:rsidP="00D777C1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209F13AD" w14:textId="77777777" w:rsidR="00F85504" w:rsidRDefault="00F85504" w:rsidP="00D77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Cairns Regional Council</w:t>
            </w:r>
          </w:p>
        </w:tc>
        <w:tc>
          <w:tcPr>
            <w:tcW w:w="585" w:type="pct"/>
          </w:tcPr>
          <w:p w14:paraId="66B141CC" w14:textId="77777777" w:rsidR="00F85504" w:rsidRDefault="00F85504" w:rsidP="00D77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Cairns Major Events Precinct Masterplan and Project Validation Report</w:t>
            </w:r>
          </w:p>
        </w:tc>
        <w:tc>
          <w:tcPr>
            <w:tcW w:w="1284" w:type="pct"/>
          </w:tcPr>
          <w:p w14:paraId="0C67FEB7" w14:textId="77777777" w:rsidR="00F85504" w:rsidRDefault="00F85504" w:rsidP="00D777C1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CC2CE4">
              <w:rPr>
                <w:rFonts w:eastAsia="Times New Roman" w:cstheme="minorHAnsi"/>
                <w:lang w:eastAsia="en-AU"/>
              </w:rPr>
              <w:t>Funding will support</w:t>
            </w:r>
            <w:r>
              <w:rPr>
                <w:rFonts w:eastAsia="Times New Roman" w:cstheme="minorHAnsi"/>
                <w:lang w:eastAsia="en-AU"/>
              </w:rPr>
              <w:t xml:space="preserve"> </w:t>
            </w:r>
            <w:r w:rsidRPr="00EF5FD0">
              <w:rPr>
                <w:rFonts w:eastAsia="Times New Roman" w:cstheme="minorHAnsi"/>
                <w:lang w:eastAsia="en-AU"/>
              </w:rPr>
              <w:t xml:space="preserve">the </w:t>
            </w:r>
            <w:r>
              <w:rPr>
                <w:rFonts w:eastAsia="Times New Roman" w:cstheme="minorHAnsi"/>
                <w:lang w:eastAsia="en-AU"/>
              </w:rPr>
              <w:t>planning to transform</w:t>
            </w:r>
            <w:r w:rsidRPr="00EF5FD0">
              <w:rPr>
                <w:rFonts w:eastAsia="Times New Roman" w:cstheme="minorHAnsi"/>
                <w:lang w:eastAsia="en-AU"/>
              </w:rPr>
              <w:t xml:space="preserve"> of Barlow Park, the Cairns Showgrounds, and surrounds into a regional sporting, entertainment and events hub.</w:t>
            </w:r>
          </w:p>
        </w:tc>
        <w:tc>
          <w:tcPr>
            <w:tcW w:w="582" w:type="pct"/>
          </w:tcPr>
          <w:p w14:paraId="6AF376D3" w14:textId="77777777" w:rsidR="00F85504" w:rsidRDefault="00F85504" w:rsidP="00D777C1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cstheme="minorHAnsi"/>
                <w:noProof/>
              </w:rPr>
              <w:t>Cairns</w:t>
            </w:r>
          </w:p>
        </w:tc>
        <w:tc>
          <w:tcPr>
            <w:tcW w:w="343" w:type="pct"/>
          </w:tcPr>
          <w:p w14:paraId="60BD4F49" w14:textId="77777777" w:rsidR="00F85504" w:rsidRDefault="00F85504" w:rsidP="00D777C1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t>QLD</w:t>
            </w:r>
          </w:p>
        </w:tc>
        <w:tc>
          <w:tcPr>
            <w:tcW w:w="582" w:type="pct"/>
          </w:tcPr>
          <w:p w14:paraId="0FAF0C75" w14:textId="77777777" w:rsidR="00F85504" w:rsidRDefault="00F85504" w:rsidP="00264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$850,959</w:t>
            </w:r>
          </w:p>
        </w:tc>
        <w:tc>
          <w:tcPr>
            <w:tcW w:w="578" w:type="pct"/>
          </w:tcPr>
          <w:p w14:paraId="4A43E16F" w14:textId="77777777" w:rsidR="00F85504" w:rsidRDefault="00F85504" w:rsidP="00D777C1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502DFA42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474650C" w14:textId="77777777" w:rsidR="00B67CDD" w:rsidRDefault="00B67CDD" w:rsidP="00AC3D9C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76D31886" w14:textId="77777777" w:rsidR="00B67CDD" w:rsidRDefault="00B67CDD" w:rsidP="00AC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Mornington Shire Council</w:t>
            </w:r>
          </w:p>
        </w:tc>
        <w:tc>
          <w:tcPr>
            <w:tcW w:w="585" w:type="pct"/>
          </w:tcPr>
          <w:p w14:paraId="2E5EF5DC" w14:textId="77777777" w:rsidR="00B67CDD" w:rsidRDefault="00B67CDD" w:rsidP="00AC3D9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Mornington Island Tourism and Recreational Precinct Development</w:t>
            </w:r>
          </w:p>
        </w:tc>
        <w:tc>
          <w:tcPr>
            <w:tcW w:w="1284" w:type="pct"/>
          </w:tcPr>
          <w:p w14:paraId="62E4FF49" w14:textId="77777777" w:rsidR="00B67CDD" w:rsidRDefault="00B67CDD" w:rsidP="00AC3D9C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CC2CE4">
              <w:rPr>
                <w:rFonts w:eastAsia="Times New Roman" w:cstheme="minorHAnsi"/>
                <w:lang w:eastAsia="en-AU"/>
              </w:rPr>
              <w:t>Funding will support</w:t>
            </w:r>
            <w:r>
              <w:rPr>
                <w:rFonts w:eastAsia="Times New Roman" w:cstheme="minorHAnsi"/>
                <w:lang w:eastAsia="en-AU"/>
              </w:rPr>
              <w:t xml:space="preserve"> </w:t>
            </w:r>
            <w:r w:rsidRPr="00075FDF">
              <w:rPr>
                <w:rFonts w:eastAsia="Times New Roman" w:cstheme="minorHAnsi"/>
                <w:lang w:eastAsia="en-AU"/>
              </w:rPr>
              <w:t>planning for a Recreational Precinct</w:t>
            </w:r>
            <w:r>
              <w:rPr>
                <w:rFonts w:eastAsia="Times New Roman" w:cstheme="minorHAnsi"/>
                <w:lang w:eastAsia="en-AU"/>
              </w:rPr>
              <w:t xml:space="preserve"> that considers </w:t>
            </w:r>
            <w:r w:rsidRPr="00075FDF">
              <w:rPr>
                <w:rFonts w:eastAsia="Times New Roman" w:cstheme="minorHAnsi"/>
                <w:lang w:eastAsia="en-AU"/>
              </w:rPr>
              <w:t xml:space="preserve">cultural and fishing tourism economic </w:t>
            </w:r>
            <w:proofErr w:type="gramStart"/>
            <w:r w:rsidRPr="00075FDF">
              <w:rPr>
                <w:rFonts w:eastAsia="Times New Roman" w:cstheme="minorHAnsi"/>
                <w:lang w:eastAsia="en-AU"/>
              </w:rPr>
              <w:t xml:space="preserve">developments, </w:t>
            </w:r>
            <w:r>
              <w:rPr>
                <w:rFonts w:eastAsia="Times New Roman" w:cstheme="minorHAnsi"/>
                <w:lang w:eastAsia="en-AU"/>
              </w:rPr>
              <w:t>and</w:t>
            </w:r>
            <w:proofErr w:type="gramEnd"/>
            <w:r>
              <w:rPr>
                <w:rFonts w:eastAsia="Times New Roman" w:cstheme="minorHAnsi"/>
                <w:lang w:eastAsia="en-AU"/>
              </w:rPr>
              <w:t xml:space="preserve"> deliver a recreational precinct plan</w:t>
            </w:r>
            <w:r w:rsidRPr="00075FDF">
              <w:rPr>
                <w:rFonts w:eastAsia="Times New Roman" w:cstheme="minorHAnsi"/>
                <w:lang w:eastAsia="en-AU"/>
              </w:rPr>
              <w:t>.</w:t>
            </w:r>
          </w:p>
        </w:tc>
        <w:tc>
          <w:tcPr>
            <w:tcW w:w="582" w:type="pct"/>
          </w:tcPr>
          <w:p w14:paraId="535BCE98" w14:textId="77777777" w:rsidR="00B67CDD" w:rsidRDefault="00B67CDD" w:rsidP="00AC3D9C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Mornington Island</w:t>
            </w:r>
          </w:p>
        </w:tc>
        <w:tc>
          <w:tcPr>
            <w:tcW w:w="343" w:type="pct"/>
          </w:tcPr>
          <w:p w14:paraId="22D82C81" w14:textId="77777777" w:rsidR="00B67CDD" w:rsidRDefault="00B67CDD" w:rsidP="00AC3D9C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t>QLD</w:t>
            </w:r>
          </w:p>
        </w:tc>
        <w:tc>
          <w:tcPr>
            <w:tcW w:w="582" w:type="pct"/>
          </w:tcPr>
          <w:p w14:paraId="5E0E15A2" w14:textId="77777777" w:rsidR="00B67CDD" w:rsidRDefault="00B67CDD" w:rsidP="00AC3D9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$502,576</w:t>
            </w:r>
          </w:p>
        </w:tc>
        <w:tc>
          <w:tcPr>
            <w:tcW w:w="578" w:type="pct"/>
          </w:tcPr>
          <w:p w14:paraId="509167BE" w14:textId="77777777" w:rsidR="00B67CDD" w:rsidRDefault="00B67CDD" w:rsidP="00AC3D9C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0D3F02DD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F2F2A74" w14:textId="77777777" w:rsidR="00F85504" w:rsidRPr="005275B8" w:rsidRDefault="00F85504" w:rsidP="00345AF9">
            <w:pPr>
              <w:spacing w:before="40" w:after="40"/>
              <w:rPr>
                <w:rFonts w:cstheme="minorHAnsi"/>
              </w:rPr>
            </w:pPr>
            <w:r w:rsidRPr="005275B8">
              <w:rPr>
                <w:rFonts w:cstheme="minorHAnsi"/>
              </w:rPr>
              <w:t>One</w:t>
            </w:r>
          </w:p>
        </w:tc>
        <w:tc>
          <w:tcPr>
            <w:tcW w:w="582" w:type="pct"/>
          </w:tcPr>
          <w:p w14:paraId="58A7A05B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5275B8">
              <w:rPr>
                <w:rFonts w:cstheme="minorHAnsi"/>
              </w:rPr>
              <w:t>Croydon Shire Council</w:t>
            </w:r>
          </w:p>
        </w:tc>
        <w:tc>
          <w:tcPr>
            <w:tcW w:w="585" w:type="pct"/>
          </w:tcPr>
          <w:p w14:paraId="7AB84EF0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Croydon Precinct Growth Plan</w:t>
            </w:r>
          </w:p>
        </w:tc>
        <w:tc>
          <w:tcPr>
            <w:tcW w:w="1284" w:type="pct"/>
          </w:tcPr>
          <w:p w14:paraId="014E8A1C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3C03">
              <w:rPr>
                <w:rFonts w:cstheme="minorHAnsi"/>
                <w:color w:val="212529"/>
              </w:rPr>
              <w:t>Funding will support the delivery of a shovel-ready master plan to support both economic and population growth in Croydon over the next 10 to 15 years.</w:t>
            </w:r>
          </w:p>
        </w:tc>
        <w:tc>
          <w:tcPr>
            <w:tcW w:w="582" w:type="pct"/>
          </w:tcPr>
          <w:p w14:paraId="6AD52D86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Croydon</w:t>
            </w:r>
          </w:p>
        </w:tc>
        <w:tc>
          <w:tcPr>
            <w:tcW w:w="343" w:type="pct"/>
          </w:tcPr>
          <w:p w14:paraId="68232414" w14:textId="77777777" w:rsidR="00F85504" w:rsidRPr="005275B8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582" w:type="pct"/>
          </w:tcPr>
          <w:p w14:paraId="3F44E3EE" w14:textId="77777777" w:rsidR="00F85504" w:rsidRPr="005275B8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$2,813,500</w:t>
            </w:r>
          </w:p>
        </w:tc>
        <w:tc>
          <w:tcPr>
            <w:tcW w:w="578" w:type="pct"/>
          </w:tcPr>
          <w:p w14:paraId="1B04EA99" w14:textId="77777777" w:rsidR="00F85504" w:rsidRPr="005275B8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A81480" w:rsidRPr="00654F9E" w14:paraId="4C645BF7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B66C1CC" w14:textId="77777777" w:rsidR="00F85504" w:rsidRPr="005275B8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7E89089A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Mareeba Shire Council</w:t>
            </w:r>
          </w:p>
        </w:tc>
        <w:tc>
          <w:tcPr>
            <w:tcW w:w="585" w:type="pct"/>
          </w:tcPr>
          <w:p w14:paraId="267304D2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 xml:space="preserve">Mareeba CBD Revitalisation </w:t>
            </w:r>
          </w:p>
        </w:tc>
        <w:tc>
          <w:tcPr>
            <w:tcW w:w="1284" w:type="pct"/>
          </w:tcPr>
          <w:p w14:paraId="64A455B6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7F3C03">
              <w:rPr>
                <w:rFonts w:cstheme="minorHAnsi"/>
                <w:color w:val="212529"/>
              </w:rPr>
              <w:t>Funding will support a precinct plan which aims to activate and revitalise the Mareeba CBD.</w:t>
            </w:r>
          </w:p>
        </w:tc>
        <w:tc>
          <w:tcPr>
            <w:tcW w:w="582" w:type="pct"/>
          </w:tcPr>
          <w:p w14:paraId="5713DCB9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Mareeba</w:t>
            </w:r>
          </w:p>
        </w:tc>
        <w:tc>
          <w:tcPr>
            <w:tcW w:w="343" w:type="pct"/>
          </w:tcPr>
          <w:p w14:paraId="486F437A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582" w:type="pct"/>
          </w:tcPr>
          <w:p w14:paraId="2EF72410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$2,143,249</w:t>
            </w:r>
          </w:p>
        </w:tc>
        <w:tc>
          <w:tcPr>
            <w:tcW w:w="578" w:type="pct"/>
          </w:tcPr>
          <w:p w14:paraId="354BC217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B722B0" w:rsidRPr="00654F9E" w14:paraId="5112F2AF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57B309A" w14:textId="61466E5F" w:rsidR="00B722B0" w:rsidRPr="005275B8" w:rsidRDefault="00B722B0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52044E46" w14:textId="3CAB49D8" w:rsidR="00B722B0" w:rsidRPr="005275B8" w:rsidRDefault="009C66B9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Doomadgee Aboriginal Shire Council</w:t>
            </w:r>
          </w:p>
        </w:tc>
        <w:tc>
          <w:tcPr>
            <w:tcW w:w="585" w:type="pct"/>
          </w:tcPr>
          <w:p w14:paraId="0A3BB477" w14:textId="2AB86346" w:rsidR="00B722B0" w:rsidRPr="005275B8" w:rsidRDefault="00395110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395110">
              <w:rPr>
                <w:rFonts w:cstheme="minorHAnsi"/>
                <w:color w:val="000000" w:themeColor="text1"/>
              </w:rPr>
              <w:t>Heart of Doomadgee – Development of the CBD precinct</w:t>
            </w:r>
          </w:p>
        </w:tc>
        <w:tc>
          <w:tcPr>
            <w:tcW w:w="1284" w:type="pct"/>
          </w:tcPr>
          <w:p w14:paraId="2F86F553" w14:textId="29F06D93" w:rsidR="00B722B0" w:rsidRPr="007F3C03" w:rsidRDefault="00A516B9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</w:rPr>
            </w:pPr>
            <w:r>
              <w:rPr>
                <w:rFonts w:cstheme="minorHAnsi"/>
                <w:color w:val="212529"/>
              </w:rPr>
              <w:t>Funding will support</w:t>
            </w:r>
            <w:r w:rsidR="00F32355" w:rsidRPr="00F32355">
              <w:rPr>
                <w:rFonts w:cstheme="minorHAnsi"/>
                <w:color w:val="212529"/>
              </w:rPr>
              <w:t xml:space="preserve"> planning and partnership development that will revitalise the local and regional economy through diversification into new industries of tourism, cultural tourism and arts, delivering an investment-ready CBD precinct.</w:t>
            </w:r>
          </w:p>
        </w:tc>
        <w:tc>
          <w:tcPr>
            <w:tcW w:w="582" w:type="pct"/>
          </w:tcPr>
          <w:p w14:paraId="677E3E8D" w14:textId="26CD0C26" w:rsidR="00B722B0" w:rsidRPr="005275B8" w:rsidRDefault="00B474B3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Doomadgee</w:t>
            </w:r>
          </w:p>
        </w:tc>
        <w:tc>
          <w:tcPr>
            <w:tcW w:w="343" w:type="pct"/>
          </w:tcPr>
          <w:p w14:paraId="71329969" w14:textId="602CAB9E" w:rsidR="00B722B0" w:rsidRPr="005275B8" w:rsidRDefault="00B474B3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QLD</w:t>
            </w:r>
          </w:p>
        </w:tc>
        <w:tc>
          <w:tcPr>
            <w:tcW w:w="582" w:type="pct"/>
          </w:tcPr>
          <w:p w14:paraId="3D344A74" w14:textId="6FCC2565" w:rsidR="00B722B0" w:rsidRPr="005275B8" w:rsidRDefault="00AA01D2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A01D2">
              <w:rPr>
                <w:rFonts w:cstheme="minorHAnsi"/>
                <w:color w:val="000000" w:themeColor="text1"/>
              </w:rPr>
              <w:t>$2,531,760</w:t>
            </w:r>
          </w:p>
        </w:tc>
        <w:tc>
          <w:tcPr>
            <w:tcW w:w="578" w:type="pct"/>
          </w:tcPr>
          <w:p w14:paraId="1A1920FB" w14:textId="225E672C" w:rsidR="00B722B0" w:rsidRDefault="00AA01D2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A81480" w:rsidRPr="00654F9E" w14:paraId="6B8F0C35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1EF95EB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One</w:t>
            </w:r>
          </w:p>
        </w:tc>
        <w:tc>
          <w:tcPr>
            <w:tcW w:w="582" w:type="pct"/>
          </w:tcPr>
          <w:p w14:paraId="7D4B7A23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Mid Murray Council</w:t>
            </w:r>
          </w:p>
        </w:tc>
        <w:tc>
          <w:tcPr>
            <w:tcW w:w="585" w:type="pct"/>
          </w:tcPr>
          <w:p w14:paraId="7E8C3A9D" w14:textId="77777777" w:rsidR="00F85504" w:rsidRPr="00EC0A11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Mid Murray Tourism Precinct Planning Project</w:t>
            </w:r>
          </w:p>
        </w:tc>
        <w:tc>
          <w:tcPr>
            <w:tcW w:w="1284" w:type="pct"/>
          </w:tcPr>
          <w:p w14:paraId="4C1852AB" w14:textId="77777777" w:rsidR="00F85504" w:rsidRPr="00EC0A11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212529"/>
              </w:rPr>
            </w:pPr>
            <w:r w:rsidRPr="007F3C03">
              <w:t>Funding will support the development of a business case, document and identify tourism assets and create a precinct plan connecting 11 towns in the council district.</w:t>
            </w:r>
          </w:p>
        </w:tc>
        <w:tc>
          <w:tcPr>
            <w:tcW w:w="582" w:type="pct"/>
          </w:tcPr>
          <w:p w14:paraId="5A248C2D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Mannum</w:t>
            </w:r>
          </w:p>
          <w:p w14:paraId="1E94CFAD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Morgan</w:t>
            </w:r>
          </w:p>
          <w:p w14:paraId="363C849D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Tungkillo</w:t>
            </w:r>
          </w:p>
          <w:p w14:paraId="343EF1D8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Blanchetown</w:t>
            </w:r>
          </w:p>
          <w:p w14:paraId="2949AA86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 xml:space="preserve">Swan Reach </w:t>
            </w:r>
          </w:p>
          <w:p w14:paraId="32E1233B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Sedan</w:t>
            </w:r>
          </w:p>
          <w:p w14:paraId="74BD2573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Truro</w:t>
            </w:r>
          </w:p>
          <w:p w14:paraId="7BC83CB4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Keyneton</w:t>
            </w:r>
          </w:p>
          <w:p w14:paraId="5C417940" w14:textId="77777777" w:rsidR="00F85504" w:rsidRPr="008879BA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Cadell</w:t>
            </w:r>
          </w:p>
          <w:p w14:paraId="7AD7BDAB" w14:textId="77777777" w:rsidR="00F85504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Palmer</w:t>
            </w:r>
          </w:p>
          <w:p w14:paraId="54AEBAA4" w14:textId="77777777" w:rsidR="00F85504" w:rsidRPr="00913934" w:rsidRDefault="00F85504" w:rsidP="00345AF9">
            <w:pPr>
              <w:pStyle w:val="ListParagraph"/>
              <w:numPr>
                <w:ilvl w:val="0"/>
                <w:numId w:val="19"/>
              </w:numPr>
              <w:spacing w:before="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3934">
              <w:t>Cam</w:t>
            </w:r>
            <w:r>
              <w:t>b</w:t>
            </w:r>
            <w:r w:rsidRPr="00913934">
              <w:t>rai</w:t>
            </w:r>
          </w:p>
        </w:tc>
        <w:tc>
          <w:tcPr>
            <w:tcW w:w="343" w:type="pct"/>
          </w:tcPr>
          <w:p w14:paraId="0783EB9E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SA</w:t>
            </w:r>
          </w:p>
        </w:tc>
        <w:tc>
          <w:tcPr>
            <w:tcW w:w="582" w:type="pct"/>
          </w:tcPr>
          <w:p w14:paraId="2CD511D9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879BA">
              <w:t>$1,520,000</w:t>
            </w:r>
          </w:p>
        </w:tc>
        <w:tc>
          <w:tcPr>
            <w:tcW w:w="578" w:type="pct"/>
          </w:tcPr>
          <w:p w14:paraId="37A6E481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January 2025</w:t>
            </w:r>
          </w:p>
        </w:tc>
      </w:tr>
      <w:tr w:rsidR="00A81480" w:rsidRPr="00654F9E" w14:paraId="7D00398F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4FDF8D36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6079EC98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Coorong District Council</w:t>
            </w:r>
          </w:p>
        </w:tc>
        <w:tc>
          <w:tcPr>
            <w:tcW w:w="585" w:type="pct"/>
          </w:tcPr>
          <w:p w14:paraId="55A0BED0" w14:textId="77777777" w:rsidR="00F85504" w:rsidRPr="00EC0A11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Tailem Bend Growth Precinct</w:t>
            </w:r>
          </w:p>
        </w:tc>
        <w:tc>
          <w:tcPr>
            <w:tcW w:w="1284" w:type="pct"/>
          </w:tcPr>
          <w:p w14:paraId="41D1265B" w14:textId="77777777" w:rsidR="00F85504" w:rsidRPr="00EC0A11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</w:rPr>
            </w:pPr>
            <w:r w:rsidRPr="007F3C03">
              <w:t>Funding will support the delivery of detailed designs for affordable housing, public realm enhancements and streetscape upgrades.</w:t>
            </w:r>
          </w:p>
        </w:tc>
        <w:tc>
          <w:tcPr>
            <w:tcW w:w="582" w:type="pct"/>
          </w:tcPr>
          <w:p w14:paraId="22315769" w14:textId="77777777" w:rsidR="00F85504" w:rsidRPr="002200E5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Tailem Bend</w:t>
            </w:r>
          </w:p>
        </w:tc>
        <w:tc>
          <w:tcPr>
            <w:tcW w:w="343" w:type="pct"/>
          </w:tcPr>
          <w:p w14:paraId="4DCF9D91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SA</w:t>
            </w:r>
          </w:p>
        </w:tc>
        <w:tc>
          <w:tcPr>
            <w:tcW w:w="582" w:type="pct"/>
          </w:tcPr>
          <w:p w14:paraId="0B6DA0D5" w14:textId="77777777" w:rsidR="00F85504" w:rsidRPr="005275B8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79BA">
              <w:t>$508,000</w:t>
            </w:r>
          </w:p>
        </w:tc>
        <w:tc>
          <w:tcPr>
            <w:tcW w:w="578" w:type="pct"/>
          </w:tcPr>
          <w:p w14:paraId="35B0E8AF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January 2025</w:t>
            </w:r>
          </w:p>
        </w:tc>
      </w:tr>
      <w:tr w:rsidR="00E6248D" w:rsidRPr="00654F9E" w14:paraId="3557819E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59EA5DEE" w14:textId="4A441F47" w:rsidR="00E6248D" w:rsidRDefault="00890FEC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0F22570B" w14:textId="7B4DD4DF" w:rsidR="00E6248D" w:rsidRDefault="00890FEC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District Council of Ceduna</w:t>
            </w:r>
          </w:p>
        </w:tc>
        <w:tc>
          <w:tcPr>
            <w:tcW w:w="585" w:type="pct"/>
          </w:tcPr>
          <w:p w14:paraId="337203D5" w14:textId="76DD63E6" w:rsidR="00E6248D" w:rsidRDefault="00890FEC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Ceduna Community Foreshore Precinct</w:t>
            </w:r>
          </w:p>
        </w:tc>
        <w:tc>
          <w:tcPr>
            <w:tcW w:w="1284" w:type="pct"/>
          </w:tcPr>
          <w:p w14:paraId="3809DD1E" w14:textId="04E12FAD" w:rsidR="00E6248D" w:rsidRPr="007F3C03" w:rsidRDefault="00A61866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Funding will support the delivery of</w:t>
            </w:r>
            <w:r w:rsidR="00341CAC" w:rsidRPr="00341CAC">
              <w:t xml:space="preserve"> a shovel-ready precinct masterplan for the town of Ceduna. </w:t>
            </w:r>
          </w:p>
        </w:tc>
        <w:tc>
          <w:tcPr>
            <w:tcW w:w="582" w:type="pct"/>
          </w:tcPr>
          <w:p w14:paraId="6D74A076" w14:textId="0A9A9C2B" w:rsidR="00E6248D" w:rsidRPr="008879BA" w:rsidRDefault="009A480D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Ceduna</w:t>
            </w:r>
          </w:p>
        </w:tc>
        <w:tc>
          <w:tcPr>
            <w:tcW w:w="343" w:type="pct"/>
          </w:tcPr>
          <w:p w14:paraId="2E3CC388" w14:textId="22474C21" w:rsidR="00E6248D" w:rsidRPr="008879BA" w:rsidRDefault="009A480D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</w:t>
            </w:r>
          </w:p>
        </w:tc>
        <w:tc>
          <w:tcPr>
            <w:tcW w:w="582" w:type="pct"/>
          </w:tcPr>
          <w:p w14:paraId="6C260B33" w14:textId="55DF63C5" w:rsidR="00E6248D" w:rsidRPr="008879BA" w:rsidRDefault="00FC4CB1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C4CB1">
              <w:t>$2,886,522</w:t>
            </w:r>
          </w:p>
        </w:tc>
        <w:tc>
          <w:tcPr>
            <w:tcW w:w="578" w:type="pct"/>
          </w:tcPr>
          <w:p w14:paraId="0A8898B8" w14:textId="3C8806A2" w:rsidR="00E6248D" w:rsidRDefault="00FC4CB1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A84B26" w:rsidRPr="00654F9E" w14:paraId="396F746A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B30B59A" w14:textId="2C3BB32C" w:rsidR="00A84B26" w:rsidRDefault="00A84B26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46B3CE7B" w14:textId="0FA5449B" w:rsidR="00A84B26" w:rsidRDefault="00A84B26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City of Victor Harbor</w:t>
            </w:r>
          </w:p>
        </w:tc>
        <w:tc>
          <w:tcPr>
            <w:tcW w:w="585" w:type="pct"/>
          </w:tcPr>
          <w:p w14:paraId="7B051022" w14:textId="07FCDCCF" w:rsidR="00A84B26" w:rsidRDefault="00B46FD6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46FD6">
              <w:rPr>
                <w:rFonts w:cstheme="minorHAnsi"/>
              </w:rPr>
              <w:t>Victor Harbor Regional Community, Sport and Recreation Precinct</w:t>
            </w:r>
          </w:p>
        </w:tc>
        <w:tc>
          <w:tcPr>
            <w:tcW w:w="1284" w:type="pct"/>
          </w:tcPr>
          <w:p w14:paraId="0C48E530" w14:textId="1B24D6ED" w:rsidR="00A84B26" w:rsidRDefault="00446BAF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will support the</w:t>
            </w:r>
            <w:r w:rsidR="00FD6DAE">
              <w:t xml:space="preserve"> </w:t>
            </w:r>
            <w:proofErr w:type="spellStart"/>
            <w:r w:rsidRPr="00446BAF">
              <w:t>deliver</w:t>
            </w:r>
            <w:proofErr w:type="spellEnd"/>
            <w:r w:rsidR="00FD6DAE">
              <w:t xml:space="preserve"> of</w:t>
            </w:r>
            <w:r w:rsidRPr="00446BAF">
              <w:t xml:space="preserve"> a premier </w:t>
            </w:r>
            <w:r w:rsidR="00E83899">
              <w:t>precinct</w:t>
            </w:r>
            <w:r w:rsidRPr="00446BAF">
              <w:t xml:space="preserve"> featuring multi-purpose courts, gymnastics and health spaces, a childcare centre, retail and entertainment areas, and allied health services.</w:t>
            </w:r>
          </w:p>
        </w:tc>
        <w:tc>
          <w:tcPr>
            <w:tcW w:w="582" w:type="pct"/>
          </w:tcPr>
          <w:p w14:paraId="638D073A" w14:textId="36E745D9" w:rsidR="00A84B26" w:rsidRDefault="00E83899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Victor Harbor</w:t>
            </w:r>
          </w:p>
        </w:tc>
        <w:tc>
          <w:tcPr>
            <w:tcW w:w="343" w:type="pct"/>
          </w:tcPr>
          <w:p w14:paraId="345B1D07" w14:textId="34DCD9FD" w:rsidR="00A84B26" w:rsidRDefault="00E83899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</w:t>
            </w:r>
          </w:p>
        </w:tc>
        <w:tc>
          <w:tcPr>
            <w:tcW w:w="582" w:type="pct"/>
          </w:tcPr>
          <w:p w14:paraId="26757108" w14:textId="403C18D1" w:rsidR="00A84B26" w:rsidRPr="00FC4CB1" w:rsidRDefault="006D1878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$2,500,000</w:t>
            </w:r>
          </w:p>
        </w:tc>
        <w:tc>
          <w:tcPr>
            <w:tcW w:w="578" w:type="pct"/>
          </w:tcPr>
          <w:p w14:paraId="027E116F" w14:textId="3A3DE6BC" w:rsidR="00A84B26" w:rsidRDefault="006D1878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9C110F" w:rsidRPr="00654F9E" w14:paraId="16DA4F0A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9E4211B" w14:textId="39EE878A" w:rsidR="009C110F" w:rsidRDefault="004404FB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7FD6D66E" w14:textId="55A4CD02" w:rsidR="009C110F" w:rsidRDefault="004404FB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District Council of Cleve</w:t>
            </w:r>
          </w:p>
        </w:tc>
        <w:tc>
          <w:tcPr>
            <w:tcW w:w="585" w:type="pct"/>
          </w:tcPr>
          <w:p w14:paraId="6FED410E" w14:textId="2ACB9582" w:rsidR="009C110F" w:rsidRPr="00B46FD6" w:rsidRDefault="004404FB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Australian Blue Technology Precinct</w:t>
            </w:r>
          </w:p>
        </w:tc>
        <w:tc>
          <w:tcPr>
            <w:tcW w:w="1284" w:type="pct"/>
          </w:tcPr>
          <w:p w14:paraId="7BE5A31A" w14:textId="222EA859" w:rsidR="009C110F" w:rsidRDefault="005213AF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Funding will support </w:t>
            </w:r>
            <w:r w:rsidR="00EA6F92">
              <w:t>delivery of an</w:t>
            </w:r>
            <w:r w:rsidRPr="005213AF">
              <w:t xml:space="preserve"> Enterprise Hub facility to provide Administrative, Research, Education and Community functions as well as two dedicated commercial production tenancies</w:t>
            </w:r>
            <w:r w:rsidR="00606902">
              <w:t>.</w:t>
            </w:r>
          </w:p>
        </w:tc>
        <w:tc>
          <w:tcPr>
            <w:tcW w:w="582" w:type="pct"/>
          </w:tcPr>
          <w:p w14:paraId="33AF27BD" w14:textId="3C3998F6" w:rsidR="009C110F" w:rsidRDefault="00E82299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Arno Bay</w:t>
            </w:r>
          </w:p>
        </w:tc>
        <w:tc>
          <w:tcPr>
            <w:tcW w:w="343" w:type="pct"/>
          </w:tcPr>
          <w:p w14:paraId="61944AE9" w14:textId="228C7235" w:rsidR="009C110F" w:rsidRDefault="00E82299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SA</w:t>
            </w:r>
          </w:p>
        </w:tc>
        <w:tc>
          <w:tcPr>
            <w:tcW w:w="582" w:type="pct"/>
          </w:tcPr>
          <w:p w14:paraId="110AB0E7" w14:textId="6F5ECD35" w:rsidR="009C110F" w:rsidRDefault="00914E3B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914E3B">
              <w:t>$4,850,982</w:t>
            </w:r>
          </w:p>
        </w:tc>
        <w:tc>
          <w:tcPr>
            <w:tcW w:w="578" w:type="pct"/>
          </w:tcPr>
          <w:p w14:paraId="623142BE" w14:textId="041A34EA" w:rsidR="009C110F" w:rsidRDefault="00914E3B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A81480" w:rsidRPr="00654F9E" w14:paraId="020B02CC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5555E4D" w14:textId="77777777" w:rsidR="00F85504" w:rsidRDefault="00F85504" w:rsidP="00D777C1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 w:rsidRPr="00301742">
              <w:rPr>
                <w:rFonts w:cstheme="minorHAnsi"/>
                <w:color w:val="000000" w:themeColor="text1"/>
              </w:rPr>
              <w:lastRenderedPageBreak/>
              <w:t>One</w:t>
            </w:r>
          </w:p>
        </w:tc>
        <w:tc>
          <w:tcPr>
            <w:tcW w:w="582" w:type="pct"/>
          </w:tcPr>
          <w:p w14:paraId="16BB3CCA" w14:textId="77777777" w:rsidR="00F85504" w:rsidRDefault="00F85504" w:rsidP="00D77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Huon Valley Council</w:t>
            </w:r>
          </w:p>
        </w:tc>
        <w:tc>
          <w:tcPr>
            <w:tcW w:w="585" w:type="pct"/>
          </w:tcPr>
          <w:p w14:paraId="2F116BE5" w14:textId="77777777" w:rsidR="00F85504" w:rsidRDefault="00F85504" w:rsidP="00D77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 xml:space="preserve">Huonville </w:t>
            </w:r>
            <w:proofErr w:type="spellStart"/>
            <w:r>
              <w:rPr>
                <w:rFonts w:eastAsia="Times New Roman" w:cs="Calibri"/>
                <w:lang w:eastAsia="en-AU"/>
              </w:rPr>
              <w:t>ReImagined</w:t>
            </w:r>
            <w:proofErr w:type="spellEnd"/>
            <w:r>
              <w:rPr>
                <w:rFonts w:eastAsia="Times New Roman" w:cs="Calibri"/>
                <w:lang w:eastAsia="en-AU"/>
              </w:rPr>
              <w:t>: Crafting a future Huonville</w:t>
            </w:r>
          </w:p>
        </w:tc>
        <w:tc>
          <w:tcPr>
            <w:tcW w:w="1284" w:type="pct"/>
          </w:tcPr>
          <w:p w14:paraId="718D4F0A" w14:textId="77777777" w:rsidR="00F85504" w:rsidRPr="00CC2CE4" w:rsidRDefault="00F85504" w:rsidP="00D777C1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</w:t>
            </w:r>
            <w:r w:rsidRPr="00075FDF">
              <w:rPr>
                <w:rFonts w:eastAsia="Times New Roman" w:cstheme="minorHAnsi"/>
                <w:lang w:eastAsia="en-AU"/>
              </w:rPr>
              <w:t xml:space="preserve">precinct planning </w:t>
            </w:r>
            <w:r>
              <w:rPr>
                <w:rFonts w:eastAsia="Times New Roman" w:cstheme="minorHAnsi"/>
                <w:lang w:eastAsia="en-AU"/>
              </w:rPr>
              <w:t xml:space="preserve">around five sites </w:t>
            </w:r>
            <w:r w:rsidRPr="00075FDF">
              <w:rPr>
                <w:rFonts w:eastAsia="Times New Roman" w:cstheme="minorHAnsi"/>
                <w:lang w:eastAsia="en-AU"/>
              </w:rPr>
              <w:t>that will transform Huonville into a contemporary, vibrant and resilient regional town</w:t>
            </w:r>
            <w:r>
              <w:rPr>
                <w:rFonts w:eastAsia="Times New Roman" w:cstheme="minorHAnsi"/>
                <w:lang w:eastAsia="en-AU"/>
              </w:rPr>
              <w:t>.</w:t>
            </w:r>
          </w:p>
        </w:tc>
        <w:tc>
          <w:tcPr>
            <w:tcW w:w="582" w:type="pct"/>
          </w:tcPr>
          <w:p w14:paraId="0F5D4534" w14:textId="77777777" w:rsidR="00F85504" w:rsidRDefault="00F85504" w:rsidP="00D777C1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7E5BDB">
              <w:rPr>
                <w:rFonts w:cstheme="minorHAnsi"/>
                <w:noProof/>
              </w:rPr>
              <w:t>Huonville</w:t>
            </w:r>
          </w:p>
        </w:tc>
        <w:tc>
          <w:tcPr>
            <w:tcW w:w="343" w:type="pct"/>
          </w:tcPr>
          <w:p w14:paraId="65776C07" w14:textId="77777777" w:rsidR="00F85504" w:rsidRDefault="00F85504" w:rsidP="00D777C1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TAS</w:t>
            </w:r>
          </w:p>
        </w:tc>
        <w:tc>
          <w:tcPr>
            <w:tcW w:w="582" w:type="pct"/>
          </w:tcPr>
          <w:p w14:paraId="7BD706F3" w14:textId="77777777" w:rsidR="00F85504" w:rsidRDefault="00F85504" w:rsidP="00264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$4,696,368</w:t>
            </w:r>
          </w:p>
        </w:tc>
        <w:tc>
          <w:tcPr>
            <w:tcW w:w="578" w:type="pct"/>
          </w:tcPr>
          <w:p w14:paraId="6B27480F" w14:textId="77777777" w:rsidR="00F85504" w:rsidRDefault="00F85504" w:rsidP="00D777C1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673A68" w:rsidRPr="00654F9E" w14:paraId="502F87DE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5D6C875B" w14:textId="77777777" w:rsidR="00F85504" w:rsidRDefault="00F85504" w:rsidP="00AE06DD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 w:rsidRPr="00301742"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17AC2F6C" w14:textId="77777777" w:rsidR="00F85504" w:rsidRDefault="00F85504" w:rsidP="00AE0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Department of State Growth</w:t>
            </w:r>
          </w:p>
        </w:tc>
        <w:tc>
          <w:tcPr>
            <w:tcW w:w="585" w:type="pct"/>
          </w:tcPr>
          <w:p w14:paraId="0DDCDD3E" w14:textId="77777777" w:rsidR="00F85504" w:rsidRDefault="00F85504" w:rsidP="00AE06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proofErr w:type="spellStart"/>
            <w:r>
              <w:rPr>
                <w:rFonts w:eastAsia="Times New Roman" w:cs="Calibri"/>
                <w:lang w:eastAsia="en-AU"/>
              </w:rPr>
              <w:t>TheConfluence</w:t>
            </w:r>
            <w:proofErr w:type="spellEnd"/>
            <w:r>
              <w:rPr>
                <w:rFonts w:eastAsia="Times New Roman" w:cs="Calibri"/>
                <w:lang w:eastAsia="en-AU"/>
              </w:rPr>
              <w:t xml:space="preserve"> - </w:t>
            </w:r>
            <w:proofErr w:type="spellStart"/>
            <w:r>
              <w:rPr>
                <w:rFonts w:eastAsia="Times New Roman" w:cs="Calibri"/>
                <w:lang w:eastAsia="en-AU"/>
              </w:rPr>
              <w:t>kanamaluka</w:t>
            </w:r>
            <w:proofErr w:type="spellEnd"/>
            <w:r>
              <w:rPr>
                <w:rFonts w:eastAsia="Times New Roman" w:cs="Calibri"/>
                <w:lang w:eastAsia="en-AU"/>
              </w:rPr>
              <w:t>/Tamar Estuary Precinct</w:t>
            </w:r>
          </w:p>
        </w:tc>
        <w:tc>
          <w:tcPr>
            <w:tcW w:w="1284" w:type="pct"/>
          </w:tcPr>
          <w:p w14:paraId="0BA3D5DD" w14:textId="77777777" w:rsidR="00F85504" w:rsidRPr="00CC2CE4" w:rsidRDefault="00F85504" w:rsidP="00AE06DD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AC34F9">
              <w:rPr>
                <w:rFonts w:eastAsia="Times New Roman" w:cstheme="minorHAnsi"/>
                <w:lang w:eastAsia="en-AU"/>
              </w:rPr>
              <w:t>Funding will support precinct planning for economic transformation via a maritime precinct; liveability and environment via water quality, and recreation connectivity and amenity.</w:t>
            </w:r>
          </w:p>
        </w:tc>
        <w:tc>
          <w:tcPr>
            <w:tcW w:w="582" w:type="pct"/>
          </w:tcPr>
          <w:p w14:paraId="366C9C34" w14:textId="77777777" w:rsidR="00F85504" w:rsidRDefault="00F85504" w:rsidP="00AE06DD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7D0C93">
              <w:rPr>
                <w:rFonts w:cstheme="minorHAnsi"/>
                <w:noProof/>
              </w:rPr>
              <w:t>Launceston</w:t>
            </w:r>
          </w:p>
        </w:tc>
        <w:tc>
          <w:tcPr>
            <w:tcW w:w="343" w:type="pct"/>
          </w:tcPr>
          <w:p w14:paraId="1BC96368" w14:textId="77777777" w:rsidR="00F85504" w:rsidRDefault="00F85504" w:rsidP="00AE06DD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TAS</w:t>
            </w:r>
          </w:p>
        </w:tc>
        <w:tc>
          <w:tcPr>
            <w:tcW w:w="582" w:type="pct"/>
            <w:shd w:val="clear" w:color="auto" w:fill="FFFFFF" w:themeFill="background1"/>
          </w:tcPr>
          <w:p w14:paraId="51A6501A" w14:textId="77777777" w:rsidR="00F85504" w:rsidRPr="003506F1" w:rsidRDefault="00F85504" w:rsidP="002642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506F1">
              <w:t>$2,198,702</w:t>
            </w:r>
          </w:p>
        </w:tc>
        <w:tc>
          <w:tcPr>
            <w:tcW w:w="578" w:type="pct"/>
          </w:tcPr>
          <w:p w14:paraId="2DBC967A" w14:textId="77777777" w:rsidR="00F85504" w:rsidRDefault="00F85504" w:rsidP="00AE06DD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10E4AEEF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39EB883" w14:textId="77777777" w:rsidR="00F85504" w:rsidRPr="005275B8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0018CA1E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631C79">
              <w:rPr>
                <w:rFonts w:cstheme="minorHAnsi"/>
                <w:color w:val="000000" w:themeColor="text1"/>
              </w:rPr>
              <w:t>Derwent Valley Council</w:t>
            </w:r>
          </w:p>
        </w:tc>
        <w:tc>
          <w:tcPr>
            <w:tcW w:w="585" w:type="pct"/>
          </w:tcPr>
          <w:p w14:paraId="0ACEB92E" w14:textId="77777777" w:rsidR="00F85504" w:rsidRPr="00EC0A11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0A11">
              <w:t>Upper Derwent Valley Regional Precinct Project</w:t>
            </w:r>
          </w:p>
        </w:tc>
        <w:tc>
          <w:tcPr>
            <w:tcW w:w="1284" w:type="pct"/>
          </w:tcPr>
          <w:p w14:paraId="2B886230" w14:textId="77777777" w:rsidR="00F85504" w:rsidRPr="00EC0A11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</w:rPr>
            </w:pPr>
            <w:r w:rsidRPr="00F00E10">
              <w:rPr>
                <w:rFonts w:cstheme="minorHAnsi"/>
                <w:color w:val="000000" w:themeColor="text1"/>
              </w:rPr>
              <w:t>Funding will support the development of precinct plans/concept designs, business plans and feasibility studies for the communities of Maydena, Plenty, Hayes, Bushy Park, Glenora, Westerway and Mount Field.</w:t>
            </w:r>
          </w:p>
        </w:tc>
        <w:tc>
          <w:tcPr>
            <w:tcW w:w="582" w:type="pct"/>
          </w:tcPr>
          <w:p w14:paraId="133AB4B7" w14:textId="77777777" w:rsidR="00F85504" w:rsidRPr="002200E5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2200E5">
              <w:rPr>
                <w:rFonts w:cstheme="minorHAnsi"/>
                <w:color w:val="000000" w:themeColor="text1"/>
              </w:rPr>
              <w:t>Upper Derwent Valley</w:t>
            </w:r>
          </w:p>
        </w:tc>
        <w:tc>
          <w:tcPr>
            <w:tcW w:w="343" w:type="pct"/>
          </w:tcPr>
          <w:p w14:paraId="39A7AB60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TAS</w:t>
            </w:r>
          </w:p>
        </w:tc>
        <w:tc>
          <w:tcPr>
            <w:tcW w:w="582" w:type="pct"/>
          </w:tcPr>
          <w:p w14:paraId="202FF292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$501,538</w:t>
            </w:r>
          </w:p>
        </w:tc>
        <w:tc>
          <w:tcPr>
            <w:tcW w:w="578" w:type="pct"/>
          </w:tcPr>
          <w:p w14:paraId="6FB18DF9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 January 2025</w:t>
            </w:r>
          </w:p>
        </w:tc>
      </w:tr>
      <w:tr w:rsidR="00673A68" w:rsidRPr="00654F9E" w14:paraId="40A34400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770603CD" w14:textId="77777777" w:rsidR="00F85504" w:rsidRPr="00301742" w:rsidRDefault="00F85504" w:rsidP="0092002D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3EEA685C" w14:textId="77777777" w:rsidR="00F85504" w:rsidRDefault="00F85504" w:rsidP="0092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Wellington Shire Council</w:t>
            </w:r>
          </w:p>
        </w:tc>
        <w:tc>
          <w:tcPr>
            <w:tcW w:w="585" w:type="pct"/>
          </w:tcPr>
          <w:p w14:paraId="6DA9C065" w14:textId="77777777" w:rsidR="00F85504" w:rsidRDefault="00F85504" w:rsidP="0092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Renewable Energy Land and Infrastructure Plan</w:t>
            </w:r>
          </w:p>
        </w:tc>
        <w:tc>
          <w:tcPr>
            <w:tcW w:w="1284" w:type="pct"/>
          </w:tcPr>
          <w:p w14:paraId="2A094F66" w14:textId="77777777" w:rsidR="00F85504" w:rsidRPr="004C3095" w:rsidRDefault="00F85504" w:rsidP="0092002D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highlight w:val="yellow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the development of </w:t>
            </w:r>
            <w:r w:rsidRPr="004C3095">
              <w:rPr>
                <w:rFonts w:eastAsia="Times New Roman" w:cstheme="minorHAnsi"/>
                <w:lang w:eastAsia="en-AU"/>
              </w:rPr>
              <w:t>a Renewable Energy Land and Infrastructure Plan</w:t>
            </w:r>
            <w:r>
              <w:rPr>
                <w:rFonts w:eastAsia="Times New Roman" w:cstheme="minorHAnsi"/>
                <w:lang w:eastAsia="en-AU"/>
              </w:rPr>
              <w:t xml:space="preserve"> which will </w:t>
            </w:r>
            <w:r w:rsidRPr="004C3095">
              <w:rPr>
                <w:rFonts w:eastAsia="Times New Roman" w:cstheme="minorHAnsi"/>
                <w:lang w:eastAsia="en-AU"/>
              </w:rPr>
              <w:t>address local and regional land and infrastructure needs.</w:t>
            </w:r>
          </w:p>
        </w:tc>
        <w:tc>
          <w:tcPr>
            <w:tcW w:w="582" w:type="pct"/>
          </w:tcPr>
          <w:p w14:paraId="6D195580" w14:textId="77777777" w:rsidR="00F85504" w:rsidRPr="007D0C93" w:rsidRDefault="00F85504" w:rsidP="0092002D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eastAsia="Times New Roman" w:cs="Calibri"/>
                <w:lang w:eastAsia="en-AU"/>
              </w:rPr>
              <w:t>Wellington</w:t>
            </w:r>
          </w:p>
        </w:tc>
        <w:tc>
          <w:tcPr>
            <w:tcW w:w="343" w:type="pct"/>
          </w:tcPr>
          <w:p w14:paraId="07EE6FD7" w14:textId="77777777" w:rsidR="00F85504" w:rsidRDefault="00F85504" w:rsidP="0092002D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VIC</w:t>
            </w:r>
          </w:p>
        </w:tc>
        <w:tc>
          <w:tcPr>
            <w:tcW w:w="582" w:type="pct"/>
          </w:tcPr>
          <w:p w14:paraId="54CD6139" w14:textId="77777777" w:rsidR="00F85504" w:rsidRPr="003506F1" w:rsidRDefault="00F85504" w:rsidP="002642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506F1">
              <w:t>$4,733,331</w:t>
            </w:r>
          </w:p>
        </w:tc>
        <w:tc>
          <w:tcPr>
            <w:tcW w:w="578" w:type="pct"/>
          </w:tcPr>
          <w:p w14:paraId="15F102FA" w14:textId="77777777" w:rsidR="00F85504" w:rsidRDefault="00F85504" w:rsidP="0092002D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0E5EB38B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427577B8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76FDFB20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Moira Shire Council</w:t>
            </w:r>
          </w:p>
        </w:tc>
        <w:tc>
          <w:tcPr>
            <w:tcW w:w="585" w:type="pct"/>
          </w:tcPr>
          <w:p w14:paraId="58B2C3A6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Thompsons Beach Kennedy Park Precinct</w:t>
            </w:r>
          </w:p>
        </w:tc>
        <w:tc>
          <w:tcPr>
            <w:tcW w:w="1284" w:type="pct"/>
          </w:tcPr>
          <w:p w14:paraId="056494C1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rPr>
                <w:rFonts w:eastAsia="Times New Roman" w:cstheme="minorHAnsi"/>
                <w:lang w:eastAsia="en-AU"/>
              </w:rPr>
              <w:t>Funding will support the development of a master plan and concept plan for the Thompsons Beach and Kennedy Park Precinct.</w:t>
            </w:r>
          </w:p>
        </w:tc>
        <w:tc>
          <w:tcPr>
            <w:tcW w:w="582" w:type="pct"/>
          </w:tcPr>
          <w:p w14:paraId="07775C80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Cobram</w:t>
            </w:r>
          </w:p>
        </w:tc>
        <w:tc>
          <w:tcPr>
            <w:tcW w:w="343" w:type="pct"/>
          </w:tcPr>
          <w:p w14:paraId="311545A0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2F2F9966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$815,000</w:t>
            </w:r>
          </w:p>
        </w:tc>
        <w:tc>
          <w:tcPr>
            <w:tcW w:w="578" w:type="pct"/>
          </w:tcPr>
          <w:p w14:paraId="3DFC958D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A81480" w:rsidRPr="00654F9E" w14:paraId="445FAB7E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285FD8C0" w14:textId="77777777" w:rsidR="00F85504" w:rsidRPr="005275B8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421EF516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Southern Grampians Shire Council</w:t>
            </w:r>
          </w:p>
        </w:tc>
        <w:tc>
          <w:tcPr>
            <w:tcW w:w="585" w:type="pct"/>
          </w:tcPr>
          <w:p w14:paraId="4BB15D78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Hamilton Community and Cultural Precinct</w:t>
            </w:r>
          </w:p>
        </w:tc>
        <w:tc>
          <w:tcPr>
            <w:tcW w:w="1284" w:type="pct"/>
          </w:tcPr>
          <w:p w14:paraId="2740AF94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rPr>
                <w:rFonts w:eastAsia="Times New Roman" w:cstheme="minorHAnsi"/>
                <w:lang w:eastAsia="en-AU"/>
              </w:rPr>
              <w:t>Funding will support the development of a precinct business case and detailed designs for CBD revitalisation, a new Hamilton Gallery and development of a Community and Digital Hub.</w:t>
            </w:r>
          </w:p>
        </w:tc>
        <w:tc>
          <w:tcPr>
            <w:tcW w:w="582" w:type="pct"/>
          </w:tcPr>
          <w:p w14:paraId="1FD9CC09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Hamilton</w:t>
            </w:r>
          </w:p>
        </w:tc>
        <w:tc>
          <w:tcPr>
            <w:tcW w:w="343" w:type="pct"/>
          </w:tcPr>
          <w:p w14:paraId="03724D03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6D30DB46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$5,000,000</w:t>
            </w:r>
          </w:p>
        </w:tc>
        <w:tc>
          <w:tcPr>
            <w:tcW w:w="578" w:type="pct"/>
          </w:tcPr>
          <w:p w14:paraId="5B720E60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A81480" w:rsidRPr="00654F9E" w14:paraId="5FA80BC4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3D6081C" w14:textId="77777777" w:rsidR="00F85504" w:rsidRPr="005275B8" w:rsidRDefault="00F85504" w:rsidP="00EF5FD0">
            <w:pPr>
              <w:spacing w:before="40" w:after="40"/>
              <w:rPr>
                <w:rFonts w:cstheme="minorHAnsi"/>
              </w:rPr>
            </w:pPr>
            <w:r w:rsidRPr="005275B8">
              <w:rPr>
                <w:rFonts w:cstheme="minorHAnsi"/>
              </w:rPr>
              <w:t>One</w:t>
            </w:r>
          </w:p>
        </w:tc>
        <w:tc>
          <w:tcPr>
            <w:tcW w:w="582" w:type="pct"/>
          </w:tcPr>
          <w:p w14:paraId="181A6051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Bendigo Kangan Institute</w:t>
            </w:r>
          </w:p>
        </w:tc>
        <w:tc>
          <w:tcPr>
            <w:tcW w:w="585" w:type="pct"/>
          </w:tcPr>
          <w:p w14:paraId="54ED12EE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Bendigo East Urban Renewal Precinct </w:t>
            </w:r>
          </w:p>
        </w:tc>
        <w:tc>
          <w:tcPr>
            <w:tcW w:w="1284" w:type="pct"/>
          </w:tcPr>
          <w:p w14:paraId="2A65A2AA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3C03">
              <w:rPr>
                <w:rFonts w:cstheme="minorHAnsi"/>
              </w:rPr>
              <w:t>Funding will support the planning and design of a precinct master plan to activate underutilised land for education, housing and community purposes.</w:t>
            </w:r>
          </w:p>
        </w:tc>
        <w:tc>
          <w:tcPr>
            <w:tcW w:w="582" w:type="pct"/>
          </w:tcPr>
          <w:p w14:paraId="4AEEDB28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Bendigo</w:t>
            </w:r>
          </w:p>
        </w:tc>
        <w:tc>
          <w:tcPr>
            <w:tcW w:w="343" w:type="pct"/>
          </w:tcPr>
          <w:p w14:paraId="250DBD98" w14:textId="77777777" w:rsidR="00F85504" w:rsidRPr="005275B8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222DC22C" w14:textId="77777777" w:rsidR="00F85504" w:rsidRPr="005275B8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$1,181,537</w:t>
            </w:r>
          </w:p>
        </w:tc>
        <w:tc>
          <w:tcPr>
            <w:tcW w:w="578" w:type="pct"/>
          </w:tcPr>
          <w:p w14:paraId="6E0AF692" w14:textId="77777777" w:rsidR="00F85504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A81480" w:rsidRPr="00654F9E" w14:paraId="50449A3F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403E901" w14:textId="77777777" w:rsidR="00F85504" w:rsidRPr="005275B8" w:rsidRDefault="00F85504" w:rsidP="00EF5FD0">
            <w:pPr>
              <w:spacing w:before="40" w:after="40"/>
              <w:rPr>
                <w:rFonts w:cstheme="minorHAnsi"/>
              </w:rPr>
            </w:pPr>
            <w:r w:rsidRPr="005275B8">
              <w:rPr>
                <w:rFonts w:cstheme="minorHAnsi"/>
              </w:rPr>
              <w:lastRenderedPageBreak/>
              <w:t>One</w:t>
            </w:r>
          </w:p>
        </w:tc>
        <w:tc>
          <w:tcPr>
            <w:tcW w:w="582" w:type="pct"/>
          </w:tcPr>
          <w:p w14:paraId="1CC09959" w14:textId="77777777" w:rsidR="00F85504" w:rsidRPr="005275B8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  <w:color w:val="000000" w:themeColor="text1"/>
              </w:rPr>
            </w:pPr>
            <w:r w:rsidRPr="005275B8">
              <w:rPr>
                <w:rFonts w:cstheme="minorHAnsi"/>
              </w:rPr>
              <w:t>Colac Otway Shire Council</w:t>
            </w:r>
          </w:p>
        </w:tc>
        <w:tc>
          <w:tcPr>
            <w:tcW w:w="585" w:type="pct"/>
          </w:tcPr>
          <w:p w14:paraId="5C559211" w14:textId="77777777" w:rsidR="00F85504" w:rsidRPr="007A11FE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Colac Otway Adaptable Precincts: a blueprint for future housing delivery </w:t>
            </w:r>
          </w:p>
        </w:tc>
        <w:tc>
          <w:tcPr>
            <w:tcW w:w="1284" w:type="pct"/>
          </w:tcPr>
          <w:p w14:paraId="51FD6685" w14:textId="77777777" w:rsidR="00F85504" w:rsidRPr="005275B8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212529"/>
              </w:rPr>
            </w:pPr>
            <w:r w:rsidRPr="007F3C03">
              <w:rPr>
                <w:rFonts w:cstheme="minorHAnsi"/>
              </w:rPr>
              <w:t xml:space="preserve">Funding will support the design of two shovel-ready, master-planned precincts for affordable and key worker housing in </w:t>
            </w:r>
            <w:proofErr w:type="gramStart"/>
            <w:r w:rsidRPr="007F3C03">
              <w:rPr>
                <w:rFonts w:cstheme="minorHAnsi"/>
              </w:rPr>
              <w:t>the  townships</w:t>
            </w:r>
            <w:proofErr w:type="gramEnd"/>
            <w:r w:rsidRPr="007F3C03">
              <w:rPr>
                <w:rFonts w:cstheme="minorHAnsi"/>
              </w:rPr>
              <w:t xml:space="preserve"> of Colac and Apollo Bay.</w:t>
            </w:r>
          </w:p>
        </w:tc>
        <w:tc>
          <w:tcPr>
            <w:tcW w:w="582" w:type="pct"/>
          </w:tcPr>
          <w:p w14:paraId="35C6D2F8" w14:textId="77777777" w:rsidR="00F85504" w:rsidRPr="005275B8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Colac and Apollo Bay</w:t>
            </w:r>
          </w:p>
        </w:tc>
        <w:tc>
          <w:tcPr>
            <w:tcW w:w="343" w:type="pct"/>
          </w:tcPr>
          <w:p w14:paraId="3333AB1B" w14:textId="77777777" w:rsidR="00F85504" w:rsidRPr="005275B8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1679C6F4" w14:textId="77777777" w:rsidR="00F85504" w:rsidRPr="005275B8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$2,017,576</w:t>
            </w:r>
          </w:p>
        </w:tc>
        <w:tc>
          <w:tcPr>
            <w:tcW w:w="578" w:type="pct"/>
          </w:tcPr>
          <w:p w14:paraId="3E6F4C5E" w14:textId="77777777" w:rsidR="00F85504" w:rsidRPr="005275B8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A81480" w:rsidRPr="00654F9E" w14:paraId="540615E8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04D28FA" w14:textId="77777777" w:rsidR="00F85504" w:rsidRPr="005275B8" w:rsidRDefault="00F85504" w:rsidP="00EF5FD0">
            <w:pPr>
              <w:spacing w:before="40" w:after="40"/>
              <w:rPr>
                <w:rFonts w:cstheme="minorHAnsi"/>
              </w:rPr>
            </w:pPr>
            <w:r w:rsidRPr="005275B8">
              <w:rPr>
                <w:rFonts w:cstheme="minorHAnsi"/>
              </w:rPr>
              <w:t>One</w:t>
            </w:r>
          </w:p>
        </w:tc>
        <w:tc>
          <w:tcPr>
            <w:tcW w:w="582" w:type="pct"/>
          </w:tcPr>
          <w:p w14:paraId="3773F220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</w:rPr>
            </w:pPr>
            <w:r w:rsidRPr="005275B8">
              <w:rPr>
                <w:rFonts w:cstheme="minorHAnsi"/>
              </w:rPr>
              <w:t>Swan</w:t>
            </w:r>
            <w:r w:rsidRPr="005275B8">
              <w:rPr>
                <w:rFonts w:cstheme="minorHAnsi"/>
                <w:color w:val="000000" w:themeColor="text1"/>
              </w:rPr>
              <w:t xml:space="preserve"> Hill Rural City Council</w:t>
            </w:r>
          </w:p>
        </w:tc>
        <w:tc>
          <w:tcPr>
            <w:tcW w:w="585" w:type="pct"/>
          </w:tcPr>
          <w:p w14:paraId="11426DC5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Transforming the Heart of Swan Hill Precinct</w:t>
            </w:r>
          </w:p>
        </w:tc>
        <w:tc>
          <w:tcPr>
            <w:tcW w:w="1284" w:type="pct"/>
          </w:tcPr>
          <w:p w14:paraId="55D2BD1D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3C03">
              <w:rPr>
                <w:rFonts w:cstheme="minorHAnsi"/>
              </w:rPr>
              <w:t xml:space="preserve">Funding </w:t>
            </w:r>
            <w:r>
              <w:rPr>
                <w:rFonts w:cstheme="minorHAnsi"/>
              </w:rPr>
              <w:t xml:space="preserve">will support the development of </w:t>
            </w:r>
            <w:r w:rsidRPr="007F3C03">
              <w:rPr>
                <w:rFonts w:cstheme="minorHAnsi"/>
              </w:rPr>
              <w:t>a precinct plan to support the revitalisation of Swan Hill CBD.</w:t>
            </w:r>
          </w:p>
        </w:tc>
        <w:tc>
          <w:tcPr>
            <w:tcW w:w="582" w:type="pct"/>
          </w:tcPr>
          <w:p w14:paraId="135F682F" w14:textId="77777777" w:rsidR="00F85504" w:rsidRPr="005275B8" w:rsidRDefault="00F85504" w:rsidP="00EF5FD0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 xml:space="preserve">Swan Hill </w:t>
            </w:r>
          </w:p>
        </w:tc>
        <w:tc>
          <w:tcPr>
            <w:tcW w:w="343" w:type="pct"/>
          </w:tcPr>
          <w:p w14:paraId="54CE5551" w14:textId="77777777" w:rsidR="00F85504" w:rsidRPr="005275B8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18295EE8" w14:textId="77777777" w:rsidR="00F85504" w:rsidRPr="005275B8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$</w:t>
            </w:r>
            <w:r w:rsidRPr="005275B8">
              <w:rPr>
                <w:rFonts w:cstheme="minorHAnsi"/>
                <w:color w:val="000000" w:themeColor="text1"/>
              </w:rPr>
              <w:t>650,000</w:t>
            </w:r>
          </w:p>
        </w:tc>
        <w:tc>
          <w:tcPr>
            <w:tcW w:w="578" w:type="pct"/>
          </w:tcPr>
          <w:p w14:paraId="10B6F2AF" w14:textId="77777777" w:rsidR="00F85504" w:rsidRPr="005275B8" w:rsidRDefault="00F85504" w:rsidP="00EF5FD0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16 May 2024</w:t>
            </w:r>
          </w:p>
        </w:tc>
      </w:tr>
      <w:tr w:rsidR="00A81480" w:rsidRPr="00654F9E" w14:paraId="6AC4E353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2BD8F670" w14:textId="27CBEC01" w:rsidR="00A30298" w:rsidRPr="005275B8" w:rsidRDefault="00A30298" w:rsidP="00A30298">
            <w:pPr>
              <w:spacing w:before="40" w:after="4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3D72FDC1" w14:textId="5529A739" w:rsidR="00A30298" w:rsidRPr="005275B8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Bass Coast Shire Council</w:t>
            </w:r>
          </w:p>
        </w:tc>
        <w:tc>
          <w:tcPr>
            <w:tcW w:w="585" w:type="pct"/>
          </w:tcPr>
          <w:p w14:paraId="7F7DB17F" w14:textId="3A010CC6" w:rsidR="00A30298" w:rsidRPr="005275B8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t>Former Wonthaggi Secondary College Site Precinct Revitalisation</w:t>
            </w:r>
          </w:p>
        </w:tc>
        <w:tc>
          <w:tcPr>
            <w:tcW w:w="1284" w:type="pct"/>
          </w:tcPr>
          <w:p w14:paraId="140F53EB" w14:textId="5553E451" w:rsidR="00A30298" w:rsidRPr="007F3C03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rFonts w:eastAsia="Times New Roman" w:cs="Calibri"/>
              </w:rPr>
              <w:t>Funding will support the revitalising of the former Wonthaggi Secondary College site into a cultural and community hub to boost economic prosperity and social connection in Wonthaggi and Southern Gippsland</w:t>
            </w:r>
          </w:p>
        </w:tc>
        <w:tc>
          <w:tcPr>
            <w:tcW w:w="582" w:type="pct"/>
          </w:tcPr>
          <w:p w14:paraId="2B131EBC" w14:textId="0E6ACFD8" w:rsidR="00A30298" w:rsidRPr="005275B8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t>Wonthaggi</w:t>
            </w:r>
          </w:p>
        </w:tc>
        <w:tc>
          <w:tcPr>
            <w:tcW w:w="343" w:type="pct"/>
          </w:tcPr>
          <w:p w14:paraId="178EED43" w14:textId="32B451D5" w:rsidR="00A30298" w:rsidRPr="005275B8" w:rsidRDefault="00A30298" w:rsidP="00A30298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30298">
              <w:rPr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6130EA72" w14:textId="4AB43357" w:rsidR="00A30298" w:rsidRPr="005275B8" w:rsidRDefault="00A30298" w:rsidP="00A30298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$632,746</w:t>
            </w:r>
          </w:p>
        </w:tc>
        <w:tc>
          <w:tcPr>
            <w:tcW w:w="578" w:type="pct"/>
          </w:tcPr>
          <w:p w14:paraId="2C9EFFB7" w14:textId="7E227E12" w:rsidR="00A30298" w:rsidRDefault="00A30298" w:rsidP="00A30298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t>7 May 2026</w:t>
            </w:r>
          </w:p>
        </w:tc>
      </w:tr>
      <w:tr w:rsidR="00A81480" w:rsidRPr="00654F9E" w14:paraId="285804AA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E821F2B" w14:textId="0C4B8735" w:rsidR="00A30298" w:rsidRPr="005275B8" w:rsidRDefault="00A30298" w:rsidP="00A30298">
            <w:pPr>
              <w:spacing w:before="40" w:after="4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00F27D88" w14:textId="488EA9BC" w:rsidR="00A30298" w:rsidRPr="005275B8" w:rsidRDefault="00A30298" w:rsidP="00A3029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Ballarat Regional Trades and Labour Council Incorporated</w:t>
            </w:r>
          </w:p>
        </w:tc>
        <w:tc>
          <w:tcPr>
            <w:tcW w:w="585" w:type="pct"/>
          </w:tcPr>
          <w:p w14:paraId="71C673C4" w14:textId="241274F4" w:rsidR="00A30298" w:rsidRPr="005275B8" w:rsidRDefault="00A30298" w:rsidP="00A3029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rFonts w:eastAsia="Calibri" w:cs="Calibri"/>
              </w:rPr>
              <w:t>Ballarat Trades Hall Additions and Restoration Design Development</w:t>
            </w:r>
          </w:p>
        </w:tc>
        <w:tc>
          <w:tcPr>
            <w:tcW w:w="1284" w:type="pct"/>
          </w:tcPr>
          <w:p w14:paraId="65540A3B" w14:textId="731D7E71" w:rsidR="00A30298" w:rsidRPr="007F3C03" w:rsidRDefault="00A30298" w:rsidP="00A3029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rFonts w:eastAsia="Times New Roman" w:cs="Calibri"/>
              </w:rPr>
              <w:t xml:space="preserve">Funding will support construction-ready plans to transform the Ballarat Trades Hall into a modern, inclusive venue, enhance Ballarat’s cultural offerings, strengthen social cohesion, and support regional economic growth. </w:t>
            </w:r>
          </w:p>
        </w:tc>
        <w:tc>
          <w:tcPr>
            <w:tcW w:w="582" w:type="pct"/>
          </w:tcPr>
          <w:p w14:paraId="641971B1" w14:textId="4D88B208" w:rsidR="00A30298" w:rsidRPr="005275B8" w:rsidRDefault="00A30298" w:rsidP="00A30298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0298">
              <w:t>Ballarat</w:t>
            </w:r>
          </w:p>
        </w:tc>
        <w:tc>
          <w:tcPr>
            <w:tcW w:w="343" w:type="pct"/>
          </w:tcPr>
          <w:p w14:paraId="3F2B8198" w14:textId="1022B5D9" w:rsidR="00A30298" w:rsidRPr="005275B8" w:rsidRDefault="00A30298" w:rsidP="00A3029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30298">
              <w:rPr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03178C73" w14:textId="1EA7109D" w:rsidR="00A30298" w:rsidRPr="005275B8" w:rsidRDefault="00A30298" w:rsidP="00A3029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$607,744</w:t>
            </w:r>
          </w:p>
        </w:tc>
        <w:tc>
          <w:tcPr>
            <w:tcW w:w="578" w:type="pct"/>
          </w:tcPr>
          <w:p w14:paraId="3973BE4B" w14:textId="0A351528" w:rsidR="00A30298" w:rsidRDefault="00A30298" w:rsidP="00A30298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30298">
              <w:t>7 May 2026</w:t>
            </w:r>
          </w:p>
        </w:tc>
      </w:tr>
      <w:tr w:rsidR="00A81480" w:rsidRPr="00654F9E" w14:paraId="5597F6A0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F5541E3" w14:textId="317942E6" w:rsidR="00A30298" w:rsidRPr="005275B8" w:rsidRDefault="00A30298" w:rsidP="00A30298">
            <w:pPr>
              <w:spacing w:before="40" w:after="4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24CD656D" w14:textId="14084135" w:rsidR="00A30298" w:rsidRPr="005275B8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Alpine Shire Council</w:t>
            </w:r>
          </w:p>
        </w:tc>
        <w:tc>
          <w:tcPr>
            <w:tcW w:w="585" w:type="pct"/>
          </w:tcPr>
          <w:p w14:paraId="76B8D6C5" w14:textId="1BBA44F4" w:rsidR="00A30298" w:rsidRPr="005275B8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rFonts w:eastAsia="Calibri" w:cs="Calibri"/>
              </w:rPr>
              <w:t>Bright River Precinct Masterplan</w:t>
            </w:r>
          </w:p>
        </w:tc>
        <w:tc>
          <w:tcPr>
            <w:tcW w:w="1284" w:type="pct"/>
          </w:tcPr>
          <w:p w14:paraId="2C142B0B" w14:textId="53F40F0B" w:rsidR="00A30298" w:rsidRPr="007F3C03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rFonts w:eastAsia="Times New Roman" w:cs="Calibri"/>
              </w:rPr>
              <w:t>Funding will support the Bright River Precinct Masterplan that will set out a vision for a continuous community space along the river corridors.</w:t>
            </w:r>
          </w:p>
        </w:tc>
        <w:tc>
          <w:tcPr>
            <w:tcW w:w="582" w:type="pct"/>
          </w:tcPr>
          <w:p w14:paraId="1CC418FE" w14:textId="54F200FF" w:rsidR="00A30298" w:rsidRPr="005275B8" w:rsidRDefault="00A30298" w:rsidP="00A30298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t>Bright</w:t>
            </w:r>
          </w:p>
        </w:tc>
        <w:tc>
          <w:tcPr>
            <w:tcW w:w="343" w:type="pct"/>
          </w:tcPr>
          <w:p w14:paraId="29FF9381" w14:textId="631D14F8" w:rsidR="00A30298" w:rsidRPr="005275B8" w:rsidRDefault="00A30298" w:rsidP="00A30298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A30298">
              <w:rPr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4CCA7D6D" w14:textId="6DBA623B" w:rsidR="00A30298" w:rsidRPr="005275B8" w:rsidRDefault="00A30298" w:rsidP="00A30298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rPr>
                <w:color w:val="000000" w:themeColor="text1"/>
              </w:rPr>
              <w:t>$1,871,050</w:t>
            </w:r>
          </w:p>
        </w:tc>
        <w:tc>
          <w:tcPr>
            <w:tcW w:w="578" w:type="pct"/>
          </w:tcPr>
          <w:p w14:paraId="0F3A95F8" w14:textId="2257601B" w:rsidR="00A30298" w:rsidRDefault="00A30298" w:rsidP="00A30298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A30298">
              <w:t>7 May 2026</w:t>
            </w:r>
          </w:p>
        </w:tc>
      </w:tr>
      <w:tr w:rsidR="00A81480" w:rsidRPr="00654F9E" w14:paraId="20E8C902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4169EF75" w14:textId="77777777" w:rsidR="00B67CDD" w:rsidRDefault="00B67CDD" w:rsidP="00B67CDD">
            <w:pPr>
              <w:spacing w:before="40" w:after="40"/>
              <w:rPr>
                <w:rFonts w:cstheme="minorHAnsi"/>
                <w:color w:val="000000" w:themeColor="text1"/>
              </w:rPr>
            </w:pPr>
            <w:r w:rsidRPr="00301742"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202C1C07" w14:textId="77777777" w:rsidR="00B67CDD" w:rsidRDefault="00B67CDD" w:rsidP="00B6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Shire of Derby West Kimberley</w:t>
            </w:r>
          </w:p>
        </w:tc>
        <w:tc>
          <w:tcPr>
            <w:tcW w:w="585" w:type="pct"/>
          </w:tcPr>
          <w:p w14:paraId="55E49A50" w14:textId="77777777" w:rsidR="00B67CDD" w:rsidRDefault="00B67CDD" w:rsidP="00B6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Derby Recreation Precinct Masterplan</w:t>
            </w:r>
          </w:p>
        </w:tc>
        <w:tc>
          <w:tcPr>
            <w:tcW w:w="1284" w:type="pct"/>
          </w:tcPr>
          <w:p w14:paraId="61B76A00" w14:textId="77777777" w:rsidR="00B67CDD" w:rsidRDefault="00B67CDD" w:rsidP="00B67CD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the delivery </w:t>
            </w:r>
            <w:r w:rsidRPr="004C3095">
              <w:rPr>
                <w:rFonts w:eastAsia="Times New Roman" w:cstheme="minorHAnsi"/>
                <w:lang w:eastAsia="en-AU"/>
              </w:rPr>
              <w:t xml:space="preserve">of </w:t>
            </w:r>
            <w:r>
              <w:rPr>
                <w:rFonts w:eastAsia="Times New Roman" w:cstheme="minorHAnsi"/>
                <w:lang w:eastAsia="en-AU"/>
              </w:rPr>
              <w:t xml:space="preserve">plans for </w:t>
            </w:r>
            <w:r w:rsidRPr="004C3095">
              <w:rPr>
                <w:rFonts w:eastAsia="Times New Roman" w:cstheme="minorHAnsi"/>
                <w:lang w:eastAsia="en-AU"/>
              </w:rPr>
              <w:t>an integrated precinct supporting youth programs, community group activities, multiple recreational activities, and art and cultural activities.</w:t>
            </w:r>
          </w:p>
        </w:tc>
        <w:tc>
          <w:tcPr>
            <w:tcW w:w="582" w:type="pct"/>
          </w:tcPr>
          <w:p w14:paraId="0E96DA84" w14:textId="77777777" w:rsidR="00B67CDD" w:rsidRDefault="00B67CDD" w:rsidP="00B67CD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Derby</w:t>
            </w:r>
          </w:p>
        </w:tc>
        <w:tc>
          <w:tcPr>
            <w:tcW w:w="343" w:type="pct"/>
          </w:tcPr>
          <w:p w14:paraId="0484E090" w14:textId="77777777" w:rsidR="00B67CDD" w:rsidRDefault="00B67CDD" w:rsidP="00B67CD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</w:t>
            </w:r>
          </w:p>
        </w:tc>
        <w:tc>
          <w:tcPr>
            <w:tcW w:w="582" w:type="pct"/>
          </w:tcPr>
          <w:p w14:paraId="5751304F" w14:textId="77777777" w:rsidR="00B67CDD" w:rsidRPr="004C3095" w:rsidRDefault="00B67CDD" w:rsidP="00B67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$669,448</w:t>
            </w:r>
          </w:p>
        </w:tc>
        <w:tc>
          <w:tcPr>
            <w:tcW w:w="578" w:type="pct"/>
          </w:tcPr>
          <w:p w14:paraId="0007D38E" w14:textId="77777777" w:rsidR="00B67CDD" w:rsidRDefault="00B67CDD" w:rsidP="00B67CD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086F1E1B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6890F43" w14:textId="77777777" w:rsidR="00F85504" w:rsidRDefault="00F85504" w:rsidP="00B67CDD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76FE915A" w14:textId="77777777" w:rsidR="00F85504" w:rsidRDefault="00F85504" w:rsidP="00B6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City of Kalgoorlie-Boulder</w:t>
            </w:r>
          </w:p>
        </w:tc>
        <w:tc>
          <w:tcPr>
            <w:tcW w:w="585" w:type="pct"/>
          </w:tcPr>
          <w:p w14:paraId="410B5F1F" w14:textId="77777777" w:rsidR="00F85504" w:rsidRDefault="00F85504" w:rsidP="00B67CD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The City of Kalgoorlie-Boulder Precinct Plan</w:t>
            </w:r>
          </w:p>
        </w:tc>
        <w:tc>
          <w:tcPr>
            <w:tcW w:w="1284" w:type="pct"/>
          </w:tcPr>
          <w:p w14:paraId="0DE2588B" w14:textId="77777777" w:rsidR="00F85504" w:rsidRDefault="00F85504" w:rsidP="00B67CDD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the delivery of </w:t>
            </w:r>
            <w:r w:rsidRPr="004C3095">
              <w:rPr>
                <w:rFonts w:eastAsia="Times New Roman" w:cstheme="minorHAnsi"/>
                <w:lang w:eastAsia="en-AU"/>
              </w:rPr>
              <w:t>an investment ready precinct plan, with established partnerships and priority projects.</w:t>
            </w:r>
          </w:p>
        </w:tc>
        <w:tc>
          <w:tcPr>
            <w:tcW w:w="582" w:type="pct"/>
          </w:tcPr>
          <w:p w14:paraId="41425EEE" w14:textId="77777777" w:rsidR="00F85504" w:rsidRDefault="00F85504" w:rsidP="00B67CDD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4C3095">
              <w:rPr>
                <w:rFonts w:eastAsia="Times New Roman" w:cs="Calibri"/>
                <w:lang w:eastAsia="en-AU"/>
              </w:rPr>
              <w:t>Kalgoorlie</w:t>
            </w:r>
          </w:p>
        </w:tc>
        <w:tc>
          <w:tcPr>
            <w:tcW w:w="343" w:type="pct"/>
          </w:tcPr>
          <w:p w14:paraId="5776783A" w14:textId="77777777" w:rsidR="00F85504" w:rsidRDefault="00F85504" w:rsidP="00B67CD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WA</w:t>
            </w:r>
          </w:p>
        </w:tc>
        <w:tc>
          <w:tcPr>
            <w:tcW w:w="582" w:type="pct"/>
          </w:tcPr>
          <w:p w14:paraId="25FD8E10" w14:textId="77777777" w:rsidR="00F85504" w:rsidRPr="004C3095" w:rsidRDefault="00F85504" w:rsidP="00B67CD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highlight w:val="yellow"/>
              </w:rPr>
            </w:pPr>
            <w:r>
              <w:t>$2,142,125</w:t>
            </w:r>
          </w:p>
        </w:tc>
        <w:tc>
          <w:tcPr>
            <w:tcW w:w="578" w:type="pct"/>
          </w:tcPr>
          <w:p w14:paraId="7AF31298" w14:textId="77777777" w:rsidR="00F85504" w:rsidRDefault="00F85504" w:rsidP="00B67CDD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30079E1D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AA65770" w14:textId="77777777" w:rsidR="00F85504" w:rsidRDefault="00F85504" w:rsidP="00B67CDD">
            <w:pPr>
              <w:spacing w:before="40" w:after="40"/>
              <w:rPr>
                <w:rFonts w:cstheme="minorHAnsi"/>
                <w:color w:val="000000" w:themeColor="text1"/>
              </w:rPr>
            </w:pPr>
            <w:r w:rsidRPr="00301742">
              <w:rPr>
                <w:rFonts w:cstheme="minorHAnsi"/>
                <w:color w:val="000000" w:themeColor="text1"/>
              </w:rPr>
              <w:lastRenderedPageBreak/>
              <w:t>One</w:t>
            </w:r>
          </w:p>
        </w:tc>
        <w:tc>
          <w:tcPr>
            <w:tcW w:w="582" w:type="pct"/>
          </w:tcPr>
          <w:p w14:paraId="2B7E19EF" w14:textId="77777777" w:rsidR="00F85504" w:rsidRDefault="00F85504" w:rsidP="00B6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Shire of Northampton</w:t>
            </w:r>
          </w:p>
        </w:tc>
        <w:tc>
          <w:tcPr>
            <w:tcW w:w="585" w:type="pct"/>
          </w:tcPr>
          <w:p w14:paraId="0733863C" w14:textId="77777777" w:rsidR="00F85504" w:rsidRDefault="00F85504" w:rsidP="00B67C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Northampton Economic Development Precinct</w:t>
            </w:r>
          </w:p>
        </w:tc>
        <w:tc>
          <w:tcPr>
            <w:tcW w:w="1284" w:type="pct"/>
          </w:tcPr>
          <w:p w14:paraId="5FD4B653" w14:textId="77777777" w:rsidR="00F85504" w:rsidRDefault="00F85504" w:rsidP="00B67CD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the </w:t>
            </w:r>
            <w:r w:rsidRPr="004C3095">
              <w:rPr>
                <w:rFonts w:eastAsia="Times New Roman" w:cstheme="minorHAnsi"/>
                <w:lang w:eastAsia="en-AU"/>
              </w:rPr>
              <w:t>deliv</w:t>
            </w:r>
            <w:r>
              <w:rPr>
                <w:rFonts w:eastAsia="Times New Roman" w:cstheme="minorHAnsi"/>
                <w:lang w:eastAsia="en-AU"/>
              </w:rPr>
              <w:t>ery of</w:t>
            </w:r>
            <w:r w:rsidRPr="004C3095">
              <w:rPr>
                <w:rFonts w:eastAsia="Times New Roman" w:cstheme="minorHAnsi"/>
                <w:lang w:eastAsia="en-AU"/>
              </w:rPr>
              <w:t xml:space="preserve"> precinct planning to bring together industries</w:t>
            </w:r>
            <w:r>
              <w:rPr>
                <w:rFonts w:eastAsia="Times New Roman" w:cstheme="minorHAnsi"/>
                <w:lang w:eastAsia="en-AU"/>
              </w:rPr>
              <w:t xml:space="preserve"> </w:t>
            </w:r>
            <w:r w:rsidRPr="004C3095">
              <w:rPr>
                <w:rFonts w:eastAsia="Times New Roman" w:cstheme="minorHAnsi"/>
                <w:lang w:eastAsia="en-AU"/>
              </w:rPr>
              <w:t>and the community to achieve economic and community development through new investment in industry expansion, housing, infrastructure; and services including health, education and training.</w:t>
            </w:r>
          </w:p>
        </w:tc>
        <w:tc>
          <w:tcPr>
            <w:tcW w:w="582" w:type="pct"/>
          </w:tcPr>
          <w:p w14:paraId="7A6D914E" w14:textId="77777777" w:rsidR="00F85504" w:rsidRDefault="00F85504" w:rsidP="00B67CDD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 w:rsidRPr="00902E25">
              <w:t>Northampton</w:t>
            </w:r>
          </w:p>
        </w:tc>
        <w:tc>
          <w:tcPr>
            <w:tcW w:w="343" w:type="pct"/>
          </w:tcPr>
          <w:p w14:paraId="54AA0296" w14:textId="77777777" w:rsidR="00F85504" w:rsidRDefault="00F85504" w:rsidP="00B67CD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</w:t>
            </w:r>
          </w:p>
        </w:tc>
        <w:tc>
          <w:tcPr>
            <w:tcW w:w="582" w:type="pct"/>
          </w:tcPr>
          <w:p w14:paraId="5EA4D99F" w14:textId="77777777" w:rsidR="00F85504" w:rsidRPr="004C3095" w:rsidRDefault="00F85504" w:rsidP="00B67C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$600,000</w:t>
            </w:r>
          </w:p>
        </w:tc>
        <w:tc>
          <w:tcPr>
            <w:tcW w:w="578" w:type="pct"/>
          </w:tcPr>
          <w:p w14:paraId="4A408CCB" w14:textId="77777777" w:rsidR="00F85504" w:rsidRDefault="00F85504" w:rsidP="00B67CD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43758199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DB16918" w14:textId="77777777" w:rsidR="00F85504" w:rsidRPr="005275B8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16092A55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Western Desert Lands Aboriginal Corporation</w:t>
            </w:r>
          </w:p>
        </w:tc>
        <w:tc>
          <w:tcPr>
            <w:tcW w:w="585" w:type="pct"/>
          </w:tcPr>
          <w:p w14:paraId="33267E7E" w14:textId="77777777" w:rsidR="00F85504" w:rsidRPr="00EC0A11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C0A11">
              <w:rPr>
                <w:rFonts w:cstheme="minorHAnsi"/>
              </w:rPr>
              <w:t>Kunawarritji</w:t>
            </w:r>
            <w:proofErr w:type="spellEnd"/>
            <w:r w:rsidRPr="00EC0A11">
              <w:rPr>
                <w:rFonts w:cstheme="minorHAnsi"/>
              </w:rPr>
              <w:t xml:space="preserve"> Community Renewal</w:t>
            </w:r>
          </w:p>
          <w:p w14:paraId="24629D87" w14:textId="77777777" w:rsidR="00F85504" w:rsidRPr="00EC0A11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C0A11">
              <w:rPr>
                <w:rFonts w:cstheme="minorHAnsi"/>
              </w:rPr>
              <w:t>Parnngurr</w:t>
            </w:r>
            <w:proofErr w:type="spellEnd"/>
            <w:r w:rsidRPr="00EC0A11">
              <w:rPr>
                <w:rFonts w:cstheme="minorHAnsi"/>
              </w:rPr>
              <w:t xml:space="preserve"> Community Renewal</w:t>
            </w:r>
          </w:p>
          <w:p w14:paraId="27F771D0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EC0A11">
              <w:rPr>
                <w:rFonts w:cstheme="minorHAnsi"/>
              </w:rPr>
              <w:t>Punmu</w:t>
            </w:r>
            <w:proofErr w:type="spellEnd"/>
            <w:r w:rsidRPr="00EC0A11">
              <w:rPr>
                <w:rFonts w:cstheme="minorHAnsi"/>
              </w:rPr>
              <w:t xml:space="preserve"> Community Renewal</w:t>
            </w:r>
          </w:p>
        </w:tc>
        <w:tc>
          <w:tcPr>
            <w:tcW w:w="1284" w:type="pct"/>
          </w:tcPr>
          <w:p w14:paraId="29BE5C52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rPr>
                <w:rFonts w:cstheme="minorHAnsi"/>
              </w:rPr>
              <w:t xml:space="preserve">Funding will support the development of community precinct plans for three communities across East Pilbara in locations for the Martu desert communities of </w:t>
            </w:r>
            <w:proofErr w:type="spellStart"/>
            <w:r w:rsidRPr="007F3C03">
              <w:rPr>
                <w:rFonts w:cstheme="minorHAnsi"/>
              </w:rPr>
              <w:t>Kunawarritji</w:t>
            </w:r>
            <w:proofErr w:type="spellEnd"/>
            <w:r w:rsidRPr="007F3C03">
              <w:rPr>
                <w:rFonts w:cstheme="minorHAnsi"/>
              </w:rPr>
              <w:t xml:space="preserve">, </w:t>
            </w:r>
            <w:proofErr w:type="spellStart"/>
            <w:r w:rsidRPr="007F3C03">
              <w:rPr>
                <w:rFonts w:cstheme="minorHAnsi"/>
              </w:rPr>
              <w:t>Parnngurr</w:t>
            </w:r>
            <w:proofErr w:type="spellEnd"/>
            <w:r w:rsidRPr="007F3C03">
              <w:rPr>
                <w:rFonts w:cstheme="minorHAnsi"/>
              </w:rPr>
              <w:t xml:space="preserve"> and </w:t>
            </w:r>
            <w:proofErr w:type="spellStart"/>
            <w:r w:rsidRPr="007F3C03">
              <w:rPr>
                <w:rFonts w:cstheme="minorHAnsi"/>
              </w:rPr>
              <w:t>Punmu</w:t>
            </w:r>
            <w:proofErr w:type="spellEnd"/>
            <w:r w:rsidRPr="007F3C03">
              <w:rPr>
                <w:rFonts w:cstheme="minorHAnsi"/>
              </w:rPr>
              <w:t>.</w:t>
            </w:r>
          </w:p>
        </w:tc>
        <w:tc>
          <w:tcPr>
            <w:tcW w:w="582" w:type="pct"/>
          </w:tcPr>
          <w:p w14:paraId="6E079353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East Pilbara</w:t>
            </w:r>
          </w:p>
        </w:tc>
        <w:tc>
          <w:tcPr>
            <w:tcW w:w="343" w:type="pct"/>
          </w:tcPr>
          <w:p w14:paraId="4C884EBA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WA</w:t>
            </w:r>
          </w:p>
        </w:tc>
        <w:tc>
          <w:tcPr>
            <w:tcW w:w="582" w:type="pct"/>
          </w:tcPr>
          <w:p w14:paraId="16457201" w14:textId="77777777" w:rsidR="00F85504" w:rsidRPr="00555BB1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$2,000,000</w:t>
            </w:r>
          </w:p>
        </w:tc>
        <w:tc>
          <w:tcPr>
            <w:tcW w:w="578" w:type="pct"/>
          </w:tcPr>
          <w:p w14:paraId="71B2FCB8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  <w:tr w:rsidR="00A81480" w:rsidRPr="00654F9E" w14:paraId="7ED9AFC5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37335BB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6CB03ED7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City of Greater Geraldton</w:t>
            </w:r>
          </w:p>
        </w:tc>
        <w:tc>
          <w:tcPr>
            <w:tcW w:w="585" w:type="pct"/>
          </w:tcPr>
          <w:p w14:paraId="2F9DC4C9" w14:textId="77777777" w:rsidR="00F85504" w:rsidRPr="00EC0A11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C0A11">
              <w:rPr>
                <w:rFonts w:cstheme="minorHAnsi"/>
              </w:rPr>
              <w:t>Geraldton Green Connect Project</w:t>
            </w:r>
          </w:p>
        </w:tc>
        <w:tc>
          <w:tcPr>
            <w:tcW w:w="1284" w:type="pct"/>
          </w:tcPr>
          <w:p w14:paraId="7CEB71B6" w14:textId="77777777" w:rsidR="00F85504" w:rsidRPr="00EC0A11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3C03">
              <w:rPr>
                <w:rFonts w:cstheme="minorHAnsi"/>
                <w:color w:val="212529"/>
              </w:rPr>
              <w:t>Funding will support planning, detailed design and a comprehensive business case for a multi-use parkland precinct, small-scale pavilion and sustainable transport hub.</w:t>
            </w:r>
          </w:p>
        </w:tc>
        <w:tc>
          <w:tcPr>
            <w:tcW w:w="582" w:type="pct"/>
          </w:tcPr>
          <w:p w14:paraId="51842E7A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2200E5">
              <w:rPr>
                <w:rFonts w:cstheme="minorHAnsi"/>
                <w:color w:val="000000" w:themeColor="text1"/>
              </w:rPr>
              <w:t>Geraldton</w:t>
            </w:r>
          </w:p>
        </w:tc>
        <w:tc>
          <w:tcPr>
            <w:tcW w:w="343" w:type="pct"/>
          </w:tcPr>
          <w:p w14:paraId="67E6842C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WA</w:t>
            </w:r>
          </w:p>
        </w:tc>
        <w:tc>
          <w:tcPr>
            <w:tcW w:w="582" w:type="pct"/>
          </w:tcPr>
          <w:p w14:paraId="02B9E655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</w:rPr>
              <w:t>$</w:t>
            </w:r>
            <w:r>
              <w:rPr>
                <w:rFonts w:cstheme="minorHAnsi"/>
              </w:rPr>
              <w:t>3,382,420</w:t>
            </w:r>
          </w:p>
        </w:tc>
        <w:tc>
          <w:tcPr>
            <w:tcW w:w="578" w:type="pct"/>
          </w:tcPr>
          <w:p w14:paraId="5DA9B236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  <w:tr w:rsidR="00A81480" w:rsidRPr="00654F9E" w14:paraId="553AD07C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E2B977C" w14:textId="77777777" w:rsidR="00F85504" w:rsidRPr="005275B8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18A51042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Shire of Wyndham East Kimberley</w:t>
            </w:r>
          </w:p>
        </w:tc>
        <w:tc>
          <w:tcPr>
            <w:tcW w:w="585" w:type="pct"/>
          </w:tcPr>
          <w:p w14:paraId="6C6FAC1A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 xml:space="preserve">Kununurra </w:t>
            </w:r>
            <w:proofErr w:type="spellStart"/>
            <w:r>
              <w:rPr>
                <w:rFonts w:cstheme="minorHAnsi"/>
              </w:rPr>
              <w:t>Nganjileg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lambagem</w:t>
            </w:r>
            <w:proofErr w:type="spellEnd"/>
            <w:r>
              <w:rPr>
                <w:rFonts w:cstheme="minorHAnsi"/>
              </w:rPr>
              <w:t xml:space="preserve"> – ‘Riverbank Recreation’</w:t>
            </w:r>
          </w:p>
        </w:tc>
        <w:tc>
          <w:tcPr>
            <w:tcW w:w="1284" w:type="pct"/>
          </w:tcPr>
          <w:p w14:paraId="2EAB67E2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t>Funding will support concept planning for a waterfront precinct, delivery of a precinct plan and an implementation strategy.</w:t>
            </w:r>
          </w:p>
        </w:tc>
        <w:tc>
          <w:tcPr>
            <w:tcW w:w="582" w:type="pct"/>
          </w:tcPr>
          <w:p w14:paraId="51501804" w14:textId="77777777" w:rsidR="00F85504" w:rsidRPr="005275B8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879BA">
              <w:t>Kununurra</w:t>
            </w:r>
          </w:p>
        </w:tc>
        <w:tc>
          <w:tcPr>
            <w:tcW w:w="343" w:type="pct"/>
          </w:tcPr>
          <w:p w14:paraId="749C0766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WA</w:t>
            </w:r>
          </w:p>
        </w:tc>
        <w:tc>
          <w:tcPr>
            <w:tcW w:w="582" w:type="pct"/>
          </w:tcPr>
          <w:p w14:paraId="1852BEC6" w14:textId="77777777" w:rsidR="00F85504" w:rsidRPr="005275B8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$1,932,362</w:t>
            </w:r>
          </w:p>
        </w:tc>
        <w:tc>
          <w:tcPr>
            <w:tcW w:w="578" w:type="pct"/>
          </w:tcPr>
          <w:p w14:paraId="04862C2F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  <w:tr w:rsidR="00267898" w:rsidRPr="00654F9E" w14:paraId="3AD3AF23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0FE66D4" w14:textId="13FB4FBD" w:rsidR="00267898" w:rsidRDefault="00E06293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One</w:t>
            </w:r>
          </w:p>
        </w:tc>
        <w:tc>
          <w:tcPr>
            <w:tcW w:w="582" w:type="pct"/>
          </w:tcPr>
          <w:p w14:paraId="0ABB9C86" w14:textId="5B41EFDA" w:rsidR="00267898" w:rsidRDefault="00E06293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Shire of Chittering</w:t>
            </w:r>
          </w:p>
        </w:tc>
        <w:tc>
          <w:tcPr>
            <w:tcW w:w="585" w:type="pct"/>
          </w:tcPr>
          <w:p w14:paraId="5A707B6C" w14:textId="26F1C0F3" w:rsidR="00267898" w:rsidRDefault="00317773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17773">
              <w:rPr>
                <w:rFonts w:cstheme="minorHAnsi"/>
              </w:rPr>
              <w:t>Bindoon Town and Tourism Precinct</w:t>
            </w:r>
          </w:p>
        </w:tc>
        <w:tc>
          <w:tcPr>
            <w:tcW w:w="1284" w:type="pct"/>
          </w:tcPr>
          <w:p w14:paraId="283BC7A9" w14:textId="413D6095" w:rsidR="00267898" w:rsidRPr="007F3C03" w:rsidRDefault="00702A9D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 will support the</w:t>
            </w:r>
            <w:r w:rsidRPr="00702A9D">
              <w:t xml:space="preserve"> planning and development </w:t>
            </w:r>
            <w:r w:rsidR="00535788">
              <w:t>of</w:t>
            </w:r>
            <w:r w:rsidRPr="00702A9D">
              <w:t xml:space="preserve"> the Bindoon Town and Tourism </w:t>
            </w:r>
            <w:r w:rsidR="00535788">
              <w:t xml:space="preserve">Precinct </w:t>
            </w:r>
            <w:r w:rsidR="004C088E">
              <w:t>including</w:t>
            </w:r>
            <w:r w:rsidRPr="00702A9D">
              <w:t xml:space="preserve"> expansion of the CBD</w:t>
            </w:r>
            <w:r w:rsidR="00775B4B">
              <w:t xml:space="preserve">, </w:t>
            </w:r>
            <w:r w:rsidRPr="00702A9D">
              <w:t>Stage 2 of the Bindoon Mountain Bike Park</w:t>
            </w:r>
            <w:r w:rsidR="00775B4B">
              <w:t>,</w:t>
            </w:r>
            <w:r w:rsidRPr="00702A9D">
              <w:t xml:space="preserve"> development of the Bindoon Tourist Park</w:t>
            </w:r>
            <w:r w:rsidR="00775B4B">
              <w:t>,</w:t>
            </w:r>
            <w:r w:rsidRPr="00702A9D">
              <w:t xml:space="preserve"> multi-use residential property </w:t>
            </w:r>
            <w:r w:rsidR="00775B4B">
              <w:t xml:space="preserve">development, </w:t>
            </w:r>
            <w:r w:rsidRPr="00702A9D">
              <w:t>and traffic calming</w:t>
            </w:r>
            <w:r w:rsidR="00775B4B">
              <w:t>.</w:t>
            </w:r>
          </w:p>
        </w:tc>
        <w:tc>
          <w:tcPr>
            <w:tcW w:w="582" w:type="pct"/>
          </w:tcPr>
          <w:p w14:paraId="186767AD" w14:textId="5F475BF6" w:rsidR="00267898" w:rsidRPr="008879BA" w:rsidRDefault="00265263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Bindoon</w:t>
            </w:r>
          </w:p>
        </w:tc>
        <w:tc>
          <w:tcPr>
            <w:tcW w:w="343" w:type="pct"/>
          </w:tcPr>
          <w:p w14:paraId="5201240D" w14:textId="50F4DE18" w:rsidR="00267898" w:rsidRPr="008879BA" w:rsidRDefault="00265263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</w:t>
            </w:r>
          </w:p>
        </w:tc>
        <w:tc>
          <w:tcPr>
            <w:tcW w:w="582" w:type="pct"/>
          </w:tcPr>
          <w:p w14:paraId="10D0D626" w14:textId="677F448F" w:rsidR="00267898" w:rsidRPr="008879BA" w:rsidRDefault="00EA3CF8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3CF8">
              <w:t>$685,500</w:t>
            </w:r>
          </w:p>
        </w:tc>
        <w:tc>
          <w:tcPr>
            <w:tcW w:w="578" w:type="pct"/>
          </w:tcPr>
          <w:p w14:paraId="36B437F6" w14:textId="04BB0B99" w:rsidR="00267898" w:rsidRDefault="00EA3CF8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A81480" w:rsidRPr="00654F9E" w14:paraId="42433E93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3CD820F" w14:textId="77777777" w:rsidR="00F85504" w:rsidRPr="005275B8" w:rsidRDefault="00F85504" w:rsidP="0092002D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Two</w:t>
            </w:r>
          </w:p>
        </w:tc>
        <w:tc>
          <w:tcPr>
            <w:tcW w:w="582" w:type="pct"/>
          </w:tcPr>
          <w:p w14:paraId="67863587" w14:textId="77777777" w:rsidR="00F85504" w:rsidRDefault="00F85504" w:rsidP="0092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Gilgandra Council</w:t>
            </w:r>
          </w:p>
        </w:tc>
        <w:tc>
          <w:tcPr>
            <w:tcW w:w="585" w:type="pct"/>
          </w:tcPr>
          <w:p w14:paraId="509E2CCE" w14:textId="77777777" w:rsidR="00F85504" w:rsidRDefault="00F85504" w:rsidP="0092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Hunter Park Multipurpose Youth and Recreation Precinct</w:t>
            </w:r>
          </w:p>
        </w:tc>
        <w:tc>
          <w:tcPr>
            <w:tcW w:w="1284" w:type="pct"/>
          </w:tcPr>
          <w:p w14:paraId="219973CC" w14:textId="77777777" w:rsidR="00F85504" w:rsidRPr="007F3C03" w:rsidRDefault="00F85504" w:rsidP="0092002D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>Funding will support the delivery of the</w:t>
            </w:r>
            <w:r>
              <w:t xml:space="preserve"> </w:t>
            </w:r>
            <w:r w:rsidRPr="00033096">
              <w:rPr>
                <w:rFonts w:eastAsia="Times New Roman" w:cstheme="minorHAnsi"/>
                <w:lang w:eastAsia="en-AU"/>
              </w:rPr>
              <w:t xml:space="preserve">Hunter Park Multipurpose Youth and Recreation Precinct (Gilgandra Hunter Park Precinct). </w:t>
            </w:r>
          </w:p>
        </w:tc>
        <w:tc>
          <w:tcPr>
            <w:tcW w:w="582" w:type="pct"/>
          </w:tcPr>
          <w:p w14:paraId="280D34C6" w14:textId="77777777" w:rsidR="00F85504" w:rsidRPr="005275B8" w:rsidRDefault="00F85504" w:rsidP="0092002D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t>Gilgandra</w:t>
            </w:r>
          </w:p>
        </w:tc>
        <w:tc>
          <w:tcPr>
            <w:tcW w:w="343" w:type="pct"/>
          </w:tcPr>
          <w:p w14:paraId="1D782610" w14:textId="77777777" w:rsidR="00F85504" w:rsidRPr="005275B8" w:rsidRDefault="00F85504" w:rsidP="0092002D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582" w:type="pct"/>
          </w:tcPr>
          <w:p w14:paraId="6907425D" w14:textId="77777777" w:rsidR="00F85504" w:rsidRDefault="00F85504" w:rsidP="002642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</w:t>
            </w:r>
            <w:r w:rsidRPr="00C32FE7">
              <w:t>14,000,000</w:t>
            </w:r>
          </w:p>
        </w:tc>
        <w:tc>
          <w:tcPr>
            <w:tcW w:w="578" w:type="pct"/>
          </w:tcPr>
          <w:p w14:paraId="3DD4C7FE" w14:textId="77777777" w:rsidR="00F85504" w:rsidRDefault="00F85504" w:rsidP="0092002D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36ACAE86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526D71B6" w14:textId="77777777" w:rsidR="00F85504" w:rsidRDefault="00F85504" w:rsidP="0092002D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7E64C9FF" w14:textId="77777777" w:rsidR="00F85504" w:rsidRDefault="00F85504" w:rsidP="00920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Newcastle City Council</w:t>
            </w:r>
          </w:p>
        </w:tc>
        <w:tc>
          <w:tcPr>
            <w:tcW w:w="585" w:type="pct"/>
          </w:tcPr>
          <w:p w14:paraId="5D235B78" w14:textId="77777777" w:rsidR="00F85504" w:rsidRDefault="00F85504" w:rsidP="00920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Times New Roman" w:cs="Calibri"/>
                <w:lang w:eastAsia="en-AU"/>
              </w:rPr>
              <w:t>East End Cathedral Park Precinct: A Partnership Approach</w:t>
            </w:r>
          </w:p>
        </w:tc>
        <w:tc>
          <w:tcPr>
            <w:tcW w:w="1284" w:type="pct"/>
          </w:tcPr>
          <w:p w14:paraId="7FAFCD25" w14:textId="77777777" w:rsidR="00F85504" w:rsidRPr="007F3C03" w:rsidRDefault="00F85504" w:rsidP="0092002D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the </w:t>
            </w:r>
            <w:r w:rsidRPr="00033096">
              <w:rPr>
                <w:rFonts w:eastAsia="Times New Roman" w:cstheme="minorHAnsi"/>
                <w:lang w:eastAsia="en-AU"/>
              </w:rPr>
              <w:t>delivery of public domain upgrades within the East End Cathedral Park Precinct including</w:t>
            </w:r>
            <w:r>
              <w:rPr>
                <w:rFonts w:eastAsia="Times New Roman" w:cstheme="minorHAnsi"/>
                <w:lang w:eastAsia="en-AU"/>
              </w:rPr>
              <w:t xml:space="preserve">, </w:t>
            </w:r>
            <w:r w:rsidRPr="00033096">
              <w:rPr>
                <w:rFonts w:eastAsia="Times New Roman" w:cstheme="minorHAnsi"/>
                <w:lang w:eastAsia="en-AU"/>
              </w:rPr>
              <w:t>augmentation of the sewer network</w:t>
            </w:r>
            <w:r>
              <w:rPr>
                <w:rFonts w:eastAsia="Times New Roman" w:cstheme="minorHAnsi"/>
                <w:lang w:eastAsia="en-AU"/>
              </w:rPr>
              <w:t>, u</w:t>
            </w:r>
            <w:r w:rsidRPr="00033096">
              <w:rPr>
                <w:rFonts w:eastAsia="Times New Roman" w:cstheme="minorHAnsi"/>
                <w:lang w:eastAsia="en-AU"/>
              </w:rPr>
              <w:t>pgrades to streets</w:t>
            </w:r>
            <w:r>
              <w:rPr>
                <w:rFonts w:eastAsia="Times New Roman" w:cstheme="minorHAnsi"/>
                <w:lang w:eastAsia="en-AU"/>
              </w:rPr>
              <w:t>, t</w:t>
            </w:r>
            <w:r w:rsidRPr="00033096">
              <w:rPr>
                <w:rFonts w:eastAsia="Times New Roman" w:cstheme="minorHAnsi"/>
                <w:lang w:eastAsia="en-AU"/>
              </w:rPr>
              <w:t>erraced landscap</w:t>
            </w:r>
            <w:r>
              <w:rPr>
                <w:rFonts w:eastAsia="Times New Roman" w:cstheme="minorHAnsi"/>
                <w:lang w:eastAsia="en-AU"/>
              </w:rPr>
              <w:t>ing</w:t>
            </w:r>
            <w:r w:rsidRPr="00033096">
              <w:rPr>
                <w:rFonts w:eastAsia="Times New Roman" w:cstheme="minorHAnsi"/>
                <w:lang w:eastAsia="en-AU"/>
              </w:rPr>
              <w:t xml:space="preserve"> and heritage rectification works.</w:t>
            </w:r>
          </w:p>
        </w:tc>
        <w:tc>
          <w:tcPr>
            <w:tcW w:w="582" w:type="pct"/>
          </w:tcPr>
          <w:p w14:paraId="35063A2E" w14:textId="77777777" w:rsidR="00F85504" w:rsidRPr="005275B8" w:rsidRDefault="00F85504" w:rsidP="0092002D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eastAsia="Times New Roman" w:cs="Calibri"/>
                <w:lang w:eastAsia="en-AU"/>
              </w:rPr>
              <w:t>Newcastle</w:t>
            </w:r>
          </w:p>
        </w:tc>
        <w:tc>
          <w:tcPr>
            <w:tcW w:w="343" w:type="pct"/>
          </w:tcPr>
          <w:p w14:paraId="61F85DE2" w14:textId="77777777" w:rsidR="00F85504" w:rsidRPr="005275B8" w:rsidRDefault="00F85504" w:rsidP="0092002D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NSW</w:t>
            </w:r>
          </w:p>
        </w:tc>
        <w:tc>
          <w:tcPr>
            <w:tcW w:w="582" w:type="pct"/>
          </w:tcPr>
          <w:p w14:paraId="39EE0D5E" w14:textId="77777777" w:rsidR="00F85504" w:rsidRDefault="00F85504" w:rsidP="00264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$16,718,102</w:t>
            </w:r>
          </w:p>
        </w:tc>
        <w:tc>
          <w:tcPr>
            <w:tcW w:w="578" w:type="pct"/>
          </w:tcPr>
          <w:p w14:paraId="362618C6" w14:textId="77777777" w:rsidR="00F85504" w:rsidRDefault="00F85504" w:rsidP="0092002D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71F71759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21A6D215" w14:textId="77777777" w:rsidR="00F85504" w:rsidRDefault="00F85504" w:rsidP="00EF5FD0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32B60EB9" w14:textId="77777777" w:rsidR="00F85504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Cessnock City Council</w:t>
            </w:r>
          </w:p>
        </w:tc>
        <w:tc>
          <w:tcPr>
            <w:tcW w:w="585" w:type="pct"/>
          </w:tcPr>
          <w:p w14:paraId="3C7E89C4" w14:textId="77777777" w:rsidR="00F85504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EC0A11">
              <w:rPr>
                <w:rFonts w:cstheme="minorHAnsi"/>
              </w:rPr>
              <w:t>Apex Park Cultural History and Business Gateway Precinct</w:t>
            </w:r>
          </w:p>
        </w:tc>
        <w:tc>
          <w:tcPr>
            <w:tcW w:w="1284" w:type="pct"/>
          </w:tcPr>
          <w:p w14:paraId="39F5AA2D" w14:textId="77777777" w:rsidR="00F85504" w:rsidRPr="008879BA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C0A11">
              <w:rPr>
                <w:rFonts w:cstheme="minorHAnsi"/>
              </w:rPr>
              <w:t xml:space="preserve">Funding will support construction </w:t>
            </w:r>
            <w:r>
              <w:rPr>
                <w:rFonts w:cstheme="minorHAnsi"/>
              </w:rPr>
              <w:t>at</w:t>
            </w:r>
            <w:r w:rsidRPr="00EC0A11">
              <w:rPr>
                <w:rFonts w:cstheme="minorHAnsi"/>
              </w:rPr>
              <w:t xml:space="preserve"> Apex Park within the Cessnock Business District. The project will transform an underutilised park into a thriving precinct connecting local businesses, community groups, service providers and the Cessnock Pool recreation area.</w:t>
            </w:r>
          </w:p>
        </w:tc>
        <w:tc>
          <w:tcPr>
            <w:tcW w:w="582" w:type="pct"/>
          </w:tcPr>
          <w:p w14:paraId="5B14EB3F" w14:textId="77777777" w:rsidR="00F85504" w:rsidRPr="008879BA" w:rsidRDefault="00F85504" w:rsidP="00EF5FD0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Cessnock</w:t>
            </w:r>
          </w:p>
        </w:tc>
        <w:tc>
          <w:tcPr>
            <w:tcW w:w="343" w:type="pct"/>
          </w:tcPr>
          <w:p w14:paraId="407DFE21" w14:textId="77777777" w:rsidR="00F85504" w:rsidRPr="008879BA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NSW</w:t>
            </w:r>
          </w:p>
        </w:tc>
        <w:tc>
          <w:tcPr>
            <w:tcW w:w="582" w:type="pct"/>
          </w:tcPr>
          <w:p w14:paraId="1B528123" w14:textId="77777777" w:rsidR="00F85504" w:rsidRPr="008879BA" w:rsidRDefault="00F85504" w:rsidP="00EF5FD0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rFonts w:cstheme="minorHAnsi"/>
              </w:rPr>
              <w:t>$14,078,691</w:t>
            </w:r>
          </w:p>
        </w:tc>
        <w:tc>
          <w:tcPr>
            <w:tcW w:w="578" w:type="pct"/>
          </w:tcPr>
          <w:p w14:paraId="145432AD" w14:textId="77777777" w:rsidR="00F85504" w:rsidRPr="00654F9E" w:rsidRDefault="00F85504" w:rsidP="00EF5FD0">
            <w:pPr>
              <w:spacing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53CB">
              <w:rPr>
                <w:rFonts w:cstheme="minorHAnsi"/>
              </w:rPr>
              <w:t>14 February 2025</w:t>
            </w:r>
          </w:p>
        </w:tc>
      </w:tr>
      <w:tr w:rsidR="00A81480" w:rsidRPr="00654F9E" w14:paraId="1D2BBCA7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B109FBC" w14:textId="77777777" w:rsidR="00F85504" w:rsidRPr="005275B8" w:rsidRDefault="00F85504" w:rsidP="00EF5FD0">
            <w:pPr>
              <w:keepNext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Two</w:t>
            </w:r>
          </w:p>
        </w:tc>
        <w:tc>
          <w:tcPr>
            <w:tcW w:w="582" w:type="pct"/>
          </w:tcPr>
          <w:p w14:paraId="264D1BEF" w14:textId="77777777" w:rsidR="00F85504" w:rsidRPr="005275B8" w:rsidRDefault="00F85504" w:rsidP="00EF5FD0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University of Newcastle</w:t>
            </w:r>
          </w:p>
        </w:tc>
        <w:tc>
          <w:tcPr>
            <w:tcW w:w="585" w:type="pct"/>
          </w:tcPr>
          <w:p w14:paraId="6893EA83" w14:textId="77777777" w:rsidR="00F85504" w:rsidRPr="005275B8" w:rsidRDefault="00F85504" w:rsidP="00EF5FD0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Construction of the Future Industries Facility</w:t>
            </w:r>
          </w:p>
        </w:tc>
        <w:tc>
          <w:tcPr>
            <w:tcW w:w="1284" w:type="pct"/>
          </w:tcPr>
          <w:p w14:paraId="60E171B3" w14:textId="77777777" w:rsidR="00F85504" w:rsidRPr="005275B8" w:rsidRDefault="00F85504" w:rsidP="00EF5FD0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</w:rPr>
            </w:pPr>
            <w:r w:rsidRPr="00F00E10">
              <w:t>Funding will support the construction of the Future Industries Facility with two industrial-scale collaborative technology demonstration spaces.</w:t>
            </w:r>
          </w:p>
        </w:tc>
        <w:tc>
          <w:tcPr>
            <w:tcW w:w="582" w:type="pct"/>
          </w:tcPr>
          <w:p w14:paraId="36548A47" w14:textId="77777777" w:rsidR="00F85504" w:rsidRPr="005275B8" w:rsidRDefault="00F85504" w:rsidP="00EF5FD0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Callaghan</w:t>
            </w:r>
          </w:p>
        </w:tc>
        <w:tc>
          <w:tcPr>
            <w:tcW w:w="343" w:type="pct"/>
          </w:tcPr>
          <w:p w14:paraId="0FF90B88" w14:textId="77777777" w:rsidR="00F85504" w:rsidRPr="005275B8" w:rsidRDefault="00F85504" w:rsidP="00EF5FD0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NSW</w:t>
            </w:r>
          </w:p>
        </w:tc>
        <w:tc>
          <w:tcPr>
            <w:tcW w:w="582" w:type="pct"/>
          </w:tcPr>
          <w:p w14:paraId="78598C85" w14:textId="77777777" w:rsidR="00F85504" w:rsidRPr="005275B8" w:rsidRDefault="00F85504" w:rsidP="00EF5FD0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79BA">
              <w:t>$20,759,545</w:t>
            </w:r>
          </w:p>
        </w:tc>
        <w:tc>
          <w:tcPr>
            <w:tcW w:w="578" w:type="pct"/>
          </w:tcPr>
          <w:p w14:paraId="613F6912" w14:textId="77777777" w:rsidR="00F85504" w:rsidRDefault="00F85504" w:rsidP="00EF5FD0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20 January 2025</w:t>
            </w:r>
          </w:p>
        </w:tc>
      </w:tr>
      <w:tr w:rsidR="00A81480" w:rsidRPr="00654F9E" w14:paraId="138A6681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24724259" w14:textId="77777777" w:rsidR="00F85504" w:rsidRDefault="00F85504" w:rsidP="0092002D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713046FF" w14:textId="77777777" w:rsidR="00F85504" w:rsidRDefault="00F85504" w:rsidP="0092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National Trust of Australia (Queensland) Limited</w:t>
            </w:r>
          </w:p>
        </w:tc>
        <w:tc>
          <w:tcPr>
            <w:tcW w:w="585" w:type="pct"/>
          </w:tcPr>
          <w:p w14:paraId="297A88F1" w14:textId="77777777" w:rsidR="00F85504" w:rsidRPr="00BD5157" w:rsidRDefault="00F85504" w:rsidP="0092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Currumbin Wildlife Hospital - Research and Training Precinct</w:t>
            </w:r>
          </w:p>
        </w:tc>
        <w:tc>
          <w:tcPr>
            <w:tcW w:w="1284" w:type="pct"/>
          </w:tcPr>
          <w:p w14:paraId="6F946284" w14:textId="77777777" w:rsidR="00F85504" w:rsidRPr="00EF5FD0" w:rsidRDefault="00F85504" w:rsidP="0092002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CC2CE4">
              <w:rPr>
                <w:rFonts w:eastAsia="Times New Roman" w:cstheme="minorHAnsi"/>
                <w:lang w:eastAsia="en-AU"/>
              </w:rPr>
              <w:t>Funding will support</w:t>
            </w:r>
            <w:r>
              <w:rPr>
                <w:rFonts w:eastAsia="Times New Roman" w:cstheme="minorHAnsi"/>
                <w:lang w:eastAsia="en-AU"/>
              </w:rPr>
              <w:t xml:space="preserve"> the delivery of </w:t>
            </w:r>
            <w:r w:rsidRPr="00EF5FD0">
              <w:rPr>
                <w:rFonts w:eastAsia="Times New Roman" w:cstheme="minorHAnsi"/>
                <w:lang w:eastAsia="en-AU"/>
              </w:rPr>
              <w:t xml:space="preserve">a research and training precinct at the Currumbin Wildlife Hospital, as well as </w:t>
            </w:r>
            <w:r>
              <w:rPr>
                <w:rFonts w:eastAsia="Times New Roman" w:cstheme="minorHAnsi"/>
                <w:lang w:eastAsia="en-AU"/>
              </w:rPr>
              <w:t xml:space="preserve">the </w:t>
            </w:r>
            <w:r w:rsidRPr="00EF5FD0">
              <w:rPr>
                <w:rFonts w:eastAsia="Times New Roman" w:cstheme="minorHAnsi"/>
                <w:lang w:eastAsia="en-AU"/>
              </w:rPr>
              <w:t>delivery of enhanced visitor experiences and educational tourism opportunities.</w:t>
            </w:r>
          </w:p>
        </w:tc>
        <w:tc>
          <w:tcPr>
            <w:tcW w:w="582" w:type="pct"/>
          </w:tcPr>
          <w:p w14:paraId="29DFCD82" w14:textId="77777777" w:rsidR="00F85504" w:rsidRPr="007E5BDB" w:rsidRDefault="00F85504" w:rsidP="0092002D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noProof/>
              </w:rPr>
            </w:pPr>
            <w:r w:rsidRPr="007E5BDB">
              <w:rPr>
                <w:rFonts w:cstheme="minorHAnsi"/>
                <w:noProof/>
              </w:rPr>
              <w:t>Currumbin</w:t>
            </w:r>
          </w:p>
        </w:tc>
        <w:tc>
          <w:tcPr>
            <w:tcW w:w="343" w:type="pct"/>
          </w:tcPr>
          <w:p w14:paraId="49706028" w14:textId="77777777" w:rsidR="00F85504" w:rsidRDefault="00F85504" w:rsidP="009200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QLD</w:t>
            </w:r>
          </w:p>
        </w:tc>
        <w:tc>
          <w:tcPr>
            <w:tcW w:w="582" w:type="pct"/>
          </w:tcPr>
          <w:p w14:paraId="4F5019AD" w14:textId="77777777" w:rsidR="00F85504" w:rsidRDefault="00F85504" w:rsidP="00264230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$8,000,000</w:t>
            </w:r>
          </w:p>
        </w:tc>
        <w:tc>
          <w:tcPr>
            <w:tcW w:w="578" w:type="pct"/>
          </w:tcPr>
          <w:p w14:paraId="059834F7" w14:textId="77777777" w:rsidR="00F85504" w:rsidRDefault="00F85504" w:rsidP="0092002D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2710A76F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2FA8658E" w14:textId="77777777" w:rsidR="00F85504" w:rsidRDefault="00F85504" w:rsidP="0092002D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3AE996A3" w14:textId="77777777" w:rsidR="00F85504" w:rsidRDefault="00F85504" w:rsidP="00920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Alexandrina Council</w:t>
            </w:r>
          </w:p>
        </w:tc>
        <w:tc>
          <w:tcPr>
            <w:tcW w:w="585" w:type="pct"/>
          </w:tcPr>
          <w:p w14:paraId="25E5B58C" w14:textId="77777777" w:rsidR="00F85504" w:rsidRDefault="00F85504" w:rsidP="00920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lang w:eastAsia="en-AU"/>
              </w:rPr>
            </w:pPr>
            <w:r>
              <w:rPr>
                <w:rFonts w:eastAsia="Times New Roman" w:cs="Calibri"/>
                <w:lang w:eastAsia="en-AU"/>
              </w:rPr>
              <w:t>Langhorne Creek Discovery Trail</w:t>
            </w:r>
          </w:p>
        </w:tc>
        <w:tc>
          <w:tcPr>
            <w:tcW w:w="1284" w:type="pct"/>
          </w:tcPr>
          <w:p w14:paraId="3974C2E6" w14:textId="130AC159" w:rsidR="00F85504" w:rsidRPr="00CC2CE4" w:rsidRDefault="00F85504" w:rsidP="009200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>
              <w:rPr>
                <w:rFonts w:eastAsia="Times New Roman" w:cstheme="minorHAnsi"/>
                <w:lang w:eastAsia="en-AU"/>
              </w:rPr>
              <w:t xml:space="preserve">Funding will support the delivery of </w:t>
            </w:r>
            <w:r w:rsidRPr="00075FDF">
              <w:rPr>
                <w:rFonts w:eastAsia="Times New Roman" w:cstheme="minorHAnsi"/>
                <w:lang w:eastAsia="en-AU"/>
              </w:rPr>
              <w:t xml:space="preserve">a precinct for events linked by </w:t>
            </w:r>
            <w:r w:rsidR="00A30298" w:rsidRPr="00075FDF">
              <w:rPr>
                <w:rFonts w:eastAsia="Times New Roman" w:cstheme="minorHAnsi"/>
                <w:lang w:eastAsia="en-AU"/>
              </w:rPr>
              <w:t>environmentally sensitive</w:t>
            </w:r>
            <w:r w:rsidRPr="00075FDF">
              <w:rPr>
                <w:rFonts w:eastAsia="Times New Roman" w:cstheme="minorHAnsi"/>
                <w:lang w:eastAsia="en-AU"/>
              </w:rPr>
              <w:t xml:space="preserve"> tourism infrastructure</w:t>
            </w:r>
            <w:r>
              <w:rPr>
                <w:rFonts w:eastAsia="Times New Roman" w:cstheme="minorHAnsi"/>
                <w:lang w:eastAsia="en-AU"/>
              </w:rPr>
              <w:t xml:space="preserve">. </w:t>
            </w:r>
          </w:p>
        </w:tc>
        <w:tc>
          <w:tcPr>
            <w:tcW w:w="582" w:type="pct"/>
          </w:tcPr>
          <w:p w14:paraId="4C66153B" w14:textId="77777777" w:rsidR="00F85504" w:rsidRPr="007E5BDB" w:rsidRDefault="00F85504" w:rsidP="0092002D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</w:rPr>
            </w:pPr>
            <w:r>
              <w:rPr>
                <w:rFonts w:eastAsia="Times New Roman" w:cs="Calibri"/>
                <w:lang w:eastAsia="en-AU"/>
              </w:rPr>
              <w:t>Langhorne Creek</w:t>
            </w:r>
          </w:p>
        </w:tc>
        <w:tc>
          <w:tcPr>
            <w:tcW w:w="343" w:type="pct"/>
          </w:tcPr>
          <w:p w14:paraId="6DB98D9D" w14:textId="77777777" w:rsidR="00F85504" w:rsidRDefault="00F85504" w:rsidP="0092002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</w:t>
            </w:r>
          </w:p>
        </w:tc>
        <w:tc>
          <w:tcPr>
            <w:tcW w:w="582" w:type="pct"/>
          </w:tcPr>
          <w:p w14:paraId="5E873E39" w14:textId="77777777" w:rsidR="00F85504" w:rsidRDefault="00F85504" w:rsidP="002642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$7,060,000</w:t>
            </w:r>
          </w:p>
        </w:tc>
        <w:tc>
          <w:tcPr>
            <w:tcW w:w="578" w:type="pct"/>
          </w:tcPr>
          <w:p w14:paraId="25112567" w14:textId="77777777" w:rsidR="00F85504" w:rsidRDefault="00F85504" w:rsidP="0092002D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13 August 2025</w:t>
            </w:r>
          </w:p>
        </w:tc>
      </w:tr>
      <w:tr w:rsidR="00A81480" w:rsidRPr="00654F9E" w14:paraId="648E0017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7DB36A13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73668B64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Devonport City Council</w:t>
            </w:r>
          </w:p>
        </w:tc>
        <w:tc>
          <w:tcPr>
            <w:tcW w:w="585" w:type="pct"/>
          </w:tcPr>
          <w:p w14:paraId="46CB2E79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Living City Stage 3, unlocking investment in education and housing</w:t>
            </w:r>
          </w:p>
        </w:tc>
        <w:tc>
          <w:tcPr>
            <w:tcW w:w="1284" w:type="pct"/>
          </w:tcPr>
          <w:p w14:paraId="62ADFB70" w14:textId="77777777" w:rsidR="00F85504" w:rsidRPr="008879BA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00E10">
              <w:t>Funding will support delivery of Stage 3 of Devonport City Council’s Living City CBD revitalisation project, enabling a road link and site utilities to unlock land for up to 30 affordable housing units, establish a purpose-built school and deliver retail sites.</w:t>
            </w:r>
          </w:p>
        </w:tc>
        <w:tc>
          <w:tcPr>
            <w:tcW w:w="582" w:type="pct"/>
          </w:tcPr>
          <w:p w14:paraId="2102E64B" w14:textId="77777777" w:rsidR="00F85504" w:rsidRPr="008879BA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 xml:space="preserve">Devonport </w:t>
            </w:r>
          </w:p>
        </w:tc>
        <w:tc>
          <w:tcPr>
            <w:tcW w:w="343" w:type="pct"/>
          </w:tcPr>
          <w:p w14:paraId="6EE1FDEB" w14:textId="77777777" w:rsidR="00F85504" w:rsidRPr="008879BA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T</w:t>
            </w:r>
            <w:r>
              <w:t>AS</w:t>
            </w:r>
          </w:p>
        </w:tc>
        <w:tc>
          <w:tcPr>
            <w:tcW w:w="582" w:type="pct"/>
          </w:tcPr>
          <w:p w14:paraId="5EF0E429" w14:textId="77777777" w:rsidR="00F85504" w:rsidRPr="008879BA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8879BA">
              <w:t>$6,000,000</w:t>
            </w:r>
          </w:p>
        </w:tc>
        <w:tc>
          <w:tcPr>
            <w:tcW w:w="578" w:type="pct"/>
          </w:tcPr>
          <w:p w14:paraId="4D3EAF9F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15 January 2025</w:t>
            </w:r>
          </w:p>
        </w:tc>
      </w:tr>
      <w:tr w:rsidR="008B64C4" w:rsidRPr="00654F9E" w14:paraId="246379B1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0D41A4F1" w14:textId="6F535F6E" w:rsidR="008B64C4" w:rsidRDefault="008B64C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2A617A02" w14:textId="46273330" w:rsidR="008B64C4" w:rsidRDefault="008B64C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Big Hart Inc.</w:t>
            </w:r>
          </w:p>
        </w:tc>
        <w:tc>
          <w:tcPr>
            <w:tcW w:w="585" w:type="pct"/>
          </w:tcPr>
          <w:p w14:paraId="78926B00" w14:textId="2B053E54" w:rsidR="008B64C4" w:rsidRDefault="007B53F7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B53F7">
              <w:rPr>
                <w:rFonts w:cstheme="minorHAnsi"/>
              </w:rPr>
              <w:t>Artisan Precinct Initiative</w:t>
            </w:r>
          </w:p>
        </w:tc>
        <w:tc>
          <w:tcPr>
            <w:tcW w:w="1284" w:type="pct"/>
          </w:tcPr>
          <w:p w14:paraId="241FDBC2" w14:textId="38FAC19A" w:rsidR="008B64C4" w:rsidRPr="00F00E10" w:rsidRDefault="00810A5B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Funding will support </w:t>
            </w:r>
            <w:r w:rsidR="00D54502">
              <w:t>the</w:t>
            </w:r>
            <w:r w:rsidRPr="00810A5B">
              <w:t xml:space="preserve"> building and ﬁt out of infrastructure including 6 workshops, a First Nations workshop, a commercial greenhouse, an Artisan Hub and Precinct Caretaker Residence and sustainability infrastructure</w:t>
            </w:r>
            <w:r w:rsidR="00D54502">
              <w:t>.</w:t>
            </w:r>
          </w:p>
        </w:tc>
        <w:tc>
          <w:tcPr>
            <w:tcW w:w="582" w:type="pct"/>
          </w:tcPr>
          <w:p w14:paraId="753E6595" w14:textId="0C023F79" w:rsidR="008B64C4" w:rsidRPr="008879BA" w:rsidRDefault="00111595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Wynyard</w:t>
            </w:r>
          </w:p>
        </w:tc>
        <w:tc>
          <w:tcPr>
            <w:tcW w:w="343" w:type="pct"/>
          </w:tcPr>
          <w:p w14:paraId="75CC0999" w14:textId="77897896" w:rsidR="008B64C4" w:rsidRPr="008879BA" w:rsidRDefault="00111595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TAS</w:t>
            </w:r>
          </w:p>
        </w:tc>
        <w:tc>
          <w:tcPr>
            <w:tcW w:w="582" w:type="pct"/>
          </w:tcPr>
          <w:p w14:paraId="2F99382E" w14:textId="545822D1" w:rsidR="008B64C4" w:rsidRPr="008879BA" w:rsidRDefault="00BB499D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499D">
              <w:t>$9,598,923</w:t>
            </w:r>
          </w:p>
        </w:tc>
        <w:tc>
          <w:tcPr>
            <w:tcW w:w="578" w:type="pct"/>
          </w:tcPr>
          <w:p w14:paraId="240D1175" w14:textId="70D0F8D2" w:rsidR="008B64C4" w:rsidRDefault="00BB499D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19 May 2026</w:t>
            </w:r>
          </w:p>
        </w:tc>
      </w:tr>
      <w:tr w:rsidR="00A81480" w:rsidRPr="00654F9E" w14:paraId="124E8E3F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2EAE425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09748FC0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Mansfield Shire Council</w:t>
            </w:r>
          </w:p>
        </w:tc>
        <w:tc>
          <w:tcPr>
            <w:tcW w:w="585" w:type="pct"/>
          </w:tcPr>
          <w:p w14:paraId="563C0BA6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8662DA">
              <w:rPr>
                <w:rFonts w:cstheme="minorHAnsi"/>
              </w:rPr>
              <w:t>Mansfield Station Precinct Heritage Package Project</w:t>
            </w:r>
          </w:p>
        </w:tc>
        <w:tc>
          <w:tcPr>
            <w:tcW w:w="1284" w:type="pct"/>
          </w:tcPr>
          <w:p w14:paraId="26F434BC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rPr>
                <w:rFonts w:eastAsia="Times New Roman" w:cstheme="minorHAnsi"/>
                <w:lang w:eastAsia="en-AU"/>
              </w:rPr>
              <w:t>Funding will support the delivery of five elements: work on the visitor facility, refurbishment of Goods Shed and Deck, relocation of railway structures, and rehabilitation of Mullum Wetlands.</w:t>
            </w:r>
          </w:p>
        </w:tc>
        <w:tc>
          <w:tcPr>
            <w:tcW w:w="582" w:type="pct"/>
          </w:tcPr>
          <w:p w14:paraId="1E0BAE66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Mansfield</w:t>
            </w:r>
          </w:p>
        </w:tc>
        <w:tc>
          <w:tcPr>
            <w:tcW w:w="343" w:type="pct"/>
          </w:tcPr>
          <w:p w14:paraId="705E0ACD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697A3331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</w:t>
            </w:r>
            <w:r w:rsidRPr="008662DA">
              <w:rPr>
                <w:rFonts w:cstheme="minorHAnsi"/>
                <w:color w:val="000000" w:themeColor="text1"/>
              </w:rPr>
              <w:t>6,442,067</w:t>
            </w:r>
          </w:p>
        </w:tc>
        <w:tc>
          <w:tcPr>
            <w:tcW w:w="578" w:type="pct"/>
          </w:tcPr>
          <w:p w14:paraId="6A66116D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16 January 2025</w:t>
            </w:r>
          </w:p>
        </w:tc>
      </w:tr>
      <w:tr w:rsidR="00A81480" w:rsidRPr="00654F9E" w14:paraId="4E6A159F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784B4BFC" w14:textId="77777777" w:rsidR="00F85504" w:rsidRPr="005275B8" w:rsidRDefault="00F85504" w:rsidP="00345AF9">
            <w:pPr>
              <w:keepNext/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Two</w:t>
            </w:r>
          </w:p>
        </w:tc>
        <w:tc>
          <w:tcPr>
            <w:tcW w:w="582" w:type="pct"/>
          </w:tcPr>
          <w:p w14:paraId="078ACD69" w14:textId="77777777" w:rsidR="00F85504" w:rsidRPr="005275B8" w:rsidRDefault="00F85504" w:rsidP="00345AF9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Mount Alexander Shire Council</w:t>
            </w:r>
          </w:p>
        </w:tc>
        <w:tc>
          <w:tcPr>
            <w:tcW w:w="585" w:type="pct"/>
          </w:tcPr>
          <w:p w14:paraId="6CBA1836" w14:textId="77777777" w:rsidR="00F85504" w:rsidRPr="005275B8" w:rsidRDefault="00F85504" w:rsidP="00345AF9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Frederick Street and Mechanics Lane Redevelopment</w:t>
            </w:r>
          </w:p>
        </w:tc>
        <w:tc>
          <w:tcPr>
            <w:tcW w:w="1284" w:type="pct"/>
          </w:tcPr>
          <w:p w14:paraId="07DE473F" w14:textId="77777777" w:rsidR="00F85504" w:rsidRPr="005275B8" w:rsidRDefault="00F85504" w:rsidP="00345AF9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212529"/>
              </w:rPr>
            </w:pPr>
            <w:r w:rsidRPr="007F3C03">
              <w:rPr>
                <w:rFonts w:cstheme="minorHAnsi"/>
              </w:rPr>
              <w:t xml:space="preserve">Funding </w:t>
            </w:r>
            <w:r>
              <w:rPr>
                <w:rFonts w:cstheme="minorHAnsi"/>
              </w:rPr>
              <w:t xml:space="preserve">will support </w:t>
            </w:r>
            <w:r w:rsidRPr="007F3C03">
              <w:t>an improved public space to revitalise and activate the Castlemaine Town Centre Precinct.</w:t>
            </w:r>
          </w:p>
        </w:tc>
        <w:tc>
          <w:tcPr>
            <w:tcW w:w="582" w:type="pct"/>
          </w:tcPr>
          <w:p w14:paraId="7BCFD665" w14:textId="77777777" w:rsidR="00F85504" w:rsidRPr="005275B8" w:rsidRDefault="00F85504" w:rsidP="00345AF9">
            <w:pPr>
              <w:keepNext/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Castlemaine</w:t>
            </w:r>
          </w:p>
        </w:tc>
        <w:tc>
          <w:tcPr>
            <w:tcW w:w="343" w:type="pct"/>
          </w:tcPr>
          <w:p w14:paraId="565F2964" w14:textId="77777777" w:rsidR="00F85504" w:rsidRPr="005275B8" w:rsidRDefault="00F85504" w:rsidP="00345AF9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8879BA">
              <w:t>V</w:t>
            </w:r>
            <w:r>
              <w:t>IC</w:t>
            </w:r>
          </w:p>
        </w:tc>
        <w:tc>
          <w:tcPr>
            <w:tcW w:w="582" w:type="pct"/>
          </w:tcPr>
          <w:p w14:paraId="06060E3F" w14:textId="77777777" w:rsidR="00F85504" w:rsidRPr="005275B8" w:rsidRDefault="00F85504" w:rsidP="00345AF9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879BA">
              <w:t>$12,194,670</w:t>
            </w:r>
          </w:p>
        </w:tc>
        <w:tc>
          <w:tcPr>
            <w:tcW w:w="578" w:type="pct"/>
          </w:tcPr>
          <w:p w14:paraId="3E56EBDF" w14:textId="77777777" w:rsidR="00F85504" w:rsidRDefault="00F85504" w:rsidP="00345AF9">
            <w:pPr>
              <w:keepNext/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16 January 2025</w:t>
            </w:r>
          </w:p>
        </w:tc>
      </w:tr>
      <w:tr w:rsidR="00A81480" w:rsidRPr="00654F9E" w14:paraId="1AE2D782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1BAA3D44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24A7784D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Bass Coast Shire Council</w:t>
            </w:r>
          </w:p>
        </w:tc>
        <w:tc>
          <w:tcPr>
            <w:tcW w:w="585" w:type="pct"/>
          </w:tcPr>
          <w:p w14:paraId="5D57E38E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Cowes Foreshore Precinct</w:t>
            </w:r>
          </w:p>
        </w:tc>
        <w:tc>
          <w:tcPr>
            <w:tcW w:w="1284" w:type="pct"/>
          </w:tcPr>
          <w:p w14:paraId="5C06E5F7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rPr>
                <w:rFonts w:eastAsia="Times New Roman" w:cstheme="minorHAnsi"/>
                <w:lang w:eastAsia="en-AU"/>
              </w:rPr>
              <w:t>Funding will support the construction and upgrade of the Cowes Foreshore Precinct.</w:t>
            </w:r>
          </w:p>
        </w:tc>
        <w:tc>
          <w:tcPr>
            <w:tcW w:w="582" w:type="pct"/>
          </w:tcPr>
          <w:p w14:paraId="3EE0BE68" w14:textId="77777777" w:rsidR="00F85504" w:rsidRDefault="00F85504" w:rsidP="00345AF9">
            <w:pPr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Cowes</w:t>
            </w:r>
          </w:p>
        </w:tc>
        <w:tc>
          <w:tcPr>
            <w:tcW w:w="343" w:type="pct"/>
          </w:tcPr>
          <w:p w14:paraId="1F73CACE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7EB8AC3F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$8,000,000</w:t>
            </w:r>
          </w:p>
        </w:tc>
        <w:tc>
          <w:tcPr>
            <w:tcW w:w="578" w:type="pct"/>
          </w:tcPr>
          <w:p w14:paraId="507548C9" w14:textId="77777777" w:rsidR="00F85504" w:rsidRDefault="00F85504" w:rsidP="00345AF9">
            <w:pPr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A81480" w:rsidRPr="00654F9E" w14:paraId="4B1C10CC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ABA29B2" w14:textId="77777777" w:rsidR="00F85504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2D158FAD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Mansfield Shire Council</w:t>
            </w:r>
          </w:p>
        </w:tc>
        <w:tc>
          <w:tcPr>
            <w:tcW w:w="585" w:type="pct"/>
          </w:tcPr>
          <w:p w14:paraId="56E28533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Mansfield Station Precinct Activation Project</w:t>
            </w:r>
          </w:p>
        </w:tc>
        <w:tc>
          <w:tcPr>
            <w:tcW w:w="1284" w:type="pct"/>
          </w:tcPr>
          <w:p w14:paraId="3815178A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rPr>
                <w:rFonts w:eastAsia="Times New Roman" w:cstheme="minorHAnsi"/>
                <w:lang w:eastAsia="en-AU"/>
              </w:rPr>
              <w:t>Funding will support the construction and delivery of six key elements of the Station Precinct Master Plan.</w:t>
            </w:r>
          </w:p>
        </w:tc>
        <w:tc>
          <w:tcPr>
            <w:tcW w:w="582" w:type="pct"/>
          </w:tcPr>
          <w:p w14:paraId="3ED04CC3" w14:textId="77777777" w:rsidR="00F85504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Mansfield</w:t>
            </w:r>
          </w:p>
        </w:tc>
        <w:tc>
          <w:tcPr>
            <w:tcW w:w="343" w:type="pct"/>
          </w:tcPr>
          <w:p w14:paraId="42E6A2DD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69085265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$7,703,073</w:t>
            </w:r>
          </w:p>
        </w:tc>
        <w:tc>
          <w:tcPr>
            <w:tcW w:w="578" w:type="pct"/>
          </w:tcPr>
          <w:p w14:paraId="4D0DFD3F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31 October 2024</w:t>
            </w:r>
          </w:p>
        </w:tc>
      </w:tr>
      <w:tr w:rsidR="00A81480" w14:paraId="19E309EB" w14:textId="77777777" w:rsidTr="00D22FC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34B7C165" w14:textId="77777777" w:rsidR="00A30298" w:rsidRPr="00A30298" w:rsidRDefault="00A30298" w:rsidP="00D22FC8">
            <w:pPr>
              <w:rPr>
                <w:color w:val="000000" w:themeColor="text1"/>
              </w:rPr>
            </w:pPr>
            <w:r w:rsidRPr="00A30298">
              <w:rPr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08831723" w14:textId="77777777" w:rsidR="00A30298" w:rsidRPr="00A30298" w:rsidRDefault="00A30298" w:rsidP="00D22F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A30298">
              <w:rPr>
                <w:color w:val="000000" w:themeColor="text1"/>
              </w:rPr>
              <w:t>Barwon Region Water Corporation</w:t>
            </w:r>
          </w:p>
        </w:tc>
        <w:tc>
          <w:tcPr>
            <w:tcW w:w="585" w:type="pct"/>
          </w:tcPr>
          <w:p w14:paraId="281B4C38" w14:textId="77777777" w:rsidR="00A30298" w:rsidRPr="00A30298" w:rsidRDefault="00A30298" w:rsidP="00D22F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Calibri" w:cs="Calibri"/>
              </w:rPr>
            </w:pPr>
            <w:r w:rsidRPr="00A30298">
              <w:rPr>
                <w:rFonts w:eastAsia="Calibri" w:cs="Calibri"/>
              </w:rPr>
              <w:t>Regional Renewable Organics Network</w:t>
            </w:r>
          </w:p>
        </w:tc>
        <w:tc>
          <w:tcPr>
            <w:tcW w:w="1284" w:type="pct"/>
          </w:tcPr>
          <w:p w14:paraId="3A47C428" w14:textId="77777777" w:rsidR="00A30298" w:rsidRPr="00A30298" w:rsidRDefault="00A30298" w:rsidP="00D22F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</w:rPr>
            </w:pPr>
            <w:r w:rsidRPr="00A30298">
              <w:rPr>
                <w:rFonts w:eastAsia="Times New Roman" w:cs="Calibri"/>
              </w:rPr>
              <w:t>Funding will support the Regional Renewable Organics Network to establish a new, replicable model for sustainable organic waste management, addressing current capacity constraints, underpinning regional housing growth, and driving a circular economy.</w:t>
            </w:r>
          </w:p>
        </w:tc>
        <w:tc>
          <w:tcPr>
            <w:tcW w:w="582" w:type="pct"/>
          </w:tcPr>
          <w:p w14:paraId="6E3CF4C4" w14:textId="77777777" w:rsidR="00A30298" w:rsidRPr="00A30298" w:rsidRDefault="00A30298" w:rsidP="00D22F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0298">
              <w:t>Connewarre</w:t>
            </w:r>
          </w:p>
        </w:tc>
        <w:tc>
          <w:tcPr>
            <w:tcW w:w="343" w:type="pct"/>
          </w:tcPr>
          <w:p w14:paraId="3386F2EC" w14:textId="77777777" w:rsidR="00A30298" w:rsidRPr="00A30298" w:rsidRDefault="00A30298" w:rsidP="00D22F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A30298">
              <w:rPr>
                <w:color w:val="000000" w:themeColor="text1"/>
              </w:rPr>
              <w:t>VIC</w:t>
            </w:r>
          </w:p>
        </w:tc>
        <w:tc>
          <w:tcPr>
            <w:tcW w:w="582" w:type="pct"/>
          </w:tcPr>
          <w:p w14:paraId="5B221AFA" w14:textId="0BD962CE" w:rsidR="00A30298" w:rsidRPr="00A30298" w:rsidRDefault="00A30298" w:rsidP="00D22F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</w:rPr>
            </w:pPr>
            <w:r w:rsidRPr="00A30298">
              <w:rPr>
                <w:color w:val="000000" w:themeColor="text1"/>
              </w:rPr>
              <w:t>$</w:t>
            </w:r>
            <w:r>
              <w:rPr>
                <w:color w:val="000000" w:themeColor="text1"/>
              </w:rPr>
              <w:t>20,000,000</w:t>
            </w:r>
          </w:p>
        </w:tc>
        <w:tc>
          <w:tcPr>
            <w:tcW w:w="578" w:type="pct"/>
          </w:tcPr>
          <w:p w14:paraId="4671E174" w14:textId="77777777" w:rsidR="00A30298" w:rsidRPr="00A30298" w:rsidRDefault="00A30298" w:rsidP="00D22F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A30298">
              <w:t>7 May 2026</w:t>
            </w:r>
          </w:p>
        </w:tc>
      </w:tr>
      <w:tr w:rsidR="00A81480" w:rsidRPr="00654F9E" w14:paraId="15E6E5A3" w14:textId="77777777" w:rsidTr="75A651BD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2F06BB05" w14:textId="77777777" w:rsidR="00F85504" w:rsidRPr="005275B8" w:rsidRDefault="00F85504" w:rsidP="00345AF9">
            <w:pPr>
              <w:spacing w:before="40" w:after="4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43B6EFB3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326C3">
              <w:rPr>
                <w:rFonts w:cstheme="minorHAnsi"/>
              </w:rPr>
              <w:t>Shire of Carnarvon</w:t>
            </w:r>
          </w:p>
        </w:tc>
        <w:tc>
          <w:tcPr>
            <w:tcW w:w="585" w:type="pct"/>
          </w:tcPr>
          <w:p w14:paraId="5F73E948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326C3">
              <w:rPr>
                <w:rFonts w:cstheme="minorHAnsi"/>
              </w:rPr>
              <w:t>Activate Carnarvon</w:t>
            </w:r>
          </w:p>
        </w:tc>
        <w:tc>
          <w:tcPr>
            <w:tcW w:w="1284" w:type="pct"/>
          </w:tcPr>
          <w:p w14:paraId="086112EF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eastAsia="en-AU"/>
              </w:rPr>
            </w:pPr>
            <w:r w:rsidRPr="007F3C03">
              <w:rPr>
                <w:rFonts w:cstheme="minorHAnsi"/>
              </w:rPr>
              <w:t>Funding will support the construction and revitalisation of the Carnarvon CBD including works to enable a tramway walking tail, public park upgrades, local artist hub trail and residential apartments.</w:t>
            </w:r>
          </w:p>
        </w:tc>
        <w:tc>
          <w:tcPr>
            <w:tcW w:w="582" w:type="pct"/>
          </w:tcPr>
          <w:p w14:paraId="7A0A5A20" w14:textId="77777777" w:rsidR="00F85504" w:rsidRPr="005275B8" w:rsidRDefault="00F85504" w:rsidP="00345AF9">
            <w:pPr>
              <w:spacing w:before="40" w:after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326C3">
              <w:rPr>
                <w:rFonts w:cstheme="minorHAnsi"/>
              </w:rPr>
              <w:t>Carnarvon</w:t>
            </w:r>
          </w:p>
        </w:tc>
        <w:tc>
          <w:tcPr>
            <w:tcW w:w="343" w:type="pct"/>
          </w:tcPr>
          <w:p w14:paraId="7D58262E" w14:textId="77777777" w:rsidR="00F85504" w:rsidRPr="005275B8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4326C3">
              <w:rPr>
                <w:rFonts w:cstheme="minorHAnsi"/>
              </w:rPr>
              <w:t>WA</w:t>
            </w:r>
          </w:p>
        </w:tc>
        <w:tc>
          <w:tcPr>
            <w:tcW w:w="582" w:type="pct"/>
          </w:tcPr>
          <w:p w14:paraId="1BC3EE64" w14:textId="77777777" w:rsidR="00F85504" w:rsidRPr="006A74BD" w:rsidRDefault="00F85504" w:rsidP="006A74B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326C3">
              <w:rPr>
                <w:rFonts w:cstheme="minorHAnsi"/>
              </w:rPr>
              <w:t>$15,554,633</w:t>
            </w:r>
          </w:p>
        </w:tc>
        <w:tc>
          <w:tcPr>
            <w:tcW w:w="578" w:type="pct"/>
          </w:tcPr>
          <w:p w14:paraId="092641F9" w14:textId="77777777" w:rsidR="00F85504" w:rsidRDefault="00F85504" w:rsidP="00345AF9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9 January 2025</w:t>
            </w:r>
          </w:p>
        </w:tc>
      </w:tr>
      <w:tr w:rsidR="00A81480" w:rsidRPr="00654F9E" w14:paraId="0D174ED2" w14:textId="77777777" w:rsidTr="75A651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pct"/>
          </w:tcPr>
          <w:p w14:paraId="6A79664F" w14:textId="77777777" w:rsidR="00F85504" w:rsidRPr="005275B8" w:rsidRDefault="00F85504" w:rsidP="00345AF9">
            <w:pPr>
              <w:keepNext/>
              <w:spacing w:before="40" w:after="4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Two</w:t>
            </w:r>
          </w:p>
        </w:tc>
        <w:tc>
          <w:tcPr>
            <w:tcW w:w="582" w:type="pct"/>
          </w:tcPr>
          <w:p w14:paraId="148450BE" w14:textId="77777777" w:rsidR="00F85504" w:rsidRPr="00555BB1" w:rsidRDefault="00F85504" w:rsidP="00345AF9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b/>
              </w:rPr>
            </w:pPr>
            <w:r w:rsidRPr="005275B8">
              <w:rPr>
                <w:rFonts w:cstheme="minorHAnsi"/>
                <w:color w:val="000000" w:themeColor="text1"/>
              </w:rPr>
              <w:t>Shire of Broome</w:t>
            </w:r>
          </w:p>
        </w:tc>
        <w:tc>
          <w:tcPr>
            <w:tcW w:w="585" w:type="pct"/>
          </w:tcPr>
          <w:p w14:paraId="7C748D38" w14:textId="77777777" w:rsidR="00F85504" w:rsidRPr="005275B8" w:rsidRDefault="00F85504" w:rsidP="00345AF9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 w:rsidRPr="005275B8">
              <w:rPr>
                <w:rFonts w:cstheme="minorHAnsi"/>
              </w:rPr>
              <w:t>Walmanyjun</w:t>
            </w:r>
            <w:proofErr w:type="spellEnd"/>
            <w:r w:rsidRPr="005275B8">
              <w:rPr>
                <w:rFonts w:cstheme="minorHAnsi"/>
              </w:rPr>
              <w:t xml:space="preserve">/Cable Beach Foreshore </w:t>
            </w:r>
            <w:r w:rsidRPr="005275B8">
              <w:rPr>
                <w:rFonts w:cstheme="minorHAnsi"/>
                <w:color w:val="000000" w:themeColor="text1"/>
              </w:rPr>
              <w:t>Redevelopment (Stages 2 &amp; 3)</w:t>
            </w:r>
          </w:p>
        </w:tc>
        <w:tc>
          <w:tcPr>
            <w:tcW w:w="1284" w:type="pct"/>
          </w:tcPr>
          <w:p w14:paraId="55756EC2" w14:textId="77777777" w:rsidR="00F85504" w:rsidRPr="005275B8" w:rsidRDefault="00F85504" w:rsidP="00345AF9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7F3C03">
              <w:rPr>
                <w:rFonts w:eastAsia="Times New Roman" w:cstheme="minorHAnsi"/>
                <w:lang w:eastAsia="en-AU"/>
              </w:rPr>
              <w:t xml:space="preserve">Funding will support the redevelopment of the </w:t>
            </w:r>
            <w:proofErr w:type="spellStart"/>
            <w:r w:rsidRPr="007F3C03">
              <w:rPr>
                <w:rFonts w:eastAsia="Times New Roman" w:cstheme="minorHAnsi"/>
                <w:lang w:eastAsia="en-AU"/>
              </w:rPr>
              <w:t>Walmanyjun</w:t>
            </w:r>
            <w:proofErr w:type="spellEnd"/>
            <w:r w:rsidRPr="007F3C03">
              <w:rPr>
                <w:rFonts w:eastAsia="Times New Roman" w:cstheme="minorHAnsi"/>
                <w:lang w:eastAsia="en-AU"/>
              </w:rPr>
              <w:t>/Cable Beach Foreshore including improvements to accessibility, community facilities, and conservation.</w:t>
            </w:r>
          </w:p>
        </w:tc>
        <w:tc>
          <w:tcPr>
            <w:tcW w:w="582" w:type="pct"/>
          </w:tcPr>
          <w:p w14:paraId="01FE6B84" w14:textId="77777777" w:rsidR="00F85504" w:rsidRPr="005275B8" w:rsidRDefault="00F85504" w:rsidP="00345AF9">
            <w:pPr>
              <w:keepNext/>
              <w:spacing w:before="40" w:after="4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</w:rPr>
              <w:t>Cable Beach</w:t>
            </w:r>
          </w:p>
        </w:tc>
        <w:tc>
          <w:tcPr>
            <w:tcW w:w="343" w:type="pct"/>
          </w:tcPr>
          <w:p w14:paraId="4980CCA7" w14:textId="77777777" w:rsidR="00F85504" w:rsidRPr="005275B8" w:rsidRDefault="00F85504" w:rsidP="00345AF9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 w:rsidRPr="005275B8">
              <w:rPr>
                <w:rFonts w:cstheme="minorHAnsi"/>
                <w:color w:val="000000" w:themeColor="text1"/>
              </w:rPr>
              <w:t>WA</w:t>
            </w:r>
          </w:p>
        </w:tc>
        <w:tc>
          <w:tcPr>
            <w:tcW w:w="582" w:type="pct"/>
          </w:tcPr>
          <w:p w14:paraId="28680512" w14:textId="77777777" w:rsidR="00F85504" w:rsidRPr="005275B8" w:rsidRDefault="00F85504" w:rsidP="00345AF9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</w:rPr>
            </w:pPr>
            <w:r w:rsidRPr="005275B8">
              <w:rPr>
                <w:rFonts w:cstheme="minorHAnsi"/>
                <w:color w:val="000000" w:themeColor="text1"/>
              </w:rPr>
              <w:t>$26,361,852</w:t>
            </w:r>
          </w:p>
        </w:tc>
        <w:tc>
          <w:tcPr>
            <w:tcW w:w="578" w:type="pct"/>
          </w:tcPr>
          <w:p w14:paraId="45C8C348" w14:textId="77777777" w:rsidR="00F85504" w:rsidRPr="005275B8" w:rsidRDefault="00F85504" w:rsidP="00345AF9">
            <w:pPr>
              <w:keepNext/>
              <w:spacing w:before="40" w:after="4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</w:rPr>
              <w:t>16 May 2024</w:t>
            </w:r>
          </w:p>
        </w:tc>
      </w:tr>
    </w:tbl>
    <w:p w14:paraId="5DAB6C7B" w14:textId="77777777" w:rsidR="00BB3D46" w:rsidRDefault="00BB3D46" w:rsidP="00794E80"/>
    <w:sectPr w:rsidR="00BB3D46" w:rsidSect="00EA3C28">
      <w:type w:val="continuous"/>
      <w:pgSz w:w="16838" w:h="11906" w:orient="landscape"/>
      <w:pgMar w:top="851" w:right="1276" w:bottom="991" w:left="1276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9ABD" w14:textId="77777777" w:rsidR="003829CD" w:rsidRDefault="003829CD" w:rsidP="00FC413F">
      <w:pPr>
        <w:spacing w:after="0"/>
      </w:pPr>
      <w:r>
        <w:separator/>
      </w:r>
    </w:p>
  </w:endnote>
  <w:endnote w:type="continuationSeparator" w:id="0">
    <w:p w14:paraId="69CD0F9C" w14:textId="77777777" w:rsidR="003829CD" w:rsidRDefault="003829CD" w:rsidP="00FC41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(Body CS)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F233C" w14:textId="33DD15CE" w:rsidR="00450A6F" w:rsidRDefault="00A302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39A5421" wp14:editId="1960BA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12240466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F212CC" w14:textId="4FC7F4F9" w:rsidR="00A30298" w:rsidRPr="00A30298" w:rsidRDefault="00A30298" w:rsidP="00A302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302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A542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2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ebf9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46F212CC" w14:textId="4FC7F4F9" w:rsidR="00A30298" w:rsidRPr="00A30298" w:rsidRDefault="00A30298" w:rsidP="00A302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302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1840" w14:textId="0414CEE1" w:rsidR="00450A6F" w:rsidRDefault="00A3029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2D515226" wp14:editId="4298B528">
              <wp:simplePos x="809625" y="74199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31511187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F8D758" w14:textId="716A477F" w:rsidR="00A30298" w:rsidRPr="00A30298" w:rsidRDefault="00A30298" w:rsidP="00A302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302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1522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57.2pt;height:32.1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" filled="f" stroked="f">
              <v:textbox style="mso-fit-shape-to-text:t" inset="0,0,0,15pt">
                <w:txbxContent>
                  <w:p w14:paraId="7CF8D758" w14:textId="716A477F" w:rsidR="00A30298" w:rsidRPr="00A30298" w:rsidRDefault="00A30298" w:rsidP="00A302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302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D45B" w14:textId="4A5B36A6" w:rsidR="0078095C" w:rsidRDefault="00A30298" w:rsidP="00085605">
    <w:pPr>
      <w:pStyle w:val="Footer"/>
      <w:tabs>
        <w:tab w:val="clear" w:pos="4513"/>
        <w:tab w:val="clear" w:pos="9026"/>
        <w:tab w:val="right" w:pos="14286"/>
      </w:tabs>
      <w:spacing w:after="120"/>
      <w:rPr>
        <w:rFonts w:cs="Segoe UI"/>
        <w:noProof/>
        <w:szCs w:val="18"/>
      </w:rPr>
    </w:pPr>
    <w:r>
      <w:rPr>
        <w:rFonts w:cs="Segoe UI"/>
        <w:noProof/>
        <w:szCs w:val="18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D8341AC" wp14:editId="598C55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07670"/>
              <wp:effectExtent l="0" t="0" r="16510" b="0"/>
              <wp:wrapNone/>
              <wp:docPr id="92715874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7FB244" w14:textId="57E6D177" w:rsidR="00A30298" w:rsidRPr="00A30298" w:rsidRDefault="00A30298" w:rsidP="00A302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302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8341A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57.2pt;height:32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" filled="f" stroked="f">
              <v:textbox style="mso-fit-shape-to-text:t" inset="0,0,0,15pt">
                <w:txbxContent>
                  <w:p w14:paraId="627FB244" w14:textId="57E6D177" w:rsidR="00A30298" w:rsidRPr="00A30298" w:rsidRDefault="00A30298" w:rsidP="00A302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302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8095C">
      <w:rPr>
        <w:rFonts w:cs="Segoe UI"/>
        <w:noProof/>
        <w:szCs w:val="18"/>
      </w:rPr>
      <w:fldChar w:fldCharType="begin"/>
    </w:r>
    <w:r w:rsidR="0078095C">
      <w:rPr>
        <w:rFonts w:cs="Segoe UI"/>
        <w:noProof/>
        <w:szCs w:val="18"/>
      </w:rPr>
      <w:instrText xml:space="preserve"> STYLEREF  "Heading 1"  \* MERGEFORMAT </w:instrText>
    </w:r>
    <w:r w:rsidR="0078095C">
      <w:rPr>
        <w:rFonts w:cs="Segoe UI"/>
        <w:noProof/>
        <w:szCs w:val="18"/>
      </w:rPr>
      <w:fldChar w:fldCharType="separate"/>
    </w:r>
    <w:r w:rsidR="003D7F75">
      <w:rPr>
        <w:rFonts w:cs="Segoe UI"/>
        <w:noProof/>
        <w:szCs w:val="18"/>
      </w:rPr>
      <w:t>regional Precincts and Partnerships Program—Announced Projects</w:t>
    </w:r>
    <w:r w:rsidR="0078095C">
      <w:rPr>
        <w:rFonts w:cs="Segoe UI"/>
        <w:noProof/>
        <w:szCs w:val="18"/>
      </w:rPr>
      <w:fldChar w:fldCharType="end"/>
    </w:r>
    <w:r w:rsidR="0078095C">
      <w:rPr>
        <w:rFonts w:cs="Segoe UI"/>
        <w:szCs w:val="18"/>
      </w:rPr>
      <w:tab/>
    </w:r>
    <w:r w:rsidR="0078095C">
      <w:rPr>
        <w:rFonts w:cs="Segoe UI"/>
        <w:szCs w:val="18"/>
      </w:rPr>
      <w:fldChar w:fldCharType="begin"/>
    </w:r>
    <w:r w:rsidR="0078095C">
      <w:rPr>
        <w:rFonts w:cs="Segoe UI"/>
        <w:szCs w:val="18"/>
      </w:rPr>
      <w:instrText xml:space="preserve"> PAGE  \* Arabic  \* MERGEFORMAT </w:instrText>
    </w:r>
    <w:r w:rsidR="0078095C">
      <w:rPr>
        <w:rFonts w:cs="Segoe UI"/>
        <w:szCs w:val="18"/>
      </w:rPr>
      <w:fldChar w:fldCharType="separate"/>
    </w:r>
    <w:r w:rsidR="0078095C">
      <w:rPr>
        <w:rFonts w:cs="Segoe UI"/>
        <w:szCs w:val="18"/>
      </w:rPr>
      <w:t>3</w:t>
    </w:r>
    <w:r w:rsidR="0078095C">
      <w:rPr>
        <w:rFonts w:cs="Segoe UI"/>
        <w:szCs w:val="18"/>
      </w:rPr>
      <w:fldChar w:fldCharType="end"/>
    </w:r>
  </w:p>
  <w:p w14:paraId="72A3D3EC" w14:textId="77777777" w:rsidR="0078095C" w:rsidRPr="00FC413F" w:rsidRDefault="0078095C" w:rsidP="00CA6509">
    <w:pPr>
      <w:pStyle w:val="Footer"/>
      <w:tabs>
        <w:tab w:val="clear" w:pos="4513"/>
        <w:tab w:val="clear" w:pos="9026"/>
      </w:tabs>
      <w:ind w:left="-1418"/>
      <w:rPr>
        <w:rFonts w:cs="Segoe UI"/>
        <w:szCs w:val="18"/>
      </w:rPr>
    </w:pPr>
    <w:r>
      <w:rPr>
        <w:noProof/>
        <w:lang w:eastAsia="en-AU"/>
      </w:rPr>
      <w:drawing>
        <wp:inline distT="0" distB="0" distL="0" distR="0" wp14:anchorId="0D1DE245" wp14:editId="0D1DE246">
          <wp:extent cx="10766663" cy="150495"/>
          <wp:effectExtent l="0" t="0" r="0" b="1905"/>
          <wp:docPr id="13" name="Picture 13" descr="background" title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port-Template-Long_BGs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9209" cy="151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F71AC" w14:textId="77777777" w:rsidR="003829CD" w:rsidRDefault="003829CD" w:rsidP="00FC413F">
      <w:pPr>
        <w:spacing w:after="0"/>
      </w:pPr>
      <w:r>
        <w:separator/>
      </w:r>
    </w:p>
  </w:footnote>
  <w:footnote w:type="continuationSeparator" w:id="0">
    <w:p w14:paraId="7B169953" w14:textId="77777777" w:rsidR="003829CD" w:rsidRDefault="003829CD" w:rsidP="00FC413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D98A" w14:textId="62DB212F" w:rsidR="00450A6F" w:rsidRDefault="00A302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B94ED3B" wp14:editId="2E68DE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18408601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A22518" w14:textId="7E75C3C9" w:rsidR="00A30298" w:rsidRPr="00A30298" w:rsidRDefault="00A30298" w:rsidP="00A302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302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94ED3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2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" filled="f" stroked="f">
              <v:textbox style="mso-fit-shape-to-text:t" inset="0,15pt,0,0">
                <w:txbxContent>
                  <w:p w14:paraId="03A22518" w14:textId="7E75C3C9" w:rsidR="00A30298" w:rsidRPr="00A30298" w:rsidRDefault="00A30298" w:rsidP="00A302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302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00E98" w14:textId="78336F62" w:rsidR="00450A6F" w:rsidRDefault="00A302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84509C5" wp14:editId="32FA9BAE">
              <wp:simplePos x="80962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66428205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5C4E72" w14:textId="743A5C7A" w:rsidR="00A30298" w:rsidRPr="00A30298" w:rsidRDefault="00A30298" w:rsidP="00A302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302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4509C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7.2pt;height:32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" filled="f" stroked="f">
              <v:textbox style="mso-fit-shape-to-text:t" inset="0,15pt,0,0">
                <w:txbxContent>
                  <w:p w14:paraId="545C4E72" w14:textId="743A5C7A" w:rsidR="00A30298" w:rsidRPr="00A30298" w:rsidRDefault="00A30298" w:rsidP="00A302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302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3E803" w14:textId="4C053138" w:rsidR="00450A6F" w:rsidRDefault="00A302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3E1525" wp14:editId="58DA04A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07670"/>
              <wp:effectExtent l="0" t="0" r="16510" b="11430"/>
              <wp:wrapNone/>
              <wp:docPr id="204963015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730B4F" w14:textId="6885B65B" w:rsidR="00A30298" w:rsidRPr="00A30298" w:rsidRDefault="00A30298" w:rsidP="00A3029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A3029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E15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7.2pt;height:32.1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" filled="f" stroked="f">
              <v:textbox style="mso-fit-shape-to-text:t" inset="0,15pt,0,0">
                <w:txbxContent>
                  <w:p w14:paraId="50730B4F" w14:textId="6885B65B" w:rsidR="00A30298" w:rsidRPr="00A30298" w:rsidRDefault="00A30298" w:rsidP="00A3029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A3029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DA5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4A90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DAC7B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DE0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29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0D8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2C6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AD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F466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94C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37613"/>
    <w:multiLevelType w:val="hybridMultilevel"/>
    <w:tmpl w:val="2B48B512"/>
    <w:lvl w:ilvl="0" w:tplc="69AC7252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E92756"/>
    <w:multiLevelType w:val="hybridMultilevel"/>
    <w:tmpl w:val="513A850A"/>
    <w:lvl w:ilvl="0" w:tplc="5112A3F8">
      <w:start w:val="1"/>
      <w:numFmt w:val="bullet"/>
      <w:pStyle w:val="Listparagraphbullets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3" w15:restartNumberingAfterBreak="0">
    <w:nsid w:val="4C7B3DE5"/>
    <w:multiLevelType w:val="hybridMultilevel"/>
    <w:tmpl w:val="FFB2E57C"/>
    <w:lvl w:ilvl="0" w:tplc="888CE0AC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27E7D"/>
    <w:multiLevelType w:val="hybridMultilevel"/>
    <w:tmpl w:val="900227B4"/>
    <w:lvl w:ilvl="0" w:tplc="7A24185A">
      <w:start w:val="1"/>
      <w:numFmt w:val="bullet"/>
      <w:pStyle w:val="Listparagraphbulletssecondlevel"/>
      <w:lvlText w:val="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50B52"/>
    <w:multiLevelType w:val="hybridMultilevel"/>
    <w:tmpl w:val="95266ED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554E84"/>
    <w:multiLevelType w:val="multilevel"/>
    <w:tmpl w:val="A5F2DDB2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1150361231">
    <w:abstractNumId w:val="14"/>
  </w:num>
  <w:num w:numId="2" w16cid:durableId="1074012061">
    <w:abstractNumId w:val="11"/>
  </w:num>
  <w:num w:numId="3" w16cid:durableId="651955531">
    <w:abstractNumId w:val="13"/>
  </w:num>
  <w:num w:numId="4" w16cid:durableId="1313101341">
    <w:abstractNumId w:val="9"/>
  </w:num>
  <w:num w:numId="5" w16cid:durableId="256863263">
    <w:abstractNumId w:val="7"/>
  </w:num>
  <w:num w:numId="6" w16cid:durableId="1672902657">
    <w:abstractNumId w:val="6"/>
  </w:num>
  <w:num w:numId="7" w16cid:durableId="1293633233">
    <w:abstractNumId w:val="5"/>
  </w:num>
  <w:num w:numId="8" w16cid:durableId="104082540">
    <w:abstractNumId w:val="4"/>
  </w:num>
  <w:num w:numId="9" w16cid:durableId="1502314161">
    <w:abstractNumId w:val="8"/>
  </w:num>
  <w:num w:numId="10" w16cid:durableId="1650868682">
    <w:abstractNumId w:val="3"/>
  </w:num>
  <w:num w:numId="11" w16cid:durableId="1289774639">
    <w:abstractNumId w:val="2"/>
  </w:num>
  <w:num w:numId="12" w16cid:durableId="1487740663">
    <w:abstractNumId w:val="1"/>
  </w:num>
  <w:num w:numId="13" w16cid:durableId="1114518761">
    <w:abstractNumId w:val="0"/>
  </w:num>
  <w:num w:numId="14" w16cid:durableId="791678513">
    <w:abstractNumId w:val="16"/>
  </w:num>
  <w:num w:numId="15" w16cid:durableId="5763727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49690836">
    <w:abstractNumId w:val="10"/>
  </w:num>
  <w:num w:numId="17" w16cid:durableId="1806072708">
    <w:abstractNumId w:val="10"/>
    <w:lvlOverride w:ilvl="0">
      <w:startOverride w:val="1"/>
    </w:lvlOverride>
  </w:num>
  <w:num w:numId="18" w16cid:durableId="879198005">
    <w:abstractNumId w:val="12"/>
  </w:num>
  <w:num w:numId="19" w16cid:durableId="9120807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56"/>
    <w:rsid w:val="0000270B"/>
    <w:rsid w:val="00010DA1"/>
    <w:rsid w:val="00012D3A"/>
    <w:rsid w:val="0001465F"/>
    <w:rsid w:val="00033096"/>
    <w:rsid w:val="0003502E"/>
    <w:rsid w:val="00041972"/>
    <w:rsid w:val="0004224C"/>
    <w:rsid w:val="000522EB"/>
    <w:rsid w:val="00072195"/>
    <w:rsid w:val="000740FB"/>
    <w:rsid w:val="00075FDF"/>
    <w:rsid w:val="000849DE"/>
    <w:rsid w:val="00085605"/>
    <w:rsid w:val="00090E62"/>
    <w:rsid w:val="0009287F"/>
    <w:rsid w:val="000B1E86"/>
    <w:rsid w:val="000B6FF7"/>
    <w:rsid w:val="000C0244"/>
    <w:rsid w:val="000C6A9B"/>
    <w:rsid w:val="000D4B3B"/>
    <w:rsid w:val="000E21F6"/>
    <w:rsid w:val="000E704A"/>
    <w:rsid w:val="00105DA4"/>
    <w:rsid w:val="001061E6"/>
    <w:rsid w:val="00111595"/>
    <w:rsid w:val="00113A03"/>
    <w:rsid w:val="00133A45"/>
    <w:rsid w:val="00143894"/>
    <w:rsid w:val="00180D22"/>
    <w:rsid w:val="00183D0B"/>
    <w:rsid w:val="0018609D"/>
    <w:rsid w:val="00190A0C"/>
    <w:rsid w:val="00194789"/>
    <w:rsid w:val="001B2F50"/>
    <w:rsid w:val="001D1151"/>
    <w:rsid w:val="001D583B"/>
    <w:rsid w:val="001D6D6B"/>
    <w:rsid w:val="001E4471"/>
    <w:rsid w:val="001E4DA9"/>
    <w:rsid w:val="001E7AC4"/>
    <w:rsid w:val="001F2321"/>
    <w:rsid w:val="001F4D5A"/>
    <w:rsid w:val="00204A64"/>
    <w:rsid w:val="002066B9"/>
    <w:rsid w:val="00217C11"/>
    <w:rsid w:val="00236F1B"/>
    <w:rsid w:val="00244E39"/>
    <w:rsid w:val="00261FFA"/>
    <w:rsid w:val="00264230"/>
    <w:rsid w:val="00265263"/>
    <w:rsid w:val="00267898"/>
    <w:rsid w:val="00272982"/>
    <w:rsid w:val="00287C7E"/>
    <w:rsid w:val="0029362F"/>
    <w:rsid w:val="0029453A"/>
    <w:rsid w:val="002A5AB5"/>
    <w:rsid w:val="002A7C9F"/>
    <w:rsid w:val="002C4CC8"/>
    <w:rsid w:val="002F1A23"/>
    <w:rsid w:val="002F2407"/>
    <w:rsid w:val="002F3B5A"/>
    <w:rsid w:val="002F550C"/>
    <w:rsid w:val="00300077"/>
    <w:rsid w:val="00310148"/>
    <w:rsid w:val="00317773"/>
    <w:rsid w:val="00323710"/>
    <w:rsid w:val="00324F37"/>
    <w:rsid w:val="00341CAC"/>
    <w:rsid w:val="00342348"/>
    <w:rsid w:val="00345AF9"/>
    <w:rsid w:val="003506F1"/>
    <w:rsid w:val="003508A8"/>
    <w:rsid w:val="003535C3"/>
    <w:rsid w:val="00381BDA"/>
    <w:rsid w:val="003829CD"/>
    <w:rsid w:val="00395110"/>
    <w:rsid w:val="003A7989"/>
    <w:rsid w:val="003B6D01"/>
    <w:rsid w:val="003C575A"/>
    <w:rsid w:val="003D71C5"/>
    <w:rsid w:val="003D7F75"/>
    <w:rsid w:val="003F3CB7"/>
    <w:rsid w:val="003F637C"/>
    <w:rsid w:val="00416734"/>
    <w:rsid w:val="004404FB"/>
    <w:rsid w:val="00442278"/>
    <w:rsid w:val="00445017"/>
    <w:rsid w:val="00446BAF"/>
    <w:rsid w:val="00450A6F"/>
    <w:rsid w:val="004A3207"/>
    <w:rsid w:val="004A3474"/>
    <w:rsid w:val="004B39E8"/>
    <w:rsid w:val="004B4A3D"/>
    <w:rsid w:val="004C088E"/>
    <w:rsid w:val="004C3095"/>
    <w:rsid w:val="004E59B1"/>
    <w:rsid w:val="004F0361"/>
    <w:rsid w:val="005213AF"/>
    <w:rsid w:val="00535788"/>
    <w:rsid w:val="005365E9"/>
    <w:rsid w:val="005413E7"/>
    <w:rsid w:val="00543D99"/>
    <w:rsid w:val="00557E32"/>
    <w:rsid w:val="0058A67F"/>
    <w:rsid w:val="0059569E"/>
    <w:rsid w:val="005C0459"/>
    <w:rsid w:val="005C37D2"/>
    <w:rsid w:val="005C6C8D"/>
    <w:rsid w:val="005D038B"/>
    <w:rsid w:val="005D3799"/>
    <w:rsid w:val="005D4143"/>
    <w:rsid w:val="005E55BD"/>
    <w:rsid w:val="00606902"/>
    <w:rsid w:val="00610225"/>
    <w:rsid w:val="00624C59"/>
    <w:rsid w:val="00626193"/>
    <w:rsid w:val="00630D43"/>
    <w:rsid w:val="00634562"/>
    <w:rsid w:val="006452B1"/>
    <w:rsid w:val="006460B8"/>
    <w:rsid w:val="006542FA"/>
    <w:rsid w:val="00654F9E"/>
    <w:rsid w:val="00673A68"/>
    <w:rsid w:val="00691FA2"/>
    <w:rsid w:val="006A0EDD"/>
    <w:rsid w:val="006A74BD"/>
    <w:rsid w:val="006D1878"/>
    <w:rsid w:val="006D43C7"/>
    <w:rsid w:val="006F575E"/>
    <w:rsid w:val="006F6D74"/>
    <w:rsid w:val="006F6DE0"/>
    <w:rsid w:val="00701EA1"/>
    <w:rsid w:val="00702A9D"/>
    <w:rsid w:val="00704063"/>
    <w:rsid w:val="0071085C"/>
    <w:rsid w:val="00731351"/>
    <w:rsid w:val="0074395B"/>
    <w:rsid w:val="00743AE2"/>
    <w:rsid w:val="00744CD2"/>
    <w:rsid w:val="00752EE1"/>
    <w:rsid w:val="00754169"/>
    <w:rsid w:val="0076162B"/>
    <w:rsid w:val="00772C27"/>
    <w:rsid w:val="00775B4B"/>
    <w:rsid w:val="0078095C"/>
    <w:rsid w:val="00782219"/>
    <w:rsid w:val="00790370"/>
    <w:rsid w:val="00790F25"/>
    <w:rsid w:val="00793843"/>
    <w:rsid w:val="00794E80"/>
    <w:rsid w:val="00795EDF"/>
    <w:rsid w:val="0079788A"/>
    <w:rsid w:val="007A09D1"/>
    <w:rsid w:val="007B53F7"/>
    <w:rsid w:val="007B68AB"/>
    <w:rsid w:val="007C4059"/>
    <w:rsid w:val="007C5A82"/>
    <w:rsid w:val="007C7EAC"/>
    <w:rsid w:val="007E598F"/>
    <w:rsid w:val="007F3C03"/>
    <w:rsid w:val="00810A5B"/>
    <w:rsid w:val="00822DBF"/>
    <w:rsid w:val="00836CAB"/>
    <w:rsid w:val="008424D8"/>
    <w:rsid w:val="00844881"/>
    <w:rsid w:val="00847CDE"/>
    <w:rsid w:val="008662DA"/>
    <w:rsid w:val="00886A1B"/>
    <w:rsid w:val="00890FEC"/>
    <w:rsid w:val="00891AFE"/>
    <w:rsid w:val="008A7B93"/>
    <w:rsid w:val="008B64C4"/>
    <w:rsid w:val="008B7158"/>
    <w:rsid w:val="008C6CB9"/>
    <w:rsid w:val="008C737E"/>
    <w:rsid w:val="008D40D3"/>
    <w:rsid w:val="008D4156"/>
    <w:rsid w:val="008E1BF9"/>
    <w:rsid w:val="008E1E2B"/>
    <w:rsid w:val="008E534F"/>
    <w:rsid w:val="008E5988"/>
    <w:rsid w:val="008F24DE"/>
    <w:rsid w:val="00906514"/>
    <w:rsid w:val="00906533"/>
    <w:rsid w:val="00912D17"/>
    <w:rsid w:val="00913934"/>
    <w:rsid w:val="00914E3B"/>
    <w:rsid w:val="0091766E"/>
    <w:rsid w:val="0092002D"/>
    <w:rsid w:val="009276A3"/>
    <w:rsid w:val="009279AE"/>
    <w:rsid w:val="00935A30"/>
    <w:rsid w:val="00953CCD"/>
    <w:rsid w:val="009833BA"/>
    <w:rsid w:val="00985DD5"/>
    <w:rsid w:val="009979C9"/>
    <w:rsid w:val="009A480D"/>
    <w:rsid w:val="009B3FC4"/>
    <w:rsid w:val="009B6321"/>
    <w:rsid w:val="009C110F"/>
    <w:rsid w:val="009C3D4E"/>
    <w:rsid w:val="009C66B9"/>
    <w:rsid w:val="009D5D42"/>
    <w:rsid w:val="009F6CDD"/>
    <w:rsid w:val="00A1662B"/>
    <w:rsid w:val="00A24200"/>
    <w:rsid w:val="00A30298"/>
    <w:rsid w:val="00A44E4B"/>
    <w:rsid w:val="00A46E5A"/>
    <w:rsid w:val="00A4759C"/>
    <w:rsid w:val="00A516B9"/>
    <w:rsid w:val="00A5600C"/>
    <w:rsid w:val="00A61866"/>
    <w:rsid w:val="00A630AF"/>
    <w:rsid w:val="00A63390"/>
    <w:rsid w:val="00A63C53"/>
    <w:rsid w:val="00A81480"/>
    <w:rsid w:val="00A82DAF"/>
    <w:rsid w:val="00A83FD1"/>
    <w:rsid w:val="00A84B26"/>
    <w:rsid w:val="00A86AF3"/>
    <w:rsid w:val="00AA01D2"/>
    <w:rsid w:val="00AC34ED"/>
    <w:rsid w:val="00AC34F9"/>
    <w:rsid w:val="00AC6195"/>
    <w:rsid w:val="00AE06DD"/>
    <w:rsid w:val="00AE61A6"/>
    <w:rsid w:val="00B041CB"/>
    <w:rsid w:val="00B12FC1"/>
    <w:rsid w:val="00B3785F"/>
    <w:rsid w:val="00B43F55"/>
    <w:rsid w:val="00B46FD6"/>
    <w:rsid w:val="00B474B3"/>
    <w:rsid w:val="00B516FB"/>
    <w:rsid w:val="00B5393D"/>
    <w:rsid w:val="00B67CDD"/>
    <w:rsid w:val="00B722B0"/>
    <w:rsid w:val="00B74715"/>
    <w:rsid w:val="00B76D03"/>
    <w:rsid w:val="00B85CA9"/>
    <w:rsid w:val="00B86B45"/>
    <w:rsid w:val="00BA32A1"/>
    <w:rsid w:val="00BB3D46"/>
    <w:rsid w:val="00BB499D"/>
    <w:rsid w:val="00BC0598"/>
    <w:rsid w:val="00BF57D4"/>
    <w:rsid w:val="00C02452"/>
    <w:rsid w:val="00C101C3"/>
    <w:rsid w:val="00C1313B"/>
    <w:rsid w:val="00C233B5"/>
    <w:rsid w:val="00C36E40"/>
    <w:rsid w:val="00C62177"/>
    <w:rsid w:val="00C647A3"/>
    <w:rsid w:val="00C77B3C"/>
    <w:rsid w:val="00C91F32"/>
    <w:rsid w:val="00CA5147"/>
    <w:rsid w:val="00CA6509"/>
    <w:rsid w:val="00CD0046"/>
    <w:rsid w:val="00D13C03"/>
    <w:rsid w:val="00D41D98"/>
    <w:rsid w:val="00D47BFD"/>
    <w:rsid w:val="00D54502"/>
    <w:rsid w:val="00D56936"/>
    <w:rsid w:val="00D64922"/>
    <w:rsid w:val="00D777C1"/>
    <w:rsid w:val="00D92BF6"/>
    <w:rsid w:val="00D967E6"/>
    <w:rsid w:val="00DB7648"/>
    <w:rsid w:val="00DC4C98"/>
    <w:rsid w:val="00DC5DC8"/>
    <w:rsid w:val="00DC73D4"/>
    <w:rsid w:val="00E0330E"/>
    <w:rsid w:val="00E06293"/>
    <w:rsid w:val="00E17389"/>
    <w:rsid w:val="00E6248D"/>
    <w:rsid w:val="00E7227D"/>
    <w:rsid w:val="00E76BC6"/>
    <w:rsid w:val="00E80E04"/>
    <w:rsid w:val="00E82299"/>
    <w:rsid w:val="00E832AF"/>
    <w:rsid w:val="00E83899"/>
    <w:rsid w:val="00EA3C28"/>
    <w:rsid w:val="00EA3CF8"/>
    <w:rsid w:val="00EA415A"/>
    <w:rsid w:val="00EA6F92"/>
    <w:rsid w:val="00EA7939"/>
    <w:rsid w:val="00ED1101"/>
    <w:rsid w:val="00EE3294"/>
    <w:rsid w:val="00EE6EE8"/>
    <w:rsid w:val="00EF5B98"/>
    <w:rsid w:val="00EF5FD0"/>
    <w:rsid w:val="00F005AF"/>
    <w:rsid w:val="00F00E10"/>
    <w:rsid w:val="00F06437"/>
    <w:rsid w:val="00F32355"/>
    <w:rsid w:val="00F41576"/>
    <w:rsid w:val="00F433A5"/>
    <w:rsid w:val="00F61FA1"/>
    <w:rsid w:val="00F72C9B"/>
    <w:rsid w:val="00F737D9"/>
    <w:rsid w:val="00F814AD"/>
    <w:rsid w:val="00F85504"/>
    <w:rsid w:val="00FA3348"/>
    <w:rsid w:val="00FA64C7"/>
    <w:rsid w:val="00FC413F"/>
    <w:rsid w:val="00FC4CB1"/>
    <w:rsid w:val="00FD2B5E"/>
    <w:rsid w:val="00FD3DAB"/>
    <w:rsid w:val="00FD6DAE"/>
    <w:rsid w:val="00FE2BA6"/>
    <w:rsid w:val="00FE6ADD"/>
    <w:rsid w:val="08566F57"/>
    <w:rsid w:val="0BCC770A"/>
    <w:rsid w:val="0E94AE74"/>
    <w:rsid w:val="0FE0F3AA"/>
    <w:rsid w:val="115B0E63"/>
    <w:rsid w:val="12C0B30A"/>
    <w:rsid w:val="1B694FB7"/>
    <w:rsid w:val="1E889CDB"/>
    <w:rsid w:val="1FA882DC"/>
    <w:rsid w:val="215FD84F"/>
    <w:rsid w:val="24FDCD11"/>
    <w:rsid w:val="25B01B6A"/>
    <w:rsid w:val="2AD30E2F"/>
    <w:rsid w:val="307CDA24"/>
    <w:rsid w:val="3200A267"/>
    <w:rsid w:val="36CB5E06"/>
    <w:rsid w:val="38EA3ACA"/>
    <w:rsid w:val="3D90006C"/>
    <w:rsid w:val="3E369E6F"/>
    <w:rsid w:val="403D1BE5"/>
    <w:rsid w:val="4147D1F2"/>
    <w:rsid w:val="4F1C1EBE"/>
    <w:rsid w:val="526C0B98"/>
    <w:rsid w:val="54829D94"/>
    <w:rsid w:val="56A7505D"/>
    <w:rsid w:val="585F2B88"/>
    <w:rsid w:val="5860A920"/>
    <w:rsid w:val="5E0C37AE"/>
    <w:rsid w:val="75A6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378EE"/>
  <w15:chartTrackingRefBased/>
  <w15:docId w15:val="{DE9ED889-C8A3-47DF-8C41-980D2528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B45"/>
    <w:pPr>
      <w:spacing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C28"/>
    <w:pPr>
      <w:numPr>
        <w:ilvl w:val="1"/>
      </w:numPr>
      <w:suppressAutoHyphens/>
      <w:spacing w:before="240"/>
      <w:outlineLvl w:val="0"/>
    </w:pPr>
    <w:rPr>
      <w:rFonts w:eastAsia="SimSun" w:cs="Times New Roman"/>
      <w:b/>
      <w:color w:val="081E3E"/>
      <w:kern w:val="12"/>
      <w:sz w:val="44"/>
      <w:szCs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6B45"/>
    <w:pPr>
      <w:keepNext/>
      <w:keepLines/>
      <w:suppressAutoHyphens/>
      <w:outlineLvl w:val="1"/>
    </w:pPr>
    <w:rPr>
      <w:rFonts w:eastAsia="SimSun" w:cs="Times New Roman"/>
      <w:b/>
      <w:color w:val="081E3E"/>
      <w:kern w:val="1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6B45"/>
    <w:pPr>
      <w:keepNext/>
      <w:keepLines/>
      <w:suppressAutoHyphens/>
      <w:outlineLvl w:val="2"/>
    </w:pPr>
    <w:rPr>
      <w:rFonts w:eastAsia="SimSun" w:cs="Times New Roman"/>
      <w:b/>
      <w:color w:val="595C6E"/>
      <w:kern w:val="12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86B45"/>
    <w:pPr>
      <w:keepNext/>
      <w:keepLines/>
      <w:suppressAutoHyphens/>
      <w:outlineLvl w:val="3"/>
    </w:pPr>
    <w:rPr>
      <w:rFonts w:eastAsia="SimSun" w:cs="Times New Roman"/>
      <w:iCs/>
      <w:color w:val="595C6E"/>
      <w:kern w:val="12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A0C"/>
    <w:pPr>
      <w:keepNext/>
      <w:spacing w:before="120"/>
      <w:outlineLvl w:val="4"/>
    </w:pPr>
    <w:rPr>
      <w:rFonts w:eastAsia="MingLiU" w:cs="Segoe UI Semibold"/>
      <w:b/>
      <w:color w:val="4C5564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A0C"/>
    <w:pPr>
      <w:keepNext/>
      <w:spacing w:before="120"/>
      <w:outlineLvl w:val="5"/>
    </w:pPr>
    <w:rPr>
      <w:rFonts w:eastAsia="MingLiU" w:cs="Segoe UI Semibold"/>
      <w:b/>
      <w:color w:val="4C556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A0C"/>
    <w:pPr>
      <w:keepNext/>
      <w:keepLines/>
      <w:spacing w:before="40" w:after="0"/>
      <w:outlineLvl w:val="6"/>
    </w:pPr>
    <w:rPr>
      <w:rFonts w:eastAsiaTheme="majorEastAsia" w:cs="Segoe UI Semibold"/>
      <w:b/>
      <w:iCs/>
      <w:color w:val="4C5564"/>
      <w:szCs w:val="1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90E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bulletssecondlevel">
    <w:name w:val="List paragraph—bullets—second level"/>
    <w:basedOn w:val="Listparagraphbullets"/>
    <w:autoRedefine/>
    <w:qFormat/>
    <w:rsid w:val="00953CCD"/>
    <w:pPr>
      <w:numPr>
        <w:numId w:val="1"/>
      </w:numPr>
      <w:spacing w:before="80" w:after="0"/>
      <w:ind w:left="1134" w:hanging="567"/>
    </w:pPr>
    <w:rPr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261FFA"/>
    <w:pPr>
      <w:tabs>
        <w:tab w:val="center" w:pos="4678"/>
        <w:tab w:val="right" w:pos="9356"/>
      </w:tabs>
      <w:spacing w:after="0"/>
    </w:pPr>
    <w:rPr>
      <w:rFonts w:ascii="Segoe UI Light" w:hAnsi="Segoe UI Light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261FFA"/>
    <w:rPr>
      <w:rFonts w:ascii="Segoe UI Light" w:hAnsi="Segoe UI Light"/>
      <w:sz w:val="18"/>
    </w:rPr>
  </w:style>
  <w:style w:type="paragraph" w:styleId="Footer">
    <w:name w:val="footer"/>
    <w:basedOn w:val="Normal"/>
    <w:link w:val="FooterChar"/>
    <w:uiPriority w:val="99"/>
    <w:unhideWhenUsed/>
    <w:rsid w:val="006D43C7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6D43C7"/>
    <w:rPr>
      <w:rFonts w:ascii="Segoe UI" w:hAnsi="Segoe UI"/>
      <w:sz w:val="18"/>
    </w:rPr>
  </w:style>
  <w:style w:type="character" w:styleId="Hyperlink">
    <w:name w:val="Hyperlink"/>
    <w:basedOn w:val="DefaultParagraphFont"/>
    <w:uiPriority w:val="99"/>
    <w:unhideWhenUsed/>
    <w:rsid w:val="00FC413F"/>
    <w:rPr>
      <w:color w:val="002D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A3C28"/>
    <w:rPr>
      <w:rFonts w:ascii="Calibri" w:eastAsia="SimSun" w:hAnsi="Calibri" w:cs="Times New Roman"/>
      <w:b/>
      <w:color w:val="081E3E"/>
      <w:kern w:val="12"/>
      <w:sz w:val="44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86B45"/>
    <w:rPr>
      <w:rFonts w:ascii="Calibri" w:eastAsia="SimSun" w:hAnsi="Calibri" w:cs="Times New Roman"/>
      <w:b/>
      <w:color w:val="081E3E"/>
      <w:kern w:val="1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86B45"/>
    <w:rPr>
      <w:rFonts w:ascii="Calibri" w:eastAsia="SimSun" w:hAnsi="Calibri" w:cs="Times New Roman"/>
      <w:b/>
      <w:color w:val="595C6E"/>
      <w:kern w:val="12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86B45"/>
    <w:rPr>
      <w:rFonts w:ascii="Calibri" w:eastAsia="SimSun" w:hAnsi="Calibri" w:cs="Times New Roman"/>
      <w:iCs/>
      <w:color w:val="595C6E"/>
      <w:kern w:val="12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190A0C"/>
    <w:rPr>
      <w:rFonts w:ascii="Calibri" w:eastAsia="MingLiU" w:hAnsi="Calibri" w:cs="Segoe UI Semibold"/>
      <w:b/>
      <w:color w:val="4C556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90A0C"/>
    <w:rPr>
      <w:rFonts w:ascii="Calibri" w:eastAsia="MingLiU" w:hAnsi="Calibri" w:cs="Segoe UI Semibold"/>
      <w:b/>
      <w:color w:val="4C5564"/>
    </w:rPr>
  </w:style>
  <w:style w:type="character" w:customStyle="1" w:styleId="Heading7Char">
    <w:name w:val="Heading 7 Char"/>
    <w:basedOn w:val="DefaultParagraphFont"/>
    <w:link w:val="Heading7"/>
    <w:uiPriority w:val="9"/>
    <w:rsid w:val="00190A0C"/>
    <w:rPr>
      <w:rFonts w:ascii="Calibri" w:eastAsiaTheme="majorEastAsia" w:hAnsi="Calibri" w:cs="Segoe UI Semibold"/>
      <w:b/>
      <w:iCs/>
      <w:color w:val="4C5564"/>
      <w:sz w:val="20"/>
      <w:szCs w:val="18"/>
    </w:rPr>
  </w:style>
  <w:style w:type="paragraph" w:customStyle="1" w:styleId="Heading2notshowing">
    <w:name w:val="Heading 2—not showing"/>
    <w:basedOn w:val="Normal"/>
    <w:next w:val="Normal"/>
    <w:qFormat/>
    <w:rsid w:val="00190A0C"/>
    <w:pPr>
      <w:keepNext/>
      <w:outlineLvl w:val="1"/>
    </w:pPr>
    <w:rPr>
      <w:rFonts w:eastAsia="MingLiU" w:cs="Segoe UI Semibold"/>
      <w:b/>
      <w:color w:val="4C5564"/>
      <w:sz w:val="28"/>
      <w:szCs w:val="26"/>
    </w:rPr>
  </w:style>
  <w:style w:type="paragraph" w:customStyle="1" w:styleId="Heading3notshowing">
    <w:name w:val="Heading 3—not showing"/>
    <w:basedOn w:val="Normal"/>
    <w:next w:val="Normal"/>
    <w:qFormat/>
    <w:rsid w:val="00190A0C"/>
    <w:pPr>
      <w:keepNext/>
      <w:outlineLvl w:val="2"/>
    </w:pPr>
    <w:rPr>
      <w:rFonts w:eastAsia="MingLiU" w:cs="Segoe UI Semibold"/>
      <w:b/>
      <w:color w:val="4C5564"/>
      <w:sz w:val="24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B86B45"/>
    <w:pPr>
      <w:pBdr>
        <w:left w:val="single" w:sz="48" w:space="22" w:color="4BB3B5"/>
      </w:pBdr>
      <w:suppressAutoHyphens/>
      <w:spacing w:before="160"/>
      <w:ind w:left="567" w:right="567"/>
    </w:pPr>
    <w:rPr>
      <w:rFonts w:eastAsia="Calibri" w:cs="Times New Roman"/>
      <w:b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sid w:val="00B86B45"/>
    <w:rPr>
      <w:rFonts w:ascii="Calibri" w:eastAsia="Calibri" w:hAnsi="Calibri" w:cs="Times New Roman"/>
      <w:b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090E6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Listparagraphbullets">
    <w:name w:val="List paragraph—bullets"/>
    <w:basedOn w:val="ListParagraph"/>
    <w:qFormat/>
    <w:rsid w:val="00B5393D"/>
    <w:pPr>
      <w:numPr>
        <w:numId w:val="2"/>
      </w:numPr>
      <w:ind w:left="567" w:hanging="567"/>
    </w:pPr>
    <w:rPr>
      <w:lang w:eastAsia="zh-TW"/>
    </w:rPr>
  </w:style>
  <w:style w:type="paragraph" w:styleId="ListParagraph">
    <w:name w:val="List Paragraph"/>
    <w:basedOn w:val="Normal"/>
    <w:uiPriority w:val="34"/>
    <w:qFormat/>
    <w:rsid w:val="00B5393D"/>
    <w:pPr>
      <w:numPr>
        <w:numId w:val="3"/>
      </w:numPr>
      <w:ind w:left="567" w:hanging="567"/>
      <w:contextualSpacing/>
    </w:pPr>
  </w:style>
  <w:style w:type="paragraph" w:customStyle="1" w:styleId="Tabletext">
    <w:name w:val="Table text"/>
    <w:basedOn w:val="Normal"/>
    <w:qFormat/>
    <w:rsid w:val="008B7158"/>
    <w:pPr>
      <w:spacing w:before="40" w:after="40"/>
    </w:pPr>
    <w:rPr>
      <w:rFonts w:eastAsia="Times New Roman" w:cs="Times New Roman"/>
      <w:szCs w:val="20"/>
    </w:rPr>
  </w:style>
  <w:style w:type="paragraph" w:customStyle="1" w:styleId="Tablerowcolumnheading">
    <w:name w:val="Table row/column heading"/>
    <w:basedOn w:val="Normal"/>
    <w:next w:val="Normal"/>
    <w:rsid w:val="00AC6195"/>
    <w:pPr>
      <w:shd w:val="clear" w:color="auto" w:fill="081E3E"/>
      <w:spacing w:before="60" w:after="60"/>
    </w:pPr>
    <w:rPr>
      <w:b/>
      <w:color w:val="FFFFFF" w:themeColor="background1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17C1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17C11"/>
    <w:rPr>
      <w:rFonts w:ascii="Segoe UI" w:hAnsi="Segoe U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7C11"/>
    <w:rPr>
      <w:vertAlign w:val="superscript"/>
    </w:rPr>
  </w:style>
  <w:style w:type="paragraph" w:customStyle="1" w:styleId="Tablefigureheading">
    <w:name w:val="Table/figure heading"/>
    <w:basedOn w:val="Normal"/>
    <w:next w:val="Normal"/>
    <w:qFormat/>
    <w:rsid w:val="00190A0C"/>
    <w:pPr>
      <w:keepNext/>
      <w:spacing w:after="0"/>
    </w:pPr>
    <w:rPr>
      <w:b/>
      <w:color w:val="002D72"/>
    </w:rPr>
  </w:style>
  <w:style w:type="paragraph" w:customStyle="1" w:styleId="Tabletextcentred">
    <w:name w:val="Table text—centred"/>
    <w:basedOn w:val="Tabletext"/>
    <w:next w:val="NoSpacing"/>
    <w:rsid w:val="008B7158"/>
    <w:pPr>
      <w:jc w:val="center"/>
    </w:pPr>
  </w:style>
  <w:style w:type="paragraph" w:customStyle="1" w:styleId="Tablerowcolumnheadingcentred">
    <w:name w:val="Table row/column heading—centred"/>
    <w:basedOn w:val="Tablerowcolumnheading"/>
    <w:next w:val="Normal"/>
    <w:rsid w:val="00CD0046"/>
    <w:pPr>
      <w:jc w:val="center"/>
    </w:pPr>
  </w:style>
  <w:style w:type="paragraph" w:customStyle="1" w:styleId="Sourcenote">
    <w:name w:val="Source / note"/>
    <w:basedOn w:val="Normal"/>
    <w:qFormat/>
    <w:rsid w:val="00654F9E"/>
    <w:rPr>
      <w:rFonts w:eastAsia="PMingLiU" w:cs="Mangal"/>
      <w:color w:val="595C6E"/>
      <w:szCs w:val="20"/>
      <w:lang w:eastAsia="zh-TW"/>
    </w:rPr>
  </w:style>
  <w:style w:type="table" w:styleId="PlainTable1">
    <w:name w:val="Plain Table 1"/>
    <w:basedOn w:val="TableNormal"/>
    <w:uiPriority w:val="41"/>
    <w:rsid w:val="00217C1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7C11"/>
    <w:pPr>
      <w:spacing w:after="0" w:line="240" w:lineRule="auto"/>
    </w:pPr>
    <w:rPr>
      <w:rFonts w:ascii="Segoe UI" w:hAnsi="Segoe UI"/>
      <w:sz w:val="21"/>
    </w:rPr>
  </w:style>
  <w:style w:type="paragraph" w:styleId="TOC4">
    <w:name w:val="toc 4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567" w:right="567" w:hanging="567"/>
    </w:pPr>
  </w:style>
  <w:style w:type="paragraph" w:styleId="TOC1">
    <w:name w:val="toc 1"/>
    <w:basedOn w:val="Normal"/>
    <w:next w:val="Normal"/>
    <w:autoRedefine/>
    <w:uiPriority w:val="39"/>
    <w:unhideWhenUsed/>
    <w:rsid w:val="000740FB"/>
    <w:pPr>
      <w:keepNext/>
      <w:tabs>
        <w:tab w:val="right" w:leader="dot" w:pos="9072"/>
      </w:tabs>
      <w:spacing w:before="120" w:after="0"/>
      <w:ind w:left="567" w:right="567" w:hanging="567"/>
    </w:pPr>
    <w:rPr>
      <w:b/>
      <w:color w:val="002D72"/>
    </w:rPr>
  </w:style>
  <w:style w:type="paragraph" w:styleId="TOC2">
    <w:name w:val="toc 2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134" w:right="567" w:hanging="567"/>
    </w:pPr>
  </w:style>
  <w:style w:type="paragraph" w:styleId="TOC3">
    <w:name w:val="toc 3"/>
    <w:basedOn w:val="Normal"/>
    <w:next w:val="Normal"/>
    <w:autoRedefine/>
    <w:uiPriority w:val="39"/>
    <w:unhideWhenUsed/>
    <w:rsid w:val="000740FB"/>
    <w:pPr>
      <w:tabs>
        <w:tab w:val="right" w:leader="dot" w:pos="9072"/>
      </w:tabs>
      <w:spacing w:after="0"/>
      <w:ind w:left="1701" w:right="567" w:hanging="567"/>
    </w:pPr>
  </w:style>
  <w:style w:type="paragraph" w:customStyle="1" w:styleId="Normaldisclaimerpage">
    <w:name w:val="Normal—disclaimer page"/>
    <w:basedOn w:val="Normal"/>
    <w:qFormat/>
    <w:rsid w:val="002F1A23"/>
    <w:rPr>
      <w:szCs w:val="20"/>
    </w:rPr>
  </w:style>
  <w:style w:type="table" w:customStyle="1" w:styleId="PlainTable11">
    <w:name w:val="Plain Table 11"/>
    <w:basedOn w:val="TableNormal"/>
    <w:next w:val="PlainTable1"/>
    <w:uiPriority w:val="41"/>
    <w:rsid w:val="00BB3D4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DefaultTable1">
    <w:name w:val="Default Table 1"/>
    <w:basedOn w:val="TableNormal"/>
    <w:uiPriority w:val="99"/>
    <w:rsid w:val="00A63390"/>
    <w:pPr>
      <w:spacing w:before="80" w:after="8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bottom w:val="single" w:sz="4" w:space="0" w:color="595959" w:themeColor="text1" w:themeTint="A6"/>
        <w:insideH w:val="single" w:sz="4" w:space="0" w:color="595959" w:themeColor="text1" w:themeTint="A6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shd w:val="clear" w:color="auto" w:fill="D9E2F3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bullets">
    <w:name w:val="Table text—bullets"/>
    <w:basedOn w:val="Listparagraphbullets"/>
    <w:qFormat/>
    <w:rsid w:val="00381BDA"/>
    <w:pPr>
      <w:spacing w:before="60" w:after="60"/>
      <w:ind w:left="284" w:hanging="284"/>
    </w:pPr>
    <w:rPr>
      <w:color w:val="000000" w:themeColor="text1"/>
      <w:szCs w:val="20"/>
    </w:rPr>
  </w:style>
  <w:style w:type="paragraph" w:styleId="Subtitle">
    <w:name w:val="Subtitle"/>
    <w:basedOn w:val="Normal"/>
    <w:next w:val="Normal"/>
    <w:link w:val="SubtitleChar"/>
    <w:uiPriority w:val="18"/>
    <w:qFormat/>
    <w:rsid w:val="000B6FF7"/>
    <w:pPr>
      <w:numPr>
        <w:ilvl w:val="1"/>
      </w:numPr>
      <w:suppressAutoHyphens/>
      <w:spacing w:before="120"/>
    </w:pPr>
    <w:rPr>
      <w:rFonts w:eastAsia="SimSun" w:cs="Times New Roman"/>
      <w:color w:val="377B88"/>
      <w:kern w:val="12"/>
    </w:rPr>
  </w:style>
  <w:style w:type="character" w:customStyle="1" w:styleId="SubtitleChar">
    <w:name w:val="Subtitle Char"/>
    <w:basedOn w:val="DefaultParagraphFont"/>
    <w:link w:val="Subtitle"/>
    <w:uiPriority w:val="18"/>
    <w:rsid w:val="000B6FF7"/>
    <w:rPr>
      <w:rFonts w:ascii="Calibri" w:eastAsia="SimSun" w:hAnsi="Calibri" w:cs="Times New Roman"/>
      <w:color w:val="377B88"/>
      <w:kern w:val="12"/>
    </w:rPr>
  </w:style>
  <w:style w:type="paragraph" w:customStyle="1" w:styleId="AreaHeading">
    <w:name w:val="Area Heading"/>
    <w:basedOn w:val="Normal"/>
    <w:qFormat/>
    <w:rsid w:val="00B041CB"/>
    <w:pPr>
      <w:suppressAutoHyphens/>
      <w:spacing w:after="80"/>
      <w:ind w:left="-1020" w:firstLine="1020"/>
    </w:pPr>
    <w:rPr>
      <w:rFonts w:asciiTheme="minorHAnsi" w:hAnsiTheme="minorHAnsi" w:cs="Times New Roman (Body CS)"/>
      <w:caps/>
      <w:color w:val="BF8F00" w:themeColor="accent4" w:themeShade="BF"/>
      <w:kern w:val="12"/>
      <w:sz w:val="21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041CB"/>
    <w:rPr>
      <w:color w:val="605E5C"/>
      <w:shd w:val="clear" w:color="auto" w:fill="E1DFDD"/>
    </w:rPr>
  </w:style>
  <w:style w:type="paragraph" w:customStyle="1" w:styleId="ListLegal1">
    <w:name w:val="List Legal 1"/>
    <w:basedOn w:val="Normal"/>
    <w:uiPriority w:val="3"/>
    <w:qFormat/>
    <w:rsid w:val="00B041CB"/>
    <w:pPr>
      <w:numPr>
        <w:numId w:val="14"/>
      </w:numPr>
      <w:suppressAutoHyphens/>
      <w:ind w:left="567" w:hanging="567"/>
    </w:pPr>
    <w:rPr>
      <w:color w:val="000000"/>
      <w:kern w:val="12"/>
      <w:szCs w:val="20"/>
      <w:lang w:val="x-none"/>
    </w:rPr>
  </w:style>
  <w:style w:type="paragraph" w:customStyle="1" w:styleId="ListLegal2">
    <w:name w:val="List Legal 2"/>
    <w:basedOn w:val="ListLegal1"/>
    <w:uiPriority w:val="3"/>
    <w:rsid w:val="00B041CB"/>
    <w:pPr>
      <w:numPr>
        <w:ilvl w:val="1"/>
      </w:numPr>
      <w:ind w:left="1134" w:hanging="567"/>
    </w:pPr>
  </w:style>
  <w:style w:type="paragraph" w:customStyle="1" w:styleId="ListLegal3">
    <w:name w:val="List Legal 3"/>
    <w:basedOn w:val="ListLegal2"/>
    <w:uiPriority w:val="3"/>
    <w:rsid w:val="00B041CB"/>
    <w:pPr>
      <w:numPr>
        <w:ilvl w:val="2"/>
      </w:numPr>
      <w:ind w:left="1701" w:hanging="567"/>
    </w:pPr>
  </w:style>
  <w:style w:type="numbering" w:customStyle="1" w:styleId="ListLegal">
    <w:name w:val="List Legal"/>
    <w:uiPriority w:val="99"/>
    <w:rsid w:val="00B041CB"/>
    <w:pPr>
      <w:numPr>
        <w:numId w:val="14"/>
      </w:numPr>
    </w:pPr>
  </w:style>
  <w:style w:type="table" w:customStyle="1" w:styleId="DefaultTable11">
    <w:name w:val="Default Table 11"/>
    <w:basedOn w:val="TableNormal"/>
    <w:uiPriority w:val="99"/>
    <w:rsid w:val="00654F9E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customStyle="1" w:styleId="DefaultTable12">
    <w:name w:val="Default Table 12"/>
    <w:basedOn w:val="TableNormal"/>
    <w:uiPriority w:val="99"/>
    <w:rsid w:val="00953CCD"/>
    <w:pPr>
      <w:spacing w:before="80" w:after="80" w:line="240" w:lineRule="auto"/>
    </w:pPr>
    <w:rPr>
      <w:color w:val="000000"/>
      <w:sz w:val="20"/>
      <w:szCs w:val="20"/>
    </w:rPr>
    <w:tblPr>
      <w:tblStyleRowBandSize w:val="1"/>
      <w:tblStyleColBandSize w:val="1"/>
      <w:tblBorders>
        <w:top w:val="single" w:sz="4" w:space="0" w:color="4BB3B5"/>
        <w:bottom w:val="single" w:sz="4" w:space="0" w:color="4BB3B5"/>
        <w:insideH w:val="single" w:sz="4" w:space="0" w:color="4BB3B5"/>
      </w:tblBorders>
    </w:tblPr>
    <w:tblStylePr w:type="firstRow">
      <w:rPr>
        <w:b/>
        <w:color w:val="FFFFFF"/>
      </w:rPr>
      <w:tblPr/>
      <w:trPr>
        <w:tblHeader/>
      </w:trPr>
      <w:tcPr>
        <w:tcBorders>
          <w:top w:val="nil"/>
          <w:bottom w:val="nil"/>
        </w:tcBorders>
        <w:shd w:val="clear" w:color="auto" w:fill="081E3E"/>
      </w:tcPr>
    </w:tblStylePr>
    <w:tblStylePr w:type="lastRow">
      <w:rPr>
        <w:b/>
      </w:rPr>
      <w:tblPr/>
      <w:tcPr>
        <w:shd w:val="clear" w:color="auto" w:fill="F2F6E8"/>
      </w:tcPr>
    </w:tblStylePr>
    <w:tblStylePr w:type="firstCol">
      <w:rPr>
        <w:b/>
      </w:rPr>
    </w:tblStylePr>
    <w:tblStylePr w:type="band2Vert">
      <w:tblPr/>
      <w:tcPr>
        <w:shd w:val="clear" w:color="auto" w:fill="F2F2F2"/>
      </w:tcPr>
    </w:tblStylePr>
    <w:tblStylePr w:type="band2Horz">
      <w:tblPr/>
      <w:tcPr>
        <w:shd w:val="clear" w:color="auto" w:fill="F2F2F2"/>
      </w:tcPr>
    </w:tblStylePr>
  </w:style>
  <w:style w:type="table" w:styleId="TableGrid">
    <w:name w:val="Table Grid"/>
    <w:basedOn w:val="TableNormal"/>
    <w:uiPriority w:val="39"/>
    <w:rsid w:val="00AC6195"/>
    <w:pPr>
      <w:spacing w:after="0" w:line="240" w:lineRule="auto"/>
    </w:pPr>
    <w:rPr>
      <w:color w:val="00000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roduction">
    <w:name w:val="Introduction"/>
    <w:basedOn w:val="Normal"/>
    <w:uiPriority w:val="2"/>
    <w:qFormat/>
    <w:rsid w:val="00906533"/>
    <w:pPr>
      <w:suppressAutoHyphens/>
      <w:spacing w:before="240" w:after="240"/>
    </w:pPr>
    <w:rPr>
      <w:rFonts w:asciiTheme="minorHAnsi" w:hAnsiTheme="minorHAnsi"/>
      <w:color w:val="377B88"/>
      <w:sz w:val="26"/>
      <w:lang w:val="x-none"/>
    </w:rPr>
  </w:style>
  <w:style w:type="paragraph" w:customStyle="1" w:styleId="Bullet1">
    <w:name w:val="Bullet 1"/>
    <w:basedOn w:val="Normal"/>
    <w:uiPriority w:val="3"/>
    <w:qFormat/>
    <w:rsid w:val="00906533"/>
    <w:pPr>
      <w:numPr>
        <w:numId w:val="18"/>
      </w:numPr>
      <w:suppressAutoHyphens/>
      <w:spacing w:before="80" w:after="80"/>
    </w:pPr>
    <w:rPr>
      <w:rFonts w:asciiTheme="minorHAnsi" w:hAnsiTheme="minorHAnsi"/>
      <w:color w:val="000000" w:themeColor="text1"/>
      <w:lang w:val="x-none"/>
    </w:rPr>
  </w:style>
  <w:style w:type="paragraph" w:customStyle="1" w:styleId="Bullet2">
    <w:name w:val="Bullet 2"/>
    <w:basedOn w:val="Bullet1"/>
    <w:uiPriority w:val="3"/>
    <w:rsid w:val="00906533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906533"/>
    <w:pPr>
      <w:numPr>
        <w:ilvl w:val="2"/>
      </w:numPr>
    </w:pPr>
  </w:style>
  <w:style w:type="table" w:customStyle="1" w:styleId="IconBoxTable">
    <w:name w:val="Icon Box Table"/>
    <w:basedOn w:val="TableNormal"/>
    <w:uiPriority w:val="99"/>
    <w:rsid w:val="00906533"/>
    <w:pPr>
      <w:spacing w:before="80" w:after="80" w:line="240" w:lineRule="auto"/>
    </w:pPr>
    <w:rPr>
      <w:color w:val="000000" w:themeColor="text1"/>
    </w:r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06533"/>
    <w:pPr>
      <w:numPr>
        <w:numId w:val="1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1F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F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4455">
              <w:marLeft w:val="-30"/>
              <w:marRight w:val="0"/>
              <w:marTop w:val="0"/>
              <w:marBottom w:val="0"/>
              <w:divBdr>
                <w:top w:val="single" w:sz="12" w:space="5" w:color="8764B8"/>
                <w:left w:val="single" w:sz="12" w:space="5" w:color="8764B8"/>
                <w:bottom w:val="single" w:sz="12" w:space="5" w:color="8764B8"/>
                <w:right w:val="single" w:sz="12" w:space="0" w:color="8764B8"/>
              </w:divBdr>
              <w:divsChild>
                <w:div w:id="15735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8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D02FB-245E-4251-9A2F-3B215E8AC4E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2353</Words>
  <Characters>14432</Characters>
  <Application>Microsoft Office Word</Application>
  <DocSecurity>0</DocSecurity>
  <Lines>888</Lines>
  <Paragraphs>475</Paragraphs>
  <ScaleCrop>false</ScaleCrop>
  <Company>Department of Infrastructure, Transport, Regional Development, Communications and the Arts</Company>
  <LinksUpToDate>false</LinksUpToDate>
  <CharactersWithSpaces>16343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 Precincts and Partnerships Program—Announced Projects—May 2025</dc:title>
  <dc:subject/>
  <dc:creator>Department of Infrastructure, Transport, Regional Development, Communications, Sport and the Arts</dc:creator>
  <cp:keywords/>
  <dc:description>6 January 2025</dc:description>
  <cp:revision>4</cp:revision>
  <cp:lastPrinted>2026-05-18T03:01:00Z</cp:lastPrinted>
  <dcterms:created xsi:type="dcterms:W3CDTF">2026-05-18T03:00:00Z</dcterms:created>
  <dcterms:modified xsi:type="dcterms:W3CDTF">2026-05-18T03:01:00Z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7a2adfc7,6db94c14,279823c7</vt:lpwstr>
  </property>
  <property fmtid="{D5CDD505-2E9C-101B-9397-08002B2CF9AE}" pid="3" name="ClassificationContentMarkingHeaderFontProps">
    <vt:lpwstr>#ff0000,14,Aptos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374351d7,48f57860,12c839c5</vt:lpwstr>
  </property>
  <property fmtid="{D5CDD505-2E9C-101B-9397-08002B2CF9AE}" pid="6" name="ClassificationContentMarkingFooterFontProps">
    <vt:lpwstr>#ff0000,14,Aptos</vt:lpwstr>
  </property>
  <property fmtid="{D5CDD505-2E9C-101B-9397-08002B2CF9AE}" pid="7" name="ClassificationContentMarkingFooterText">
    <vt:lpwstr>OFFICIAL</vt:lpwstr>
  </property>
</Properties>
</file>