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533" w:rsidRDefault="00247ED9" w:rsidP="00822DBF">
      <w:pPr>
        <w:spacing w:after="0"/>
        <w:ind w:left="-1418"/>
      </w:pPr>
      <w:r>
        <w:rPr>
          <w:noProof/>
        </w:rPr>
        <w:drawing>
          <wp:inline distT="0" distB="0" distL="0" distR="0">
            <wp:extent cx="7538135" cy="1936750"/>
            <wp:effectExtent l="0" t="0" r="5715" b="6350"/>
            <wp:docPr id="3" name="Picture 3" descr="Australian Government, Department of Infrastructure, Transport, Regional Development, Communications, Sport and the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-with-inline-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010" cy="1947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C03" w:rsidRDefault="00D13C03" w:rsidP="00906533">
      <w:pPr>
        <w:spacing w:after="0"/>
        <w:sectPr w:rsidR="00D13C03" w:rsidSect="00EA415A">
          <w:headerReference w:type="default" r:id="rId9"/>
          <w:footerReference w:type="default" r:id="rId10"/>
          <w:footerReference w:type="first" r:id="rId11"/>
          <w:pgSz w:w="11906" w:h="16838"/>
          <w:pgMar w:top="0" w:right="991" w:bottom="1276" w:left="1440" w:header="0" w:footer="0" w:gutter="0"/>
          <w:cols w:space="708"/>
          <w:titlePg/>
          <w:docGrid w:linePitch="360"/>
        </w:sectPr>
      </w:pPr>
    </w:p>
    <w:p w:rsidR="0082123A" w:rsidRPr="0082123A" w:rsidRDefault="0082123A" w:rsidP="0082123A">
      <w:pPr>
        <w:pStyle w:val="AreaHeading"/>
        <w:spacing w:before="240"/>
        <w:ind w:left="0" w:firstLine="0"/>
        <w:jc w:val="both"/>
        <w:rPr>
          <w:color w:val="3B3838" w:themeColor="background2" w:themeShade="40"/>
        </w:rPr>
      </w:pPr>
      <w:r w:rsidRPr="0082123A">
        <w:rPr>
          <w:color w:val="3B3838" w:themeColor="background2" w:themeShade="40"/>
        </w:rPr>
        <w:t>TRANSPORT GROUP / DOMESTIC AVIATION &amp; REFORM DIVISION / SYDNEY AIRPORT Demand Management Regulator and Policy SECTION</w:t>
      </w:r>
    </w:p>
    <w:p w:rsidR="00906533" w:rsidRPr="00B041CB" w:rsidRDefault="0082123A" w:rsidP="00906533">
      <w:pPr>
        <w:pStyle w:val="Heading1"/>
      </w:pPr>
      <w:r>
        <w:t>Recovery period declaration</w:t>
      </w:r>
      <w:r>
        <w:t>s</w:t>
      </w:r>
    </w:p>
    <w:p w:rsidR="00906533" w:rsidRPr="00B041CB" w:rsidRDefault="0082123A" w:rsidP="00906533">
      <w:pPr>
        <w:suppressAutoHyphens/>
        <w:spacing w:before="160" w:after="80"/>
        <w:rPr>
          <w:rFonts w:eastAsia="Calibri" w:cs="Times New Roman"/>
          <w:b/>
          <w:color w:val="081E3E"/>
          <w:kern w:val="12"/>
          <w:szCs w:val="20"/>
        </w:rPr>
      </w:pPr>
      <w:r>
        <w:rPr>
          <w:rFonts w:eastAsia="Calibri" w:cs="Times New Roman"/>
          <w:b/>
          <w:color w:val="081E3E"/>
          <w:kern w:val="12"/>
          <w:szCs w:val="20"/>
        </w:rPr>
        <w:t>October 2025</w:t>
      </w:r>
    </w:p>
    <w:p w:rsidR="00B041CB" w:rsidRPr="00B041CB" w:rsidRDefault="00B041CB" w:rsidP="00906533">
      <w:pPr>
        <w:pBdr>
          <w:bottom w:val="single" w:sz="4" w:space="1" w:color="C0D48F"/>
        </w:pBdr>
        <w:suppressAutoHyphens/>
        <w:spacing w:before="160" w:after="360"/>
        <w:rPr>
          <w:rFonts w:eastAsia="Calibri" w:cs="Times New Roman"/>
          <w:color w:val="000000"/>
          <w:kern w:val="12"/>
          <w:szCs w:val="20"/>
        </w:rPr>
      </w:pPr>
    </w:p>
    <w:p w:rsidR="00FE6ADD" w:rsidRDefault="00FE6ADD" w:rsidP="00906533">
      <w:pPr>
        <w:pStyle w:val="Subtitle"/>
        <w:spacing w:before="0" w:after="0"/>
        <w:sectPr w:rsidR="00FE6ADD" w:rsidSect="00953CCD">
          <w:type w:val="continuous"/>
          <w:pgSz w:w="11906" w:h="16838"/>
          <w:pgMar w:top="1276" w:right="991" w:bottom="1276" w:left="1440" w:header="567" w:footer="0" w:gutter="0"/>
          <w:cols w:space="708"/>
          <w:titlePg/>
          <w:docGrid w:linePitch="360"/>
        </w:sectPr>
      </w:pPr>
    </w:p>
    <w:p w:rsidR="0082123A" w:rsidRPr="00B9027F" w:rsidRDefault="0082123A" w:rsidP="0082123A">
      <w:pPr>
        <w:jc w:val="both"/>
        <w:rPr>
          <w:lang w:val="x-none"/>
        </w:rPr>
      </w:pPr>
      <w:bookmarkStart w:id="0" w:name="_Hlk211855317"/>
      <w:r>
        <w:t xml:space="preserve">The </w:t>
      </w:r>
      <w:r w:rsidRPr="0020162F">
        <w:rPr>
          <w:i/>
          <w:lang w:val="x-none"/>
        </w:rPr>
        <w:t xml:space="preserve">Sydney Airport Demand Management Act 1997 </w:t>
      </w:r>
      <w:r>
        <w:t>(the Act) includes</w:t>
      </w:r>
      <w:r w:rsidRPr="0020162F">
        <w:rPr>
          <w:lang w:val="x-none"/>
        </w:rPr>
        <w:t xml:space="preserve"> a </w:t>
      </w:r>
      <w:r>
        <w:t>provision for the Minister to make a</w:t>
      </w:r>
      <w:r w:rsidRPr="0020162F">
        <w:rPr>
          <w:lang w:val="x-none"/>
        </w:rPr>
        <w:t xml:space="preserve"> ‘recovery period</w:t>
      </w:r>
      <w:r>
        <w:t xml:space="preserve"> declaration’ enabling an increase to Sydney Airport’s hourly aircraft movement cap</w:t>
      </w:r>
      <w:r w:rsidRPr="0020162F">
        <w:rPr>
          <w:lang w:val="x-none"/>
        </w:rPr>
        <w:t xml:space="preserve"> </w:t>
      </w:r>
      <w:r>
        <w:t xml:space="preserve">from 80 to 85 movements for up to consecutive two hours. </w:t>
      </w:r>
      <w:bookmarkEnd w:id="0"/>
      <w:r>
        <w:t xml:space="preserve">The Minister may declare multiple recovery periods on the same day. </w:t>
      </w:r>
      <w:r w:rsidRPr="00B9027F">
        <w:rPr>
          <w:lang w:val="x-none"/>
        </w:rPr>
        <w:t xml:space="preserve">Under </w:t>
      </w:r>
      <w:r>
        <w:t xml:space="preserve">section </w:t>
      </w:r>
      <w:r w:rsidRPr="00B9027F">
        <w:rPr>
          <w:lang w:val="x-none"/>
        </w:rPr>
        <w:t>9A of the Act, the Minister may declare a recovery period by written notice if satisfied:</w:t>
      </w:r>
    </w:p>
    <w:p w:rsidR="0082123A" w:rsidRPr="00B9027F" w:rsidRDefault="0082123A" w:rsidP="0082123A">
      <w:pPr>
        <w:pStyle w:val="Listparagraphbullets"/>
      </w:pPr>
      <w:bookmarkStart w:id="1" w:name="_Hlk211858079"/>
      <w:r w:rsidRPr="00B9027F">
        <w:t>aircraft movements at Sydney Airport on th</w:t>
      </w:r>
      <w:r>
        <w:t>e</w:t>
      </w:r>
      <w:r w:rsidRPr="00B9027F">
        <w:t xml:space="preserve"> relevant day are significantly disrupted;</w:t>
      </w:r>
    </w:p>
    <w:p w:rsidR="0082123A" w:rsidRPr="003900FB" w:rsidRDefault="0082123A" w:rsidP="0082123A">
      <w:pPr>
        <w:pStyle w:val="Listparagraphbullets"/>
      </w:pPr>
      <w:r w:rsidRPr="00B9027F">
        <w:t xml:space="preserve">the cause or circumstances of the disruption meet criteria set out in </w:t>
      </w:r>
      <w:r w:rsidRPr="003900FB">
        <w:t>the regulations; and</w:t>
      </w:r>
    </w:p>
    <w:p w:rsidR="0082123A" w:rsidRPr="00B9027F" w:rsidRDefault="0082123A" w:rsidP="0082123A">
      <w:pPr>
        <w:pStyle w:val="Listparagraphbullets"/>
      </w:pPr>
      <w:proofErr w:type="spellStart"/>
      <w:r w:rsidRPr="00B9027F">
        <w:t>Airservices</w:t>
      </w:r>
      <w:proofErr w:type="spellEnd"/>
      <w:r w:rsidRPr="00B9027F">
        <w:t xml:space="preserve"> Australia has recommended the declaration</w:t>
      </w:r>
      <w:r>
        <w:t>.</w:t>
      </w:r>
    </w:p>
    <w:bookmarkEnd w:id="1"/>
    <w:p w:rsidR="0082123A" w:rsidRDefault="0082123A" w:rsidP="0082123A">
      <w:pPr>
        <w:jc w:val="both"/>
      </w:pPr>
      <w:r w:rsidRPr="00B9027F">
        <w:rPr>
          <w:lang w:val="x-none"/>
        </w:rPr>
        <w:t xml:space="preserve">The Minister </w:t>
      </w:r>
      <w:r>
        <w:rPr>
          <w:lang w:val="x-none"/>
        </w:rPr>
        <w:t xml:space="preserve">or her delegate </w:t>
      </w:r>
      <w:r w:rsidRPr="00B9027F">
        <w:rPr>
          <w:lang w:val="x-none"/>
        </w:rPr>
        <w:t>retains discretion and is not required to make a declaration even if all three criteria are met.</w:t>
      </w:r>
      <w:r>
        <w:t xml:space="preserve"> However, all three criteria must be met prior to the Minister making a declaration. Regulation 7 of the Sydney Airport Demand Management Regulations 2025 provides the following criteria</w:t>
      </w:r>
      <w:r w:rsidRPr="00B9027F">
        <w:rPr>
          <w:lang w:val="x-none"/>
        </w:rPr>
        <w:t xml:space="preserve"> </w:t>
      </w:r>
      <w:r>
        <w:t>for the cause or circumstances of the disruption:</w:t>
      </w:r>
      <w:bookmarkStart w:id="2" w:name="_GoBack"/>
      <w:bookmarkEnd w:id="2"/>
    </w:p>
    <w:p w:rsidR="0082123A" w:rsidRDefault="0082123A" w:rsidP="0082123A">
      <w:pPr>
        <w:pStyle w:val="Listparagraphbullets"/>
      </w:pPr>
      <w:r w:rsidRPr="00DC6290">
        <w:t>aircraft operations in Australian airspace are unavailable or are restricted and the unavailability or restriction adversely affects aircraft movements at Sydney Airport;</w:t>
      </w:r>
    </w:p>
    <w:p w:rsidR="0082123A" w:rsidRPr="00DC6290" w:rsidRDefault="0082123A" w:rsidP="0082123A">
      <w:pPr>
        <w:pStyle w:val="Listparagraphbullets"/>
      </w:pPr>
      <w:r>
        <w:t>a</w:t>
      </w:r>
      <w:proofErr w:type="spellStart"/>
      <w:r w:rsidRPr="00DC6290">
        <w:t>irport</w:t>
      </w:r>
      <w:proofErr w:type="spellEnd"/>
      <w:r w:rsidRPr="00DC6290">
        <w:t xml:space="preserve"> infrastructure in Australia is unavailable or its use is restricted and the unavailability or restriction adversely affects aircraft movements at Sydney Airport.</w:t>
      </w:r>
    </w:p>
    <w:p w:rsidR="0082123A" w:rsidRDefault="0082123A" w:rsidP="0082123A">
      <w:pPr>
        <w:jc w:val="both"/>
        <w:rPr>
          <w:lang w:val="x-none"/>
        </w:rPr>
      </w:pPr>
      <w:r>
        <w:rPr>
          <w:lang w:val="x-none"/>
        </w:rPr>
        <w:t xml:space="preserve">As per 9A(7) of the Act, the Minister must cause a recovery period declaration to be published on the department’s website. The department intends to publish recovery period declarations </w:t>
      </w:r>
      <w:r w:rsidRPr="00877EAC">
        <w:rPr>
          <w:lang w:val="x-none"/>
        </w:rPr>
        <w:t xml:space="preserve">within 2 </w:t>
      </w:r>
      <w:r>
        <w:rPr>
          <w:lang w:val="x-none"/>
        </w:rPr>
        <w:t xml:space="preserve">business </w:t>
      </w:r>
      <w:r w:rsidRPr="00877EAC">
        <w:rPr>
          <w:lang w:val="x-none"/>
        </w:rPr>
        <w:t xml:space="preserve">days of </w:t>
      </w:r>
      <w:r>
        <w:rPr>
          <w:lang w:val="x-none"/>
        </w:rPr>
        <w:t>the declaration.</w:t>
      </w:r>
    </w:p>
    <w:p w:rsidR="0082123A" w:rsidRDefault="0082123A" w:rsidP="0082123A">
      <w:pPr>
        <w:jc w:val="both"/>
      </w:pPr>
      <w:r w:rsidRPr="0020162F">
        <w:rPr>
          <w:lang w:val="x-none"/>
        </w:rPr>
        <w:t xml:space="preserve">This policy outlines </w:t>
      </w:r>
      <w:r>
        <w:t xml:space="preserve">what would generally be indicative of movements being ‘significantly disrupted’ as required by </w:t>
      </w:r>
      <w:r w:rsidRPr="0020162F">
        <w:rPr>
          <w:lang w:val="x-none"/>
        </w:rPr>
        <w:t>9A(1)(a)</w:t>
      </w:r>
      <w:r>
        <w:t xml:space="preserve"> of the Act.</w:t>
      </w:r>
    </w:p>
    <w:p w:rsidR="0082123A" w:rsidRPr="005F794B" w:rsidRDefault="0082123A" w:rsidP="0082123A">
      <w:pPr>
        <w:pStyle w:val="Heading2"/>
        <w:jc w:val="both"/>
      </w:pPr>
      <w:r>
        <w:t>Meaning of ‘significantly disrupted’</w:t>
      </w:r>
    </w:p>
    <w:p w:rsidR="0082123A" w:rsidRDefault="0082123A" w:rsidP="0082123A">
      <w:pPr>
        <w:jc w:val="both"/>
        <w:rPr>
          <w:lang w:val="x-none"/>
        </w:rPr>
      </w:pPr>
      <w:r>
        <w:t xml:space="preserve">For the purposes of making a recovery period declaration, a </w:t>
      </w:r>
      <w:r w:rsidRPr="00FC465F">
        <w:rPr>
          <w:lang w:val="x-none"/>
        </w:rPr>
        <w:t>25</w:t>
      </w:r>
      <w:r>
        <w:t xml:space="preserve">% or greater decrease </w:t>
      </w:r>
      <w:r w:rsidRPr="000C3529">
        <w:rPr>
          <w:lang w:val="x-none"/>
        </w:rPr>
        <w:t xml:space="preserve">in aircraft </w:t>
      </w:r>
      <w:r w:rsidRPr="000C3529">
        <w:t>arrivals</w:t>
      </w:r>
      <w:r w:rsidRPr="00590A7E">
        <w:t xml:space="preserve"> </w:t>
      </w:r>
      <w:r w:rsidRPr="00590A7E">
        <w:rPr>
          <w:lang w:val="x-none"/>
        </w:rPr>
        <w:t xml:space="preserve">within any consecutive two-hour period on </w:t>
      </w:r>
      <w:r>
        <w:t>a single</w:t>
      </w:r>
      <w:r w:rsidRPr="00590A7E">
        <w:rPr>
          <w:lang w:val="x-none"/>
        </w:rPr>
        <w:t xml:space="preserve"> da</w:t>
      </w:r>
      <w:r>
        <w:t>y</w:t>
      </w:r>
      <w:r w:rsidRPr="00FC465F">
        <w:rPr>
          <w:lang w:val="x-none"/>
        </w:rPr>
        <w:t xml:space="preserve"> would generally indicate that </w:t>
      </w:r>
      <w:r>
        <w:t>aircraft movements at Sydney Airport</w:t>
      </w:r>
      <w:r w:rsidRPr="00FC465F">
        <w:rPr>
          <w:lang w:val="x-none"/>
        </w:rPr>
        <w:t xml:space="preserve"> have been significantly disrupted. </w:t>
      </w:r>
    </w:p>
    <w:p w:rsidR="0082123A" w:rsidRDefault="0082123A" w:rsidP="0082123A">
      <w:pPr>
        <w:jc w:val="both"/>
        <w:rPr>
          <w:lang w:val="x-none"/>
        </w:rPr>
      </w:pPr>
      <w:r w:rsidRPr="00FC465F">
        <w:rPr>
          <w:lang w:val="x-none"/>
        </w:rPr>
        <w:t>This is not a determinative test, and decision-makers must retain flexibility to consider other relevant factors. The percentage is not prescriptive but provides a useful practical guide.</w:t>
      </w:r>
    </w:p>
    <w:p w:rsidR="0082123A" w:rsidRPr="00DC6290" w:rsidRDefault="0082123A" w:rsidP="0082123A">
      <w:pPr>
        <w:jc w:val="both"/>
        <w:rPr>
          <w:lang w:val="x-none"/>
        </w:rPr>
      </w:pPr>
      <w:r w:rsidRPr="00D33D3C">
        <w:rPr>
          <w:lang w:val="x-none"/>
        </w:rPr>
        <w:t xml:space="preserve">The </w:t>
      </w:r>
      <w:r>
        <w:rPr>
          <w:lang w:val="x-none"/>
        </w:rPr>
        <w:t>d</w:t>
      </w:r>
      <w:r w:rsidRPr="00D33D3C">
        <w:rPr>
          <w:lang w:val="x-none"/>
        </w:rPr>
        <w:t>epartment will review th</w:t>
      </w:r>
      <w:r w:rsidRPr="00DC6290">
        <w:rPr>
          <w:lang w:val="x-none"/>
        </w:rPr>
        <w:t xml:space="preserve">is policy </w:t>
      </w:r>
      <w:r w:rsidRPr="00123AE3">
        <w:rPr>
          <w:u w:val="single"/>
        </w:rPr>
        <w:t>annually</w:t>
      </w:r>
      <w:r w:rsidRPr="00DC6290">
        <w:rPr>
          <w:lang w:val="x-none"/>
        </w:rPr>
        <w:t xml:space="preserve"> to</w:t>
      </w:r>
      <w:r w:rsidRPr="00D33D3C">
        <w:rPr>
          <w:lang w:val="x-none"/>
        </w:rPr>
        <w:t xml:space="preserve"> assess</w:t>
      </w:r>
      <w:r w:rsidRPr="00DC6290">
        <w:rPr>
          <w:lang w:val="x-none"/>
        </w:rPr>
        <w:t xml:space="preserve"> whether declarations reflect policy intention.</w:t>
      </w:r>
    </w:p>
    <w:tbl>
      <w:tblPr>
        <w:tblStyle w:val="DefaultTable1"/>
        <w:tblW w:w="5000" w:type="pct"/>
        <w:tblLook w:val="04A0" w:firstRow="1" w:lastRow="0" w:firstColumn="1" w:lastColumn="0" w:noHBand="0" w:noVBand="1"/>
        <w:tblDescription w:val="Version details"/>
      </w:tblPr>
      <w:tblGrid>
        <w:gridCol w:w="1151"/>
        <w:gridCol w:w="1529"/>
        <w:gridCol w:w="3583"/>
        <w:gridCol w:w="3212"/>
      </w:tblGrid>
      <w:tr w:rsidR="0082123A" w:rsidTr="008212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pct"/>
            <w:shd w:val="clear" w:color="auto" w:fill="081E3E"/>
            <w:hideMark/>
          </w:tcPr>
          <w:p w:rsidR="0082123A" w:rsidRDefault="0082123A" w:rsidP="0080171A">
            <w:pPr>
              <w:jc w:val="both"/>
              <w:rPr>
                <w:b w:val="0"/>
                <w:bCs/>
                <w:color w:val="FFFFFF"/>
              </w:rPr>
            </w:pPr>
            <w:r>
              <w:rPr>
                <w:bCs/>
                <w:color w:val="FFFFFF"/>
              </w:rPr>
              <w:lastRenderedPageBreak/>
              <w:t>Version</w:t>
            </w:r>
          </w:p>
        </w:tc>
        <w:tc>
          <w:tcPr>
            <w:tcW w:w="807" w:type="pct"/>
            <w:shd w:val="clear" w:color="auto" w:fill="081E3E"/>
            <w:hideMark/>
          </w:tcPr>
          <w:p w:rsidR="0082123A" w:rsidRDefault="0082123A" w:rsidP="0080171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FFFFFF"/>
              </w:rPr>
            </w:pPr>
            <w:r>
              <w:rPr>
                <w:bCs/>
                <w:color w:val="FFFFFF"/>
              </w:rPr>
              <w:t>Release date</w:t>
            </w:r>
          </w:p>
        </w:tc>
        <w:tc>
          <w:tcPr>
            <w:tcW w:w="1891" w:type="pct"/>
            <w:shd w:val="clear" w:color="auto" w:fill="081E3E"/>
            <w:hideMark/>
          </w:tcPr>
          <w:p w:rsidR="0082123A" w:rsidRDefault="0082123A" w:rsidP="0080171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FFFFFF"/>
              </w:rPr>
            </w:pPr>
            <w:r>
              <w:rPr>
                <w:bCs/>
                <w:color w:val="FFFFFF"/>
              </w:rPr>
              <w:t>Approver</w:t>
            </w:r>
          </w:p>
        </w:tc>
        <w:tc>
          <w:tcPr>
            <w:tcW w:w="1695" w:type="pct"/>
            <w:shd w:val="clear" w:color="auto" w:fill="081E3E"/>
            <w:hideMark/>
          </w:tcPr>
          <w:p w:rsidR="0082123A" w:rsidRDefault="0082123A" w:rsidP="0080171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FFFFFF"/>
              </w:rPr>
            </w:pPr>
            <w:r>
              <w:rPr>
                <w:bCs/>
                <w:color w:val="FFFFFF"/>
              </w:rPr>
              <w:t>Reason for update</w:t>
            </w:r>
          </w:p>
        </w:tc>
      </w:tr>
      <w:tr w:rsidR="0082123A" w:rsidTr="008212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pct"/>
          </w:tcPr>
          <w:p w:rsidR="0082123A" w:rsidRDefault="0082123A" w:rsidP="0080171A">
            <w:pPr>
              <w:jc w:val="both"/>
              <w:rPr>
                <w:b w:val="0"/>
                <w:bCs/>
                <w:color w:val="000000"/>
              </w:rPr>
            </w:pPr>
            <w:r>
              <w:rPr>
                <w:bCs/>
                <w:color w:val="000000"/>
              </w:rPr>
              <w:t>1.0</w:t>
            </w:r>
          </w:p>
        </w:tc>
        <w:tc>
          <w:tcPr>
            <w:tcW w:w="807" w:type="pct"/>
          </w:tcPr>
          <w:p w:rsidR="0082123A" w:rsidRDefault="0082123A" w:rsidP="008017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fldChar w:fldCharType="begin"/>
            </w:r>
            <w:r>
              <w:instrText xml:space="preserve"> CREATEDATE  \@ "MMM yyyy"  \* MERGEFORMAT </w:instrText>
            </w:r>
            <w:r>
              <w:fldChar w:fldCharType="separate"/>
            </w:r>
            <w:r>
              <w:t>Oct</w:t>
            </w:r>
            <w:r>
              <w:rPr>
                <w:noProof/>
              </w:rPr>
              <w:t xml:space="preserve"> 2025</w:t>
            </w:r>
            <w:r>
              <w:fldChar w:fldCharType="end"/>
            </w:r>
          </w:p>
        </w:tc>
        <w:tc>
          <w:tcPr>
            <w:tcW w:w="1891" w:type="pct"/>
          </w:tcPr>
          <w:p w:rsidR="0082123A" w:rsidRDefault="0082123A" w:rsidP="008017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Ben Meagher, Assistant Secretary</w:t>
            </w:r>
          </w:p>
        </w:tc>
        <w:tc>
          <w:tcPr>
            <w:tcW w:w="1695" w:type="pct"/>
            <w:hideMark/>
          </w:tcPr>
          <w:p w:rsidR="0082123A" w:rsidRDefault="0082123A" w:rsidP="008017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Initial release</w:t>
            </w:r>
          </w:p>
        </w:tc>
      </w:tr>
      <w:tr w:rsidR="0082123A" w:rsidTr="008212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pct"/>
          </w:tcPr>
          <w:p w:rsidR="0082123A" w:rsidRDefault="0082123A" w:rsidP="0080171A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1.1</w:t>
            </w:r>
          </w:p>
        </w:tc>
        <w:tc>
          <w:tcPr>
            <w:tcW w:w="807" w:type="pct"/>
          </w:tcPr>
          <w:p w:rsidR="0082123A" w:rsidRDefault="0082123A" w:rsidP="0080171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Jan 2026</w:t>
            </w:r>
          </w:p>
        </w:tc>
        <w:tc>
          <w:tcPr>
            <w:tcW w:w="1891" w:type="pct"/>
          </w:tcPr>
          <w:p w:rsidR="0082123A" w:rsidRDefault="0082123A" w:rsidP="0080171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Kathryn Scarano, Director </w:t>
            </w:r>
          </w:p>
        </w:tc>
        <w:tc>
          <w:tcPr>
            <w:tcW w:w="1695" w:type="pct"/>
          </w:tcPr>
          <w:p w:rsidR="0082123A" w:rsidRDefault="0082123A" w:rsidP="0080171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Details on publication of Recovery Period on department’s website</w:t>
            </w:r>
          </w:p>
        </w:tc>
      </w:tr>
    </w:tbl>
    <w:p w:rsidR="0082123A" w:rsidRDefault="0082123A" w:rsidP="0082123A">
      <w:pPr>
        <w:jc w:val="both"/>
      </w:pPr>
    </w:p>
    <w:sectPr w:rsidR="0082123A" w:rsidSect="00953CCD">
      <w:type w:val="continuous"/>
      <w:pgSz w:w="11906" w:h="16838"/>
      <w:pgMar w:top="1276" w:right="991" w:bottom="1276" w:left="144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2C9" w:rsidRDefault="00C422C9" w:rsidP="00FC413F">
      <w:pPr>
        <w:spacing w:after="0"/>
      </w:pPr>
      <w:r>
        <w:separator/>
      </w:r>
    </w:p>
  </w:endnote>
  <w:endnote w:type="continuationSeparator" w:id="0">
    <w:p w:rsidR="00C422C9" w:rsidRDefault="00C422C9" w:rsidP="00FC41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(Body CS)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2C9" w:rsidRDefault="00C422C9" w:rsidP="00953CCD">
    <w:pPr>
      <w:pStyle w:val="Footer"/>
      <w:tabs>
        <w:tab w:val="clear" w:pos="4513"/>
        <w:tab w:val="clear" w:pos="9026"/>
        <w:tab w:val="right" w:pos="9475"/>
      </w:tabs>
      <w:spacing w:after="120"/>
      <w:rPr>
        <w:rFonts w:cs="Segoe UI"/>
        <w:noProof/>
        <w:szCs w:val="18"/>
      </w:rPr>
    </w:pPr>
    <w:r>
      <w:rPr>
        <w:rFonts w:cs="Segoe UI"/>
        <w:noProof/>
        <w:szCs w:val="18"/>
      </w:rPr>
      <w:fldChar w:fldCharType="begin"/>
    </w:r>
    <w:r>
      <w:rPr>
        <w:rFonts w:cs="Segoe UI"/>
        <w:noProof/>
        <w:szCs w:val="18"/>
      </w:rPr>
      <w:instrText xml:space="preserve"> STYLEREF  "Heading 1"  \* MERGEFORMAT </w:instrText>
    </w:r>
    <w:r>
      <w:rPr>
        <w:rFonts w:cs="Segoe UI"/>
        <w:noProof/>
        <w:szCs w:val="18"/>
      </w:rPr>
      <w:fldChar w:fldCharType="separate"/>
    </w:r>
    <w:r w:rsidR="007F423E">
      <w:rPr>
        <w:rFonts w:cs="Segoe UI"/>
        <w:noProof/>
        <w:szCs w:val="18"/>
      </w:rPr>
      <w:t>Recovery period declarations</w:t>
    </w:r>
    <w:r>
      <w:rPr>
        <w:rFonts w:cs="Segoe UI"/>
        <w:noProof/>
        <w:szCs w:val="18"/>
      </w:rPr>
      <w:fldChar w:fldCharType="end"/>
    </w:r>
    <w:r>
      <w:rPr>
        <w:rFonts w:cs="Segoe UI"/>
        <w:szCs w:val="18"/>
      </w:rPr>
      <w:tab/>
    </w:r>
    <w:r>
      <w:rPr>
        <w:rFonts w:cs="Segoe UI"/>
        <w:szCs w:val="18"/>
      </w:rPr>
      <w:fldChar w:fldCharType="begin"/>
    </w:r>
    <w:r>
      <w:rPr>
        <w:rFonts w:cs="Segoe UI"/>
        <w:szCs w:val="18"/>
      </w:rPr>
      <w:instrText xml:space="preserve"> PAGE  \* Arabic  \* MERGEFORMAT </w:instrText>
    </w:r>
    <w:r>
      <w:rPr>
        <w:rFonts w:cs="Segoe UI"/>
        <w:szCs w:val="18"/>
      </w:rPr>
      <w:fldChar w:fldCharType="separate"/>
    </w:r>
    <w:r>
      <w:rPr>
        <w:rFonts w:cs="Segoe UI"/>
        <w:szCs w:val="18"/>
      </w:rPr>
      <w:t>2</w:t>
    </w:r>
    <w:r>
      <w:rPr>
        <w:rFonts w:cs="Segoe UI"/>
        <w:szCs w:val="18"/>
      </w:rPr>
      <w:fldChar w:fldCharType="end"/>
    </w:r>
  </w:p>
  <w:p w:rsidR="00C422C9" w:rsidRPr="00FC413F" w:rsidRDefault="00C422C9" w:rsidP="00953CCD">
    <w:pPr>
      <w:pStyle w:val="Footer"/>
      <w:tabs>
        <w:tab w:val="clear" w:pos="4513"/>
        <w:tab w:val="clear" w:pos="9026"/>
      </w:tabs>
      <w:ind w:left="-1418"/>
      <w:rPr>
        <w:rFonts w:cs="Segoe UI"/>
        <w:szCs w:val="18"/>
      </w:rPr>
    </w:pPr>
    <w:r>
      <w:rPr>
        <w:noProof/>
        <w:lang w:eastAsia="en-AU"/>
      </w:rPr>
      <w:drawing>
        <wp:inline distT="0" distB="0" distL="0" distR="0" wp14:anchorId="3B988DCC" wp14:editId="66848E2B">
          <wp:extent cx="7559650" cy="150641"/>
          <wp:effectExtent l="0" t="0" r="0" b="1905"/>
          <wp:docPr id="1" name="Picture 1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509" cy="150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2C9" w:rsidRDefault="00C422C9" w:rsidP="008B7158">
    <w:pPr>
      <w:pStyle w:val="Footer"/>
      <w:tabs>
        <w:tab w:val="clear" w:pos="4513"/>
        <w:tab w:val="clear" w:pos="9026"/>
        <w:tab w:val="right" w:pos="9475"/>
      </w:tabs>
      <w:spacing w:after="120"/>
      <w:rPr>
        <w:rFonts w:cs="Segoe UI"/>
        <w:noProof/>
        <w:szCs w:val="18"/>
      </w:rPr>
    </w:pPr>
    <w:r>
      <w:rPr>
        <w:rFonts w:cs="Segoe UI"/>
        <w:noProof/>
        <w:szCs w:val="18"/>
      </w:rPr>
      <w:fldChar w:fldCharType="begin"/>
    </w:r>
    <w:r>
      <w:rPr>
        <w:rFonts w:cs="Segoe UI"/>
        <w:noProof/>
        <w:szCs w:val="18"/>
      </w:rPr>
      <w:instrText xml:space="preserve"> STYLEREF  "Heading 1"  \* MERGEFORMAT </w:instrText>
    </w:r>
    <w:r w:rsidR="0082123A">
      <w:rPr>
        <w:rFonts w:cs="Segoe UI"/>
        <w:noProof/>
        <w:szCs w:val="18"/>
      </w:rPr>
      <w:fldChar w:fldCharType="separate"/>
    </w:r>
    <w:r w:rsidR="007F423E">
      <w:rPr>
        <w:rFonts w:cs="Segoe UI"/>
        <w:noProof/>
        <w:szCs w:val="18"/>
      </w:rPr>
      <w:t>Recovery period declarations</w:t>
    </w:r>
    <w:r>
      <w:rPr>
        <w:rFonts w:cs="Segoe UI"/>
        <w:noProof/>
        <w:szCs w:val="18"/>
      </w:rPr>
      <w:fldChar w:fldCharType="end"/>
    </w:r>
    <w:r>
      <w:rPr>
        <w:rFonts w:cs="Segoe UI"/>
        <w:szCs w:val="18"/>
      </w:rPr>
      <w:tab/>
    </w:r>
    <w:r>
      <w:rPr>
        <w:rFonts w:cs="Segoe UI"/>
        <w:szCs w:val="18"/>
      </w:rPr>
      <w:fldChar w:fldCharType="begin"/>
    </w:r>
    <w:r>
      <w:rPr>
        <w:rFonts w:cs="Segoe UI"/>
        <w:szCs w:val="18"/>
      </w:rPr>
      <w:instrText xml:space="preserve"> PAGE  \* Arabic  \* MERGEFORMAT </w:instrText>
    </w:r>
    <w:r>
      <w:rPr>
        <w:rFonts w:cs="Segoe UI"/>
        <w:szCs w:val="18"/>
      </w:rPr>
      <w:fldChar w:fldCharType="separate"/>
    </w:r>
    <w:r>
      <w:rPr>
        <w:rFonts w:cs="Segoe UI"/>
        <w:szCs w:val="18"/>
      </w:rPr>
      <w:t>3</w:t>
    </w:r>
    <w:r>
      <w:rPr>
        <w:rFonts w:cs="Segoe UI"/>
        <w:szCs w:val="18"/>
      </w:rPr>
      <w:fldChar w:fldCharType="end"/>
    </w:r>
  </w:p>
  <w:p w:rsidR="00C422C9" w:rsidRPr="00FC413F" w:rsidRDefault="00C422C9" w:rsidP="00113A03">
    <w:pPr>
      <w:pStyle w:val="Footer"/>
      <w:tabs>
        <w:tab w:val="clear" w:pos="4513"/>
        <w:tab w:val="clear" w:pos="9026"/>
      </w:tabs>
      <w:ind w:left="-1418"/>
      <w:rPr>
        <w:rFonts w:cs="Segoe UI"/>
        <w:szCs w:val="18"/>
      </w:rPr>
    </w:pPr>
    <w:r>
      <w:rPr>
        <w:noProof/>
        <w:lang w:eastAsia="en-AU"/>
      </w:rPr>
      <w:drawing>
        <wp:inline distT="0" distB="0" distL="0" distR="0" wp14:anchorId="415E3A73" wp14:editId="56F52C30">
          <wp:extent cx="7560000" cy="150515"/>
          <wp:effectExtent l="0" t="0" r="3175" b="1905"/>
          <wp:docPr id="6" name="Picture 6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0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2C9" w:rsidRDefault="00C422C9" w:rsidP="00FC413F">
      <w:pPr>
        <w:spacing w:after="0"/>
      </w:pPr>
      <w:r>
        <w:separator/>
      </w:r>
    </w:p>
  </w:footnote>
  <w:footnote w:type="continuationSeparator" w:id="0">
    <w:p w:rsidR="00C422C9" w:rsidRDefault="00C422C9" w:rsidP="00FC41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2C9" w:rsidRPr="00305CB1" w:rsidRDefault="00C422C9" w:rsidP="00D56936">
    <w:pPr>
      <w:pStyle w:val="Header"/>
      <w:tabs>
        <w:tab w:val="clear" w:pos="4678"/>
      </w:tabs>
      <w:jc w:val="right"/>
      <w:rPr>
        <w:rFonts w:cs="Segoe UI Light"/>
        <w:color w:val="001C40"/>
        <w:sz w:val="20"/>
        <w:szCs w:val="20"/>
      </w:rPr>
    </w:pPr>
    <w:r w:rsidRPr="00305CB1">
      <w:rPr>
        <w:rFonts w:cs="Segoe UI Light"/>
        <w:color w:val="001C40"/>
        <w:sz w:val="20"/>
        <w:szCs w:val="20"/>
      </w:rPr>
      <w:fldChar w:fldCharType="begin"/>
    </w:r>
    <w:r w:rsidRPr="00305CB1">
      <w:rPr>
        <w:rFonts w:cs="Segoe UI Light"/>
        <w:color w:val="001C40"/>
        <w:sz w:val="20"/>
        <w:szCs w:val="20"/>
      </w:rPr>
      <w:instrText xml:space="preserve"> STYLEREF  "Heading 2"  \* MERGEFORMAT </w:instrText>
    </w:r>
    <w:r w:rsidRPr="00305CB1">
      <w:rPr>
        <w:rFonts w:cs="Segoe UI Light"/>
        <w:color w:val="001C40"/>
        <w:sz w:val="20"/>
        <w:szCs w:val="20"/>
      </w:rPr>
      <w:fldChar w:fldCharType="separate"/>
    </w:r>
    <w:r w:rsidR="007F423E" w:rsidRPr="007F423E">
      <w:rPr>
        <w:rFonts w:cs="Segoe UI Light"/>
        <w:bCs/>
        <w:noProof/>
        <w:color w:val="001C40"/>
        <w:sz w:val="20"/>
        <w:szCs w:val="20"/>
        <w:lang w:val="en-US"/>
      </w:rPr>
      <w:t>Meaning</w:t>
    </w:r>
    <w:r w:rsidR="007F423E">
      <w:rPr>
        <w:rFonts w:cs="Segoe UI Light"/>
        <w:noProof/>
        <w:color w:val="001C40"/>
        <w:sz w:val="20"/>
        <w:szCs w:val="20"/>
      </w:rPr>
      <w:t xml:space="preserve"> of ‘significantly disrupted’</w:t>
    </w:r>
    <w:r w:rsidRPr="00305CB1">
      <w:rPr>
        <w:rFonts w:cs="Segoe UI Light"/>
        <w:color w:val="001C40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1DA50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4A90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AC7B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DE0D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529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80D8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2C6C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BADE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466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94C1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711AE0"/>
    <w:multiLevelType w:val="hybridMultilevel"/>
    <w:tmpl w:val="4F10A9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937613"/>
    <w:multiLevelType w:val="hybridMultilevel"/>
    <w:tmpl w:val="2B48B512"/>
    <w:lvl w:ilvl="0" w:tplc="69AC7252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E92756"/>
    <w:multiLevelType w:val="hybridMultilevel"/>
    <w:tmpl w:val="513A850A"/>
    <w:lvl w:ilvl="0" w:tplc="5112A3F8">
      <w:start w:val="1"/>
      <w:numFmt w:val="bullet"/>
      <w:pStyle w:val="Listparagraphbullets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3295E"/>
    <w:multiLevelType w:val="multilevel"/>
    <w:tmpl w:val="5B2C35CE"/>
    <w:styleLink w:val="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Bullet3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4C7B3DE5"/>
    <w:multiLevelType w:val="hybridMultilevel"/>
    <w:tmpl w:val="FFB2E57C"/>
    <w:lvl w:ilvl="0" w:tplc="888CE0AC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27E7D"/>
    <w:multiLevelType w:val="hybridMultilevel"/>
    <w:tmpl w:val="900227B4"/>
    <w:lvl w:ilvl="0" w:tplc="7A24185A">
      <w:start w:val="1"/>
      <w:numFmt w:val="bullet"/>
      <w:pStyle w:val="Listparagraphbulletssecondlevel"/>
      <w:lvlText w:val=""/>
      <w:lvlJc w:val="left"/>
      <w:pPr>
        <w:ind w:left="927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54E84"/>
    <w:multiLevelType w:val="multilevel"/>
    <w:tmpl w:val="A5F2DDB2"/>
    <w:styleLink w:val="ListLegal"/>
    <w:lvl w:ilvl="0">
      <w:start w:val="1"/>
      <w:numFmt w:val="decimal"/>
      <w:pStyle w:val="ListLega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egal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Legal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2556" w:hanging="284"/>
      </w:pPr>
      <w:rPr>
        <w:rFonts w:hint="default"/>
      </w:rPr>
    </w:lvl>
  </w:abstractNum>
  <w:num w:numId="1">
    <w:abstractNumId w:val="15"/>
  </w:num>
  <w:num w:numId="2">
    <w:abstractNumId w:val="12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1"/>
    <w:lvlOverride w:ilvl="0">
      <w:startOverride w:val="1"/>
    </w:lvlOverride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156"/>
    <w:rsid w:val="0000270B"/>
    <w:rsid w:val="00012D3A"/>
    <w:rsid w:val="0003502E"/>
    <w:rsid w:val="000522EB"/>
    <w:rsid w:val="00072195"/>
    <w:rsid w:val="000740FB"/>
    <w:rsid w:val="00090E62"/>
    <w:rsid w:val="000B1E86"/>
    <w:rsid w:val="000B6FF7"/>
    <w:rsid w:val="000C0244"/>
    <w:rsid w:val="000D29F4"/>
    <w:rsid w:val="000D4B3B"/>
    <w:rsid w:val="00105DA4"/>
    <w:rsid w:val="00113A03"/>
    <w:rsid w:val="00133A45"/>
    <w:rsid w:val="0014278C"/>
    <w:rsid w:val="00143894"/>
    <w:rsid w:val="00190A0C"/>
    <w:rsid w:val="001D583B"/>
    <w:rsid w:val="001D6D6B"/>
    <w:rsid w:val="001E4471"/>
    <w:rsid w:val="001E7AC4"/>
    <w:rsid w:val="001F2321"/>
    <w:rsid w:val="00204A64"/>
    <w:rsid w:val="00217C11"/>
    <w:rsid w:val="00236F1B"/>
    <w:rsid w:val="00247ED9"/>
    <w:rsid w:val="00261FFA"/>
    <w:rsid w:val="00267F8D"/>
    <w:rsid w:val="00272982"/>
    <w:rsid w:val="00287C7E"/>
    <w:rsid w:val="0029453A"/>
    <w:rsid w:val="002A5AB5"/>
    <w:rsid w:val="002B15B8"/>
    <w:rsid w:val="002F1A23"/>
    <w:rsid w:val="00300077"/>
    <w:rsid w:val="00305CB1"/>
    <w:rsid w:val="00310148"/>
    <w:rsid w:val="00323710"/>
    <w:rsid w:val="00342348"/>
    <w:rsid w:val="003508A8"/>
    <w:rsid w:val="00381BDA"/>
    <w:rsid w:val="003B6D01"/>
    <w:rsid w:val="003C575A"/>
    <w:rsid w:val="003D71C5"/>
    <w:rsid w:val="003F3CB7"/>
    <w:rsid w:val="00416734"/>
    <w:rsid w:val="00445017"/>
    <w:rsid w:val="004A3207"/>
    <w:rsid w:val="004B09B8"/>
    <w:rsid w:val="004B2F2C"/>
    <w:rsid w:val="005413E7"/>
    <w:rsid w:val="00543D99"/>
    <w:rsid w:val="0059569E"/>
    <w:rsid w:val="005C0459"/>
    <w:rsid w:val="005C37D2"/>
    <w:rsid w:val="005D038B"/>
    <w:rsid w:val="005E55BD"/>
    <w:rsid w:val="00610225"/>
    <w:rsid w:val="00630D43"/>
    <w:rsid w:val="006452B1"/>
    <w:rsid w:val="006542FA"/>
    <w:rsid w:val="00654F9E"/>
    <w:rsid w:val="00691FA2"/>
    <w:rsid w:val="006C31D3"/>
    <w:rsid w:val="006D43C7"/>
    <w:rsid w:val="006F2D75"/>
    <w:rsid w:val="00731351"/>
    <w:rsid w:val="00744CD2"/>
    <w:rsid w:val="00754169"/>
    <w:rsid w:val="00772C27"/>
    <w:rsid w:val="00790F25"/>
    <w:rsid w:val="00793843"/>
    <w:rsid w:val="0079788A"/>
    <w:rsid w:val="007B68AB"/>
    <w:rsid w:val="007E598F"/>
    <w:rsid w:val="007F423E"/>
    <w:rsid w:val="0082123A"/>
    <w:rsid w:val="00822DBF"/>
    <w:rsid w:val="00844881"/>
    <w:rsid w:val="008A7B93"/>
    <w:rsid w:val="008B7158"/>
    <w:rsid w:val="008C6CB9"/>
    <w:rsid w:val="008D4156"/>
    <w:rsid w:val="008E534F"/>
    <w:rsid w:val="008F24DE"/>
    <w:rsid w:val="00906514"/>
    <w:rsid w:val="00906533"/>
    <w:rsid w:val="00912D17"/>
    <w:rsid w:val="009276A3"/>
    <w:rsid w:val="009279AE"/>
    <w:rsid w:val="00935A30"/>
    <w:rsid w:val="00953CCD"/>
    <w:rsid w:val="00985DD5"/>
    <w:rsid w:val="009A4253"/>
    <w:rsid w:val="009C3D4E"/>
    <w:rsid w:val="009E7626"/>
    <w:rsid w:val="009F6CDD"/>
    <w:rsid w:val="00A24200"/>
    <w:rsid w:val="00A44E4B"/>
    <w:rsid w:val="00A4759C"/>
    <w:rsid w:val="00A5600C"/>
    <w:rsid w:val="00A63390"/>
    <w:rsid w:val="00A82DAF"/>
    <w:rsid w:val="00A86AF3"/>
    <w:rsid w:val="00AC34ED"/>
    <w:rsid w:val="00AC6195"/>
    <w:rsid w:val="00AE61A6"/>
    <w:rsid w:val="00B000A4"/>
    <w:rsid w:val="00B041CB"/>
    <w:rsid w:val="00B12FC1"/>
    <w:rsid w:val="00B3785F"/>
    <w:rsid w:val="00B43F55"/>
    <w:rsid w:val="00B5393D"/>
    <w:rsid w:val="00B74715"/>
    <w:rsid w:val="00B76D03"/>
    <w:rsid w:val="00B86B45"/>
    <w:rsid w:val="00BB3D46"/>
    <w:rsid w:val="00BC0598"/>
    <w:rsid w:val="00C010BB"/>
    <w:rsid w:val="00C02452"/>
    <w:rsid w:val="00C209D6"/>
    <w:rsid w:val="00C36E40"/>
    <w:rsid w:val="00C422C9"/>
    <w:rsid w:val="00C62177"/>
    <w:rsid w:val="00CA5147"/>
    <w:rsid w:val="00CD0046"/>
    <w:rsid w:val="00D13C03"/>
    <w:rsid w:val="00D22944"/>
    <w:rsid w:val="00D47BFD"/>
    <w:rsid w:val="00D56936"/>
    <w:rsid w:val="00D64922"/>
    <w:rsid w:val="00DC5DC8"/>
    <w:rsid w:val="00E7227D"/>
    <w:rsid w:val="00E76BC6"/>
    <w:rsid w:val="00E80E04"/>
    <w:rsid w:val="00EA415A"/>
    <w:rsid w:val="00EE6EE8"/>
    <w:rsid w:val="00EF5B98"/>
    <w:rsid w:val="00F005AF"/>
    <w:rsid w:val="00F41576"/>
    <w:rsid w:val="00F61FA1"/>
    <w:rsid w:val="00F814AD"/>
    <w:rsid w:val="00FA64C7"/>
    <w:rsid w:val="00FC413F"/>
    <w:rsid w:val="00FD3DAB"/>
    <w:rsid w:val="00FE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65C6728E"/>
  <w15:chartTrackingRefBased/>
  <w15:docId w15:val="{DE9ED889-C8A3-47DF-8C41-980D2528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6B45"/>
    <w:pPr>
      <w:spacing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C03"/>
    <w:pPr>
      <w:numPr>
        <w:ilvl w:val="1"/>
      </w:numPr>
      <w:suppressAutoHyphens/>
      <w:spacing w:before="360"/>
      <w:outlineLvl w:val="0"/>
    </w:pPr>
    <w:rPr>
      <w:rFonts w:eastAsia="SimSun" w:cs="Times New Roman"/>
      <w:b/>
      <w:color w:val="081E3E"/>
      <w:kern w:val="12"/>
      <w:sz w:val="44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15B8"/>
    <w:pPr>
      <w:keepNext/>
      <w:keepLines/>
      <w:suppressAutoHyphens/>
      <w:spacing w:before="240"/>
      <w:outlineLvl w:val="1"/>
    </w:pPr>
    <w:rPr>
      <w:rFonts w:eastAsia="SimSun" w:cs="Times New Roman"/>
      <w:b/>
      <w:color w:val="081E3E"/>
      <w:kern w:val="1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15B8"/>
    <w:pPr>
      <w:keepNext/>
      <w:keepLines/>
      <w:suppressAutoHyphens/>
      <w:spacing w:before="240"/>
      <w:outlineLvl w:val="2"/>
    </w:pPr>
    <w:rPr>
      <w:rFonts w:eastAsia="SimSun" w:cs="Times New Roman"/>
      <w:b/>
      <w:color w:val="595C6E"/>
      <w:kern w:val="1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6B45"/>
    <w:pPr>
      <w:keepNext/>
      <w:keepLines/>
      <w:suppressAutoHyphens/>
      <w:outlineLvl w:val="3"/>
    </w:pPr>
    <w:rPr>
      <w:rFonts w:eastAsia="SimSun" w:cs="Times New Roman"/>
      <w:iCs/>
      <w:color w:val="595C6E"/>
      <w:kern w:val="12"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0A0C"/>
    <w:pPr>
      <w:keepNext/>
      <w:spacing w:before="120"/>
      <w:outlineLvl w:val="4"/>
    </w:pPr>
    <w:rPr>
      <w:rFonts w:eastAsia="MingLiU" w:cs="Segoe UI Semibold"/>
      <w:b/>
      <w:color w:val="4C5564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0A0C"/>
    <w:pPr>
      <w:keepNext/>
      <w:spacing w:before="120"/>
      <w:outlineLvl w:val="5"/>
    </w:pPr>
    <w:rPr>
      <w:rFonts w:eastAsia="MingLiU" w:cs="Segoe UI Semibold"/>
      <w:b/>
      <w:color w:val="4C556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0A0C"/>
    <w:pPr>
      <w:keepNext/>
      <w:keepLines/>
      <w:spacing w:before="40" w:after="0"/>
      <w:outlineLvl w:val="6"/>
    </w:pPr>
    <w:rPr>
      <w:rFonts w:eastAsiaTheme="majorEastAsia" w:cs="Segoe UI Semibold"/>
      <w:b/>
      <w:iCs/>
      <w:color w:val="4C5564"/>
      <w:szCs w:val="1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90E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bulletssecondlevel">
    <w:name w:val="List paragraph—bullets—second level"/>
    <w:basedOn w:val="Listparagraphbullets"/>
    <w:autoRedefine/>
    <w:qFormat/>
    <w:rsid w:val="00953CCD"/>
    <w:pPr>
      <w:numPr>
        <w:numId w:val="1"/>
      </w:numPr>
      <w:spacing w:before="80" w:after="0"/>
      <w:ind w:left="1134" w:hanging="567"/>
    </w:pPr>
    <w:rPr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261FFA"/>
    <w:pPr>
      <w:tabs>
        <w:tab w:val="center" w:pos="4678"/>
        <w:tab w:val="right" w:pos="9356"/>
      </w:tabs>
      <w:spacing w:after="0"/>
    </w:pPr>
    <w:rPr>
      <w:rFonts w:ascii="Segoe UI Light" w:hAnsi="Segoe UI Light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261FFA"/>
    <w:rPr>
      <w:rFonts w:ascii="Segoe UI Light" w:hAnsi="Segoe UI Light"/>
      <w:sz w:val="18"/>
    </w:rPr>
  </w:style>
  <w:style w:type="paragraph" w:styleId="Footer">
    <w:name w:val="footer"/>
    <w:basedOn w:val="Normal"/>
    <w:link w:val="FooterChar"/>
    <w:uiPriority w:val="99"/>
    <w:unhideWhenUsed/>
    <w:rsid w:val="006D43C7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D43C7"/>
    <w:rPr>
      <w:rFonts w:ascii="Segoe UI" w:hAnsi="Segoe UI"/>
      <w:sz w:val="18"/>
    </w:rPr>
  </w:style>
  <w:style w:type="character" w:styleId="Hyperlink">
    <w:name w:val="Hyperlink"/>
    <w:basedOn w:val="DefaultParagraphFont"/>
    <w:uiPriority w:val="99"/>
    <w:unhideWhenUsed/>
    <w:rsid w:val="00FC413F"/>
    <w:rPr>
      <w:color w:val="002D7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13C03"/>
    <w:rPr>
      <w:rFonts w:ascii="Calibri" w:eastAsia="SimSun" w:hAnsi="Calibri" w:cs="Times New Roman"/>
      <w:b/>
      <w:color w:val="081E3E"/>
      <w:kern w:val="12"/>
      <w:sz w:val="44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B15B8"/>
    <w:rPr>
      <w:rFonts w:ascii="Calibri" w:eastAsia="SimSun" w:hAnsi="Calibri" w:cs="Times New Roman"/>
      <w:b/>
      <w:color w:val="081E3E"/>
      <w:kern w:val="1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B15B8"/>
    <w:rPr>
      <w:rFonts w:ascii="Calibri" w:eastAsia="SimSun" w:hAnsi="Calibri" w:cs="Times New Roman"/>
      <w:b/>
      <w:color w:val="595C6E"/>
      <w:kern w:val="1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86B45"/>
    <w:rPr>
      <w:rFonts w:ascii="Calibri" w:eastAsia="SimSun" w:hAnsi="Calibri" w:cs="Times New Roman"/>
      <w:iCs/>
      <w:color w:val="595C6E"/>
      <w:kern w:val="12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190A0C"/>
    <w:rPr>
      <w:rFonts w:ascii="Calibri" w:eastAsia="MingLiU" w:hAnsi="Calibri" w:cs="Segoe UI Semibold"/>
      <w:b/>
      <w:color w:val="4C5564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90A0C"/>
    <w:rPr>
      <w:rFonts w:ascii="Calibri" w:eastAsia="MingLiU" w:hAnsi="Calibri" w:cs="Segoe UI Semibold"/>
      <w:b/>
      <w:color w:val="4C5564"/>
    </w:rPr>
  </w:style>
  <w:style w:type="character" w:customStyle="1" w:styleId="Heading7Char">
    <w:name w:val="Heading 7 Char"/>
    <w:basedOn w:val="DefaultParagraphFont"/>
    <w:link w:val="Heading7"/>
    <w:uiPriority w:val="9"/>
    <w:rsid w:val="00190A0C"/>
    <w:rPr>
      <w:rFonts w:ascii="Calibri" w:eastAsiaTheme="majorEastAsia" w:hAnsi="Calibri" w:cs="Segoe UI Semibold"/>
      <w:b/>
      <w:iCs/>
      <w:color w:val="4C5564"/>
      <w:sz w:val="20"/>
      <w:szCs w:val="18"/>
    </w:rPr>
  </w:style>
  <w:style w:type="paragraph" w:customStyle="1" w:styleId="Heading2notshowing">
    <w:name w:val="Heading 2—not showing"/>
    <w:basedOn w:val="Normal"/>
    <w:next w:val="Normal"/>
    <w:qFormat/>
    <w:rsid w:val="00190A0C"/>
    <w:pPr>
      <w:keepNext/>
      <w:outlineLvl w:val="1"/>
    </w:pPr>
    <w:rPr>
      <w:rFonts w:eastAsia="MingLiU" w:cs="Segoe UI Semibold"/>
      <w:b/>
      <w:color w:val="4C5564"/>
      <w:sz w:val="28"/>
      <w:szCs w:val="26"/>
    </w:rPr>
  </w:style>
  <w:style w:type="paragraph" w:customStyle="1" w:styleId="Heading3notshowing">
    <w:name w:val="Heading 3—not showing"/>
    <w:basedOn w:val="Normal"/>
    <w:next w:val="Normal"/>
    <w:qFormat/>
    <w:rsid w:val="00190A0C"/>
    <w:pPr>
      <w:keepNext/>
      <w:outlineLvl w:val="2"/>
    </w:pPr>
    <w:rPr>
      <w:rFonts w:eastAsia="MingLiU" w:cs="Segoe UI Semibold"/>
      <w:b/>
      <w:color w:val="4C5564"/>
      <w:sz w:val="24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B86B45"/>
    <w:pPr>
      <w:pBdr>
        <w:left w:val="single" w:sz="48" w:space="22" w:color="4BB3B5"/>
      </w:pBdr>
      <w:suppressAutoHyphens/>
      <w:spacing w:before="160"/>
      <w:ind w:left="567" w:right="567"/>
    </w:pPr>
    <w:rPr>
      <w:rFonts w:eastAsia="Calibri" w:cs="Times New Roman"/>
      <w:b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B86B45"/>
    <w:rPr>
      <w:rFonts w:ascii="Calibri" w:eastAsia="Calibri" w:hAnsi="Calibri" w:cs="Times New Roman"/>
      <w:b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090E6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Listparagraphbullets">
    <w:name w:val="List paragraph—bullets"/>
    <w:basedOn w:val="ListParagraph"/>
    <w:qFormat/>
    <w:rsid w:val="00B5393D"/>
    <w:pPr>
      <w:numPr>
        <w:numId w:val="2"/>
      </w:numPr>
      <w:ind w:left="567" w:hanging="567"/>
    </w:pPr>
    <w:rPr>
      <w:lang w:eastAsia="zh-TW"/>
    </w:rPr>
  </w:style>
  <w:style w:type="paragraph" w:styleId="ListParagraph">
    <w:name w:val="List Paragraph"/>
    <w:basedOn w:val="Normal"/>
    <w:uiPriority w:val="34"/>
    <w:qFormat/>
    <w:rsid w:val="00B5393D"/>
    <w:pPr>
      <w:numPr>
        <w:numId w:val="3"/>
      </w:numPr>
      <w:ind w:left="567" w:hanging="567"/>
      <w:contextualSpacing/>
    </w:pPr>
  </w:style>
  <w:style w:type="paragraph" w:customStyle="1" w:styleId="Tabletext">
    <w:name w:val="Table text"/>
    <w:basedOn w:val="Normal"/>
    <w:qFormat/>
    <w:rsid w:val="008B7158"/>
    <w:pPr>
      <w:spacing w:before="40" w:after="40"/>
    </w:pPr>
    <w:rPr>
      <w:rFonts w:eastAsia="Times New Roman" w:cs="Times New Roman"/>
      <w:szCs w:val="20"/>
    </w:rPr>
  </w:style>
  <w:style w:type="paragraph" w:customStyle="1" w:styleId="Tablerowcolumnheading">
    <w:name w:val="Table row/column heading"/>
    <w:basedOn w:val="Normal"/>
    <w:next w:val="Normal"/>
    <w:rsid w:val="000D29F4"/>
    <w:pPr>
      <w:shd w:val="clear" w:color="auto" w:fill="081E3E"/>
      <w:spacing w:before="60" w:after="60"/>
    </w:pPr>
    <w:rPr>
      <w:b/>
      <w:color w:val="FFFFFF" w:themeColor="background1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217C11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17C11"/>
    <w:rPr>
      <w:rFonts w:ascii="Segoe UI" w:hAnsi="Segoe U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7C11"/>
    <w:rPr>
      <w:vertAlign w:val="superscript"/>
    </w:rPr>
  </w:style>
  <w:style w:type="paragraph" w:customStyle="1" w:styleId="Tablefigureheading">
    <w:name w:val="Table/figure heading"/>
    <w:basedOn w:val="Normal"/>
    <w:next w:val="Normal"/>
    <w:qFormat/>
    <w:rsid w:val="00190A0C"/>
    <w:pPr>
      <w:keepNext/>
      <w:spacing w:after="0"/>
    </w:pPr>
    <w:rPr>
      <w:b/>
      <w:color w:val="002D72"/>
    </w:rPr>
  </w:style>
  <w:style w:type="paragraph" w:customStyle="1" w:styleId="Tabletextcentred">
    <w:name w:val="Table text—centred"/>
    <w:basedOn w:val="Tabletext"/>
    <w:next w:val="NoSpacing"/>
    <w:rsid w:val="008B7158"/>
    <w:pPr>
      <w:jc w:val="center"/>
    </w:pPr>
  </w:style>
  <w:style w:type="paragraph" w:customStyle="1" w:styleId="Tablerowcolumnheadingcentred">
    <w:name w:val="Table row/column heading—centred"/>
    <w:basedOn w:val="Tablerowcolumnheading"/>
    <w:next w:val="Normal"/>
    <w:rsid w:val="00CD0046"/>
    <w:pPr>
      <w:jc w:val="center"/>
    </w:pPr>
  </w:style>
  <w:style w:type="paragraph" w:customStyle="1" w:styleId="Sourcenote">
    <w:name w:val="Source / note"/>
    <w:basedOn w:val="Normal"/>
    <w:qFormat/>
    <w:rsid w:val="00654F9E"/>
    <w:rPr>
      <w:rFonts w:eastAsia="PMingLiU" w:cs="Mangal"/>
      <w:color w:val="595C6E"/>
      <w:szCs w:val="20"/>
      <w:lang w:eastAsia="zh-TW"/>
    </w:rPr>
  </w:style>
  <w:style w:type="table" w:styleId="PlainTable1">
    <w:name w:val="Plain Table 1"/>
    <w:basedOn w:val="TableNormal"/>
    <w:uiPriority w:val="41"/>
    <w:rsid w:val="00217C1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217C11"/>
    <w:pPr>
      <w:spacing w:after="0" w:line="240" w:lineRule="auto"/>
    </w:pPr>
    <w:rPr>
      <w:rFonts w:ascii="Segoe UI" w:hAnsi="Segoe UI"/>
      <w:sz w:val="21"/>
    </w:rPr>
  </w:style>
  <w:style w:type="paragraph" w:styleId="TOC4">
    <w:name w:val="toc 4"/>
    <w:basedOn w:val="Normal"/>
    <w:next w:val="Normal"/>
    <w:autoRedefine/>
    <w:uiPriority w:val="39"/>
    <w:unhideWhenUsed/>
    <w:rsid w:val="000740FB"/>
    <w:pPr>
      <w:tabs>
        <w:tab w:val="right" w:leader="dot" w:pos="9072"/>
      </w:tabs>
      <w:spacing w:after="0"/>
      <w:ind w:left="567" w:right="567" w:hanging="567"/>
    </w:pPr>
  </w:style>
  <w:style w:type="paragraph" w:styleId="TOC1">
    <w:name w:val="toc 1"/>
    <w:basedOn w:val="Normal"/>
    <w:next w:val="Normal"/>
    <w:autoRedefine/>
    <w:uiPriority w:val="39"/>
    <w:unhideWhenUsed/>
    <w:rsid w:val="000740FB"/>
    <w:pPr>
      <w:keepNext/>
      <w:tabs>
        <w:tab w:val="right" w:leader="dot" w:pos="9072"/>
      </w:tabs>
      <w:spacing w:before="120" w:after="0"/>
      <w:ind w:left="567" w:right="567" w:hanging="567"/>
    </w:pPr>
    <w:rPr>
      <w:b/>
      <w:color w:val="002D72"/>
    </w:rPr>
  </w:style>
  <w:style w:type="paragraph" w:styleId="TOC2">
    <w:name w:val="toc 2"/>
    <w:basedOn w:val="Normal"/>
    <w:next w:val="Normal"/>
    <w:autoRedefine/>
    <w:uiPriority w:val="39"/>
    <w:unhideWhenUsed/>
    <w:rsid w:val="000740FB"/>
    <w:pPr>
      <w:tabs>
        <w:tab w:val="right" w:leader="dot" w:pos="9072"/>
      </w:tabs>
      <w:spacing w:after="0"/>
      <w:ind w:left="1134" w:right="567" w:hanging="567"/>
    </w:pPr>
  </w:style>
  <w:style w:type="paragraph" w:styleId="TOC3">
    <w:name w:val="toc 3"/>
    <w:basedOn w:val="Normal"/>
    <w:next w:val="Normal"/>
    <w:autoRedefine/>
    <w:uiPriority w:val="39"/>
    <w:unhideWhenUsed/>
    <w:rsid w:val="000740FB"/>
    <w:pPr>
      <w:tabs>
        <w:tab w:val="right" w:leader="dot" w:pos="9072"/>
      </w:tabs>
      <w:spacing w:after="0"/>
      <w:ind w:left="1701" w:right="567" w:hanging="567"/>
    </w:pPr>
  </w:style>
  <w:style w:type="paragraph" w:customStyle="1" w:styleId="Normaldisclaimerpage">
    <w:name w:val="Normal—disclaimer page"/>
    <w:basedOn w:val="Normal"/>
    <w:qFormat/>
    <w:rsid w:val="002F1A23"/>
    <w:rPr>
      <w:szCs w:val="20"/>
    </w:rPr>
  </w:style>
  <w:style w:type="table" w:customStyle="1" w:styleId="PlainTable11">
    <w:name w:val="Plain Table 11"/>
    <w:basedOn w:val="TableNormal"/>
    <w:next w:val="PlainTable1"/>
    <w:uiPriority w:val="41"/>
    <w:rsid w:val="00BB3D4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efaultTable1">
    <w:name w:val="Default Table 1"/>
    <w:basedOn w:val="TableNormal"/>
    <w:uiPriority w:val="99"/>
    <w:rsid w:val="00A63390"/>
    <w:pPr>
      <w:spacing w:before="80" w:after="8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bottom w:val="single" w:sz="4" w:space="0" w:color="595959" w:themeColor="text1" w:themeTint="A6"/>
        <w:insideH w:val="single" w:sz="4" w:space="0" w:color="595959" w:themeColor="text1" w:themeTint="A6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tcBorders>
          <w:top w:val="nil"/>
          <w:bottom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shd w:val="clear" w:color="auto" w:fill="D9E2F3" w:themeFill="accent5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Tabletextbullets">
    <w:name w:val="Table text—bullets"/>
    <w:basedOn w:val="Listparagraphbullets"/>
    <w:qFormat/>
    <w:rsid w:val="00381BDA"/>
    <w:pPr>
      <w:spacing w:before="60" w:after="60"/>
      <w:ind w:left="284" w:hanging="284"/>
    </w:pPr>
    <w:rPr>
      <w:color w:val="000000" w:themeColor="text1"/>
      <w:szCs w:val="20"/>
    </w:rPr>
  </w:style>
  <w:style w:type="paragraph" w:styleId="Subtitle">
    <w:name w:val="Subtitle"/>
    <w:basedOn w:val="Normal"/>
    <w:next w:val="Normal"/>
    <w:link w:val="SubtitleChar"/>
    <w:uiPriority w:val="18"/>
    <w:qFormat/>
    <w:rsid w:val="000B6FF7"/>
    <w:pPr>
      <w:numPr>
        <w:ilvl w:val="1"/>
      </w:numPr>
      <w:suppressAutoHyphens/>
      <w:spacing w:before="120"/>
    </w:pPr>
    <w:rPr>
      <w:rFonts w:eastAsia="SimSun" w:cs="Times New Roman"/>
      <w:color w:val="377B88"/>
      <w:kern w:val="12"/>
    </w:rPr>
  </w:style>
  <w:style w:type="character" w:customStyle="1" w:styleId="SubtitleChar">
    <w:name w:val="Subtitle Char"/>
    <w:basedOn w:val="DefaultParagraphFont"/>
    <w:link w:val="Subtitle"/>
    <w:uiPriority w:val="18"/>
    <w:rsid w:val="000B6FF7"/>
    <w:rPr>
      <w:rFonts w:ascii="Calibri" w:eastAsia="SimSun" w:hAnsi="Calibri" w:cs="Times New Roman"/>
      <w:color w:val="377B88"/>
      <w:kern w:val="12"/>
    </w:rPr>
  </w:style>
  <w:style w:type="paragraph" w:customStyle="1" w:styleId="AreaHeading">
    <w:name w:val="Area Heading"/>
    <w:basedOn w:val="Normal"/>
    <w:qFormat/>
    <w:rsid w:val="00B041CB"/>
    <w:pPr>
      <w:suppressAutoHyphens/>
      <w:spacing w:after="80"/>
      <w:ind w:left="-1020" w:firstLine="1020"/>
    </w:pPr>
    <w:rPr>
      <w:rFonts w:asciiTheme="minorHAnsi" w:hAnsiTheme="minorHAnsi" w:cs="Times New Roman (Body CS)"/>
      <w:caps/>
      <w:color w:val="BF8F00" w:themeColor="accent4" w:themeShade="BF"/>
      <w:kern w:val="12"/>
      <w:sz w:val="21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041CB"/>
    <w:rPr>
      <w:color w:val="605E5C"/>
      <w:shd w:val="clear" w:color="auto" w:fill="E1DFDD"/>
    </w:rPr>
  </w:style>
  <w:style w:type="paragraph" w:customStyle="1" w:styleId="ListLegal1">
    <w:name w:val="List Legal 1"/>
    <w:basedOn w:val="Normal"/>
    <w:uiPriority w:val="3"/>
    <w:qFormat/>
    <w:rsid w:val="00B041CB"/>
    <w:pPr>
      <w:numPr>
        <w:numId w:val="14"/>
      </w:numPr>
      <w:suppressAutoHyphens/>
      <w:ind w:left="567" w:hanging="567"/>
    </w:pPr>
    <w:rPr>
      <w:color w:val="000000"/>
      <w:kern w:val="12"/>
      <w:szCs w:val="20"/>
      <w:lang w:val="x-none"/>
    </w:rPr>
  </w:style>
  <w:style w:type="paragraph" w:customStyle="1" w:styleId="ListLegal2">
    <w:name w:val="List Legal 2"/>
    <w:basedOn w:val="ListLegal1"/>
    <w:uiPriority w:val="3"/>
    <w:rsid w:val="00B041CB"/>
    <w:pPr>
      <w:numPr>
        <w:ilvl w:val="1"/>
      </w:numPr>
      <w:ind w:left="1134" w:hanging="567"/>
    </w:pPr>
  </w:style>
  <w:style w:type="paragraph" w:customStyle="1" w:styleId="ListLegal3">
    <w:name w:val="List Legal 3"/>
    <w:basedOn w:val="ListLegal2"/>
    <w:uiPriority w:val="3"/>
    <w:rsid w:val="00B041CB"/>
    <w:pPr>
      <w:numPr>
        <w:ilvl w:val="2"/>
      </w:numPr>
      <w:ind w:left="1701" w:hanging="567"/>
    </w:pPr>
  </w:style>
  <w:style w:type="numbering" w:customStyle="1" w:styleId="ListLegal">
    <w:name w:val="List Legal"/>
    <w:uiPriority w:val="99"/>
    <w:rsid w:val="00B041CB"/>
    <w:pPr>
      <w:numPr>
        <w:numId w:val="14"/>
      </w:numPr>
    </w:pPr>
  </w:style>
  <w:style w:type="table" w:customStyle="1" w:styleId="DefaultTable11">
    <w:name w:val="Default Table 11"/>
    <w:basedOn w:val="TableNormal"/>
    <w:uiPriority w:val="99"/>
    <w:rsid w:val="00654F9E"/>
    <w:pPr>
      <w:spacing w:before="80" w:after="80" w:line="240" w:lineRule="auto"/>
    </w:pPr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4BB3B5"/>
        <w:bottom w:val="single" w:sz="4" w:space="0" w:color="4BB3B5"/>
        <w:insideH w:val="single" w:sz="4" w:space="0" w:color="4BB3B5"/>
      </w:tblBorders>
    </w:tblPr>
    <w:tblStylePr w:type="firstRow">
      <w:rPr>
        <w:b/>
        <w:color w:val="FFFFFF"/>
      </w:rPr>
      <w:tblPr/>
      <w:trPr>
        <w:tblHeader/>
      </w:trPr>
      <w:tcPr>
        <w:tcBorders>
          <w:top w:val="nil"/>
          <w:bottom w:val="nil"/>
        </w:tcBorders>
        <w:shd w:val="clear" w:color="auto" w:fill="081E3E"/>
      </w:tcPr>
    </w:tblStylePr>
    <w:tblStylePr w:type="lastRow">
      <w:rPr>
        <w:b/>
      </w:rPr>
      <w:tblPr/>
      <w:tcPr>
        <w:shd w:val="clear" w:color="auto" w:fill="F2F6E8"/>
      </w:tcPr>
    </w:tblStylePr>
    <w:tblStylePr w:type="firstCol">
      <w:rPr>
        <w:b/>
      </w:rPr>
    </w:tblStylePr>
    <w:tblStylePr w:type="band2Vert">
      <w:tblPr/>
      <w:tcPr>
        <w:shd w:val="clear" w:color="auto" w:fill="F2F2F2"/>
      </w:tcPr>
    </w:tblStylePr>
    <w:tblStylePr w:type="band2Horz">
      <w:tblPr/>
      <w:tcPr>
        <w:shd w:val="clear" w:color="auto" w:fill="F2F2F2"/>
      </w:tcPr>
    </w:tblStylePr>
  </w:style>
  <w:style w:type="table" w:customStyle="1" w:styleId="DefaultTable12">
    <w:name w:val="Default Table 12"/>
    <w:basedOn w:val="TableNormal"/>
    <w:uiPriority w:val="99"/>
    <w:rsid w:val="00953CCD"/>
    <w:pPr>
      <w:spacing w:before="80" w:after="80" w:line="240" w:lineRule="auto"/>
    </w:pPr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4BB3B5"/>
        <w:bottom w:val="single" w:sz="4" w:space="0" w:color="4BB3B5"/>
        <w:insideH w:val="single" w:sz="4" w:space="0" w:color="4BB3B5"/>
      </w:tblBorders>
    </w:tblPr>
    <w:tblStylePr w:type="firstRow">
      <w:rPr>
        <w:b/>
        <w:color w:val="FFFFFF"/>
      </w:rPr>
      <w:tblPr/>
      <w:trPr>
        <w:tblHeader/>
      </w:trPr>
      <w:tcPr>
        <w:tcBorders>
          <w:top w:val="nil"/>
          <w:bottom w:val="nil"/>
        </w:tcBorders>
        <w:shd w:val="clear" w:color="auto" w:fill="081E3E"/>
      </w:tcPr>
    </w:tblStylePr>
    <w:tblStylePr w:type="lastRow">
      <w:rPr>
        <w:b/>
      </w:rPr>
      <w:tblPr/>
      <w:tcPr>
        <w:shd w:val="clear" w:color="auto" w:fill="F2F6E8"/>
      </w:tcPr>
    </w:tblStylePr>
    <w:tblStylePr w:type="firstCol">
      <w:rPr>
        <w:b/>
      </w:rPr>
    </w:tblStylePr>
    <w:tblStylePr w:type="band2Vert">
      <w:tblPr/>
      <w:tcPr>
        <w:shd w:val="clear" w:color="auto" w:fill="F2F2F2"/>
      </w:tcPr>
    </w:tblStylePr>
    <w:tblStylePr w:type="band2Horz">
      <w:tblPr/>
      <w:tcPr>
        <w:shd w:val="clear" w:color="auto" w:fill="F2F2F2"/>
      </w:tcPr>
    </w:tblStylePr>
  </w:style>
  <w:style w:type="table" w:styleId="TableGrid">
    <w:name w:val="Table Grid"/>
    <w:basedOn w:val="TableNormal"/>
    <w:uiPriority w:val="39"/>
    <w:rsid w:val="00AC6195"/>
    <w:pPr>
      <w:spacing w:after="0" w:line="240" w:lineRule="auto"/>
    </w:pPr>
    <w:rPr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duction">
    <w:name w:val="Introduction"/>
    <w:basedOn w:val="Normal"/>
    <w:uiPriority w:val="2"/>
    <w:qFormat/>
    <w:rsid w:val="00906533"/>
    <w:pPr>
      <w:suppressAutoHyphens/>
      <w:spacing w:before="240" w:after="240"/>
    </w:pPr>
    <w:rPr>
      <w:rFonts w:asciiTheme="minorHAnsi" w:hAnsiTheme="minorHAnsi"/>
      <w:color w:val="377B88"/>
      <w:sz w:val="26"/>
      <w:lang w:val="x-none"/>
    </w:rPr>
  </w:style>
  <w:style w:type="paragraph" w:customStyle="1" w:styleId="Bullet1">
    <w:name w:val="Bullet 1"/>
    <w:basedOn w:val="Normal"/>
    <w:uiPriority w:val="3"/>
    <w:qFormat/>
    <w:rsid w:val="00906533"/>
    <w:pPr>
      <w:numPr>
        <w:numId w:val="18"/>
      </w:numPr>
      <w:suppressAutoHyphens/>
      <w:spacing w:before="80" w:after="80"/>
    </w:pPr>
    <w:rPr>
      <w:rFonts w:asciiTheme="minorHAnsi" w:hAnsiTheme="minorHAnsi"/>
      <w:color w:val="000000" w:themeColor="text1"/>
      <w:lang w:val="x-none"/>
    </w:rPr>
  </w:style>
  <w:style w:type="paragraph" w:customStyle="1" w:styleId="Bullet2">
    <w:name w:val="Bullet 2"/>
    <w:basedOn w:val="Bullet1"/>
    <w:uiPriority w:val="3"/>
    <w:rsid w:val="00906533"/>
    <w:pPr>
      <w:numPr>
        <w:ilvl w:val="1"/>
      </w:numPr>
    </w:pPr>
  </w:style>
  <w:style w:type="paragraph" w:customStyle="1" w:styleId="Bullet3">
    <w:name w:val="Bullet 3"/>
    <w:basedOn w:val="Bullet2"/>
    <w:uiPriority w:val="3"/>
    <w:rsid w:val="00906533"/>
    <w:pPr>
      <w:numPr>
        <w:ilvl w:val="2"/>
      </w:numPr>
    </w:pPr>
  </w:style>
  <w:style w:type="table" w:customStyle="1" w:styleId="IconBoxTable">
    <w:name w:val="Icon Box Table"/>
    <w:basedOn w:val="TableNormal"/>
    <w:uiPriority w:val="99"/>
    <w:rsid w:val="00906533"/>
    <w:pPr>
      <w:spacing w:before="80" w:after="80" w:line="240" w:lineRule="auto"/>
    </w:pPr>
    <w:rPr>
      <w:color w:val="000000" w:themeColor="text1"/>
    </w:rPr>
    <w:tblPr>
      <w:tblCellMar>
        <w:top w:w="57" w:type="dxa"/>
        <w:left w:w="170" w:type="dxa"/>
        <w:bottom w:w="57" w:type="dxa"/>
        <w:right w:w="170" w:type="dxa"/>
      </w:tblCellMar>
    </w:tblPr>
    <w:tcPr>
      <w:shd w:val="clear" w:color="auto" w:fill="F2F2F2" w:themeFill="background1" w:themeFillShade="F2"/>
    </w:tcPr>
    <w:tblStylePr w:type="firstRow">
      <w:tblPr/>
      <w:trPr>
        <w:tblHeader/>
      </w:trPr>
    </w:tblStylePr>
    <w:tblStylePr w:type="firstCol">
      <w:tblPr>
        <w:tblCellMar>
          <w:top w:w="57" w:type="dxa"/>
          <w:left w:w="170" w:type="dxa"/>
          <w:bottom w:w="57" w:type="dxa"/>
          <w:right w:w="6" w:type="dxa"/>
        </w:tblCellMar>
      </w:tblPr>
      <w:tcPr>
        <w:tcMar>
          <w:top w:w="0" w:type="nil"/>
          <w:left w:w="170" w:type="dxa"/>
          <w:bottom w:w="0" w:type="nil"/>
          <w:right w:w="6" w:type="dxa"/>
        </w:tcMar>
      </w:tcPr>
    </w:tblStylePr>
  </w:style>
  <w:style w:type="numbering" w:customStyle="1" w:styleId="Bullets">
    <w:name w:val="Bullets"/>
    <w:uiPriority w:val="99"/>
    <w:rsid w:val="00906533"/>
    <w:pPr>
      <w:numPr>
        <w:numId w:val="18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C209D6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C01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0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09833-B1C3-4B17-B4C7-CF4170E83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2328</Characters>
  <Application>Microsoft Office Word</Application>
  <DocSecurity>0</DocSecurity>
  <Lines>52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Infrastructure, Transport, Regional Development, Communications, Sport and the Arts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period declarations—October 2025</dc:title>
  <dc:subject/>
  <dc:creator>Department of Infrastructure, Transport, Regional Development, Communications, Sport and the Arts</dc:creator>
  <cp:keywords/>
  <dc:description>14 May 2025</dc:description>
  <cp:lastModifiedBy>Hall, Theresa</cp:lastModifiedBy>
  <cp:revision>3</cp:revision>
  <dcterms:created xsi:type="dcterms:W3CDTF">2026-01-19T02:56:00Z</dcterms:created>
  <dcterms:modified xsi:type="dcterms:W3CDTF">2026-01-19T02:56:00Z</dcterms:modified>
</cp:coreProperties>
</file>