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46E6C" w14:textId="77777777" w:rsidR="001C0F49" w:rsidRPr="00CC6D61" w:rsidRDefault="001C0F49" w:rsidP="007A31D3">
      <w:pPr>
        <w:pStyle w:val="PartHeading-TOC"/>
      </w:pPr>
      <w:bookmarkStart w:id="1" w:name="_Toc117345170"/>
      <w:r w:rsidRPr="00CC6D61">
        <w:t>Old Parliament House</w:t>
      </w:r>
      <w:bookmarkEnd w:id="1"/>
    </w:p>
    <w:p w14:paraId="552CE7EB" w14:textId="77777777" w:rsidR="001C0F49" w:rsidRDefault="001C0F49" w:rsidP="001C0F49">
      <w:pPr>
        <w:pStyle w:val="PartHeading"/>
      </w:pPr>
    </w:p>
    <w:p w14:paraId="36CA1589" w14:textId="77777777" w:rsidR="001C0F49" w:rsidRDefault="001C0F49" w:rsidP="001C0F49">
      <w:pPr>
        <w:pStyle w:val="PartHeading"/>
      </w:pPr>
    </w:p>
    <w:p w14:paraId="01A90995" w14:textId="77777777" w:rsidR="001C0F49" w:rsidRDefault="001C0F49" w:rsidP="007A31D3">
      <w:pPr>
        <w:pStyle w:val="PartHeading"/>
      </w:pPr>
      <w:r>
        <w:t>Entity resources and planned performance</w:t>
      </w:r>
    </w:p>
    <w:p w14:paraId="4CE14051" w14:textId="77777777" w:rsidR="001C0F49" w:rsidRDefault="001C0F49" w:rsidP="001C0F49">
      <w:pPr>
        <w:pStyle w:val="PartHeading"/>
        <w:sectPr w:rsidR="001C0F49" w:rsidSect="00BA273A">
          <w:footerReference w:type="even" r:id="rId14"/>
          <w:footerReference w:type="default" r:id="rId15"/>
          <w:type w:val="oddPage"/>
          <w:pgSz w:w="11906" w:h="16838" w:code="9"/>
          <w:pgMar w:top="2438" w:right="2098" w:bottom="2438" w:left="2098" w:header="1814" w:footer="1814" w:gutter="0"/>
          <w:cols w:space="708"/>
          <w:vAlign w:val="center"/>
          <w:titlePg/>
          <w:docGrid w:linePitch="360"/>
        </w:sectPr>
      </w:pPr>
    </w:p>
    <w:p w14:paraId="11D156F9" w14:textId="5FCC1D30" w:rsidR="001C0F49" w:rsidRPr="002A32FD" w:rsidRDefault="001C0F49" w:rsidP="00572266">
      <w:pPr>
        <w:pStyle w:val="ContentsHeading"/>
      </w:pPr>
      <w:r w:rsidRPr="00CC6D61">
        <w:lastRenderedPageBreak/>
        <w:t>Old Parliament House</w:t>
      </w:r>
    </w:p>
    <w:p w14:paraId="27023DBD" w14:textId="5B754933"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115866215" w:history="1">
        <w:r w:rsidRPr="00C52FBF">
          <w:rPr>
            <w:rStyle w:val="Hyperlink"/>
            <w:noProof/>
          </w:rPr>
          <w:t>Section 1: Entity overview and resources</w:t>
        </w:r>
        <w:r>
          <w:rPr>
            <w:noProof/>
            <w:webHidden/>
          </w:rPr>
          <w:tab/>
        </w:r>
        <w:r>
          <w:rPr>
            <w:noProof/>
            <w:webHidden/>
          </w:rPr>
          <w:fldChar w:fldCharType="begin"/>
        </w:r>
        <w:r>
          <w:rPr>
            <w:noProof/>
            <w:webHidden/>
          </w:rPr>
          <w:instrText xml:space="preserve"> PAGEREF _Toc115866215 \h </w:instrText>
        </w:r>
        <w:r>
          <w:rPr>
            <w:noProof/>
            <w:webHidden/>
          </w:rPr>
        </w:r>
        <w:r>
          <w:rPr>
            <w:noProof/>
            <w:webHidden/>
          </w:rPr>
          <w:fldChar w:fldCharType="separate"/>
        </w:r>
        <w:r w:rsidR="005C752E">
          <w:rPr>
            <w:noProof/>
            <w:webHidden/>
          </w:rPr>
          <w:t>495</w:t>
        </w:r>
        <w:r>
          <w:rPr>
            <w:noProof/>
            <w:webHidden/>
          </w:rPr>
          <w:fldChar w:fldCharType="end"/>
        </w:r>
      </w:hyperlink>
    </w:p>
    <w:p w14:paraId="1C0746BE" w14:textId="462C691E"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16" w:history="1">
        <w:r w:rsidR="001C0F49" w:rsidRPr="00C52FBF">
          <w:rPr>
            <w:rStyle w:val="Hyperlink"/>
            <w:noProof/>
          </w:rPr>
          <w:t>1.1</w:t>
        </w:r>
        <w:r w:rsidR="001C0F49">
          <w:rPr>
            <w:rFonts w:asciiTheme="minorHAnsi" w:eastAsiaTheme="minorEastAsia" w:hAnsiTheme="minorHAnsi" w:cstheme="minorBidi"/>
            <w:noProof/>
            <w:sz w:val="22"/>
            <w:szCs w:val="22"/>
          </w:rPr>
          <w:tab/>
        </w:r>
        <w:r w:rsidR="001C0F49" w:rsidRPr="00C52FBF">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_Toc115866216 \h </w:instrText>
        </w:r>
        <w:r w:rsidR="001C0F49">
          <w:rPr>
            <w:noProof/>
            <w:webHidden/>
          </w:rPr>
        </w:r>
        <w:r w:rsidR="001C0F49">
          <w:rPr>
            <w:noProof/>
            <w:webHidden/>
          </w:rPr>
          <w:fldChar w:fldCharType="separate"/>
        </w:r>
        <w:r w:rsidR="005C752E">
          <w:rPr>
            <w:noProof/>
            <w:webHidden/>
          </w:rPr>
          <w:t>495</w:t>
        </w:r>
        <w:r w:rsidR="001C0F49">
          <w:rPr>
            <w:noProof/>
            <w:webHidden/>
          </w:rPr>
          <w:fldChar w:fldCharType="end"/>
        </w:r>
      </w:hyperlink>
    </w:p>
    <w:p w14:paraId="5E319AA6" w14:textId="5CC1C96A"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17" w:history="1">
        <w:r w:rsidR="001C0F49" w:rsidRPr="00C52FBF">
          <w:rPr>
            <w:rStyle w:val="Hyperlink"/>
            <w:noProof/>
          </w:rPr>
          <w:t>1.2</w:t>
        </w:r>
        <w:r w:rsidR="001C0F49">
          <w:rPr>
            <w:rFonts w:asciiTheme="minorHAnsi" w:eastAsiaTheme="minorEastAsia" w:hAnsiTheme="minorHAnsi" w:cstheme="minorBidi"/>
            <w:noProof/>
            <w:sz w:val="22"/>
            <w:szCs w:val="22"/>
          </w:rPr>
          <w:tab/>
        </w:r>
        <w:r w:rsidR="001C0F49" w:rsidRPr="00C52FBF">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_Toc115866217 \h </w:instrText>
        </w:r>
        <w:r w:rsidR="001C0F49">
          <w:rPr>
            <w:noProof/>
            <w:webHidden/>
          </w:rPr>
        </w:r>
        <w:r w:rsidR="001C0F49">
          <w:rPr>
            <w:noProof/>
            <w:webHidden/>
          </w:rPr>
          <w:fldChar w:fldCharType="separate"/>
        </w:r>
        <w:r w:rsidR="005C752E">
          <w:rPr>
            <w:noProof/>
            <w:webHidden/>
          </w:rPr>
          <w:t>496</w:t>
        </w:r>
        <w:r w:rsidR="001C0F49">
          <w:rPr>
            <w:noProof/>
            <w:webHidden/>
          </w:rPr>
          <w:fldChar w:fldCharType="end"/>
        </w:r>
      </w:hyperlink>
    </w:p>
    <w:p w14:paraId="3006B1EA" w14:textId="759E0E69"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18" w:history="1">
        <w:r w:rsidR="001C0F49" w:rsidRPr="00C52FBF">
          <w:rPr>
            <w:rStyle w:val="Hyperlink"/>
            <w:noProof/>
          </w:rPr>
          <w:t>1.3</w:t>
        </w:r>
        <w:r w:rsidR="001C0F49">
          <w:rPr>
            <w:rFonts w:asciiTheme="minorHAnsi" w:eastAsiaTheme="minorEastAsia" w:hAnsiTheme="minorHAnsi" w:cstheme="minorBidi"/>
            <w:noProof/>
            <w:sz w:val="22"/>
            <w:szCs w:val="22"/>
          </w:rPr>
          <w:tab/>
        </w:r>
        <w:r w:rsidR="001C0F49" w:rsidRPr="00C52FBF">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_Toc115866218 \h </w:instrText>
        </w:r>
        <w:r w:rsidR="001C0F49">
          <w:rPr>
            <w:noProof/>
            <w:webHidden/>
          </w:rPr>
        </w:r>
        <w:r w:rsidR="001C0F49">
          <w:rPr>
            <w:noProof/>
            <w:webHidden/>
          </w:rPr>
          <w:fldChar w:fldCharType="separate"/>
        </w:r>
        <w:r w:rsidR="005C752E">
          <w:rPr>
            <w:noProof/>
            <w:webHidden/>
          </w:rPr>
          <w:t>496</w:t>
        </w:r>
        <w:r w:rsidR="001C0F49">
          <w:rPr>
            <w:noProof/>
            <w:webHidden/>
          </w:rPr>
          <w:fldChar w:fldCharType="end"/>
        </w:r>
      </w:hyperlink>
    </w:p>
    <w:p w14:paraId="0BE42F29" w14:textId="053338B8" w:rsidR="001C0F49" w:rsidRDefault="00591AF3" w:rsidP="001C0F49">
      <w:pPr>
        <w:pStyle w:val="TOC1"/>
        <w:rPr>
          <w:rFonts w:asciiTheme="minorHAnsi" w:eastAsiaTheme="minorEastAsia" w:hAnsiTheme="minorHAnsi" w:cstheme="minorBidi"/>
          <w:b w:val="0"/>
          <w:caps w:val="0"/>
          <w:noProof/>
          <w:sz w:val="22"/>
          <w:szCs w:val="22"/>
        </w:rPr>
      </w:pPr>
      <w:hyperlink w:anchor="_Toc115866219" w:history="1">
        <w:r w:rsidR="001C0F49" w:rsidRPr="00C52FBF">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_Toc115866219 \h </w:instrText>
        </w:r>
        <w:r w:rsidR="001C0F49">
          <w:rPr>
            <w:noProof/>
            <w:webHidden/>
          </w:rPr>
        </w:r>
        <w:r w:rsidR="001C0F49">
          <w:rPr>
            <w:noProof/>
            <w:webHidden/>
          </w:rPr>
          <w:fldChar w:fldCharType="separate"/>
        </w:r>
        <w:r w:rsidR="005C752E">
          <w:rPr>
            <w:noProof/>
            <w:webHidden/>
          </w:rPr>
          <w:t>497</w:t>
        </w:r>
        <w:r w:rsidR="001C0F49">
          <w:rPr>
            <w:noProof/>
            <w:webHidden/>
          </w:rPr>
          <w:fldChar w:fldCharType="end"/>
        </w:r>
      </w:hyperlink>
    </w:p>
    <w:p w14:paraId="4BF1E081" w14:textId="4B3E3469"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20" w:history="1">
        <w:r w:rsidR="001C0F49" w:rsidRPr="00C52FBF">
          <w:rPr>
            <w:rStyle w:val="Hyperlink"/>
            <w:noProof/>
          </w:rPr>
          <w:t xml:space="preserve">2.1 </w:t>
        </w:r>
        <w:r w:rsidR="001C0F49">
          <w:rPr>
            <w:rFonts w:asciiTheme="minorHAnsi" w:eastAsiaTheme="minorEastAsia" w:hAnsiTheme="minorHAnsi" w:cstheme="minorBidi"/>
            <w:noProof/>
            <w:sz w:val="22"/>
            <w:szCs w:val="22"/>
          </w:rPr>
          <w:tab/>
        </w:r>
        <w:r w:rsidR="001C0F49" w:rsidRPr="00C52FBF">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_Toc115866220 \h </w:instrText>
        </w:r>
        <w:r w:rsidR="001C0F49">
          <w:rPr>
            <w:noProof/>
            <w:webHidden/>
          </w:rPr>
        </w:r>
        <w:r w:rsidR="001C0F49">
          <w:rPr>
            <w:noProof/>
            <w:webHidden/>
          </w:rPr>
          <w:fldChar w:fldCharType="separate"/>
        </w:r>
        <w:r w:rsidR="005C752E">
          <w:rPr>
            <w:noProof/>
            <w:webHidden/>
          </w:rPr>
          <w:t>498</w:t>
        </w:r>
        <w:r w:rsidR="001C0F49">
          <w:rPr>
            <w:noProof/>
            <w:webHidden/>
          </w:rPr>
          <w:fldChar w:fldCharType="end"/>
        </w:r>
      </w:hyperlink>
    </w:p>
    <w:p w14:paraId="193E9FF0" w14:textId="11C71677" w:rsidR="001C0F49" w:rsidRDefault="00591AF3" w:rsidP="001C0F49">
      <w:pPr>
        <w:pStyle w:val="TOC1"/>
        <w:rPr>
          <w:rFonts w:asciiTheme="minorHAnsi" w:eastAsiaTheme="minorEastAsia" w:hAnsiTheme="minorHAnsi" w:cstheme="minorBidi"/>
          <w:b w:val="0"/>
          <w:caps w:val="0"/>
          <w:noProof/>
          <w:sz w:val="22"/>
          <w:szCs w:val="22"/>
        </w:rPr>
      </w:pPr>
      <w:hyperlink w:anchor="_Toc115866221" w:history="1">
        <w:r w:rsidR="001C0F49" w:rsidRPr="00C52FBF">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_Toc115866221 \h </w:instrText>
        </w:r>
        <w:r w:rsidR="001C0F49">
          <w:rPr>
            <w:noProof/>
            <w:webHidden/>
          </w:rPr>
        </w:r>
        <w:r w:rsidR="001C0F49">
          <w:rPr>
            <w:noProof/>
            <w:webHidden/>
          </w:rPr>
          <w:fldChar w:fldCharType="separate"/>
        </w:r>
        <w:r w:rsidR="005C752E">
          <w:rPr>
            <w:noProof/>
            <w:webHidden/>
          </w:rPr>
          <w:t>502</w:t>
        </w:r>
        <w:r w:rsidR="001C0F49">
          <w:rPr>
            <w:noProof/>
            <w:webHidden/>
          </w:rPr>
          <w:fldChar w:fldCharType="end"/>
        </w:r>
      </w:hyperlink>
    </w:p>
    <w:p w14:paraId="128A8352" w14:textId="0474F69F"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22" w:history="1">
        <w:r w:rsidR="001C0F49" w:rsidRPr="00C52FBF">
          <w:rPr>
            <w:rStyle w:val="Hyperlink"/>
            <w:noProof/>
          </w:rPr>
          <w:t>3.1</w:t>
        </w:r>
        <w:r w:rsidR="001C0F49">
          <w:rPr>
            <w:rFonts w:asciiTheme="minorHAnsi" w:eastAsiaTheme="minorEastAsia" w:hAnsiTheme="minorHAnsi" w:cstheme="minorBidi"/>
            <w:noProof/>
            <w:sz w:val="22"/>
            <w:szCs w:val="22"/>
          </w:rPr>
          <w:tab/>
        </w:r>
        <w:r w:rsidR="001C0F49" w:rsidRPr="00C52FBF">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_Toc115866222 \h </w:instrText>
        </w:r>
        <w:r w:rsidR="001C0F49">
          <w:rPr>
            <w:noProof/>
            <w:webHidden/>
          </w:rPr>
        </w:r>
        <w:r w:rsidR="001C0F49">
          <w:rPr>
            <w:noProof/>
            <w:webHidden/>
          </w:rPr>
          <w:fldChar w:fldCharType="separate"/>
        </w:r>
        <w:r w:rsidR="005C752E">
          <w:rPr>
            <w:noProof/>
            <w:webHidden/>
          </w:rPr>
          <w:t>502</w:t>
        </w:r>
        <w:r w:rsidR="001C0F49">
          <w:rPr>
            <w:noProof/>
            <w:webHidden/>
          </w:rPr>
          <w:fldChar w:fldCharType="end"/>
        </w:r>
      </w:hyperlink>
    </w:p>
    <w:p w14:paraId="66DC9F0D" w14:textId="1AE7C4D8" w:rsidR="001C0F49" w:rsidRDefault="00591AF3" w:rsidP="001C0F49">
      <w:pPr>
        <w:pStyle w:val="TOC2"/>
        <w:tabs>
          <w:tab w:val="left" w:pos="800"/>
        </w:tabs>
        <w:rPr>
          <w:rFonts w:asciiTheme="minorHAnsi" w:eastAsiaTheme="minorEastAsia" w:hAnsiTheme="minorHAnsi" w:cstheme="minorBidi"/>
          <w:noProof/>
          <w:sz w:val="22"/>
          <w:szCs w:val="22"/>
        </w:rPr>
      </w:pPr>
      <w:hyperlink w:anchor="_Toc115866223" w:history="1">
        <w:r w:rsidR="001C0F49" w:rsidRPr="00C52FBF">
          <w:rPr>
            <w:rStyle w:val="Hyperlink"/>
            <w:noProof/>
          </w:rPr>
          <w:t>3.2</w:t>
        </w:r>
        <w:r w:rsidR="001C0F49">
          <w:rPr>
            <w:rFonts w:asciiTheme="minorHAnsi" w:eastAsiaTheme="minorEastAsia" w:hAnsiTheme="minorHAnsi" w:cstheme="minorBidi"/>
            <w:noProof/>
            <w:sz w:val="22"/>
            <w:szCs w:val="22"/>
          </w:rPr>
          <w:tab/>
        </w:r>
        <w:r w:rsidR="001C0F49" w:rsidRPr="00C52FBF">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_Toc115866223 \h </w:instrText>
        </w:r>
        <w:r w:rsidR="001C0F49">
          <w:rPr>
            <w:noProof/>
            <w:webHidden/>
          </w:rPr>
        </w:r>
        <w:r w:rsidR="001C0F49">
          <w:rPr>
            <w:noProof/>
            <w:webHidden/>
          </w:rPr>
          <w:fldChar w:fldCharType="separate"/>
        </w:r>
        <w:r w:rsidR="005C752E">
          <w:rPr>
            <w:noProof/>
            <w:webHidden/>
          </w:rPr>
          <w:t>503</w:t>
        </w:r>
        <w:r w:rsidR="001C0F49">
          <w:rPr>
            <w:noProof/>
            <w:webHidden/>
          </w:rPr>
          <w:fldChar w:fldCharType="end"/>
        </w:r>
      </w:hyperlink>
    </w:p>
    <w:p w14:paraId="6CD2BA84" w14:textId="37128F85" w:rsidR="001C0F49" w:rsidRPr="008B5AFD" w:rsidRDefault="001C0F49" w:rsidP="00572266">
      <w:pPr>
        <w:pStyle w:val="TOC1"/>
      </w:pPr>
      <w:r>
        <w:fldChar w:fldCharType="end"/>
      </w:r>
    </w:p>
    <w:p w14:paraId="6B4A5E20" w14:textId="77777777" w:rsidR="001C0F49" w:rsidRDefault="001C0F49" w:rsidP="001C0F49">
      <w:pPr>
        <w:sectPr w:rsidR="001C0F49" w:rsidSect="00BA273A">
          <w:footerReference w:type="even" r:id="rId16"/>
          <w:footerReference w:type="default" r:id="rId17"/>
          <w:footerReference w:type="first" r:id="rId18"/>
          <w:type w:val="oddPage"/>
          <w:pgSz w:w="11906" w:h="16838" w:code="9"/>
          <w:pgMar w:top="2438" w:right="2098" w:bottom="2438" w:left="2098" w:header="1814" w:footer="1814" w:gutter="0"/>
          <w:cols w:space="708"/>
          <w:titlePg/>
          <w:docGrid w:linePitch="360"/>
        </w:sectPr>
      </w:pPr>
    </w:p>
    <w:p w14:paraId="1F09DB5A" w14:textId="77777777" w:rsidR="001C0F49" w:rsidRPr="009A151F" w:rsidRDefault="001C0F49" w:rsidP="00D46240">
      <w:pPr>
        <w:pStyle w:val="Heading1"/>
        <w:rPr>
          <w:rFonts w:cs="Arial"/>
          <w:bCs/>
          <w:kern w:val="28"/>
          <w:szCs w:val="36"/>
        </w:rPr>
      </w:pPr>
      <w:bookmarkStart w:id="2" w:name="_Toc117326656"/>
      <w:r w:rsidRPr="00E670FA">
        <w:rPr>
          <w:rFonts w:cs="Arial"/>
          <w:bCs/>
          <w:kern w:val="28"/>
          <w:szCs w:val="36"/>
        </w:rPr>
        <w:lastRenderedPageBreak/>
        <w:t>Old Parliament House</w:t>
      </w:r>
      <w:bookmarkEnd w:id="2"/>
    </w:p>
    <w:p w14:paraId="5830CA8F" w14:textId="5160B365" w:rsidR="001C0F49" w:rsidRPr="002C4D41" w:rsidRDefault="001C0F49" w:rsidP="001C0F49">
      <w:pPr>
        <w:pStyle w:val="Heading2-OPH"/>
      </w:pPr>
      <w:bookmarkStart w:id="3" w:name="_Toc115866215"/>
      <w:r w:rsidRPr="002C4D41">
        <w:t xml:space="preserve">Section 1: Entity overview and </w:t>
      </w:r>
      <w:r>
        <w:t>reso</w:t>
      </w:r>
      <w:r w:rsidRPr="002C4D41">
        <w:t>urces</w:t>
      </w:r>
      <w:bookmarkEnd w:id="3"/>
    </w:p>
    <w:p w14:paraId="62D7B8FF" w14:textId="0B208CEF" w:rsidR="001C0F49" w:rsidRDefault="001C0F49" w:rsidP="001C0F49">
      <w:pPr>
        <w:pStyle w:val="Heading3-OPH"/>
      </w:pPr>
      <w:bookmarkStart w:id="4" w:name="_Toc115866216"/>
      <w:r>
        <w:t>1.1</w:t>
      </w:r>
      <w:r>
        <w:tab/>
        <w:t>Strategic direction statement</w:t>
      </w:r>
      <w:bookmarkEnd w:id="4"/>
    </w:p>
    <w:p w14:paraId="08E101CE" w14:textId="77777777" w:rsidR="001C0F49" w:rsidRPr="00A85385" w:rsidRDefault="001C0F49" w:rsidP="001C0F49">
      <w:r w:rsidRPr="00A85385">
        <w:t>The Museum of Australian Democracy</w:t>
      </w:r>
      <w:r w:rsidRPr="00A85385" w:rsidDel="0019553E">
        <w:t xml:space="preserve"> </w:t>
      </w:r>
      <w:r>
        <w:t xml:space="preserve">(MoAD) </w:t>
      </w:r>
      <w:r w:rsidRPr="00A85385">
        <w:t>was established in Old Parliament House</w:t>
      </w:r>
      <w:r>
        <w:t xml:space="preserve"> (OPH)</w:t>
      </w:r>
      <w:r w:rsidRPr="00A85385">
        <w:t xml:space="preserve"> in 2009 to provide an enriched understanding and appreciation of the political legacy and intrinsic value of Australian democracy. </w:t>
      </w:r>
      <w:r>
        <w:t>OPH</w:t>
      </w:r>
      <w:r w:rsidRPr="00A85385">
        <w:t xml:space="preserve"> provides transformative learning experiences through formal, curriculum-based programs for schools and unique informal experiences through exhibitions, youth parliaments, self-directed learning and online engagement as</w:t>
      </w:r>
      <w:r>
        <w:t xml:space="preserve"> it </w:t>
      </w:r>
      <w:r w:rsidRPr="00A85385">
        <w:t>explore</w:t>
      </w:r>
      <w:r>
        <w:t>s</w:t>
      </w:r>
      <w:r w:rsidRPr="00A85385">
        <w:t xml:space="preserve"> what it means to be an informed and engaged citizen.</w:t>
      </w:r>
    </w:p>
    <w:p w14:paraId="3B0EF648" w14:textId="77777777" w:rsidR="001C0F49" w:rsidRPr="00A85385" w:rsidRDefault="001C0F49" w:rsidP="001C0F49">
      <w:r w:rsidRPr="00A85385">
        <w:t>As the home of our Federal Parliament from 1927 to 1988 and an icon of outstanding national heritage significance</w:t>
      </w:r>
      <w:r>
        <w:t>,</w:t>
      </w:r>
      <w:r w:rsidRPr="00A85385">
        <w:t xml:space="preserve"> </w:t>
      </w:r>
      <w:r>
        <w:t>OPH</w:t>
      </w:r>
      <w:r w:rsidRPr="00A85385">
        <w:t xml:space="preserve"> aim</w:t>
      </w:r>
      <w:r>
        <w:t>s</w:t>
      </w:r>
      <w:r w:rsidRPr="00A85385">
        <w:t xml:space="preserve"> to communicate the spirit of </w:t>
      </w:r>
      <w:r>
        <w:t>Old Parliament House</w:t>
      </w:r>
      <w:r w:rsidRPr="00A85385">
        <w:t xml:space="preserve"> as a significant national heritage site, while ensuring the building and heritage collections are conserved for future generations.</w:t>
      </w:r>
    </w:p>
    <w:p w14:paraId="480AF5B5" w14:textId="77777777" w:rsidR="001C0F49" w:rsidRPr="00A85385" w:rsidRDefault="001C0F49" w:rsidP="001C0F49">
      <w:pPr>
        <w:spacing w:after="120"/>
      </w:pPr>
      <w:r>
        <w:t>OPH’s</w:t>
      </w:r>
      <w:r w:rsidRPr="00A85385">
        <w:t xml:space="preserve"> </w:t>
      </w:r>
      <w:r w:rsidRPr="00096DA7">
        <w:t>2018–23 Strategic Plan</w:t>
      </w:r>
      <w:r w:rsidRPr="00A85385">
        <w:t xml:space="preserve"> outlines the vision and direction to build upon </w:t>
      </w:r>
      <w:r>
        <w:t>its</w:t>
      </w:r>
      <w:r w:rsidRPr="00A85385">
        <w:t xml:space="preserve"> strategic priorities of bold, relevant, authentic and dynamic content and activities. The priorities which support</w:t>
      </w:r>
      <w:r>
        <w:t xml:space="preserve"> its </w:t>
      </w:r>
      <w:r w:rsidRPr="00A85385">
        <w:t>strategic direction and align with broader government objectives are:</w:t>
      </w:r>
    </w:p>
    <w:p w14:paraId="6780FA84" w14:textId="77777777" w:rsidR="001C0F49" w:rsidRDefault="001C0F49" w:rsidP="008D0F63">
      <w:pPr>
        <w:pStyle w:val="bulletlevel1"/>
        <w:numPr>
          <w:ilvl w:val="0"/>
          <w:numId w:val="22"/>
        </w:numPr>
        <w:ind w:left="567" w:hanging="567"/>
      </w:pPr>
      <w:r>
        <w:t>Our exhibitions, events, collections research and education programs will provoke thoughtful engagement through stories and creative interpretations of past and current events informed by authoritative research and data analysis.  We will advance national conversations about democracy.</w:t>
      </w:r>
    </w:p>
    <w:p w14:paraId="5A178B05" w14:textId="77777777" w:rsidR="001C0F49" w:rsidRDefault="001C0F49" w:rsidP="008D0F63">
      <w:pPr>
        <w:pStyle w:val="bulletlevel1"/>
        <w:numPr>
          <w:ilvl w:val="0"/>
          <w:numId w:val="22"/>
        </w:numPr>
        <w:ind w:left="567" w:hanging="567"/>
      </w:pPr>
      <w:r>
        <w:t>We promote active citizenship via a suite of audience experiences and targeted activities that are timely and influential, and which support inclusion and build civic and social cohesion.</w:t>
      </w:r>
    </w:p>
    <w:p w14:paraId="543D1C53" w14:textId="77777777" w:rsidR="001C0F49" w:rsidRPr="00950302" w:rsidRDefault="001C0F49" w:rsidP="008D0F63">
      <w:pPr>
        <w:pStyle w:val="bulletlevel1"/>
        <w:numPr>
          <w:ilvl w:val="0"/>
          <w:numId w:val="22"/>
        </w:numPr>
        <w:ind w:left="567" w:hanging="567"/>
      </w:pPr>
      <w:r>
        <w:t xml:space="preserve">In this nationally significant building, we will </w:t>
      </w:r>
      <w:r w:rsidRPr="00950302">
        <w:t>create a vibrant and contemporary hub</w:t>
      </w:r>
      <w:r>
        <w:t xml:space="preserve"> that empowers civic and individual engagement in the democratic process.  Progress will be achieved</w:t>
      </w:r>
      <w:r w:rsidRPr="00950302">
        <w:t xml:space="preserve"> in harmony with heritage values that recognise, preserve and communicate the spirit of place.</w:t>
      </w:r>
    </w:p>
    <w:p w14:paraId="4774905E" w14:textId="77777777" w:rsidR="001C0F49" w:rsidRPr="009A2FD2" w:rsidRDefault="001C0F49" w:rsidP="008D0F63">
      <w:pPr>
        <w:pStyle w:val="bulletlevel1"/>
        <w:numPr>
          <w:ilvl w:val="0"/>
          <w:numId w:val="22"/>
        </w:numPr>
        <w:ind w:left="567" w:hanging="567"/>
      </w:pPr>
      <w:r>
        <w:t xml:space="preserve">Our organisational culture will enable MoAD and its valued staff </w:t>
      </w:r>
      <w:r w:rsidRPr="00950302">
        <w:t>to be nimble, collaborative and efficient</w:t>
      </w:r>
      <w:r>
        <w:t xml:space="preserve">. Our actions and relationships will </w:t>
      </w:r>
      <w:r w:rsidRPr="00950302">
        <w:t xml:space="preserve">ensure ongoing </w:t>
      </w:r>
      <w:r w:rsidRPr="009A2FD2">
        <w:t>relevance and financial sustainability.</w:t>
      </w:r>
    </w:p>
    <w:p w14:paraId="45FD3ED6" w14:textId="77777777" w:rsidR="00AE3105" w:rsidRDefault="001C0F49" w:rsidP="001C0F49">
      <w:pPr>
        <w:pStyle w:val="Heading3-OPH"/>
      </w:pPr>
      <w:r w:rsidRPr="0079797F">
        <w:br w:type="page"/>
      </w:r>
      <w:bookmarkStart w:id="5" w:name="_Toc115866217"/>
    </w:p>
    <w:p w14:paraId="5DD3356C" w14:textId="153A3B19" w:rsidR="001C0F49" w:rsidRPr="00B16C4D" w:rsidRDefault="001C0F49" w:rsidP="001C0F49">
      <w:pPr>
        <w:pStyle w:val="Heading3-OPH"/>
      </w:pPr>
      <w:r w:rsidRPr="00B16C4D">
        <w:lastRenderedPageBreak/>
        <w:t>1.2</w:t>
      </w:r>
      <w:r w:rsidRPr="00B16C4D">
        <w:tab/>
        <w:t>Entity resource statement</w:t>
      </w:r>
      <w:bookmarkEnd w:id="5"/>
    </w:p>
    <w:p w14:paraId="0AB550D2" w14:textId="77777777" w:rsidR="001C0F49" w:rsidRDefault="001C0F49" w:rsidP="001C0F49">
      <w:r>
        <w:t>Table 1.1 shows the total funding from all sources available to OPH for its operations and to deliver programs and services on behalf of the Government.</w:t>
      </w:r>
    </w:p>
    <w:p w14:paraId="68EA40EF" w14:textId="77777777" w:rsidR="001C0F49" w:rsidRDefault="001C0F49" w:rsidP="001C0F49">
      <w:r>
        <w:t>The table summarises how resources will be applied by outcome (government strategic policy objectives) and by departmental (for OPH’s operations) classification.</w:t>
      </w:r>
    </w:p>
    <w:p w14:paraId="7DC9F6F3" w14:textId="77777777" w:rsidR="001C0F49" w:rsidRDefault="001C0F49" w:rsidP="001C0F49">
      <w:pPr>
        <w:pStyle w:val="TableHeading"/>
        <w:rPr>
          <w:rFonts w:ascii="Book Antiqua" w:hAnsi="Book Antiqua"/>
          <w:b w:val="0"/>
          <w:color w:val="auto"/>
          <w:lang w:val="en-AU" w:eastAsia="en-AU"/>
        </w:rPr>
      </w:pPr>
      <w:r w:rsidRPr="0019430E">
        <w:rPr>
          <w:rFonts w:ascii="Book Antiqua" w:hAnsi="Book Antiqua"/>
          <w:b w:val="0"/>
          <w:color w:val="auto"/>
          <w:lang w:val="en-AU" w:eastAsia="en-AU"/>
        </w:rPr>
        <w:t xml:space="preserve">Information in this table is presented on a resourcing (that is, appropriations/cash available) basis, whilst the ‘Budgeted expenses by Outcome </w:t>
      </w:r>
      <w:r>
        <w:rPr>
          <w:rFonts w:ascii="Book Antiqua" w:hAnsi="Book Antiqua"/>
          <w:b w:val="0"/>
          <w:color w:val="auto"/>
          <w:lang w:val="en-AU" w:eastAsia="en-AU"/>
        </w:rPr>
        <w:t>1</w:t>
      </w:r>
      <w:r w:rsidRPr="0019430E">
        <w:rPr>
          <w:rFonts w:ascii="Book Antiqua" w:hAnsi="Book Antiqua"/>
          <w:b w:val="0"/>
          <w:color w:val="auto"/>
          <w:lang w:val="en-AU" w:eastAsia="en-AU"/>
        </w:rPr>
        <w:t>’ tables in Section 2 and the financial statements in Section 3 are presented on an accrual basis.</w:t>
      </w:r>
      <w:r>
        <w:rPr>
          <w:rFonts w:ascii="Book Antiqua" w:hAnsi="Book Antiqua"/>
          <w:b w:val="0"/>
          <w:color w:val="auto"/>
          <w:lang w:val="en-AU" w:eastAsia="en-AU"/>
        </w:rPr>
        <w:t xml:space="preserve"> </w:t>
      </w:r>
    </w:p>
    <w:p w14:paraId="4813B838" w14:textId="77777777" w:rsidR="001C0F49" w:rsidRPr="00FE1091" w:rsidRDefault="001C0F49" w:rsidP="001C0F49">
      <w:pPr>
        <w:pStyle w:val="TableHeading"/>
        <w:spacing w:before="240"/>
        <w:rPr>
          <w:b w:val="0"/>
          <w:lang w:val="en-AU"/>
        </w:rPr>
      </w:pPr>
      <w:r w:rsidRPr="00D44150">
        <w:t xml:space="preserve">Table 1.1: </w:t>
      </w:r>
      <w:r>
        <w:rPr>
          <w:lang w:val="en-AU"/>
        </w:rPr>
        <w:t>OPH</w:t>
      </w:r>
      <w:r w:rsidRPr="00D44150">
        <w:t xml:space="preserve"> resource statement</w:t>
      </w:r>
      <w:r>
        <w:t xml:space="preserve"> — Budget estimates for </w:t>
      </w:r>
      <w:r>
        <w:rPr>
          <w:lang w:val="en-AU"/>
        </w:rPr>
        <w:t>2022-23</w:t>
      </w:r>
      <w:r>
        <w:t xml:space="preserve"> </w:t>
      </w:r>
      <w:r w:rsidRPr="00D44150">
        <w:t>as at Budget</w:t>
      </w:r>
      <w:r>
        <w:rPr>
          <w:lang w:val="en-US"/>
        </w:rPr>
        <w:t xml:space="preserve"> October </w:t>
      </w:r>
      <w:r>
        <w:rPr>
          <w:lang w:val="en-AU"/>
        </w:rPr>
        <w:t>2022</w:t>
      </w:r>
    </w:p>
    <w:tbl>
      <w:tblPr>
        <w:tblW w:w="5000" w:type="pct"/>
        <w:tblLook w:val="04A0" w:firstRow="1" w:lastRow="0" w:firstColumn="1" w:lastColumn="0" w:noHBand="0" w:noVBand="1"/>
      </w:tblPr>
      <w:tblGrid>
        <w:gridCol w:w="5341"/>
        <w:gridCol w:w="1186"/>
        <w:gridCol w:w="1183"/>
      </w:tblGrid>
      <w:tr w:rsidR="001C0F49" w:rsidRPr="006259EE" w14:paraId="2B468973" w14:textId="77777777" w:rsidTr="00AE2189">
        <w:trPr>
          <w:trHeight w:val="204"/>
        </w:trPr>
        <w:tc>
          <w:tcPr>
            <w:tcW w:w="3464" w:type="pct"/>
            <w:tcBorders>
              <w:top w:val="single" w:sz="4" w:space="0" w:color="auto"/>
              <w:left w:val="nil"/>
              <w:bottom w:val="nil"/>
              <w:right w:val="nil"/>
            </w:tcBorders>
            <w:shd w:val="clear" w:color="000000" w:fill="FFFFFF"/>
            <w:noWrap/>
            <w:vAlign w:val="bottom"/>
            <w:hideMark/>
          </w:tcPr>
          <w:p w14:paraId="378F2492" w14:textId="77777777" w:rsidR="001C0F49" w:rsidRPr="006259EE" w:rsidRDefault="001C0F49" w:rsidP="00293BD0">
            <w:pPr>
              <w:spacing w:after="0" w:line="240" w:lineRule="auto"/>
              <w:rPr>
                <w:rFonts w:ascii="Arial" w:hAnsi="Arial" w:cs="Arial"/>
                <w:color w:val="000000"/>
                <w:sz w:val="16"/>
                <w:szCs w:val="16"/>
              </w:rPr>
            </w:pPr>
            <w:r w:rsidRPr="006259EE">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097AC1EB" w14:textId="77777777" w:rsidR="001C0F49" w:rsidRPr="006259EE" w:rsidRDefault="001C0F49" w:rsidP="00293BD0">
            <w:pPr>
              <w:spacing w:after="0" w:line="240" w:lineRule="auto"/>
              <w:jc w:val="right"/>
              <w:rPr>
                <w:rFonts w:ascii="Arial" w:hAnsi="Arial" w:cs="Arial"/>
                <w:color w:val="000000"/>
                <w:sz w:val="16"/>
                <w:szCs w:val="16"/>
              </w:rPr>
            </w:pPr>
            <w:r w:rsidRPr="006259EE">
              <w:rPr>
                <w:rFonts w:ascii="Arial" w:hAnsi="Arial" w:cs="Arial"/>
                <w:color w:val="000000"/>
                <w:sz w:val="16"/>
                <w:szCs w:val="16"/>
              </w:rPr>
              <w:t>2021-22 Estimated actual</w:t>
            </w:r>
            <w:r w:rsidRPr="006259EE">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456E15C9" w14:textId="77777777" w:rsidR="001C0F49" w:rsidRPr="006259EE" w:rsidRDefault="001C0F49" w:rsidP="00293BD0">
            <w:pPr>
              <w:spacing w:after="0" w:line="240" w:lineRule="auto"/>
              <w:jc w:val="right"/>
              <w:rPr>
                <w:rFonts w:ascii="Arial" w:hAnsi="Arial" w:cs="Arial"/>
                <w:color w:val="000000"/>
                <w:sz w:val="16"/>
                <w:szCs w:val="16"/>
              </w:rPr>
            </w:pPr>
            <w:r w:rsidRPr="006259EE">
              <w:rPr>
                <w:rFonts w:ascii="Arial" w:hAnsi="Arial" w:cs="Arial"/>
                <w:color w:val="000000"/>
                <w:sz w:val="16"/>
                <w:szCs w:val="16"/>
              </w:rPr>
              <w:t>2022-23 Estimate</w:t>
            </w:r>
            <w:r w:rsidRPr="006259EE">
              <w:rPr>
                <w:rFonts w:ascii="Arial" w:hAnsi="Arial" w:cs="Arial"/>
                <w:color w:val="000000"/>
                <w:sz w:val="16"/>
                <w:szCs w:val="16"/>
              </w:rPr>
              <w:br/>
            </w:r>
            <w:r w:rsidRPr="006259EE">
              <w:rPr>
                <w:rFonts w:ascii="Arial" w:hAnsi="Arial" w:cs="Arial"/>
                <w:color w:val="000000"/>
                <w:sz w:val="16"/>
                <w:szCs w:val="16"/>
              </w:rPr>
              <w:br/>
              <w:t>$'000</w:t>
            </w:r>
          </w:p>
        </w:tc>
      </w:tr>
      <w:tr w:rsidR="001C0F49" w:rsidRPr="006259EE" w14:paraId="7AC7317E" w14:textId="77777777" w:rsidTr="00AE2189">
        <w:trPr>
          <w:trHeight w:val="204"/>
        </w:trPr>
        <w:tc>
          <w:tcPr>
            <w:tcW w:w="3464" w:type="pct"/>
            <w:tcBorders>
              <w:top w:val="nil"/>
              <w:left w:val="nil"/>
              <w:bottom w:val="nil"/>
              <w:right w:val="nil"/>
            </w:tcBorders>
            <w:shd w:val="clear" w:color="000000" w:fill="FFFFFF"/>
            <w:noWrap/>
            <w:vAlign w:val="bottom"/>
            <w:hideMark/>
          </w:tcPr>
          <w:p w14:paraId="4C13DAEA"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30C2308E" w14:textId="77777777" w:rsidR="001C0F49" w:rsidRPr="005F1ADF" w:rsidRDefault="001C0F49" w:rsidP="00572266">
            <w:pPr>
              <w:spacing w:after="0" w:line="240" w:lineRule="auto"/>
              <w:jc w:val="right"/>
              <w:rPr>
                <w:rFonts w:ascii="Arial" w:hAnsi="Arial" w:cs="Arial"/>
                <w:b/>
                <w:iCs/>
                <w:color w:val="000000"/>
                <w:sz w:val="16"/>
                <w:szCs w:val="16"/>
              </w:rPr>
            </w:pPr>
            <w:r w:rsidRPr="005F1ADF">
              <w:rPr>
                <w:rFonts w:ascii="Arial" w:hAnsi="Arial" w:cs="Arial"/>
                <w:b/>
                <w:iCs/>
                <w:color w:val="000000"/>
                <w:sz w:val="16"/>
                <w:szCs w:val="16"/>
              </w:rPr>
              <w:t>7,652</w:t>
            </w:r>
          </w:p>
        </w:tc>
        <w:tc>
          <w:tcPr>
            <w:tcW w:w="767" w:type="pct"/>
            <w:tcBorders>
              <w:top w:val="single" w:sz="4" w:space="0" w:color="auto"/>
              <w:left w:val="nil"/>
              <w:bottom w:val="single" w:sz="4" w:space="0" w:color="auto"/>
              <w:right w:val="nil"/>
            </w:tcBorders>
            <w:shd w:val="clear" w:color="auto" w:fill="E6E6E6"/>
            <w:noWrap/>
            <w:vAlign w:val="bottom"/>
            <w:hideMark/>
          </w:tcPr>
          <w:p w14:paraId="24CD807E" w14:textId="77777777" w:rsidR="001C0F49" w:rsidRPr="005F1ADF" w:rsidRDefault="001C0F49" w:rsidP="00572266">
            <w:pPr>
              <w:spacing w:after="0" w:line="240" w:lineRule="auto"/>
              <w:jc w:val="right"/>
              <w:rPr>
                <w:rFonts w:ascii="Arial" w:hAnsi="Arial" w:cs="Arial"/>
                <w:b/>
                <w:color w:val="000000"/>
                <w:sz w:val="16"/>
                <w:szCs w:val="16"/>
              </w:rPr>
            </w:pPr>
            <w:r w:rsidRPr="005F1ADF">
              <w:rPr>
                <w:rFonts w:ascii="Arial" w:hAnsi="Arial" w:cs="Arial"/>
                <w:b/>
                <w:color w:val="000000"/>
                <w:sz w:val="16"/>
                <w:szCs w:val="16"/>
              </w:rPr>
              <w:t>8,579</w:t>
            </w:r>
          </w:p>
        </w:tc>
      </w:tr>
      <w:tr w:rsidR="001C0F49" w:rsidRPr="006259EE" w14:paraId="6F8CFBF3" w14:textId="77777777" w:rsidTr="00AE2189">
        <w:trPr>
          <w:trHeight w:val="204"/>
        </w:trPr>
        <w:tc>
          <w:tcPr>
            <w:tcW w:w="3464" w:type="pct"/>
            <w:tcBorders>
              <w:top w:val="nil"/>
              <w:left w:val="nil"/>
              <w:bottom w:val="nil"/>
              <w:right w:val="nil"/>
            </w:tcBorders>
            <w:shd w:val="clear" w:color="000000" w:fill="FFFFFF"/>
            <w:vAlign w:val="bottom"/>
            <w:hideMark/>
          </w:tcPr>
          <w:p w14:paraId="46C2B92A"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37466CFB" w14:textId="77777777" w:rsidR="001C0F49" w:rsidRPr="006259EE" w:rsidRDefault="001C0F49" w:rsidP="0057226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3CFA22A" w14:textId="77777777" w:rsidR="001C0F49" w:rsidRPr="006259EE" w:rsidRDefault="001C0F49" w:rsidP="00572266">
            <w:pPr>
              <w:spacing w:after="0" w:line="240" w:lineRule="auto"/>
              <w:jc w:val="right"/>
              <w:rPr>
                <w:rFonts w:ascii="Arial" w:hAnsi="Arial" w:cs="Arial"/>
                <w:color w:val="000000"/>
                <w:sz w:val="16"/>
                <w:szCs w:val="16"/>
              </w:rPr>
            </w:pPr>
          </w:p>
        </w:tc>
      </w:tr>
      <w:tr w:rsidR="001C0F49" w:rsidRPr="006259EE" w14:paraId="1E504B9D" w14:textId="77777777" w:rsidTr="00AE2189">
        <w:trPr>
          <w:trHeight w:val="204"/>
        </w:trPr>
        <w:tc>
          <w:tcPr>
            <w:tcW w:w="3464" w:type="pct"/>
            <w:tcBorders>
              <w:top w:val="nil"/>
              <w:left w:val="nil"/>
              <w:bottom w:val="nil"/>
              <w:right w:val="nil"/>
            </w:tcBorders>
            <w:shd w:val="clear" w:color="000000" w:fill="FFFFFF"/>
            <w:vAlign w:val="bottom"/>
            <w:hideMark/>
          </w:tcPr>
          <w:p w14:paraId="0EAA7930" w14:textId="77777777" w:rsidR="001C0F49" w:rsidRPr="006259EE" w:rsidRDefault="001C0F49" w:rsidP="00293BD0">
            <w:pPr>
              <w:spacing w:after="0" w:line="240" w:lineRule="auto"/>
              <w:rPr>
                <w:rFonts w:ascii="Arial" w:hAnsi="Arial" w:cs="Arial"/>
                <w:color w:val="000000"/>
                <w:sz w:val="16"/>
                <w:szCs w:val="16"/>
              </w:rPr>
            </w:pPr>
            <w:r w:rsidRPr="006259EE">
              <w:rPr>
                <w:rFonts w:ascii="Arial" w:hAnsi="Arial" w:cs="Arial"/>
                <w:color w:val="000000"/>
                <w:sz w:val="16"/>
                <w:szCs w:val="16"/>
              </w:rPr>
              <w:t>Annual appropriations - ordinary annual services</w:t>
            </w:r>
            <w:r w:rsidRPr="006259EE">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3CF7ED18" w14:textId="77777777" w:rsidR="001C0F49" w:rsidRPr="006259EE" w:rsidRDefault="001C0F49" w:rsidP="0057226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0E4F9693" w14:textId="77777777" w:rsidR="001C0F49" w:rsidRPr="006259EE" w:rsidRDefault="001C0F49" w:rsidP="00572266">
            <w:pPr>
              <w:spacing w:after="0" w:line="240" w:lineRule="auto"/>
              <w:jc w:val="right"/>
              <w:rPr>
                <w:rFonts w:ascii="Arial" w:hAnsi="Arial" w:cs="Arial"/>
                <w:color w:val="000000"/>
                <w:sz w:val="16"/>
                <w:szCs w:val="16"/>
              </w:rPr>
            </w:pPr>
          </w:p>
        </w:tc>
      </w:tr>
      <w:tr w:rsidR="001C0F49" w:rsidRPr="006259EE" w14:paraId="446797A3" w14:textId="77777777" w:rsidTr="00AE2189">
        <w:trPr>
          <w:trHeight w:val="204"/>
        </w:trPr>
        <w:tc>
          <w:tcPr>
            <w:tcW w:w="3464" w:type="pct"/>
            <w:tcBorders>
              <w:top w:val="nil"/>
              <w:left w:val="nil"/>
              <w:bottom w:val="nil"/>
              <w:right w:val="nil"/>
            </w:tcBorders>
            <w:shd w:val="clear" w:color="000000" w:fill="FFFFFF"/>
            <w:vAlign w:val="bottom"/>
            <w:hideMark/>
          </w:tcPr>
          <w:p w14:paraId="09718115" w14:textId="77777777" w:rsidR="001C0F49" w:rsidRPr="006259EE" w:rsidRDefault="001C0F49" w:rsidP="00293BD0">
            <w:pPr>
              <w:spacing w:after="0" w:line="240" w:lineRule="auto"/>
              <w:ind w:firstLineChars="100" w:firstLine="160"/>
              <w:rPr>
                <w:rFonts w:ascii="Arial" w:hAnsi="Arial" w:cs="Arial"/>
                <w:color w:val="000000"/>
                <w:sz w:val="16"/>
                <w:szCs w:val="16"/>
              </w:rPr>
            </w:pPr>
            <w:r w:rsidRPr="006259EE">
              <w:rPr>
                <w:rFonts w:ascii="Arial" w:hAnsi="Arial" w:cs="Arial"/>
                <w:color w:val="000000"/>
                <w:sz w:val="16"/>
                <w:szCs w:val="16"/>
              </w:rPr>
              <w:t>Outcome 1</w:t>
            </w:r>
          </w:p>
        </w:tc>
        <w:tc>
          <w:tcPr>
            <w:tcW w:w="769" w:type="pct"/>
            <w:tcBorders>
              <w:top w:val="nil"/>
              <w:left w:val="nil"/>
              <w:bottom w:val="nil"/>
              <w:right w:val="nil"/>
            </w:tcBorders>
            <w:shd w:val="clear" w:color="000000" w:fill="FFFFFF"/>
            <w:noWrap/>
            <w:vAlign w:val="bottom"/>
            <w:hideMark/>
          </w:tcPr>
          <w:p w14:paraId="6271BB33"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13,569</w:t>
            </w:r>
          </w:p>
        </w:tc>
        <w:tc>
          <w:tcPr>
            <w:tcW w:w="767" w:type="pct"/>
            <w:tcBorders>
              <w:top w:val="nil"/>
              <w:left w:val="nil"/>
              <w:bottom w:val="nil"/>
              <w:right w:val="nil"/>
            </w:tcBorders>
            <w:shd w:val="clear" w:color="auto" w:fill="E6E6E6"/>
            <w:noWrap/>
            <w:vAlign w:val="bottom"/>
            <w:hideMark/>
          </w:tcPr>
          <w:p w14:paraId="402772B0"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14,970</w:t>
            </w:r>
          </w:p>
        </w:tc>
      </w:tr>
      <w:tr w:rsidR="001C0F49" w:rsidRPr="006259EE" w14:paraId="7E6DCB62" w14:textId="77777777" w:rsidTr="00AE2189">
        <w:trPr>
          <w:trHeight w:val="204"/>
        </w:trPr>
        <w:tc>
          <w:tcPr>
            <w:tcW w:w="3464" w:type="pct"/>
            <w:tcBorders>
              <w:top w:val="nil"/>
              <w:left w:val="nil"/>
              <w:bottom w:val="nil"/>
              <w:right w:val="nil"/>
            </w:tcBorders>
            <w:shd w:val="clear" w:color="000000" w:fill="FFFFFF"/>
            <w:vAlign w:val="bottom"/>
            <w:hideMark/>
          </w:tcPr>
          <w:p w14:paraId="55312FEA" w14:textId="77777777" w:rsidR="001C0F49" w:rsidRPr="006259EE" w:rsidRDefault="001C0F49" w:rsidP="00293BD0">
            <w:pPr>
              <w:spacing w:after="0" w:line="240" w:lineRule="auto"/>
              <w:rPr>
                <w:rFonts w:ascii="Arial" w:hAnsi="Arial" w:cs="Arial"/>
                <w:color w:val="000000"/>
                <w:sz w:val="16"/>
                <w:szCs w:val="16"/>
              </w:rPr>
            </w:pPr>
            <w:r w:rsidRPr="006259EE">
              <w:rPr>
                <w:rFonts w:ascii="Arial" w:hAnsi="Arial" w:cs="Arial"/>
                <w:color w:val="000000"/>
                <w:sz w:val="16"/>
                <w:szCs w:val="16"/>
              </w:rPr>
              <w:t xml:space="preserve">Annual appropriations - other services </w:t>
            </w:r>
            <w:r w:rsidRPr="006259EE">
              <w:rPr>
                <w:rFonts w:ascii="Arial" w:hAnsi="Arial" w:cs="Arial"/>
                <w:color w:val="000000"/>
                <w:sz w:val="16"/>
                <w:szCs w:val="16"/>
                <w:vertAlign w:val="superscript"/>
              </w:rPr>
              <w:t>(b)</w:t>
            </w:r>
          </w:p>
        </w:tc>
        <w:tc>
          <w:tcPr>
            <w:tcW w:w="769" w:type="pct"/>
            <w:tcBorders>
              <w:top w:val="nil"/>
              <w:left w:val="nil"/>
              <w:bottom w:val="nil"/>
              <w:right w:val="nil"/>
            </w:tcBorders>
            <w:shd w:val="clear" w:color="000000" w:fill="FFFFFF"/>
            <w:noWrap/>
            <w:vAlign w:val="bottom"/>
            <w:hideMark/>
          </w:tcPr>
          <w:p w14:paraId="5B080CD5" w14:textId="77777777" w:rsidR="001C0F49" w:rsidRPr="006259EE" w:rsidRDefault="001C0F49" w:rsidP="0057226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5EE125A3" w14:textId="77777777" w:rsidR="001C0F49" w:rsidRPr="006259EE" w:rsidRDefault="001C0F49" w:rsidP="00572266">
            <w:pPr>
              <w:spacing w:after="0" w:line="240" w:lineRule="auto"/>
              <w:jc w:val="right"/>
              <w:rPr>
                <w:rFonts w:ascii="Arial" w:hAnsi="Arial" w:cs="Arial"/>
                <w:color w:val="000000"/>
                <w:sz w:val="16"/>
                <w:szCs w:val="16"/>
              </w:rPr>
            </w:pPr>
          </w:p>
        </w:tc>
      </w:tr>
      <w:tr w:rsidR="001C0F49" w:rsidRPr="006259EE" w14:paraId="03CE4155" w14:textId="77777777" w:rsidTr="00AE2189">
        <w:trPr>
          <w:trHeight w:val="204"/>
        </w:trPr>
        <w:tc>
          <w:tcPr>
            <w:tcW w:w="3464" w:type="pct"/>
            <w:tcBorders>
              <w:top w:val="nil"/>
              <w:left w:val="nil"/>
              <w:bottom w:val="nil"/>
              <w:right w:val="nil"/>
            </w:tcBorders>
            <w:shd w:val="clear" w:color="000000" w:fill="FFFFFF"/>
            <w:noWrap/>
            <w:vAlign w:val="bottom"/>
            <w:hideMark/>
          </w:tcPr>
          <w:p w14:paraId="55206164" w14:textId="77777777" w:rsidR="001C0F49" w:rsidRPr="006259EE" w:rsidRDefault="001C0F49" w:rsidP="00293BD0">
            <w:pPr>
              <w:spacing w:after="0" w:line="240" w:lineRule="auto"/>
              <w:ind w:firstLineChars="100" w:firstLine="160"/>
              <w:rPr>
                <w:rFonts w:ascii="Arial" w:hAnsi="Arial" w:cs="Arial"/>
                <w:color w:val="000000"/>
                <w:sz w:val="16"/>
                <w:szCs w:val="16"/>
              </w:rPr>
            </w:pPr>
            <w:r w:rsidRPr="006259EE">
              <w:rPr>
                <w:rFonts w:ascii="Arial" w:hAnsi="Arial" w:cs="Arial"/>
                <w:color w:val="000000"/>
                <w:sz w:val="16"/>
                <w:szCs w:val="16"/>
              </w:rPr>
              <w:t>Equity injection</w:t>
            </w:r>
          </w:p>
        </w:tc>
        <w:tc>
          <w:tcPr>
            <w:tcW w:w="769" w:type="pct"/>
            <w:tcBorders>
              <w:top w:val="nil"/>
              <w:left w:val="nil"/>
              <w:bottom w:val="nil"/>
              <w:right w:val="nil"/>
            </w:tcBorders>
            <w:shd w:val="clear" w:color="000000" w:fill="FFFFFF"/>
            <w:noWrap/>
            <w:vAlign w:val="bottom"/>
            <w:hideMark/>
          </w:tcPr>
          <w:p w14:paraId="56451DA8"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5,094</w:t>
            </w:r>
          </w:p>
        </w:tc>
        <w:tc>
          <w:tcPr>
            <w:tcW w:w="767" w:type="pct"/>
            <w:tcBorders>
              <w:top w:val="nil"/>
              <w:left w:val="nil"/>
              <w:bottom w:val="nil"/>
              <w:right w:val="nil"/>
            </w:tcBorders>
            <w:shd w:val="clear" w:color="auto" w:fill="E6E6E6"/>
            <w:noWrap/>
            <w:vAlign w:val="bottom"/>
            <w:hideMark/>
          </w:tcPr>
          <w:p w14:paraId="348F9830"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4,414</w:t>
            </w:r>
          </w:p>
        </w:tc>
      </w:tr>
      <w:tr w:rsidR="001C0F49" w:rsidRPr="006259EE" w14:paraId="40D4ED38" w14:textId="77777777" w:rsidTr="00AE2189">
        <w:trPr>
          <w:trHeight w:val="204"/>
        </w:trPr>
        <w:tc>
          <w:tcPr>
            <w:tcW w:w="3464" w:type="pct"/>
            <w:tcBorders>
              <w:top w:val="nil"/>
              <w:left w:val="nil"/>
              <w:bottom w:val="nil"/>
              <w:right w:val="nil"/>
            </w:tcBorders>
            <w:shd w:val="clear" w:color="000000" w:fill="FFFFFF"/>
            <w:vAlign w:val="bottom"/>
            <w:hideMark/>
          </w:tcPr>
          <w:p w14:paraId="1AAD0FD4" w14:textId="77777777" w:rsidR="001C0F49" w:rsidRPr="006259EE" w:rsidRDefault="001C0F49" w:rsidP="00293BD0">
            <w:pPr>
              <w:spacing w:after="0" w:line="240" w:lineRule="auto"/>
              <w:rPr>
                <w:rFonts w:ascii="Arial" w:hAnsi="Arial" w:cs="Arial"/>
                <w:color w:val="000000"/>
                <w:sz w:val="16"/>
                <w:szCs w:val="16"/>
              </w:rPr>
            </w:pPr>
            <w:r w:rsidRPr="006259EE">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7C450976"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18,663</w:t>
            </w:r>
          </w:p>
        </w:tc>
        <w:tc>
          <w:tcPr>
            <w:tcW w:w="767" w:type="pct"/>
            <w:tcBorders>
              <w:top w:val="single" w:sz="4" w:space="0" w:color="auto"/>
              <w:left w:val="nil"/>
              <w:bottom w:val="single" w:sz="4" w:space="0" w:color="auto"/>
              <w:right w:val="nil"/>
            </w:tcBorders>
            <w:shd w:val="clear" w:color="auto" w:fill="E6E6E6"/>
            <w:noWrap/>
            <w:vAlign w:val="bottom"/>
            <w:hideMark/>
          </w:tcPr>
          <w:p w14:paraId="7F88DEB6" w14:textId="77777777" w:rsidR="001C0F49" w:rsidRPr="005F1ADF" w:rsidRDefault="001C0F49" w:rsidP="00572266">
            <w:pPr>
              <w:spacing w:after="0" w:line="240" w:lineRule="auto"/>
              <w:jc w:val="right"/>
              <w:rPr>
                <w:rFonts w:ascii="Arial" w:hAnsi="Arial" w:cs="Arial"/>
                <w:iCs/>
                <w:color w:val="000000"/>
                <w:sz w:val="16"/>
                <w:szCs w:val="16"/>
              </w:rPr>
            </w:pPr>
            <w:r w:rsidRPr="005F1ADF">
              <w:rPr>
                <w:rFonts w:ascii="Arial" w:hAnsi="Arial" w:cs="Arial"/>
                <w:iCs/>
                <w:color w:val="000000"/>
                <w:sz w:val="16"/>
                <w:szCs w:val="16"/>
              </w:rPr>
              <w:t>19,384</w:t>
            </w:r>
          </w:p>
        </w:tc>
      </w:tr>
      <w:tr w:rsidR="001C0F49" w:rsidRPr="006259EE" w14:paraId="6F54A445" w14:textId="77777777" w:rsidTr="00AE2189">
        <w:trPr>
          <w:trHeight w:val="204"/>
        </w:trPr>
        <w:tc>
          <w:tcPr>
            <w:tcW w:w="3464" w:type="pct"/>
            <w:tcBorders>
              <w:top w:val="nil"/>
              <w:left w:val="nil"/>
              <w:bottom w:val="nil"/>
              <w:right w:val="nil"/>
            </w:tcBorders>
            <w:shd w:val="clear" w:color="000000" w:fill="FFFFFF"/>
            <w:vAlign w:val="bottom"/>
            <w:hideMark/>
          </w:tcPr>
          <w:p w14:paraId="439D55FC"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05F879D2"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18,663</w:t>
            </w:r>
          </w:p>
        </w:tc>
        <w:tc>
          <w:tcPr>
            <w:tcW w:w="767" w:type="pct"/>
            <w:tcBorders>
              <w:top w:val="single" w:sz="4" w:space="0" w:color="auto"/>
              <w:left w:val="nil"/>
              <w:bottom w:val="single" w:sz="4" w:space="0" w:color="auto"/>
              <w:right w:val="nil"/>
            </w:tcBorders>
            <w:shd w:val="clear" w:color="auto" w:fill="E6E6E6"/>
            <w:noWrap/>
            <w:vAlign w:val="bottom"/>
            <w:hideMark/>
          </w:tcPr>
          <w:p w14:paraId="28661587"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19,384</w:t>
            </w:r>
          </w:p>
        </w:tc>
      </w:tr>
      <w:tr w:rsidR="001C0F49" w:rsidRPr="006259EE" w14:paraId="4F8B7062" w14:textId="77777777" w:rsidTr="00AE2189">
        <w:trPr>
          <w:trHeight w:val="204"/>
        </w:trPr>
        <w:tc>
          <w:tcPr>
            <w:tcW w:w="3464" w:type="pct"/>
            <w:tcBorders>
              <w:top w:val="nil"/>
              <w:left w:val="nil"/>
              <w:bottom w:val="nil"/>
              <w:right w:val="nil"/>
            </w:tcBorders>
            <w:shd w:val="clear" w:color="000000" w:fill="FFFFFF"/>
            <w:vAlign w:val="bottom"/>
            <w:hideMark/>
          </w:tcPr>
          <w:p w14:paraId="1D2EEF2B"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2C9A0117" w14:textId="77777777" w:rsidR="001C0F49" w:rsidRPr="006259EE" w:rsidRDefault="001C0F49" w:rsidP="00572266">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B28993D" w14:textId="77777777" w:rsidR="001C0F49" w:rsidRPr="006259EE" w:rsidRDefault="001C0F49" w:rsidP="00572266">
            <w:pPr>
              <w:spacing w:after="0" w:line="240" w:lineRule="auto"/>
              <w:jc w:val="right"/>
              <w:rPr>
                <w:rFonts w:ascii="Arial" w:hAnsi="Arial" w:cs="Arial"/>
                <w:color w:val="000000"/>
                <w:sz w:val="16"/>
                <w:szCs w:val="16"/>
              </w:rPr>
            </w:pPr>
          </w:p>
        </w:tc>
      </w:tr>
      <w:tr w:rsidR="001C0F49" w:rsidRPr="006259EE" w14:paraId="2327A560" w14:textId="77777777" w:rsidTr="00AE2189">
        <w:trPr>
          <w:trHeight w:val="204"/>
        </w:trPr>
        <w:tc>
          <w:tcPr>
            <w:tcW w:w="3464" w:type="pct"/>
            <w:tcBorders>
              <w:top w:val="nil"/>
              <w:left w:val="nil"/>
              <w:bottom w:val="nil"/>
              <w:right w:val="nil"/>
            </w:tcBorders>
            <w:shd w:val="clear" w:color="000000" w:fill="FFFFFF"/>
            <w:vAlign w:val="bottom"/>
            <w:hideMark/>
          </w:tcPr>
          <w:p w14:paraId="3363346C" w14:textId="77777777" w:rsidR="001C0F49" w:rsidRPr="006259EE" w:rsidRDefault="001C0F49" w:rsidP="00293BD0">
            <w:pPr>
              <w:spacing w:after="0" w:line="240" w:lineRule="auto"/>
              <w:ind w:firstLineChars="100" w:firstLine="160"/>
              <w:rPr>
                <w:rFonts w:ascii="Arial" w:hAnsi="Arial" w:cs="Arial"/>
                <w:color w:val="000000"/>
                <w:sz w:val="16"/>
                <w:szCs w:val="16"/>
              </w:rPr>
            </w:pPr>
            <w:r w:rsidRPr="006259EE">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14:paraId="7FDEDE62" w14:textId="77777777" w:rsidR="001C0F49" w:rsidRPr="00E359EA" w:rsidRDefault="001C0F49" w:rsidP="00572266">
            <w:pPr>
              <w:spacing w:after="0" w:line="240" w:lineRule="auto"/>
              <w:jc w:val="right"/>
              <w:rPr>
                <w:rFonts w:ascii="Arial" w:hAnsi="Arial" w:cs="Arial"/>
                <w:iCs/>
                <w:color w:val="000000"/>
                <w:sz w:val="16"/>
                <w:szCs w:val="16"/>
              </w:rPr>
            </w:pPr>
            <w:r w:rsidRPr="00E359EA">
              <w:rPr>
                <w:rFonts w:ascii="Arial" w:hAnsi="Arial" w:cs="Arial"/>
                <w:iCs/>
                <w:color w:val="000000"/>
                <w:sz w:val="16"/>
                <w:szCs w:val="16"/>
              </w:rPr>
              <w:t>2,385</w:t>
            </w:r>
          </w:p>
        </w:tc>
        <w:tc>
          <w:tcPr>
            <w:tcW w:w="767" w:type="pct"/>
            <w:tcBorders>
              <w:top w:val="nil"/>
              <w:left w:val="nil"/>
              <w:bottom w:val="nil"/>
              <w:right w:val="nil"/>
            </w:tcBorders>
            <w:shd w:val="clear" w:color="auto" w:fill="E6E6E6"/>
            <w:noWrap/>
            <w:vAlign w:val="bottom"/>
            <w:hideMark/>
          </w:tcPr>
          <w:p w14:paraId="24065CED"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1,961</w:t>
            </w:r>
          </w:p>
        </w:tc>
      </w:tr>
      <w:tr w:rsidR="001C0F49" w:rsidRPr="006259EE" w14:paraId="2E3E3388" w14:textId="77777777" w:rsidTr="00AE2189">
        <w:trPr>
          <w:trHeight w:val="204"/>
        </w:trPr>
        <w:tc>
          <w:tcPr>
            <w:tcW w:w="3464" w:type="pct"/>
            <w:tcBorders>
              <w:top w:val="nil"/>
              <w:left w:val="nil"/>
              <w:bottom w:val="nil"/>
              <w:right w:val="nil"/>
            </w:tcBorders>
            <w:shd w:val="clear" w:color="000000" w:fill="FFFFFF"/>
            <w:noWrap/>
            <w:vAlign w:val="bottom"/>
            <w:hideMark/>
          </w:tcPr>
          <w:p w14:paraId="4FAE9DDA"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78EA8C4F"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2,385</w:t>
            </w:r>
          </w:p>
        </w:tc>
        <w:tc>
          <w:tcPr>
            <w:tcW w:w="767" w:type="pct"/>
            <w:tcBorders>
              <w:top w:val="single" w:sz="4" w:space="0" w:color="auto"/>
              <w:left w:val="nil"/>
              <w:bottom w:val="single" w:sz="4" w:space="0" w:color="auto"/>
              <w:right w:val="nil"/>
            </w:tcBorders>
            <w:shd w:val="clear" w:color="auto" w:fill="E6E6E6"/>
            <w:noWrap/>
            <w:vAlign w:val="bottom"/>
            <w:hideMark/>
          </w:tcPr>
          <w:p w14:paraId="5915A3EA"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1,961</w:t>
            </w:r>
          </w:p>
        </w:tc>
      </w:tr>
      <w:tr w:rsidR="001C0F49" w:rsidRPr="006259EE" w14:paraId="7C92CAF0" w14:textId="77777777" w:rsidTr="00AE2189">
        <w:trPr>
          <w:trHeight w:val="204"/>
        </w:trPr>
        <w:tc>
          <w:tcPr>
            <w:tcW w:w="3464" w:type="pct"/>
            <w:tcBorders>
              <w:top w:val="nil"/>
              <w:left w:val="nil"/>
              <w:bottom w:val="single" w:sz="4" w:space="0" w:color="auto"/>
              <w:right w:val="nil"/>
            </w:tcBorders>
            <w:shd w:val="clear" w:color="000000" w:fill="FFFFFF"/>
            <w:noWrap/>
            <w:vAlign w:val="bottom"/>
            <w:hideMark/>
          </w:tcPr>
          <w:p w14:paraId="234BB4FC"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 xml:space="preserve">Total net resourcing for </w:t>
            </w:r>
            <w:r>
              <w:rPr>
                <w:rFonts w:ascii="Arial" w:hAnsi="Arial" w:cs="Arial"/>
                <w:b/>
                <w:bCs/>
                <w:color w:val="000000"/>
                <w:sz w:val="16"/>
                <w:szCs w:val="16"/>
              </w:rPr>
              <w:t>OPH</w:t>
            </w:r>
          </w:p>
        </w:tc>
        <w:tc>
          <w:tcPr>
            <w:tcW w:w="769" w:type="pct"/>
            <w:tcBorders>
              <w:top w:val="single" w:sz="4" w:space="0" w:color="auto"/>
              <w:left w:val="nil"/>
              <w:bottom w:val="single" w:sz="4" w:space="0" w:color="auto"/>
              <w:right w:val="nil"/>
            </w:tcBorders>
            <w:shd w:val="clear" w:color="000000" w:fill="FFFFFF"/>
            <w:noWrap/>
            <w:vAlign w:val="bottom"/>
            <w:hideMark/>
          </w:tcPr>
          <w:p w14:paraId="2A6AF373"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28,700</w:t>
            </w:r>
          </w:p>
        </w:tc>
        <w:tc>
          <w:tcPr>
            <w:tcW w:w="767" w:type="pct"/>
            <w:tcBorders>
              <w:top w:val="single" w:sz="4" w:space="0" w:color="auto"/>
              <w:left w:val="nil"/>
              <w:bottom w:val="single" w:sz="4" w:space="0" w:color="auto"/>
              <w:right w:val="nil"/>
            </w:tcBorders>
            <w:shd w:val="clear" w:color="auto" w:fill="E6E6E6"/>
            <w:noWrap/>
            <w:vAlign w:val="bottom"/>
            <w:hideMark/>
          </w:tcPr>
          <w:p w14:paraId="640A5CB0" w14:textId="77777777" w:rsidR="001C0F49" w:rsidRPr="006259EE" w:rsidRDefault="001C0F49" w:rsidP="00572266">
            <w:pPr>
              <w:spacing w:after="0" w:line="240" w:lineRule="auto"/>
              <w:jc w:val="right"/>
              <w:rPr>
                <w:rFonts w:ascii="Arial" w:hAnsi="Arial" w:cs="Arial"/>
                <w:b/>
                <w:bCs/>
                <w:color w:val="000000"/>
                <w:sz w:val="16"/>
                <w:szCs w:val="16"/>
              </w:rPr>
            </w:pPr>
            <w:r w:rsidRPr="006259EE">
              <w:rPr>
                <w:rFonts w:ascii="Arial" w:hAnsi="Arial" w:cs="Arial"/>
                <w:b/>
                <w:bCs/>
                <w:color w:val="000000"/>
                <w:sz w:val="16"/>
                <w:szCs w:val="16"/>
              </w:rPr>
              <w:t>29,924</w:t>
            </w:r>
          </w:p>
        </w:tc>
      </w:tr>
    </w:tbl>
    <w:p w14:paraId="268054D2" w14:textId="77777777" w:rsidR="001C0F49" w:rsidRPr="00526039" w:rsidRDefault="001C0F49" w:rsidP="001C0F49">
      <w:pPr>
        <w:pStyle w:val="TableGraphic"/>
        <w:rPr>
          <w:rFonts w:ascii="Arial" w:hAnsi="Arial" w:cs="Arial"/>
          <w:sz w:val="16"/>
          <w:highlight w:val="yellow"/>
        </w:rPr>
      </w:pPr>
    </w:p>
    <w:tbl>
      <w:tblPr>
        <w:tblW w:w="5000" w:type="pct"/>
        <w:tblLook w:val="04A0" w:firstRow="1" w:lastRow="0" w:firstColumn="1" w:lastColumn="0" w:noHBand="0" w:noVBand="1"/>
      </w:tblPr>
      <w:tblGrid>
        <w:gridCol w:w="5342"/>
        <w:gridCol w:w="1184"/>
        <w:gridCol w:w="1184"/>
      </w:tblGrid>
      <w:tr w:rsidR="001C0F49" w:rsidRPr="006259EE" w14:paraId="63D9D43C" w14:textId="77777777" w:rsidTr="00AE2189">
        <w:trPr>
          <w:trHeight w:val="204"/>
        </w:trPr>
        <w:tc>
          <w:tcPr>
            <w:tcW w:w="3464" w:type="pct"/>
            <w:tcBorders>
              <w:top w:val="single" w:sz="4" w:space="0" w:color="auto"/>
              <w:left w:val="nil"/>
              <w:bottom w:val="nil"/>
              <w:right w:val="nil"/>
            </w:tcBorders>
            <w:shd w:val="clear" w:color="000000" w:fill="FFFFFF"/>
            <w:noWrap/>
            <w:vAlign w:val="bottom"/>
            <w:hideMark/>
          </w:tcPr>
          <w:p w14:paraId="2442CB0A" w14:textId="77777777" w:rsidR="001C0F49" w:rsidRPr="006259EE" w:rsidRDefault="001C0F49" w:rsidP="00293BD0">
            <w:pPr>
              <w:spacing w:after="0" w:line="240" w:lineRule="auto"/>
              <w:rPr>
                <w:rFonts w:ascii="Arial" w:hAnsi="Arial" w:cs="Arial"/>
                <w:color w:val="000000"/>
                <w:sz w:val="16"/>
                <w:szCs w:val="16"/>
              </w:rPr>
            </w:pPr>
            <w:r w:rsidRPr="006259EE">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17414CD"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2021-22</w:t>
            </w:r>
          </w:p>
        </w:tc>
        <w:tc>
          <w:tcPr>
            <w:tcW w:w="768" w:type="pct"/>
            <w:tcBorders>
              <w:top w:val="single" w:sz="4" w:space="0" w:color="auto"/>
              <w:left w:val="nil"/>
              <w:bottom w:val="single" w:sz="4" w:space="0" w:color="auto"/>
              <w:right w:val="nil"/>
            </w:tcBorders>
            <w:shd w:val="clear" w:color="auto" w:fill="E6E6E6"/>
            <w:vAlign w:val="bottom"/>
            <w:hideMark/>
          </w:tcPr>
          <w:p w14:paraId="4D4ED1F7" w14:textId="77777777"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2022-23</w:t>
            </w:r>
          </w:p>
        </w:tc>
      </w:tr>
      <w:tr w:rsidR="001C0F49" w:rsidRPr="006259EE" w14:paraId="67EFF47E" w14:textId="77777777" w:rsidTr="00AE2189">
        <w:trPr>
          <w:trHeight w:val="204"/>
        </w:trPr>
        <w:tc>
          <w:tcPr>
            <w:tcW w:w="3464" w:type="pct"/>
            <w:tcBorders>
              <w:top w:val="nil"/>
              <w:left w:val="nil"/>
              <w:bottom w:val="single" w:sz="4" w:space="0" w:color="auto"/>
              <w:right w:val="nil"/>
            </w:tcBorders>
            <w:shd w:val="clear" w:color="000000" w:fill="FFFFFF"/>
            <w:noWrap/>
            <w:vAlign w:val="bottom"/>
            <w:hideMark/>
          </w:tcPr>
          <w:p w14:paraId="36AFE407"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14CBBF68" w14:textId="74B02872"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78</w:t>
            </w:r>
          </w:p>
        </w:tc>
        <w:tc>
          <w:tcPr>
            <w:tcW w:w="768" w:type="pct"/>
            <w:tcBorders>
              <w:top w:val="nil"/>
              <w:left w:val="nil"/>
              <w:bottom w:val="single" w:sz="4" w:space="0" w:color="auto"/>
              <w:right w:val="nil"/>
            </w:tcBorders>
            <w:shd w:val="clear" w:color="auto" w:fill="E6E6E6"/>
            <w:noWrap/>
            <w:vAlign w:val="bottom"/>
            <w:hideMark/>
          </w:tcPr>
          <w:p w14:paraId="677AAA9B" w14:textId="250C97EC" w:rsidR="001C0F49" w:rsidRPr="006259EE" w:rsidRDefault="001C0F49" w:rsidP="00572266">
            <w:pPr>
              <w:spacing w:after="0" w:line="240" w:lineRule="auto"/>
              <w:jc w:val="right"/>
              <w:rPr>
                <w:rFonts w:ascii="Arial" w:hAnsi="Arial" w:cs="Arial"/>
                <w:color w:val="000000"/>
                <w:sz w:val="16"/>
                <w:szCs w:val="16"/>
              </w:rPr>
            </w:pPr>
            <w:r w:rsidRPr="006259EE">
              <w:rPr>
                <w:rFonts w:ascii="Arial" w:hAnsi="Arial" w:cs="Arial"/>
                <w:color w:val="000000"/>
                <w:sz w:val="16"/>
                <w:szCs w:val="16"/>
              </w:rPr>
              <w:t>73</w:t>
            </w:r>
          </w:p>
        </w:tc>
      </w:tr>
    </w:tbl>
    <w:p w14:paraId="7B836D19" w14:textId="77777777" w:rsidR="001C0F49" w:rsidRDefault="001C0F49" w:rsidP="00572266">
      <w:pPr>
        <w:pStyle w:val="ChartandTableFootnote"/>
        <w:spacing w:before="60"/>
        <w:jc w:val="left"/>
        <w:rPr>
          <w:rFonts w:cs="Arial"/>
          <w:color w:val="auto"/>
        </w:rPr>
      </w:pPr>
      <w:r>
        <w:rPr>
          <w:rFonts w:cs="Arial"/>
          <w:color w:val="auto"/>
        </w:rPr>
        <w:t>Prepared on a resourcing (</w:t>
      </w:r>
      <w:r>
        <w:rPr>
          <w:color w:val="auto"/>
          <w:lang w:val="en-AU"/>
        </w:rPr>
        <w:t>that is,</w:t>
      </w:r>
      <w:r>
        <w:t xml:space="preserve"> appropriations available) basis.</w:t>
      </w:r>
      <w:r>
        <w:rPr>
          <w:lang w:val="en-US"/>
        </w:rPr>
        <w:t xml:space="preserve"> </w:t>
      </w:r>
      <w:r>
        <w:rPr>
          <w:rFonts w:cs="Arial"/>
          <w:color w:val="auto"/>
        </w:rPr>
        <w:t xml:space="preserve">All figures shown above are GST </w:t>
      </w:r>
    </w:p>
    <w:p w14:paraId="7BFD446D" w14:textId="77777777" w:rsidR="001C0F49" w:rsidRDefault="001C0F49" w:rsidP="00572266">
      <w:pPr>
        <w:pStyle w:val="ChartandTableFootnote"/>
        <w:jc w:val="left"/>
        <w:rPr>
          <w:rFonts w:cs="Arial"/>
          <w:color w:val="auto"/>
        </w:rPr>
      </w:pPr>
      <w:r>
        <w:rPr>
          <w:rFonts w:cs="Arial"/>
          <w:color w:val="auto"/>
        </w:rPr>
        <w:t>exclusive - these may not match figures in the cash flow statement.</w:t>
      </w:r>
    </w:p>
    <w:p w14:paraId="3E36FC9D" w14:textId="1C0E0961" w:rsidR="001C0F49" w:rsidRDefault="001C0F49" w:rsidP="00115843">
      <w:pPr>
        <w:pStyle w:val="ChartandTableFootnote"/>
        <w:numPr>
          <w:ilvl w:val="0"/>
          <w:numId w:val="172"/>
        </w:numPr>
        <w:tabs>
          <w:tab w:val="clear" w:pos="284"/>
          <w:tab w:val="left" w:pos="426"/>
        </w:tabs>
        <w:jc w:val="left"/>
        <w:rPr>
          <w:rFonts w:cs="Arial"/>
          <w:color w:val="auto"/>
          <w:szCs w:val="16"/>
        </w:rPr>
      </w:pPr>
      <w:r>
        <w:rPr>
          <w:rFonts w:cs="Arial"/>
          <w:color w:val="auto"/>
          <w:szCs w:val="16"/>
        </w:rPr>
        <w:t xml:space="preserve">Appropriation Bill (No.1) 2022-23, Supply </w:t>
      </w:r>
      <w:r w:rsidR="00D430AC">
        <w:rPr>
          <w:rFonts w:cs="Arial"/>
          <w:color w:val="auto"/>
          <w:szCs w:val="16"/>
        </w:rPr>
        <w:t>Bill (No. 3)</w:t>
      </w:r>
      <w:r>
        <w:rPr>
          <w:rFonts w:cs="Arial"/>
          <w:color w:val="auto"/>
          <w:szCs w:val="16"/>
        </w:rPr>
        <w:t xml:space="preserve"> 2022-23 and </w:t>
      </w:r>
      <w:r w:rsidRPr="00BE39E6">
        <w:rPr>
          <w:rFonts w:cs="Arial"/>
          <w:color w:val="auto"/>
          <w:szCs w:val="16"/>
        </w:rPr>
        <w:t xml:space="preserve">Supply </w:t>
      </w:r>
      <w:r w:rsidR="00D430AC">
        <w:rPr>
          <w:rFonts w:cs="Arial"/>
          <w:color w:val="auto"/>
          <w:szCs w:val="16"/>
        </w:rPr>
        <w:t xml:space="preserve">Act (No. 1) </w:t>
      </w:r>
      <w:r>
        <w:rPr>
          <w:rFonts w:cs="Arial"/>
          <w:color w:val="auto"/>
          <w:szCs w:val="16"/>
        </w:rPr>
        <w:t>2022-23</w:t>
      </w:r>
      <w:r w:rsidR="00572266">
        <w:rPr>
          <w:rFonts w:cs="Arial"/>
          <w:color w:val="auto"/>
          <w:szCs w:val="16"/>
          <w:lang w:val="en-US"/>
        </w:rPr>
        <w:t>.</w:t>
      </w:r>
    </w:p>
    <w:p w14:paraId="5E85E5FB" w14:textId="174014C5" w:rsidR="001C0F49" w:rsidRDefault="001C0F49" w:rsidP="00115843">
      <w:pPr>
        <w:pStyle w:val="ChartandTableFootnote"/>
        <w:numPr>
          <w:ilvl w:val="0"/>
          <w:numId w:val="172"/>
        </w:numPr>
        <w:tabs>
          <w:tab w:val="clear" w:pos="284"/>
          <w:tab w:val="left" w:pos="426"/>
        </w:tabs>
        <w:jc w:val="left"/>
        <w:rPr>
          <w:rFonts w:cs="Arial"/>
          <w:color w:val="auto"/>
          <w:szCs w:val="16"/>
        </w:rPr>
      </w:pPr>
      <w:r>
        <w:rPr>
          <w:rFonts w:cs="Arial"/>
          <w:color w:val="auto"/>
          <w:szCs w:val="16"/>
        </w:rPr>
        <w:t>Appropriation Bill (No. 2) 202</w:t>
      </w:r>
      <w:r>
        <w:rPr>
          <w:rFonts w:cs="Arial"/>
          <w:color w:val="auto"/>
          <w:szCs w:val="16"/>
          <w:lang w:val="en-AU"/>
        </w:rPr>
        <w:t>2,</w:t>
      </w:r>
      <w:r>
        <w:rPr>
          <w:rFonts w:cs="Arial"/>
          <w:color w:val="auto"/>
          <w:szCs w:val="16"/>
          <w:lang w:val="en-US"/>
        </w:rPr>
        <w:t xml:space="preserve"> </w:t>
      </w:r>
      <w:r>
        <w:rPr>
          <w:rFonts w:cs="Arial"/>
          <w:color w:val="auto"/>
          <w:szCs w:val="16"/>
        </w:rPr>
        <w:t>Supply Bill (No.</w:t>
      </w:r>
      <w:r w:rsidR="005228FE">
        <w:rPr>
          <w:rFonts w:cs="Arial"/>
          <w:color w:val="auto"/>
          <w:szCs w:val="16"/>
          <w:lang w:val="en-US"/>
        </w:rPr>
        <w:t xml:space="preserve"> </w:t>
      </w:r>
      <w:r>
        <w:rPr>
          <w:rFonts w:cs="Arial"/>
          <w:color w:val="auto"/>
          <w:szCs w:val="16"/>
          <w:lang w:val="en-US"/>
        </w:rPr>
        <w:t>4</w:t>
      </w:r>
      <w:r>
        <w:rPr>
          <w:rFonts w:cs="Arial"/>
          <w:color w:val="auto"/>
          <w:szCs w:val="16"/>
        </w:rPr>
        <w:t xml:space="preserve">) 2022-23 and </w:t>
      </w:r>
      <w:r w:rsidRPr="00BE39E6">
        <w:rPr>
          <w:rFonts w:cs="Arial"/>
          <w:color w:val="auto"/>
          <w:szCs w:val="16"/>
        </w:rPr>
        <w:t>Supply Act</w:t>
      </w:r>
      <w:r>
        <w:rPr>
          <w:rFonts w:cs="Arial"/>
          <w:color w:val="auto"/>
          <w:szCs w:val="16"/>
        </w:rPr>
        <w:t xml:space="preserve"> </w:t>
      </w:r>
      <w:r w:rsidR="005228FE">
        <w:rPr>
          <w:rFonts w:cs="Arial"/>
          <w:color w:val="auto"/>
          <w:szCs w:val="16"/>
        </w:rPr>
        <w:t xml:space="preserve">(No. 2) </w:t>
      </w:r>
      <w:r>
        <w:rPr>
          <w:rFonts w:cs="Arial"/>
          <w:color w:val="auto"/>
          <w:szCs w:val="16"/>
        </w:rPr>
        <w:t>2022-23</w:t>
      </w:r>
      <w:r w:rsidR="00572266">
        <w:rPr>
          <w:rFonts w:cs="Arial"/>
          <w:color w:val="auto"/>
          <w:szCs w:val="16"/>
          <w:lang w:val="en-US"/>
        </w:rPr>
        <w:t>.</w:t>
      </w:r>
    </w:p>
    <w:p w14:paraId="51D4AAF2" w14:textId="291686EF" w:rsidR="001C0F49" w:rsidRPr="005F1ADF" w:rsidRDefault="001C0F49" w:rsidP="00066FDF">
      <w:pPr>
        <w:pStyle w:val="TableHeading"/>
        <w:spacing w:before="120" w:after="360"/>
        <w:rPr>
          <w:b w:val="0"/>
          <w:sz w:val="16"/>
          <w:szCs w:val="16"/>
        </w:rPr>
      </w:pPr>
      <w:r w:rsidRPr="005F1ADF">
        <w:rPr>
          <w:rFonts w:cs="Arial"/>
          <w:b w:val="0"/>
          <w:color w:val="auto"/>
          <w:sz w:val="16"/>
          <w:szCs w:val="16"/>
          <w:lang w:val="en-US"/>
        </w:rPr>
        <w:t xml:space="preserve">The OPH is not directly appropriated as it is a </w:t>
      </w:r>
      <w:r w:rsidR="00D07A74">
        <w:rPr>
          <w:rFonts w:cs="Arial"/>
          <w:b w:val="0"/>
          <w:color w:val="auto"/>
          <w:sz w:val="16"/>
          <w:szCs w:val="16"/>
          <w:lang w:val="en-US"/>
        </w:rPr>
        <w:t>corporate Commonwealth entity</w:t>
      </w:r>
      <w:r w:rsidRPr="005F1ADF">
        <w:rPr>
          <w:rFonts w:cs="Arial"/>
          <w:b w:val="0"/>
          <w:color w:val="auto"/>
          <w:sz w:val="16"/>
          <w:szCs w:val="16"/>
          <w:lang w:val="en-US"/>
        </w:rPr>
        <w:t xml:space="preserve">. Appropriations are made to the Department of Infrastructure, Transport, Regional Development, Communications and the Arts (a </w:t>
      </w:r>
      <w:r w:rsidR="00D07A74">
        <w:rPr>
          <w:rFonts w:cs="Arial"/>
          <w:b w:val="0"/>
          <w:color w:val="auto"/>
          <w:sz w:val="16"/>
          <w:szCs w:val="16"/>
          <w:lang w:val="en-US"/>
        </w:rPr>
        <w:t>non-corporate Commonwealth entity</w:t>
      </w:r>
      <w:r w:rsidRPr="005F1ADF">
        <w:rPr>
          <w:rFonts w:cs="Arial"/>
          <w:b w:val="0"/>
          <w:color w:val="auto"/>
          <w:sz w:val="16"/>
          <w:szCs w:val="16"/>
          <w:lang w:val="en-US"/>
        </w:rPr>
        <w:t xml:space="preserve">), which are then paid to </w:t>
      </w:r>
      <w:r>
        <w:rPr>
          <w:rFonts w:cs="Arial"/>
          <w:b w:val="0"/>
          <w:color w:val="auto"/>
          <w:sz w:val="16"/>
          <w:szCs w:val="16"/>
          <w:lang w:val="en-US"/>
        </w:rPr>
        <w:t>OPH</w:t>
      </w:r>
      <w:r w:rsidRPr="005F1ADF">
        <w:rPr>
          <w:rFonts w:cs="Arial"/>
          <w:b w:val="0"/>
          <w:color w:val="auto"/>
          <w:sz w:val="16"/>
          <w:szCs w:val="16"/>
          <w:lang w:val="en-US"/>
        </w:rPr>
        <w:t xml:space="preserve"> and considered ‘departmental’ for all purposes</w:t>
      </w:r>
      <w:r w:rsidR="00572266">
        <w:rPr>
          <w:rFonts w:cs="Arial"/>
          <w:b w:val="0"/>
          <w:color w:val="auto"/>
          <w:sz w:val="16"/>
          <w:szCs w:val="16"/>
          <w:lang w:val="en-US"/>
        </w:rPr>
        <w:t>.</w:t>
      </w:r>
    </w:p>
    <w:p w14:paraId="5D0D0952" w14:textId="4F52526F" w:rsidR="001C0F49" w:rsidRPr="005A7C0B" w:rsidRDefault="001C0F49" w:rsidP="00572266">
      <w:pPr>
        <w:pStyle w:val="Heading3-OPH"/>
        <w:spacing w:before="240"/>
      </w:pPr>
      <w:bookmarkStart w:id="6" w:name="_Toc115866218"/>
      <w:r w:rsidRPr="005A7C0B">
        <w:t>1.3</w:t>
      </w:r>
      <w:r w:rsidRPr="005A7C0B">
        <w:tab/>
        <w:t>Budget measures</w:t>
      </w:r>
      <w:bookmarkEnd w:id="6"/>
    </w:p>
    <w:p w14:paraId="582B6BA0" w14:textId="7AAE7621" w:rsidR="001C0F49" w:rsidRDefault="001C0F49" w:rsidP="00572266">
      <w:r>
        <w:t>There are no measures relating to OPH for the 2022-23 October Budget.</w:t>
      </w:r>
    </w:p>
    <w:p w14:paraId="14CCB4FD" w14:textId="5BF1CB7B" w:rsidR="001C0F49" w:rsidRPr="00810C6A" w:rsidRDefault="001C0F49" w:rsidP="001C0F49">
      <w:pPr>
        <w:pStyle w:val="Heading2-OPH"/>
      </w:pPr>
      <w:r>
        <w:br w:type="page"/>
      </w:r>
      <w:bookmarkStart w:id="7" w:name="_Toc115866219"/>
      <w:r w:rsidRPr="00810C6A">
        <w:lastRenderedPageBreak/>
        <w:t>Section 2: Outcomes and planned performance</w:t>
      </w:r>
      <w:bookmarkEnd w:id="7"/>
    </w:p>
    <w:p w14:paraId="0C481BEA" w14:textId="77777777" w:rsidR="001C0F49" w:rsidRPr="005E6F2B" w:rsidRDefault="001C0F49" w:rsidP="001C0F49">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56396DB" w14:textId="77777777" w:rsidR="001C0F49" w:rsidRPr="00F8014F" w:rsidRDefault="001C0F49" w:rsidP="001C0F49">
      <w:pPr>
        <w:rPr>
          <w:i/>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2F1C5198" w14:textId="77777777" w:rsidTr="00293BD0">
        <w:tc>
          <w:tcPr>
            <w:tcW w:w="7700" w:type="dxa"/>
          </w:tcPr>
          <w:p w14:paraId="189F27E7" w14:textId="77777777" w:rsidR="001C0F49" w:rsidRPr="006906E4" w:rsidRDefault="001C0F49" w:rsidP="00293BD0">
            <w:pPr>
              <w:spacing w:before="120" w:after="120" w:line="240" w:lineRule="auto"/>
              <w:jc w:val="left"/>
              <w:rPr>
                <w:b/>
              </w:rPr>
            </w:pPr>
            <w:r w:rsidRPr="006906E4">
              <w:rPr>
                <w:b/>
              </w:rPr>
              <w:t>Note:</w:t>
            </w:r>
          </w:p>
          <w:p w14:paraId="2CCA8251" w14:textId="77777777" w:rsidR="001C0F49" w:rsidRDefault="001C0F49" w:rsidP="00293BD0">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6FF61625" w14:textId="77777777" w:rsidR="001C0F49" w:rsidRDefault="001C0F49" w:rsidP="00293BD0">
            <w:pPr>
              <w:jc w:val="left"/>
              <w:rPr>
                <w:rStyle w:val="Hyperlink"/>
              </w:rPr>
            </w:pPr>
            <w:r>
              <w:t xml:space="preserve">The most recent corporate plan for Old Parliament House can be found at: </w:t>
            </w:r>
            <w:r w:rsidRPr="005D106D">
              <w:rPr>
                <w:u w:val="single"/>
              </w:rPr>
              <w:t>https://www.moadoph.gov.au/about/corporate-documents/</w:t>
            </w:r>
          </w:p>
          <w:p w14:paraId="4EBC7689" w14:textId="77777777" w:rsidR="001C0F49" w:rsidRDefault="001C0F49" w:rsidP="00293BD0">
            <w:pPr>
              <w:jc w:val="left"/>
            </w:pPr>
            <w:r>
              <w:t xml:space="preserve">The most recent annual performance statement can be found at: </w:t>
            </w:r>
            <w:r w:rsidRPr="005D106D">
              <w:rPr>
                <w:u w:val="single"/>
              </w:rPr>
              <w:t>https://www.moadoph.gov.au/about/annual-reports/</w:t>
            </w:r>
          </w:p>
        </w:tc>
      </w:tr>
    </w:tbl>
    <w:p w14:paraId="6C72F64E" w14:textId="4E7F4526" w:rsidR="002B12A0" w:rsidRDefault="002B12A0" w:rsidP="001C0F49">
      <w:pPr>
        <w:rPr>
          <w:highlight w:val="yellow"/>
        </w:rPr>
      </w:pPr>
    </w:p>
    <w:p w14:paraId="038C95C1" w14:textId="77777777" w:rsidR="002B12A0" w:rsidRDefault="002B12A0">
      <w:pPr>
        <w:spacing w:after="0" w:line="240" w:lineRule="auto"/>
        <w:rPr>
          <w:highlight w:val="yellow"/>
        </w:rPr>
      </w:pPr>
      <w:r>
        <w:rPr>
          <w:highlight w:val="yellow"/>
        </w:rPr>
        <w:br w:type="page"/>
      </w:r>
    </w:p>
    <w:p w14:paraId="288B8A63" w14:textId="77431B5C" w:rsidR="001C0F49" w:rsidRPr="00B16C4D" w:rsidRDefault="001C0F49" w:rsidP="001C0F49">
      <w:pPr>
        <w:pStyle w:val="Heading3-OPH"/>
      </w:pPr>
      <w:bookmarkStart w:id="8" w:name="_Toc115866220"/>
      <w:r w:rsidRPr="00B16C4D">
        <w:lastRenderedPageBreak/>
        <w:t xml:space="preserve">2.1 </w:t>
      </w:r>
      <w:r w:rsidRPr="00B16C4D">
        <w:tab/>
        <w:t>Budgeted expenses and performance for Outcome 1</w:t>
      </w:r>
      <w:bookmarkEnd w:id="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5F668BDD" w14:textId="77777777" w:rsidTr="00293BD0">
        <w:tc>
          <w:tcPr>
            <w:tcW w:w="5000" w:type="pct"/>
            <w:shd w:val="clear" w:color="auto" w:fill="E6E6E6"/>
          </w:tcPr>
          <w:p w14:paraId="0C48C97E" w14:textId="062439D6" w:rsidR="001C0F49" w:rsidRPr="005E6F2B" w:rsidRDefault="001C0F49" w:rsidP="00293BD0">
            <w:pPr>
              <w:pStyle w:val="TableColumnHeadingLeft"/>
            </w:pPr>
            <w:r w:rsidRPr="005E6F2B">
              <w:t xml:space="preserve">Outcome </w:t>
            </w:r>
            <w:r>
              <w:t>1</w:t>
            </w:r>
            <w:r w:rsidRPr="005E6F2B">
              <w:t xml:space="preserve">: </w:t>
            </w:r>
            <w:r w:rsidRPr="00112148">
              <w:rPr>
                <w:rFonts w:cs="Arial"/>
                <w:color w:val="00000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w:t>
            </w:r>
            <w:r>
              <w:rPr>
                <w:rFonts w:cs="Arial"/>
                <w:color w:val="000000"/>
              </w:rPr>
              <w:t>itions and educational programs</w:t>
            </w:r>
          </w:p>
        </w:tc>
      </w:tr>
    </w:tbl>
    <w:p w14:paraId="7C1073C0" w14:textId="77777777" w:rsidR="001C0F49" w:rsidRPr="00446612" w:rsidRDefault="001C0F49" w:rsidP="001C0F49">
      <w:pPr>
        <w:pStyle w:val="Heading4"/>
        <w:spacing w:before="240"/>
      </w:pPr>
      <w:r w:rsidRPr="00446612">
        <w:t xml:space="preserve">Budgeted expenses for Outcome </w:t>
      </w:r>
      <w:r>
        <w:t>1</w:t>
      </w:r>
    </w:p>
    <w:p w14:paraId="1E357E1E" w14:textId="77777777" w:rsidR="001C0F49" w:rsidRDefault="001C0F49" w:rsidP="001C0F49">
      <w:r w:rsidRPr="00950281">
        <w:t xml:space="preserve">This table shows how much the </w:t>
      </w:r>
      <w:r>
        <w:t>OPH</w:t>
      </w:r>
      <w:r w:rsidRPr="00950281">
        <w:t xml:space="preserve"> intends to spend (on an accrual basis) on achieving the outcome, broken down by program, as well as by </w:t>
      </w:r>
      <w:r>
        <w:t>departmental funding sources.</w:t>
      </w:r>
    </w:p>
    <w:p w14:paraId="053417FF" w14:textId="77777777" w:rsidR="001C0F49" w:rsidRPr="005F1ADF" w:rsidRDefault="001C0F49" w:rsidP="001C0F49">
      <w:pPr>
        <w:spacing w:after="0"/>
        <w:rPr>
          <w:rFonts w:ascii="Arial" w:hAnsi="Arial" w:cs="Arial"/>
          <w:b/>
        </w:rPr>
      </w:pPr>
      <w:r w:rsidRPr="005F1ADF">
        <w:rPr>
          <w:rFonts w:ascii="Arial" w:hAnsi="Arial" w:cs="Arial"/>
          <w:b/>
        </w:rPr>
        <w:t>Table 2.1.1: Budgeted expenses for Outcome 1</w:t>
      </w:r>
    </w:p>
    <w:tbl>
      <w:tblPr>
        <w:tblW w:w="5000" w:type="pct"/>
        <w:tblLook w:val="04A0" w:firstRow="1" w:lastRow="0" w:firstColumn="1" w:lastColumn="0" w:noHBand="0" w:noVBand="1"/>
      </w:tblPr>
      <w:tblGrid>
        <w:gridCol w:w="3280"/>
        <w:gridCol w:w="936"/>
        <w:gridCol w:w="887"/>
        <w:gridCol w:w="887"/>
        <w:gridCol w:w="887"/>
        <w:gridCol w:w="833"/>
      </w:tblGrid>
      <w:tr w:rsidR="001C0F49" w:rsidRPr="006259EE" w14:paraId="1CB03AD5" w14:textId="77777777" w:rsidTr="00AE2189">
        <w:trPr>
          <w:trHeight w:val="204"/>
        </w:trPr>
        <w:tc>
          <w:tcPr>
            <w:tcW w:w="2128" w:type="pct"/>
            <w:tcBorders>
              <w:top w:val="single" w:sz="4" w:space="0" w:color="auto"/>
              <w:left w:val="nil"/>
              <w:bottom w:val="nil"/>
              <w:right w:val="nil"/>
            </w:tcBorders>
            <w:shd w:val="clear" w:color="auto" w:fill="auto"/>
            <w:vAlign w:val="bottom"/>
            <w:hideMark/>
          </w:tcPr>
          <w:p w14:paraId="3A8955F9" w14:textId="77777777" w:rsidR="001C0F49" w:rsidRPr="006259EE" w:rsidRDefault="001C0F49" w:rsidP="00293BD0">
            <w:pPr>
              <w:spacing w:after="0" w:line="240" w:lineRule="auto"/>
              <w:rPr>
                <w:rFonts w:ascii="Arial" w:hAnsi="Arial" w:cs="Arial"/>
                <w:b/>
                <w:bCs/>
                <w:color w:val="000000"/>
                <w:sz w:val="16"/>
                <w:szCs w:val="16"/>
              </w:rPr>
            </w:pPr>
            <w:r w:rsidRPr="006259EE">
              <w:rPr>
                <w:rFonts w:ascii="Arial" w:hAnsi="Arial" w:cs="Arial"/>
                <w:b/>
                <w:bCs/>
                <w:color w:val="000000"/>
                <w:sz w:val="16"/>
                <w:szCs w:val="16"/>
              </w:rPr>
              <w:t> </w:t>
            </w:r>
          </w:p>
        </w:tc>
        <w:tc>
          <w:tcPr>
            <w:tcW w:w="607" w:type="pct"/>
            <w:tcBorders>
              <w:top w:val="single" w:sz="4" w:space="0" w:color="auto"/>
              <w:left w:val="nil"/>
              <w:bottom w:val="single" w:sz="4" w:space="0" w:color="auto"/>
              <w:right w:val="nil"/>
            </w:tcBorders>
            <w:shd w:val="clear" w:color="auto" w:fill="auto"/>
            <w:vAlign w:val="bottom"/>
            <w:hideMark/>
          </w:tcPr>
          <w:p w14:paraId="41B3FE1C" w14:textId="77777777" w:rsidR="001C0F49" w:rsidRPr="006259EE" w:rsidRDefault="001C0F49" w:rsidP="00293BD0">
            <w:pPr>
              <w:spacing w:after="0" w:line="240" w:lineRule="auto"/>
              <w:jc w:val="right"/>
              <w:rPr>
                <w:rFonts w:ascii="Arial" w:hAnsi="Arial" w:cs="Arial"/>
                <w:sz w:val="16"/>
                <w:szCs w:val="16"/>
              </w:rPr>
            </w:pPr>
            <w:r w:rsidRPr="006259EE">
              <w:rPr>
                <w:rFonts w:ascii="Arial" w:hAnsi="Arial" w:cs="Arial"/>
                <w:sz w:val="16"/>
                <w:szCs w:val="16"/>
              </w:rPr>
              <w:t>2021-22 Estimated actual</w:t>
            </w:r>
            <w:r w:rsidRPr="006259EE">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E6E6E6"/>
            <w:vAlign w:val="bottom"/>
            <w:hideMark/>
          </w:tcPr>
          <w:p w14:paraId="31284B0B" w14:textId="77777777" w:rsidR="001C0F49" w:rsidRPr="006259EE" w:rsidRDefault="001C0F49" w:rsidP="00293BD0">
            <w:pPr>
              <w:spacing w:after="0" w:line="240" w:lineRule="auto"/>
              <w:jc w:val="right"/>
              <w:rPr>
                <w:rFonts w:ascii="Arial" w:hAnsi="Arial" w:cs="Arial"/>
                <w:sz w:val="16"/>
                <w:szCs w:val="16"/>
              </w:rPr>
            </w:pPr>
            <w:r w:rsidRPr="006259EE">
              <w:rPr>
                <w:rFonts w:ascii="Arial" w:hAnsi="Arial" w:cs="Arial"/>
                <w:sz w:val="16"/>
                <w:szCs w:val="16"/>
              </w:rPr>
              <w:t>2022-23</w:t>
            </w:r>
            <w:r w:rsidRPr="006259EE">
              <w:rPr>
                <w:rFonts w:ascii="Arial" w:hAnsi="Arial" w:cs="Arial"/>
                <w:sz w:val="16"/>
                <w:szCs w:val="16"/>
              </w:rPr>
              <w:br/>
              <w:t>Budget</w:t>
            </w:r>
            <w:r w:rsidRPr="006259EE">
              <w:rPr>
                <w:rFonts w:ascii="Arial" w:hAnsi="Arial" w:cs="Arial"/>
                <w:sz w:val="16"/>
                <w:szCs w:val="16"/>
              </w:rPr>
              <w:br/>
            </w:r>
            <w:r w:rsidRPr="006259EE">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71D3BAC9" w14:textId="77777777" w:rsidR="001C0F49" w:rsidRPr="006259EE" w:rsidRDefault="001C0F49" w:rsidP="00293BD0">
            <w:pPr>
              <w:spacing w:after="0" w:line="240" w:lineRule="auto"/>
              <w:jc w:val="right"/>
              <w:rPr>
                <w:rFonts w:ascii="Arial" w:hAnsi="Arial" w:cs="Arial"/>
                <w:sz w:val="16"/>
                <w:szCs w:val="16"/>
              </w:rPr>
            </w:pPr>
            <w:r w:rsidRPr="006259EE">
              <w:rPr>
                <w:rFonts w:ascii="Arial" w:hAnsi="Arial" w:cs="Arial"/>
                <w:sz w:val="16"/>
                <w:szCs w:val="16"/>
              </w:rPr>
              <w:t>2023-24 Forward estimate</w:t>
            </w:r>
            <w:r w:rsidRPr="006259EE">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62B1B065" w14:textId="77777777" w:rsidR="001C0F49" w:rsidRPr="006259EE" w:rsidRDefault="001C0F49" w:rsidP="00293BD0">
            <w:pPr>
              <w:spacing w:after="0" w:line="240" w:lineRule="auto"/>
              <w:jc w:val="right"/>
              <w:rPr>
                <w:rFonts w:ascii="Arial" w:hAnsi="Arial" w:cs="Arial"/>
                <w:sz w:val="16"/>
                <w:szCs w:val="16"/>
              </w:rPr>
            </w:pPr>
            <w:r w:rsidRPr="006259EE">
              <w:rPr>
                <w:rFonts w:ascii="Arial" w:hAnsi="Arial" w:cs="Arial"/>
                <w:sz w:val="16"/>
                <w:szCs w:val="16"/>
              </w:rPr>
              <w:t>2024-25 Forward estimate</w:t>
            </w:r>
            <w:r w:rsidRPr="006259EE">
              <w:rPr>
                <w:rFonts w:ascii="Arial" w:hAnsi="Arial" w:cs="Arial"/>
                <w:sz w:val="16"/>
                <w:szCs w:val="16"/>
              </w:rPr>
              <w:br/>
              <w:t>$'000</w:t>
            </w:r>
          </w:p>
        </w:tc>
        <w:tc>
          <w:tcPr>
            <w:tcW w:w="539" w:type="pct"/>
            <w:tcBorders>
              <w:top w:val="single" w:sz="4" w:space="0" w:color="auto"/>
              <w:left w:val="nil"/>
              <w:bottom w:val="single" w:sz="4" w:space="0" w:color="auto"/>
              <w:right w:val="nil"/>
            </w:tcBorders>
            <w:shd w:val="clear" w:color="auto" w:fill="auto"/>
            <w:vAlign w:val="bottom"/>
            <w:hideMark/>
          </w:tcPr>
          <w:p w14:paraId="55C90ACD" w14:textId="77777777" w:rsidR="001C0F49" w:rsidRPr="006259EE" w:rsidRDefault="001C0F49" w:rsidP="00293BD0">
            <w:pPr>
              <w:spacing w:after="0" w:line="240" w:lineRule="auto"/>
              <w:jc w:val="right"/>
              <w:rPr>
                <w:rFonts w:ascii="Arial" w:hAnsi="Arial" w:cs="Arial"/>
                <w:sz w:val="16"/>
                <w:szCs w:val="16"/>
              </w:rPr>
            </w:pPr>
            <w:r w:rsidRPr="006259EE">
              <w:rPr>
                <w:rFonts w:ascii="Arial" w:hAnsi="Arial" w:cs="Arial"/>
                <w:sz w:val="16"/>
                <w:szCs w:val="16"/>
              </w:rPr>
              <w:t>2025-26</w:t>
            </w:r>
            <w:r w:rsidRPr="006259EE">
              <w:rPr>
                <w:rFonts w:ascii="Arial" w:hAnsi="Arial" w:cs="Arial"/>
                <w:sz w:val="16"/>
                <w:szCs w:val="16"/>
              </w:rPr>
              <w:br/>
              <w:t>Forward estimate</w:t>
            </w:r>
            <w:r w:rsidRPr="006259EE">
              <w:rPr>
                <w:rFonts w:ascii="Arial" w:hAnsi="Arial" w:cs="Arial"/>
                <w:sz w:val="16"/>
                <w:szCs w:val="16"/>
              </w:rPr>
              <w:br/>
              <w:t>$'000</w:t>
            </w:r>
          </w:p>
        </w:tc>
      </w:tr>
      <w:tr w:rsidR="001C0F49" w:rsidRPr="006259EE" w14:paraId="046AAC2E" w14:textId="77777777" w:rsidTr="00AE2189">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2FCDC77C" w14:textId="77777777" w:rsidR="001C0F49" w:rsidRPr="006259EE" w:rsidRDefault="001C0F49" w:rsidP="00293BD0">
            <w:pPr>
              <w:spacing w:after="0" w:line="240" w:lineRule="auto"/>
              <w:rPr>
                <w:rFonts w:ascii="Arial" w:hAnsi="Arial" w:cs="Arial"/>
                <w:b/>
                <w:bCs/>
                <w:sz w:val="16"/>
                <w:szCs w:val="16"/>
              </w:rPr>
            </w:pPr>
            <w:r w:rsidRPr="006259EE">
              <w:rPr>
                <w:rFonts w:ascii="Arial" w:hAnsi="Arial" w:cs="Arial"/>
                <w:b/>
                <w:bCs/>
                <w:sz w:val="16"/>
                <w:szCs w:val="16"/>
              </w:rPr>
              <w:t>Program 1.1: Old Parliament House</w:t>
            </w:r>
          </w:p>
        </w:tc>
      </w:tr>
      <w:tr w:rsidR="001C0F49" w:rsidRPr="006259EE" w14:paraId="4A59DD19" w14:textId="77777777" w:rsidTr="00AE2189">
        <w:trPr>
          <w:trHeight w:val="204"/>
        </w:trPr>
        <w:tc>
          <w:tcPr>
            <w:tcW w:w="2128" w:type="pct"/>
            <w:tcBorders>
              <w:top w:val="nil"/>
              <w:left w:val="nil"/>
              <w:bottom w:val="nil"/>
              <w:right w:val="nil"/>
            </w:tcBorders>
            <w:shd w:val="clear" w:color="auto" w:fill="auto"/>
            <w:noWrap/>
            <w:vAlign w:val="bottom"/>
            <w:hideMark/>
          </w:tcPr>
          <w:p w14:paraId="0B5C02CF" w14:textId="77777777" w:rsidR="001C0F49" w:rsidRPr="005F1ADF" w:rsidRDefault="001C0F49" w:rsidP="00293BD0">
            <w:pPr>
              <w:spacing w:after="0" w:line="240" w:lineRule="auto"/>
              <w:rPr>
                <w:rFonts w:ascii="Arial" w:hAnsi="Arial" w:cs="Arial"/>
                <w:sz w:val="16"/>
                <w:szCs w:val="16"/>
              </w:rPr>
            </w:pPr>
            <w:r w:rsidRPr="005F1ADF">
              <w:rPr>
                <w:rFonts w:ascii="Arial" w:hAnsi="Arial" w:cs="Arial"/>
                <w:sz w:val="16"/>
                <w:szCs w:val="16"/>
              </w:rPr>
              <w:t>Revenue from Government</w:t>
            </w:r>
          </w:p>
        </w:tc>
        <w:tc>
          <w:tcPr>
            <w:tcW w:w="607" w:type="pct"/>
            <w:tcBorders>
              <w:top w:val="nil"/>
              <w:left w:val="nil"/>
              <w:bottom w:val="nil"/>
              <w:right w:val="nil"/>
            </w:tcBorders>
            <w:shd w:val="clear" w:color="auto" w:fill="auto"/>
            <w:noWrap/>
            <w:vAlign w:val="bottom"/>
            <w:hideMark/>
          </w:tcPr>
          <w:p w14:paraId="63E4651C"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E6E6E6"/>
            <w:noWrap/>
            <w:vAlign w:val="bottom"/>
            <w:hideMark/>
          </w:tcPr>
          <w:p w14:paraId="4C07DFED"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6526717E"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0EDCEC48" w14:textId="77777777" w:rsidR="001C0F49" w:rsidRPr="005F1ADF" w:rsidRDefault="001C0F49" w:rsidP="00293BD0">
            <w:pPr>
              <w:spacing w:after="0" w:line="240" w:lineRule="auto"/>
              <w:jc w:val="right"/>
              <w:rPr>
                <w:rFonts w:ascii="Times New Roman" w:hAnsi="Times New Roman"/>
                <w:sz w:val="16"/>
                <w:szCs w:val="16"/>
              </w:rPr>
            </w:pPr>
          </w:p>
        </w:tc>
        <w:tc>
          <w:tcPr>
            <w:tcW w:w="539" w:type="pct"/>
            <w:tcBorders>
              <w:top w:val="nil"/>
              <w:left w:val="nil"/>
              <w:bottom w:val="nil"/>
              <w:right w:val="nil"/>
            </w:tcBorders>
            <w:shd w:val="clear" w:color="auto" w:fill="auto"/>
            <w:noWrap/>
            <w:vAlign w:val="bottom"/>
            <w:hideMark/>
          </w:tcPr>
          <w:p w14:paraId="4C614326" w14:textId="77777777" w:rsidR="001C0F49" w:rsidRPr="005F1ADF" w:rsidRDefault="001C0F49" w:rsidP="00293BD0">
            <w:pPr>
              <w:spacing w:after="0" w:line="240" w:lineRule="auto"/>
              <w:jc w:val="right"/>
              <w:rPr>
                <w:rFonts w:ascii="Times New Roman" w:hAnsi="Times New Roman"/>
                <w:sz w:val="16"/>
                <w:szCs w:val="16"/>
              </w:rPr>
            </w:pPr>
          </w:p>
        </w:tc>
      </w:tr>
      <w:tr w:rsidR="001C0F49" w:rsidRPr="006259EE" w14:paraId="43D98B00" w14:textId="77777777" w:rsidTr="00AE2189">
        <w:trPr>
          <w:trHeight w:val="204"/>
        </w:trPr>
        <w:tc>
          <w:tcPr>
            <w:tcW w:w="2128" w:type="pct"/>
            <w:tcBorders>
              <w:top w:val="nil"/>
              <w:left w:val="nil"/>
              <w:bottom w:val="nil"/>
              <w:right w:val="nil"/>
            </w:tcBorders>
            <w:shd w:val="clear" w:color="auto" w:fill="auto"/>
            <w:vAlign w:val="bottom"/>
            <w:hideMark/>
          </w:tcPr>
          <w:p w14:paraId="7483EF2E" w14:textId="77777777" w:rsidR="001C0F49" w:rsidRPr="005F1ADF" w:rsidRDefault="001C0F49" w:rsidP="00293BD0">
            <w:pPr>
              <w:spacing w:after="0" w:line="240" w:lineRule="auto"/>
              <w:ind w:left="113"/>
              <w:rPr>
                <w:rFonts w:ascii="Arial" w:hAnsi="Arial" w:cs="Arial"/>
                <w:sz w:val="16"/>
                <w:szCs w:val="16"/>
              </w:rPr>
            </w:pPr>
            <w:r w:rsidRPr="005F1ADF">
              <w:rPr>
                <w:rFonts w:ascii="Arial" w:hAnsi="Arial" w:cs="Arial"/>
                <w:sz w:val="16"/>
                <w:szCs w:val="16"/>
              </w:rPr>
              <w:t>Ordinary annual services (Appropriation Bill No. 1)</w:t>
            </w:r>
          </w:p>
        </w:tc>
        <w:tc>
          <w:tcPr>
            <w:tcW w:w="607" w:type="pct"/>
            <w:tcBorders>
              <w:top w:val="nil"/>
              <w:left w:val="nil"/>
              <w:bottom w:val="nil"/>
              <w:right w:val="nil"/>
            </w:tcBorders>
            <w:shd w:val="clear" w:color="auto" w:fill="auto"/>
            <w:noWrap/>
            <w:vAlign w:val="bottom"/>
            <w:hideMark/>
          </w:tcPr>
          <w:p w14:paraId="047BB585"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13,569</w:t>
            </w:r>
          </w:p>
        </w:tc>
        <w:tc>
          <w:tcPr>
            <w:tcW w:w="575" w:type="pct"/>
            <w:tcBorders>
              <w:top w:val="nil"/>
              <w:left w:val="nil"/>
              <w:bottom w:val="nil"/>
              <w:right w:val="nil"/>
            </w:tcBorders>
            <w:shd w:val="clear" w:color="auto" w:fill="E6E6E6"/>
            <w:noWrap/>
            <w:vAlign w:val="bottom"/>
            <w:hideMark/>
          </w:tcPr>
          <w:p w14:paraId="18EF61E5"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14,970</w:t>
            </w:r>
          </w:p>
        </w:tc>
        <w:tc>
          <w:tcPr>
            <w:tcW w:w="575" w:type="pct"/>
            <w:tcBorders>
              <w:top w:val="nil"/>
              <w:left w:val="nil"/>
              <w:bottom w:val="nil"/>
              <w:right w:val="nil"/>
            </w:tcBorders>
            <w:shd w:val="clear" w:color="auto" w:fill="auto"/>
            <w:noWrap/>
            <w:vAlign w:val="bottom"/>
            <w:hideMark/>
          </w:tcPr>
          <w:p w14:paraId="328B58F9"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14,665</w:t>
            </w:r>
          </w:p>
        </w:tc>
        <w:tc>
          <w:tcPr>
            <w:tcW w:w="575" w:type="pct"/>
            <w:tcBorders>
              <w:top w:val="nil"/>
              <w:left w:val="nil"/>
              <w:bottom w:val="nil"/>
              <w:right w:val="nil"/>
            </w:tcBorders>
            <w:shd w:val="clear" w:color="auto" w:fill="auto"/>
            <w:noWrap/>
            <w:vAlign w:val="bottom"/>
            <w:hideMark/>
          </w:tcPr>
          <w:p w14:paraId="26E10693"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14,711</w:t>
            </w:r>
          </w:p>
        </w:tc>
        <w:tc>
          <w:tcPr>
            <w:tcW w:w="539" w:type="pct"/>
            <w:tcBorders>
              <w:top w:val="nil"/>
              <w:left w:val="nil"/>
              <w:bottom w:val="nil"/>
              <w:right w:val="nil"/>
            </w:tcBorders>
            <w:shd w:val="clear" w:color="auto" w:fill="auto"/>
            <w:noWrap/>
            <w:vAlign w:val="bottom"/>
            <w:hideMark/>
          </w:tcPr>
          <w:p w14:paraId="21C5FF22"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14,722</w:t>
            </w:r>
          </w:p>
        </w:tc>
      </w:tr>
      <w:tr w:rsidR="001C0F49" w:rsidRPr="006259EE" w14:paraId="20FFABE3" w14:textId="77777777" w:rsidTr="00AE2189">
        <w:trPr>
          <w:trHeight w:val="204"/>
        </w:trPr>
        <w:tc>
          <w:tcPr>
            <w:tcW w:w="2128" w:type="pct"/>
            <w:tcBorders>
              <w:top w:val="nil"/>
              <w:left w:val="nil"/>
              <w:bottom w:val="nil"/>
              <w:right w:val="nil"/>
            </w:tcBorders>
            <w:shd w:val="clear" w:color="auto" w:fill="auto"/>
            <w:vAlign w:val="bottom"/>
            <w:hideMark/>
          </w:tcPr>
          <w:p w14:paraId="0BB65C11" w14:textId="160BF3C1" w:rsidR="001C0F49" w:rsidRPr="005F1ADF" w:rsidRDefault="001C0F49" w:rsidP="00AE2189">
            <w:pPr>
              <w:spacing w:after="0" w:line="240" w:lineRule="auto"/>
              <w:rPr>
                <w:rFonts w:ascii="Arial" w:hAnsi="Arial" w:cs="Arial"/>
                <w:sz w:val="16"/>
                <w:szCs w:val="16"/>
              </w:rPr>
            </w:pPr>
            <w:r w:rsidRPr="005F1ADF">
              <w:rPr>
                <w:rFonts w:ascii="Arial" w:hAnsi="Arial" w:cs="Arial"/>
                <w:sz w:val="16"/>
                <w:szCs w:val="16"/>
              </w:rPr>
              <w:t xml:space="preserve">Expenses not requiring appropriation in the </w:t>
            </w:r>
            <w:r w:rsidR="00927ADA">
              <w:rPr>
                <w:rFonts w:ascii="Arial" w:hAnsi="Arial" w:cs="Arial"/>
                <w:sz w:val="16"/>
                <w:szCs w:val="16"/>
              </w:rPr>
              <w:t>Budget year</w:t>
            </w:r>
            <w:r w:rsidRPr="005F1ADF">
              <w:rPr>
                <w:rFonts w:ascii="Arial" w:hAnsi="Arial" w:cs="Arial"/>
                <w:sz w:val="16"/>
                <w:szCs w:val="16"/>
              </w:rPr>
              <w:t xml:space="preserve"> </w:t>
            </w:r>
            <w:r w:rsidRPr="005F1ADF">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6DF69C37"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9,061</w:t>
            </w:r>
          </w:p>
        </w:tc>
        <w:tc>
          <w:tcPr>
            <w:tcW w:w="575" w:type="pct"/>
            <w:tcBorders>
              <w:top w:val="nil"/>
              <w:left w:val="nil"/>
              <w:bottom w:val="nil"/>
              <w:right w:val="nil"/>
            </w:tcBorders>
            <w:shd w:val="clear" w:color="auto" w:fill="E6E6E6"/>
            <w:noWrap/>
            <w:vAlign w:val="bottom"/>
            <w:hideMark/>
          </w:tcPr>
          <w:p w14:paraId="28D3D1FC"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5,844</w:t>
            </w:r>
          </w:p>
        </w:tc>
        <w:tc>
          <w:tcPr>
            <w:tcW w:w="575" w:type="pct"/>
            <w:tcBorders>
              <w:top w:val="nil"/>
              <w:left w:val="nil"/>
              <w:bottom w:val="nil"/>
              <w:right w:val="nil"/>
            </w:tcBorders>
            <w:shd w:val="clear" w:color="auto" w:fill="auto"/>
            <w:noWrap/>
            <w:vAlign w:val="bottom"/>
            <w:hideMark/>
          </w:tcPr>
          <w:p w14:paraId="612B6884"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6,041</w:t>
            </w:r>
          </w:p>
        </w:tc>
        <w:tc>
          <w:tcPr>
            <w:tcW w:w="575" w:type="pct"/>
            <w:tcBorders>
              <w:top w:val="nil"/>
              <w:left w:val="nil"/>
              <w:bottom w:val="nil"/>
              <w:right w:val="nil"/>
            </w:tcBorders>
            <w:shd w:val="clear" w:color="auto" w:fill="auto"/>
            <w:noWrap/>
            <w:vAlign w:val="bottom"/>
            <w:hideMark/>
          </w:tcPr>
          <w:p w14:paraId="59558417"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6,030</w:t>
            </w:r>
          </w:p>
        </w:tc>
        <w:tc>
          <w:tcPr>
            <w:tcW w:w="539" w:type="pct"/>
            <w:tcBorders>
              <w:top w:val="nil"/>
              <w:left w:val="nil"/>
              <w:bottom w:val="nil"/>
              <w:right w:val="nil"/>
            </w:tcBorders>
            <w:shd w:val="clear" w:color="auto" w:fill="auto"/>
            <w:noWrap/>
            <w:vAlign w:val="bottom"/>
            <w:hideMark/>
          </w:tcPr>
          <w:p w14:paraId="40B95506"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6,017</w:t>
            </w:r>
          </w:p>
        </w:tc>
      </w:tr>
      <w:tr w:rsidR="001C0F49" w:rsidRPr="006259EE" w14:paraId="486C57F6" w14:textId="77777777" w:rsidTr="00AE2189">
        <w:trPr>
          <w:trHeight w:val="204"/>
        </w:trPr>
        <w:tc>
          <w:tcPr>
            <w:tcW w:w="2128" w:type="pct"/>
            <w:tcBorders>
              <w:top w:val="nil"/>
              <w:left w:val="nil"/>
              <w:bottom w:val="nil"/>
              <w:right w:val="nil"/>
            </w:tcBorders>
            <w:shd w:val="clear" w:color="auto" w:fill="auto"/>
            <w:vAlign w:val="bottom"/>
            <w:hideMark/>
          </w:tcPr>
          <w:p w14:paraId="0B71DBBD" w14:textId="77777777" w:rsidR="001C0F49" w:rsidRPr="005F1ADF" w:rsidRDefault="001C0F49" w:rsidP="00293BD0">
            <w:pPr>
              <w:spacing w:after="0" w:line="240" w:lineRule="auto"/>
              <w:rPr>
                <w:rFonts w:ascii="Arial" w:hAnsi="Arial" w:cs="Arial"/>
                <w:sz w:val="16"/>
                <w:szCs w:val="16"/>
              </w:rPr>
            </w:pPr>
            <w:r w:rsidRPr="005F1ADF">
              <w:rPr>
                <w:rFonts w:ascii="Arial" w:hAnsi="Arial" w:cs="Arial"/>
                <w:sz w:val="16"/>
                <w:szCs w:val="16"/>
              </w:rPr>
              <w:t xml:space="preserve">Revenues from other independent sources </w:t>
            </w:r>
          </w:p>
        </w:tc>
        <w:tc>
          <w:tcPr>
            <w:tcW w:w="607" w:type="pct"/>
            <w:tcBorders>
              <w:top w:val="nil"/>
              <w:left w:val="nil"/>
              <w:bottom w:val="nil"/>
              <w:right w:val="nil"/>
            </w:tcBorders>
            <w:shd w:val="clear" w:color="auto" w:fill="auto"/>
            <w:noWrap/>
            <w:vAlign w:val="bottom"/>
            <w:hideMark/>
          </w:tcPr>
          <w:p w14:paraId="2A07A4F3"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2,788</w:t>
            </w:r>
          </w:p>
        </w:tc>
        <w:tc>
          <w:tcPr>
            <w:tcW w:w="575" w:type="pct"/>
            <w:tcBorders>
              <w:top w:val="nil"/>
              <w:left w:val="nil"/>
              <w:bottom w:val="nil"/>
              <w:right w:val="nil"/>
            </w:tcBorders>
            <w:shd w:val="clear" w:color="auto" w:fill="E6E6E6"/>
            <w:noWrap/>
            <w:vAlign w:val="bottom"/>
            <w:hideMark/>
          </w:tcPr>
          <w:p w14:paraId="024FB61A"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1,961</w:t>
            </w:r>
          </w:p>
        </w:tc>
        <w:tc>
          <w:tcPr>
            <w:tcW w:w="575" w:type="pct"/>
            <w:tcBorders>
              <w:top w:val="nil"/>
              <w:left w:val="nil"/>
              <w:bottom w:val="nil"/>
              <w:right w:val="nil"/>
            </w:tcBorders>
            <w:shd w:val="clear" w:color="auto" w:fill="auto"/>
            <w:noWrap/>
            <w:vAlign w:val="bottom"/>
            <w:hideMark/>
          </w:tcPr>
          <w:p w14:paraId="4709C349"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2,399</w:t>
            </w:r>
          </w:p>
        </w:tc>
        <w:tc>
          <w:tcPr>
            <w:tcW w:w="575" w:type="pct"/>
            <w:tcBorders>
              <w:top w:val="nil"/>
              <w:left w:val="nil"/>
              <w:bottom w:val="nil"/>
              <w:right w:val="nil"/>
            </w:tcBorders>
            <w:shd w:val="clear" w:color="auto" w:fill="auto"/>
            <w:noWrap/>
            <w:vAlign w:val="bottom"/>
            <w:hideMark/>
          </w:tcPr>
          <w:p w14:paraId="5C959812"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2,520</w:t>
            </w:r>
          </w:p>
        </w:tc>
        <w:tc>
          <w:tcPr>
            <w:tcW w:w="539" w:type="pct"/>
            <w:tcBorders>
              <w:top w:val="nil"/>
              <w:left w:val="nil"/>
              <w:bottom w:val="nil"/>
              <w:right w:val="nil"/>
            </w:tcBorders>
            <w:shd w:val="clear" w:color="auto" w:fill="auto"/>
            <w:noWrap/>
            <w:vAlign w:val="bottom"/>
            <w:hideMark/>
          </w:tcPr>
          <w:p w14:paraId="71F7BF21"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2,637</w:t>
            </w:r>
          </w:p>
        </w:tc>
      </w:tr>
      <w:tr w:rsidR="001C0F49" w:rsidRPr="006259EE" w14:paraId="1122F652" w14:textId="77777777" w:rsidTr="00AE2189">
        <w:trPr>
          <w:trHeight w:val="204"/>
        </w:trPr>
        <w:tc>
          <w:tcPr>
            <w:tcW w:w="2128" w:type="pct"/>
            <w:tcBorders>
              <w:top w:val="nil"/>
              <w:left w:val="nil"/>
              <w:bottom w:val="nil"/>
              <w:right w:val="nil"/>
            </w:tcBorders>
            <w:shd w:val="clear" w:color="auto" w:fill="auto"/>
            <w:noWrap/>
            <w:vAlign w:val="bottom"/>
            <w:hideMark/>
          </w:tcPr>
          <w:p w14:paraId="7F7765AF" w14:textId="77777777" w:rsidR="001C0F49" w:rsidRPr="005F1ADF" w:rsidRDefault="001C0F49" w:rsidP="00293BD0">
            <w:pPr>
              <w:spacing w:after="0" w:line="240" w:lineRule="auto"/>
              <w:rPr>
                <w:rFonts w:ascii="Arial" w:hAnsi="Arial" w:cs="Arial"/>
                <w:b/>
                <w:bCs/>
                <w:sz w:val="16"/>
                <w:szCs w:val="16"/>
              </w:rPr>
            </w:pPr>
            <w:r w:rsidRPr="005F1ADF">
              <w:rPr>
                <w:rFonts w:ascii="Arial" w:hAnsi="Arial" w:cs="Arial"/>
                <w:b/>
                <w:bCs/>
                <w:sz w:val="16"/>
                <w:szCs w:val="16"/>
              </w:rPr>
              <w:t>Total expenses for Program 1.1</w:t>
            </w:r>
          </w:p>
        </w:tc>
        <w:tc>
          <w:tcPr>
            <w:tcW w:w="607" w:type="pct"/>
            <w:tcBorders>
              <w:top w:val="single" w:sz="4" w:space="0" w:color="auto"/>
              <w:left w:val="nil"/>
              <w:bottom w:val="single" w:sz="4" w:space="0" w:color="auto"/>
              <w:right w:val="nil"/>
            </w:tcBorders>
            <w:shd w:val="clear" w:color="auto" w:fill="auto"/>
            <w:noWrap/>
            <w:vAlign w:val="bottom"/>
            <w:hideMark/>
          </w:tcPr>
          <w:p w14:paraId="2284EB4E" w14:textId="77777777" w:rsidR="001C0F49" w:rsidRPr="005F1ADF" w:rsidRDefault="001C0F49" w:rsidP="00293BD0">
            <w:pPr>
              <w:spacing w:after="0" w:line="240" w:lineRule="auto"/>
              <w:jc w:val="right"/>
              <w:rPr>
                <w:rFonts w:ascii="Arial" w:hAnsi="Arial" w:cs="Arial"/>
                <w:b/>
                <w:bCs/>
                <w:color w:val="000000"/>
                <w:sz w:val="16"/>
                <w:szCs w:val="16"/>
              </w:rPr>
            </w:pPr>
            <w:r w:rsidRPr="005F1ADF">
              <w:rPr>
                <w:rFonts w:ascii="Arial" w:hAnsi="Arial" w:cs="Arial"/>
                <w:b/>
                <w:bCs/>
                <w:color w:val="000000"/>
                <w:sz w:val="16"/>
                <w:szCs w:val="16"/>
              </w:rPr>
              <w:t>25,418</w:t>
            </w:r>
          </w:p>
        </w:tc>
        <w:tc>
          <w:tcPr>
            <w:tcW w:w="575" w:type="pct"/>
            <w:tcBorders>
              <w:top w:val="single" w:sz="4" w:space="0" w:color="auto"/>
              <w:left w:val="nil"/>
              <w:bottom w:val="single" w:sz="4" w:space="0" w:color="auto"/>
              <w:right w:val="nil"/>
            </w:tcBorders>
            <w:shd w:val="clear" w:color="auto" w:fill="E6E6E6"/>
            <w:noWrap/>
            <w:vAlign w:val="bottom"/>
            <w:hideMark/>
          </w:tcPr>
          <w:p w14:paraId="6043C535" w14:textId="77777777" w:rsidR="001C0F49" w:rsidRPr="005F1ADF" w:rsidRDefault="001C0F49" w:rsidP="00293BD0">
            <w:pPr>
              <w:spacing w:after="0" w:line="240" w:lineRule="auto"/>
              <w:jc w:val="right"/>
              <w:rPr>
                <w:rFonts w:ascii="Arial" w:hAnsi="Arial" w:cs="Arial"/>
                <w:b/>
                <w:bCs/>
                <w:color w:val="000000"/>
                <w:sz w:val="16"/>
                <w:szCs w:val="16"/>
              </w:rPr>
            </w:pPr>
            <w:r w:rsidRPr="005F1ADF">
              <w:rPr>
                <w:rFonts w:ascii="Arial" w:hAnsi="Arial" w:cs="Arial"/>
                <w:b/>
                <w:bCs/>
                <w:color w:val="000000"/>
                <w:sz w:val="16"/>
                <w:szCs w:val="16"/>
              </w:rPr>
              <w:t>22,775</w:t>
            </w:r>
          </w:p>
        </w:tc>
        <w:tc>
          <w:tcPr>
            <w:tcW w:w="575" w:type="pct"/>
            <w:tcBorders>
              <w:top w:val="single" w:sz="4" w:space="0" w:color="auto"/>
              <w:left w:val="nil"/>
              <w:bottom w:val="single" w:sz="4" w:space="0" w:color="auto"/>
              <w:right w:val="nil"/>
            </w:tcBorders>
            <w:shd w:val="clear" w:color="auto" w:fill="auto"/>
            <w:noWrap/>
            <w:vAlign w:val="bottom"/>
            <w:hideMark/>
          </w:tcPr>
          <w:p w14:paraId="22F17319"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23,105</w:t>
            </w:r>
          </w:p>
        </w:tc>
        <w:tc>
          <w:tcPr>
            <w:tcW w:w="575" w:type="pct"/>
            <w:tcBorders>
              <w:top w:val="single" w:sz="4" w:space="0" w:color="auto"/>
              <w:left w:val="nil"/>
              <w:bottom w:val="single" w:sz="4" w:space="0" w:color="auto"/>
              <w:right w:val="nil"/>
            </w:tcBorders>
            <w:shd w:val="clear" w:color="auto" w:fill="auto"/>
            <w:noWrap/>
            <w:vAlign w:val="bottom"/>
            <w:hideMark/>
          </w:tcPr>
          <w:p w14:paraId="23D94EB1"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23,261</w:t>
            </w:r>
          </w:p>
        </w:tc>
        <w:tc>
          <w:tcPr>
            <w:tcW w:w="539" w:type="pct"/>
            <w:tcBorders>
              <w:top w:val="single" w:sz="4" w:space="0" w:color="auto"/>
              <w:left w:val="nil"/>
              <w:bottom w:val="single" w:sz="4" w:space="0" w:color="auto"/>
              <w:right w:val="nil"/>
            </w:tcBorders>
            <w:shd w:val="clear" w:color="auto" w:fill="auto"/>
            <w:noWrap/>
            <w:vAlign w:val="bottom"/>
            <w:hideMark/>
          </w:tcPr>
          <w:p w14:paraId="62AC9026"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23,376</w:t>
            </w:r>
          </w:p>
        </w:tc>
      </w:tr>
      <w:tr w:rsidR="001C0F49" w:rsidRPr="006259EE" w14:paraId="7962137F" w14:textId="77777777" w:rsidTr="00AE2189">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05506C94" w14:textId="77777777" w:rsidR="001C0F49" w:rsidRPr="005F1ADF" w:rsidRDefault="001C0F49" w:rsidP="00293BD0">
            <w:pPr>
              <w:spacing w:after="0" w:line="240" w:lineRule="auto"/>
              <w:rPr>
                <w:rFonts w:ascii="Arial" w:hAnsi="Arial" w:cs="Arial"/>
                <w:b/>
                <w:bCs/>
                <w:sz w:val="16"/>
                <w:szCs w:val="16"/>
              </w:rPr>
            </w:pPr>
            <w:r w:rsidRPr="005F1ADF">
              <w:rPr>
                <w:rFonts w:ascii="Arial" w:hAnsi="Arial" w:cs="Arial"/>
                <w:b/>
                <w:bCs/>
                <w:sz w:val="16"/>
                <w:szCs w:val="16"/>
              </w:rPr>
              <w:t>Outcome 1 totals by resource type</w:t>
            </w:r>
          </w:p>
        </w:tc>
      </w:tr>
      <w:tr w:rsidR="001C0F49" w:rsidRPr="006259EE" w14:paraId="050CE57E" w14:textId="77777777" w:rsidTr="00AE2189">
        <w:trPr>
          <w:trHeight w:val="204"/>
        </w:trPr>
        <w:tc>
          <w:tcPr>
            <w:tcW w:w="2128" w:type="pct"/>
            <w:tcBorders>
              <w:top w:val="nil"/>
              <w:left w:val="nil"/>
              <w:bottom w:val="nil"/>
              <w:right w:val="nil"/>
            </w:tcBorders>
            <w:shd w:val="clear" w:color="auto" w:fill="auto"/>
            <w:noWrap/>
            <w:vAlign w:val="bottom"/>
            <w:hideMark/>
          </w:tcPr>
          <w:p w14:paraId="4292F602" w14:textId="77777777" w:rsidR="001C0F49" w:rsidRPr="005F1ADF" w:rsidRDefault="001C0F49" w:rsidP="00293BD0">
            <w:pPr>
              <w:spacing w:after="0" w:line="240" w:lineRule="auto"/>
              <w:rPr>
                <w:rFonts w:ascii="Arial" w:hAnsi="Arial" w:cs="Arial"/>
                <w:sz w:val="16"/>
                <w:szCs w:val="16"/>
              </w:rPr>
            </w:pPr>
            <w:r w:rsidRPr="005F1ADF">
              <w:rPr>
                <w:rFonts w:ascii="Arial" w:hAnsi="Arial" w:cs="Arial"/>
                <w:sz w:val="16"/>
                <w:szCs w:val="16"/>
              </w:rPr>
              <w:t>Revenue from Government</w:t>
            </w:r>
          </w:p>
        </w:tc>
        <w:tc>
          <w:tcPr>
            <w:tcW w:w="607" w:type="pct"/>
            <w:tcBorders>
              <w:top w:val="nil"/>
              <w:left w:val="nil"/>
              <w:bottom w:val="nil"/>
              <w:right w:val="nil"/>
            </w:tcBorders>
            <w:shd w:val="clear" w:color="auto" w:fill="auto"/>
            <w:noWrap/>
            <w:vAlign w:val="bottom"/>
            <w:hideMark/>
          </w:tcPr>
          <w:p w14:paraId="1AF482C5"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E6E6E6"/>
            <w:noWrap/>
            <w:vAlign w:val="bottom"/>
            <w:hideMark/>
          </w:tcPr>
          <w:p w14:paraId="31498374"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6C44C258" w14:textId="77777777" w:rsidR="001C0F49" w:rsidRPr="005F1ADF" w:rsidRDefault="001C0F49" w:rsidP="00293BD0">
            <w:pPr>
              <w:spacing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24E09591" w14:textId="77777777" w:rsidR="001C0F49" w:rsidRPr="005F1ADF" w:rsidRDefault="001C0F49" w:rsidP="00293BD0">
            <w:pPr>
              <w:spacing w:after="0" w:line="240" w:lineRule="auto"/>
              <w:jc w:val="right"/>
              <w:rPr>
                <w:rFonts w:ascii="Times New Roman" w:hAnsi="Times New Roman"/>
                <w:sz w:val="16"/>
                <w:szCs w:val="16"/>
              </w:rPr>
            </w:pPr>
          </w:p>
        </w:tc>
        <w:tc>
          <w:tcPr>
            <w:tcW w:w="539" w:type="pct"/>
            <w:tcBorders>
              <w:top w:val="nil"/>
              <w:left w:val="nil"/>
              <w:bottom w:val="nil"/>
              <w:right w:val="nil"/>
            </w:tcBorders>
            <w:shd w:val="clear" w:color="auto" w:fill="auto"/>
            <w:noWrap/>
            <w:vAlign w:val="bottom"/>
            <w:hideMark/>
          </w:tcPr>
          <w:p w14:paraId="56D6AF38" w14:textId="77777777" w:rsidR="001C0F49" w:rsidRPr="005F1ADF" w:rsidRDefault="001C0F49" w:rsidP="00293BD0">
            <w:pPr>
              <w:spacing w:after="0" w:line="240" w:lineRule="auto"/>
              <w:jc w:val="right"/>
              <w:rPr>
                <w:rFonts w:ascii="Times New Roman" w:hAnsi="Times New Roman"/>
                <w:sz w:val="16"/>
                <w:szCs w:val="16"/>
              </w:rPr>
            </w:pPr>
          </w:p>
        </w:tc>
      </w:tr>
      <w:tr w:rsidR="001C0F49" w:rsidRPr="006259EE" w14:paraId="4FEF35A0" w14:textId="77777777" w:rsidTr="00AE2189">
        <w:trPr>
          <w:trHeight w:val="204"/>
        </w:trPr>
        <w:tc>
          <w:tcPr>
            <w:tcW w:w="2128" w:type="pct"/>
            <w:tcBorders>
              <w:top w:val="nil"/>
              <w:left w:val="nil"/>
              <w:bottom w:val="nil"/>
              <w:right w:val="nil"/>
            </w:tcBorders>
            <w:shd w:val="clear" w:color="auto" w:fill="auto"/>
            <w:vAlign w:val="bottom"/>
            <w:hideMark/>
          </w:tcPr>
          <w:p w14:paraId="5ACCC6B3" w14:textId="77777777" w:rsidR="001C0F49" w:rsidRPr="005F1ADF" w:rsidRDefault="001C0F49" w:rsidP="00293BD0">
            <w:pPr>
              <w:spacing w:after="0" w:line="240" w:lineRule="auto"/>
              <w:ind w:left="113"/>
              <w:rPr>
                <w:rFonts w:ascii="Arial" w:hAnsi="Arial" w:cs="Arial"/>
                <w:sz w:val="16"/>
                <w:szCs w:val="16"/>
              </w:rPr>
            </w:pPr>
            <w:r w:rsidRPr="005F1ADF">
              <w:rPr>
                <w:rFonts w:ascii="Arial" w:hAnsi="Arial" w:cs="Arial"/>
                <w:sz w:val="16"/>
                <w:szCs w:val="16"/>
              </w:rPr>
              <w:t>Ordinary annual services (Appropriation Bill No. 1)</w:t>
            </w:r>
          </w:p>
        </w:tc>
        <w:tc>
          <w:tcPr>
            <w:tcW w:w="607" w:type="pct"/>
            <w:tcBorders>
              <w:top w:val="nil"/>
              <w:left w:val="nil"/>
              <w:bottom w:val="nil"/>
              <w:right w:val="nil"/>
            </w:tcBorders>
            <w:shd w:val="clear" w:color="auto" w:fill="auto"/>
            <w:noWrap/>
            <w:vAlign w:val="bottom"/>
            <w:hideMark/>
          </w:tcPr>
          <w:p w14:paraId="7CEF9624"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13,569</w:t>
            </w:r>
          </w:p>
        </w:tc>
        <w:tc>
          <w:tcPr>
            <w:tcW w:w="575" w:type="pct"/>
            <w:tcBorders>
              <w:top w:val="nil"/>
              <w:left w:val="nil"/>
              <w:bottom w:val="nil"/>
              <w:right w:val="nil"/>
            </w:tcBorders>
            <w:shd w:val="clear" w:color="auto" w:fill="E6E6E6"/>
            <w:noWrap/>
            <w:vAlign w:val="bottom"/>
            <w:hideMark/>
          </w:tcPr>
          <w:p w14:paraId="0E5FF079"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14,970</w:t>
            </w:r>
          </w:p>
        </w:tc>
        <w:tc>
          <w:tcPr>
            <w:tcW w:w="575" w:type="pct"/>
            <w:tcBorders>
              <w:top w:val="nil"/>
              <w:left w:val="nil"/>
              <w:bottom w:val="nil"/>
              <w:right w:val="nil"/>
            </w:tcBorders>
            <w:shd w:val="clear" w:color="auto" w:fill="auto"/>
            <w:noWrap/>
            <w:vAlign w:val="bottom"/>
            <w:hideMark/>
          </w:tcPr>
          <w:p w14:paraId="1198FC25"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14,665</w:t>
            </w:r>
          </w:p>
        </w:tc>
        <w:tc>
          <w:tcPr>
            <w:tcW w:w="575" w:type="pct"/>
            <w:tcBorders>
              <w:top w:val="nil"/>
              <w:left w:val="nil"/>
              <w:bottom w:val="nil"/>
              <w:right w:val="nil"/>
            </w:tcBorders>
            <w:shd w:val="clear" w:color="auto" w:fill="auto"/>
            <w:noWrap/>
            <w:vAlign w:val="bottom"/>
            <w:hideMark/>
          </w:tcPr>
          <w:p w14:paraId="350DD509"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14,711</w:t>
            </w:r>
          </w:p>
        </w:tc>
        <w:tc>
          <w:tcPr>
            <w:tcW w:w="539" w:type="pct"/>
            <w:tcBorders>
              <w:top w:val="nil"/>
              <w:left w:val="nil"/>
              <w:bottom w:val="nil"/>
              <w:right w:val="nil"/>
            </w:tcBorders>
            <w:shd w:val="clear" w:color="auto" w:fill="auto"/>
            <w:noWrap/>
            <w:vAlign w:val="bottom"/>
            <w:hideMark/>
          </w:tcPr>
          <w:p w14:paraId="6EB27995"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14,722</w:t>
            </w:r>
          </w:p>
        </w:tc>
      </w:tr>
      <w:tr w:rsidR="001C0F49" w:rsidRPr="006259EE" w14:paraId="6A97C59A" w14:textId="77777777" w:rsidTr="00AE2189">
        <w:trPr>
          <w:trHeight w:val="204"/>
        </w:trPr>
        <w:tc>
          <w:tcPr>
            <w:tcW w:w="2128" w:type="pct"/>
            <w:tcBorders>
              <w:top w:val="nil"/>
              <w:left w:val="nil"/>
              <w:bottom w:val="nil"/>
              <w:right w:val="nil"/>
            </w:tcBorders>
            <w:shd w:val="clear" w:color="auto" w:fill="auto"/>
            <w:vAlign w:val="bottom"/>
            <w:hideMark/>
          </w:tcPr>
          <w:p w14:paraId="26E91591" w14:textId="7492155F" w:rsidR="001C0F49" w:rsidRPr="005F1ADF" w:rsidRDefault="001C0F49" w:rsidP="00AE2189">
            <w:pPr>
              <w:spacing w:after="0" w:line="240" w:lineRule="auto"/>
              <w:ind w:left="57"/>
              <w:rPr>
                <w:rFonts w:ascii="Arial" w:hAnsi="Arial" w:cs="Arial"/>
                <w:sz w:val="16"/>
                <w:szCs w:val="16"/>
              </w:rPr>
            </w:pPr>
            <w:r w:rsidRPr="005F1ADF">
              <w:rPr>
                <w:rFonts w:ascii="Arial" w:hAnsi="Arial" w:cs="Arial"/>
                <w:sz w:val="16"/>
                <w:szCs w:val="16"/>
              </w:rPr>
              <w:t xml:space="preserve">Expenses not requiring appropriation in the </w:t>
            </w:r>
            <w:r w:rsidR="00927ADA">
              <w:rPr>
                <w:rFonts w:ascii="Arial" w:hAnsi="Arial" w:cs="Arial"/>
                <w:sz w:val="16"/>
                <w:szCs w:val="16"/>
              </w:rPr>
              <w:t>Budget year</w:t>
            </w:r>
            <w:r w:rsidR="00AE2189">
              <w:rPr>
                <w:rFonts w:ascii="Arial" w:hAnsi="Arial" w:cs="Arial"/>
                <w:sz w:val="16"/>
                <w:szCs w:val="16"/>
              </w:rPr>
              <w:t xml:space="preserve"> </w:t>
            </w:r>
            <w:r w:rsidR="00AE2189" w:rsidRPr="005F1ADF">
              <w:rPr>
                <w:rFonts w:ascii="Arial" w:hAnsi="Arial" w:cs="Arial"/>
                <w:sz w:val="16"/>
                <w:szCs w:val="16"/>
                <w:vertAlign w:val="superscript"/>
              </w:rPr>
              <w:t>(a)</w:t>
            </w:r>
          </w:p>
        </w:tc>
        <w:tc>
          <w:tcPr>
            <w:tcW w:w="607" w:type="pct"/>
            <w:tcBorders>
              <w:top w:val="nil"/>
              <w:left w:val="nil"/>
              <w:bottom w:val="nil"/>
              <w:right w:val="nil"/>
            </w:tcBorders>
            <w:shd w:val="clear" w:color="auto" w:fill="auto"/>
            <w:noWrap/>
            <w:vAlign w:val="bottom"/>
            <w:hideMark/>
          </w:tcPr>
          <w:p w14:paraId="56ED185E"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9,061</w:t>
            </w:r>
          </w:p>
        </w:tc>
        <w:tc>
          <w:tcPr>
            <w:tcW w:w="575" w:type="pct"/>
            <w:tcBorders>
              <w:top w:val="nil"/>
              <w:left w:val="nil"/>
              <w:bottom w:val="nil"/>
              <w:right w:val="nil"/>
            </w:tcBorders>
            <w:shd w:val="clear" w:color="auto" w:fill="E6E6E6"/>
            <w:noWrap/>
            <w:vAlign w:val="bottom"/>
            <w:hideMark/>
          </w:tcPr>
          <w:p w14:paraId="60CCACEE"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5,844</w:t>
            </w:r>
          </w:p>
        </w:tc>
        <w:tc>
          <w:tcPr>
            <w:tcW w:w="575" w:type="pct"/>
            <w:tcBorders>
              <w:top w:val="nil"/>
              <w:left w:val="nil"/>
              <w:bottom w:val="nil"/>
              <w:right w:val="nil"/>
            </w:tcBorders>
            <w:shd w:val="clear" w:color="auto" w:fill="auto"/>
            <w:noWrap/>
            <w:vAlign w:val="bottom"/>
            <w:hideMark/>
          </w:tcPr>
          <w:p w14:paraId="27131E0C"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6,041</w:t>
            </w:r>
          </w:p>
        </w:tc>
        <w:tc>
          <w:tcPr>
            <w:tcW w:w="575" w:type="pct"/>
            <w:tcBorders>
              <w:top w:val="nil"/>
              <w:left w:val="nil"/>
              <w:bottom w:val="nil"/>
              <w:right w:val="nil"/>
            </w:tcBorders>
            <w:shd w:val="clear" w:color="auto" w:fill="auto"/>
            <w:noWrap/>
            <w:vAlign w:val="bottom"/>
            <w:hideMark/>
          </w:tcPr>
          <w:p w14:paraId="2374884E"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6,030</w:t>
            </w:r>
          </w:p>
        </w:tc>
        <w:tc>
          <w:tcPr>
            <w:tcW w:w="539" w:type="pct"/>
            <w:tcBorders>
              <w:top w:val="nil"/>
              <w:left w:val="nil"/>
              <w:bottom w:val="nil"/>
              <w:right w:val="nil"/>
            </w:tcBorders>
            <w:shd w:val="clear" w:color="auto" w:fill="auto"/>
            <w:noWrap/>
            <w:vAlign w:val="bottom"/>
            <w:hideMark/>
          </w:tcPr>
          <w:p w14:paraId="489DD8ED"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6,017</w:t>
            </w:r>
          </w:p>
        </w:tc>
      </w:tr>
      <w:tr w:rsidR="001C0F49" w:rsidRPr="006259EE" w14:paraId="701088DB" w14:textId="77777777" w:rsidTr="00AE2189">
        <w:trPr>
          <w:trHeight w:val="204"/>
        </w:trPr>
        <w:tc>
          <w:tcPr>
            <w:tcW w:w="2128" w:type="pct"/>
            <w:tcBorders>
              <w:top w:val="nil"/>
              <w:left w:val="nil"/>
              <w:right w:val="nil"/>
            </w:tcBorders>
            <w:shd w:val="clear" w:color="auto" w:fill="auto"/>
            <w:vAlign w:val="bottom"/>
            <w:hideMark/>
          </w:tcPr>
          <w:p w14:paraId="5B84860D" w14:textId="77777777" w:rsidR="001C0F49" w:rsidRPr="005F1ADF" w:rsidRDefault="001C0F49" w:rsidP="00293BD0">
            <w:pPr>
              <w:spacing w:after="0" w:line="240" w:lineRule="auto"/>
              <w:rPr>
                <w:rFonts w:ascii="Arial" w:hAnsi="Arial" w:cs="Arial"/>
                <w:sz w:val="16"/>
                <w:szCs w:val="16"/>
              </w:rPr>
            </w:pPr>
            <w:r w:rsidRPr="005F1ADF">
              <w:rPr>
                <w:rFonts w:ascii="Arial" w:hAnsi="Arial" w:cs="Arial"/>
                <w:sz w:val="16"/>
                <w:szCs w:val="16"/>
              </w:rPr>
              <w:t xml:space="preserve">Revenues from other independent sources </w:t>
            </w:r>
          </w:p>
        </w:tc>
        <w:tc>
          <w:tcPr>
            <w:tcW w:w="607" w:type="pct"/>
            <w:tcBorders>
              <w:top w:val="nil"/>
              <w:left w:val="nil"/>
              <w:bottom w:val="nil"/>
              <w:right w:val="nil"/>
            </w:tcBorders>
            <w:shd w:val="clear" w:color="auto" w:fill="auto"/>
            <w:noWrap/>
            <w:vAlign w:val="bottom"/>
            <w:hideMark/>
          </w:tcPr>
          <w:p w14:paraId="06178A27" w14:textId="77777777" w:rsidR="001C0F49" w:rsidRPr="005F1ADF" w:rsidRDefault="001C0F49" w:rsidP="00293BD0">
            <w:pPr>
              <w:spacing w:after="0" w:line="240" w:lineRule="auto"/>
              <w:jc w:val="right"/>
              <w:rPr>
                <w:rFonts w:ascii="Arial" w:hAnsi="Arial" w:cs="Arial"/>
                <w:color w:val="000000"/>
                <w:sz w:val="16"/>
                <w:szCs w:val="16"/>
              </w:rPr>
            </w:pPr>
            <w:r w:rsidRPr="005F1ADF">
              <w:rPr>
                <w:rFonts w:ascii="Arial" w:hAnsi="Arial" w:cs="Arial"/>
                <w:color w:val="000000"/>
                <w:sz w:val="16"/>
                <w:szCs w:val="16"/>
              </w:rPr>
              <w:t>2,788</w:t>
            </w:r>
          </w:p>
        </w:tc>
        <w:tc>
          <w:tcPr>
            <w:tcW w:w="575" w:type="pct"/>
            <w:tcBorders>
              <w:top w:val="nil"/>
              <w:left w:val="nil"/>
              <w:bottom w:val="nil"/>
              <w:right w:val="nil"/>
            </w:tcBorders>
            <w:shd w:val="clear" w:color="auto" w:fill="E6E6E6"/>
            <w:noWrap/>
            <w:vAlign w:val="bottom"/>
            <w:hideMark/>
          </w:tcPr>
          <w:p w14:paraId="501B9D15"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1,961</w:t>
            </w:r>
          </w:p>
        </w:tc>
        <w:tc>
          <w:tcPr>
            <w:tcW w:w="575" w:type="pct"/>
            <w:tcBorders>
              <w:top w:val="nil"/>
              <w:left w:val="nil"/>
              <w:bottom w:val="nil"/>
              <w:right w:val="nil"/>
            </w:tcBorders>
            <w:shd w:val="clear" w:color="auto" w:fill="auto"/>
            <w:noWrap/>
            <w:vAlign w:val="bottom"/>
            <w:hideMark/>
          </w:tcPr>
          <w:p w14:paraId="4E662132"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2,399</w:t>
            </w:r>
          </w:p>
        </w:tc>
        <w:tc>
          <w:tcPr>
            <w:tcW w:w="575" w:type="pct"/>
            <w:tcBorders>
              <w:top w:val="nil"/>
              <w:left w:val="nil"/>
              <w:bottom w:val="nil"/>
              <w:right w:val="nil"/>
            </w:tcBorders>
            <w:shd w:val="clear" w:color="auto" w:fill="auto"/>
            <w:noWrap/>
            <w:vAlign w:val="bottom"/>
            <w:hideMark/>
          </w:tcPr>
          <w:p w14:paraId="3F144A97"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2,520</w:t>
            </w:r>
          </w:p>
        </w:tc>
        <w:tc>
          <w:tcPr>
            <w:tcW w:w="539" w:type="pct"/>
            <w:tcBorders>
              <w:top w:val="nil"/>
              <w:left w:val="nil"/>
              <w:bottom w:val="nil"/>
              <w:right w:val="nil"/>
            </w:tcBorders>
            <w:shd w:val="clear" w:color="auto" w:fill="auto"/>
            <w:noWrap/>
            <w:vAlign w:val="bottom"/>
            <w:hideMark/>
          </w:tcPr>
          <w:p w14:paraId="087E4B04" w14:textId="77777777" w:rsidR="001C0F49" w:rsidRPr="005F1ADF" w:rsidRDefault="001C0F49" w:rsidP="00293BD0">
            <w:pPr>
              <w:spacing w:after="0" w:line="240" w:lineRule="auto"/>
              <w:jc w:val="right"/>
              <w:rPr>
                <w:rFonts w:ascii="Arial" w:hAnsi="Arial" w:cs="Arial"/>
                <w:sz w:val="16"/>
                <w:szCs w:val="16"/>
              </w:rPr>
            </w:pPr>
            <w:r w:rsidRPr="005F1ADF">
              <w:rPr>
                <w:rFonts w:ascii="Arial" w:hAnsi="Arial" w:cs="Arial"/>
                <w:sz w:val="16"/>
                <w:szCs w:val="16"/>
              </w:rPr>
              <w:t>2,637</w:t>
            </w:r>
          </w:p>
        </w:tc>
      </w:tr>
      <w:tr w:rsidR="001C0F49" w:rsidRPr="006259EE" w14:paraId="7E5DAAFC" w14:textId="77777777" w:rsidTr="00AE2189">
        <w:trPr>
          <w:trHeight w:val="204"/>
        </w:trPr>
        <w:tc>
          <w:tcPr>
            <w:tcW w:w="2128" w:type="pct"/>
            <w:tcBorders>
              <w:top w:val="nil"/>
              <w:left w:val="nil"/>
              <w:bottom w:val="single" w:sz="4" w:space="0" w:color="auto"/>
              <w:right w:val="nil"/>
            </w:tcBorders>
            <w:shd w:val="clear" w:color="auto" w:fill="auto"/>
            <w:noWrap/>
            <w:vAlign w:val="bottom"/>
            <w:hideMark/>
          </w:tcPr>
          <w:p w14:paraId="455F206F" w14:textId="77777777" w:rsidR="001C0F49" w:rsidRPr="005F1ADF" w:rsidRDefault="001C0F49" w:rsidP="00293BD0">
            <w:pPr>
              <w:spacing w:after="0" w:line="240" w:lineRule="auto"/>
              <w:rPr>
                <w:rFonts w:ascii="Arial" w:hAnsi="Arial" w:cs="Arial"/>
                <w:b/>
                <w:bCs/>
                <w:sz w:val="16"/>
                <w:szCs w:val="16"/>
              </w:rPr>
            </w:pPr>
            <w:r w:rsidRPr="005F1ADF">
              <w:rPr>
                <w:rFonts w:ascii="Arial" w:hAnsi="Arial" w:cs="Arial"/>
                <w:b/>
                <w:bCs/>
                <w:sz w:val="16"/>
                <w:szCs w:val="16"/>
              </w:rPr>
              <w:t>Total expenses for Outcome 1</w:t>
            </w:r>
          </w:p>
        </w:tc>
        <w:tc>
          <w:tcPr>
            <w:tcW w:w="607" w:type="pct"/>
            <w:tcBorders>
              <w:top w:val="single" w:sz="4" w:space="0" w:color="auto"/>
              <w:left w:val="nil"/>
              <w:bottom w:val="single" w:sz="4" w:space="0" w:color="auto"/>
              <w:right w:val="nil"/>
            </w:tcBorders>
            <w:shd w:val="clear" w:color="auto" w:fill="auto"/>
            <w:noWrap/>
            <w:vAlign w:val="bottom"/>
            <w:hideMark/>
          </w:tcPr>
          <w:p w14:paraId="6D6C2B4C" w14:textId="77777777" w:rsidR="001C0F49" w:rsidRPr="005F1ADF" w:rsidRDefault="001C0F49" w:rsidP="00293BD0">
            <w:pPr>
              <w:spacing w:after="0" w:line="240" w:lineRule="auto"/>
              <w:jc w:val="right"/>
              <w:rPr>
                <w:rFonts w:ascii="Arial" w:hAnsi="Arial" w:cs="Arial"/>
                <w:b/>
                <w:bCs/>
                <w:color w:val="000000"/>
                <w:sz w:val="16"/>
                <w:szCs w:val="16"/>
              </w:rPr>
            </w:pPr>
            <w:r w:rsidRPr="005F1ADF">
              <w:rPr>
                <w:rFonts w:ascii="Arial" w:hAnsi="Arial" w:cs="Arial"/>
                <w:b/>
                <w:bCs/>
                <w:color w:val="000000"/>
                <w:sz w:val="16"/>
                <w:szCs w:val="16"/>
              </w:rPr>
              <w:t>25,418</w:t>
            </w:r>
          </w:p>
        </w:tc>
        <w:tc>
          <w:tcPr>
            <w:tcW w:w="575" w:type="pct"/>
            <w:tcBorders>
              <w:top w:val="single" w:sz="4" w:space="0" w:color="auto"/>
              <w:left w:val="nil"/>
              <w:bottom w:val="single" w:sz="4" w:space="0" w:color="auto"/>
              <w:right w:val="nil"/>
            </w:tcBorders>
            <w:shd w:val="clear" w:color="auto" w:fill="E6E6E6"/>
            <w:noWrap/>
            <w:vAlign w:val="bottom"/>
            <w:hideMark/>
          </w:tcPr>
          <w:p w14:paraId="69C5EECE" w14:textId="77777777" w:rsidR="001C0F49" w:rsidRPr="005F1ADF" w:rsidRDefault="001C0F49" w:rsidP="00293BD0">
            <w:pPr>
              <w:spacing w:after="0" w:line="240" w:lineRule="auto"/>
              <w:jc w:val="right"/>
              <w:rPr>
                <w:rFonts w:ascii="Arial" w:hAnsi="Arial" w:cs="Arial"/>
                <w:b/>
                <w:bCs/>
                <w:color w:val="000000"/>
                <w:sz w:val="16"/>
                <w:szCs w:val="16"/>
              </w:rPr>
            </w:pPr>
            <w:r w:rsidRPr="005F1ADF">
              <w:rPr>
                <w:rFonts w:ascii="Arial" w:hAnsi="Arial" w:cs="Arial"/>
                <w:b/>
                <w:bCs/>
                <w:color w:val="000000"/>
                <w:sz w:val="16"/>
                <w:szCs w:val="16"/>
              </w:rPr>
              <w:t>22,775</w:t>
            </w:r>
          </w:p>
        </w:tc>
        <w:tc>
          <w:tcPr>
            <w:tcW w:w="575" w:type="pct"/>
            <w:tcBorders>
              <w:top w:val="single" w:sz="4" w:space="0" w:color="auto"/>
              <w:left w:val="nil"/>
              <w:bottom w:val="single" w:sz="4" w:space="0" w:color="auto"/>
              <w:right w:val="nil"/>
            </w:tcBorders>
            <w:shd w:val="clear" w:color="auto" w:fill="auto"/>
            <w:noWrap/>
            <w:vAlign w:val="bottom"/>
            <w:hideMark/>
          </w:tcPr>
          <w:p w14:paraId="696739C3"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23,105</w:t>
            </w:r>
          </w:p>
        </w:tc>
        <w:tc>
          <w:tcPr>
            <w:tcW w:w="575" w:type="pct"/>
            <w:tcBorders>
              <w:top w:val="single" w:sz="4" w:space="0" w:color="auto"/>
              <w:left w:val="nil"/>
              <w:bottom w:val="single" w:sz="4" w:space="0" w:color="auto"/>
              <w:right w:val="nil"/>
            </w:tcBorders>
            <w:shd w:val="clear" w:color="auto" w:fill="auto"/>
            <w:noWrap/>
            <w:vAlign w:val="bottom"/>
            <w:hideMark/>
          </w:tcPr>
          <w:p w14:paraId="381FE161"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23,261</w:t>
            </w:r>
          </w:p>
        </w:tc>
        <w:tc>
          <w:tcPr>
            <w:tcW w:w="539" w:type="pct"/>
            <w:tcBorders>
              <w:top w:val="single" w:sz="4" w:space="0" w:color="auto"/>
              <w:left w:val="nil"/>
              <w:bottom w:val="single" w:sz="4" w:space="0" w:color="auto"/>
              <w:right w:val="nil"/>
            </w:tcBorders>
            <w:shd w:val="clear" w:color="auto" w:fill="auto"/>
            <w:noWrap/>
            <w:vAlign w:val="bottom"/>
            <w:hideMark/>
          </w:tcPr>
          <w:p w14:paraId="3A162386" w14:textId="77777777" w:rsidR="001C0F49" w:rsidRPr="005F1ADF" w:rsidRDefault="001C0F49" w:rsidP="00293BD0">
            <w:pPr>
              <w:spacing w:after="0" w:line="240" w:lineRule="auto"/>
              <w:jc w:val="right"/>
              <w:rPr>
                <w:rFonts w:ascii="Arial" w:hAnsi="Arial" w:cs="Arial"/>
                <w:b/>
                <w:bCs/>
                <w:sz w:val="16"/>
                <w:szCs w:val="16"/>
              </w:rPr>
            </w:pPr>
            <w:r w:rsidRPr="005F1ADF">
              <w:rPr>
                <w:rFonts w:ascii="Arial" w:hAnsi="Arial" w:cs="Arial"/>
                <w:b/>
                <w:bCs/>
                <w:sz w:val="16"/>
                <w:szCs w:val="16"/>
              </w:rPr>
              <w:t>23,376</w:t>
            </w:r>
          </w:p>
        </w:tc>
      </w:tr>
    </w:tbl>
    <w:p w14:paraId="6A75878C" w14:textId="77777777" w:rsidR="001C0F49" w:rsidRPr="00526039" w:rsidRDefault="001C0F49" w:rsidP="001C0F49">
      <w:pPr>
        <w:pStyle w:val="TableHeading"/>
        <w:rPr>
          <w:sz w:val="16"/>
        </w:rPr>
      </w:pPr>
    </w:p>
    <w:tbl>
      <w:tblPr>
        <w:tblW w:w="5074" w:type="dxa"/>
        <w:tblLook w:val="04A0" w:firstRow="1" w:lastRow="0" w:firstColumn="1" w:lastColumn="0" w:noHBand="0" w:noVBand="1"/>
      </w:tblPr>
      <w:tblGrid>
        <w:gridCol w:w="3318"/>
        <w:gridCol w:w="924"/>
        <w:gridCol w:w="832"/>
      </w:tblGrid>
      <w:tr w:rsidR="001C0F49" w:rsidRPr="007D644F" w14:paraId="0D774183" w14:textId="77777777" w:rsidTr="00AE2189">
        <w:trPr>
          <w:trHeight w:val="204"/>
        </w:trPr>
        <w:tc>
          <w:tcPr>
            <w:tcW w:w="3318" w:type="dxa"/>
            <w:tcBorders>
              <w:top w:val="single" w:sz="4" w:space="0" w:color="auto"/>
              <w:left w:val="nil"/>
              <w:bottom w:val="nil"/>
              <w:right w:val="nil"/>
            </w:tcBorders>
            <w:shd w:val="clear" w:color="auto" w:fill="auto"/>
            <w:noWrap/>
            <w:vAlign w:val="bottom"/>
            <w:hideMark/>
          </w:tcPr>
          <w:p w14:paraId="39DDE565" w14:textId="77777777" w:rsidR="001C0F49" w:rsidRPr="007D644F" w:rsidRDefault="001C0F49" w:rsidP="00293BD0">
            <w:pPr>
              <w:spacing w:after="0" w:line="240" w:lineRule="auto"/>
              <w:rPr>
                <w:rFonts w:ascii="Arial" w:hAnsi="Arial" w:cs="Arial"/>
                <w:sz w:val="16"/>
                <w:szCs w:val="16"/>
              </w:rPr>
            </w:pPr>
            <w:r w:rsidRPr="007D644F">
              <w:rPr>
                <w:rFonts w:ascii="Arial" w:hAnsi="Arial" w:cs="Arial"/>
                <w:sz w:val="16"/>
                <w:szCs w:val="16"/>
              </w:rPr>
              <w:t> </w:t>
            </w:r>
          </w:p>
        </w:tc>
        <w:tc>
          <w:tcPr>
            <w:tcW w:w="924" w:type="dxa"/>
            <w:tcBorders>
              <w:top w:val="single" w:sz="4" w:space="0" w:color="auto"/>
              <w:left w:val="nil"/>
              <w:bottom w:val="single" w:sz="4" w:space="0" w:color="auto"/>
              <w:right w:val="nil"/>
            </w:tcBorders>
            <w:shd w:val="clear" w:color="auto" w:fill="auto"/>
            <w:noWrap/>
            <w:vAlign w:val="bottom"/>
            <w:hideMark/>
          </w:tcPr>
          <w:p w14:paraId="10B61DE0" w14:textId="77777777" w:rsidR="001C0F49" w:rsidRPr="007D644F" w:rsidRDefault="001C0F49" w:rsidP="00293BD0">
            <w:pPr>
              <w:spacing w:after="0" w:line="240" w:lineRule="auto"/>
              <w:jc w:val="right"/>
              <w:rPr>
                <w:rFonts w:ascii="Arial" w:hAnsi="Arial" w:cs="Arial"/>
                <w:sz w:val="16"/>
                <w:szCs w:val="16"/>
              </w:rPr>
            </w:pPr>
            <w:r w:rsidRPr="007D644F">
              <w:rPr>
                <w:rFonts w:ascii="Arial" w:hAnsi="Arial" w:cs="Arial"/>
                <w:sz w:val="16"/>
                <w:szCs w:val="16"/>
              </w:rPr>
              <w:t>2021-22</w:t>
            </w:r>
          </w:p>
        </w:tc>
        <w:tc>
          <w:tcPr>
            <w:tcW w:w="832" w:type="dxa"/>
            <w:tcBorders>
              <w:top w:val="single" w:sz="4" w:space="0" w:color="auto"/>
              <w:left w:val="nil"/>
              <w:bottom w:val="single" w:sz="4" w:space="0" w:color="auto"/>
              <w:right w:val="nil"/>
            </w:tcBorders>
            <w:shd w:val="clear" w:color="auto" w:fill="E6E6E6"/>
            <w:noWrap/>
            <w:vAlign w:val="bottom"/>
            <w:hideMark/>
          </w:tcPr>
          <w:p w14:paraId="35A4C71C" w14:textId="77777777" w:rsidR="001C0F49" w:rsidRPr="007D644F" w:rsidRDefault="001C0F49" w:rsidP="00293BD0">
            <w:pPr>
              <w:spacing w:after="0" w:line="240" w:lineRule="auto"/>
              <w:jc w:val="right"/>
              <w:rPr>
                <w:rFonts w:ascii="Arial" w:hAnsi="Arial" w:cs="Arial"/>
                <w:sz w:val="16"/>
                <w:szCs w:val="16"/>
              </w:rPr>
            </w:pPr>
            <w:r w:rsidRPr="007D644F">
              <w:rPr>
                <w:rFonts w:ascii="Arial" w:hAnsi="Arial" w:cs="Arial"/>
                <w:sz w:val="16"/>
                <w:szCs w:val="16"/>
              </w:rPr>
              <w:t>2022-23</w:t>
            </w:r>
          </w:p>
        </w:tc>
      </w:tr>
      <w:tr w:rsidR="001C0F49" w:rsidRPr="007D644F" w14:paraId="5E531A3E" w14:textId="77777777" w:rsidTr="00AE2189">
        <w:trPr>
          <w:trHeight w:val="204"/>
        </w:trPr>
        <w:tc>
          <w:tcPr>
            <w:tcW w:w="3318" w:type="dxa"/>
            <w:tcBorders>
              <w:top w:val="nil"/>
              <w:left w:val="nil"/>
              <w:bottom w:val="single" w:sz="4" w:space="0" w:color="auto"/>
              <w:right w:val="nil"/>
            </w:tcBorders>
            <w:shd w:val="clear" w:color="auto" w:fill="auto"/>
            <w:noWrap/>
            <w:vAlign w:val="bottom"/>
            <w:hideMark/>
          </w:tcPr>
          <w:p w14:paraId="3318E4E1" w14:textId="77777777" w:rsidR="001C0F49" w:rsidRPr="007D644F" w:rsidRDefault="001C0F49" w:rsidP="00293BD0">
            <w:pPr>
              <w:spacing w:after="0" w:line="240" w:lineRule="auto"/>
              <w:rPr>
                <w:rFonts w:ascii="Arial" w:hAnsi="Arial" w:cs="Arial"/>
                <w:b/>
                <w:bCs/>
                <w:color w:val="000000"/>
                <w:sz w:val="16"/>
                <w:szCs w:val="16"/>
              </w:rPr>
            </w:pPr>
            <w:r w:rsidRPr="007D644F">
              <w:rPr>
                <w:rFonts w:ascii="Arial" w:hAnsi="Arial" w:cs="Arial"/>
                <w:b/>
                <w:bCs/>
                <w:color w:val="000000"/>
                <w:sz w:val="16"/>
                <w:szCs w:val="16"/>
              </w:rPr>
              <w:t>Average staffing level (number)</w:t>
            </w:r>
          </w:p>
        </w:tc>
        <w:tc>
          <w:tcPr>
            <w:tcW w:w="924" w:type="dxa"/>
            <w:tcBorders>
              <w:top w:val="single" w:sz="4" w:space="0" w:color="000000"/>
              <w:left w:val="nil"/>
              <w:bottom w:val="single" w:sz="4" w:space="0" w:color="000000"/>
              <w:right w:val="nil"/>
            </w:tcBorders>
            <w:shd w:val="clear" w:color="auto" w:fill="auto"/>
            <w:noWrap/>
            <w:vAlign w:val="bottom"/>
            <w:hideMark/>
          </w:tcPr>
          <w:p w14:paraId="5D115E9C" w14:textId="77777777" w:rsidR="001C0F49" w:rsidRPr="007D644F" w:rsidRDefault="001C0F49" w:rsidP="00293BD0">
            <w:pPr>
              <w:spacing w:after="0" w:line="240" w:lineRule="auto"/>
              <w:jc w:val="right"/>
              <w:rPr>
                <w:rFonts w:ascii="Arial" w:hAnsi="Arial" w:cs="Arial"/>
                <w:color w:val="000000"/>
                <w:sz w:val="16"/>
                <w:szCs w:val="16"/>
              </w:rPr>
            </w:pPr>
            <w:r w:rsidRPr="007D644F">
              <w:rPr>
                <w:rFonts w:ascii="Arial" w:hAnsi="Arial" w:cs="Arial"/>
                <w:color w:val="000000"/>
                <w:sz w:val="16"/>
                <w:szCs w:val="16"/>
              </w:rPr>
              <w:t>78</w:t>
            </w:r>
          </w:p>
        </w:tc>
        <w:tc>
          <w:tcPr>
            <w:tcW w:w="832" w:type="dxa"/>
            <w:tcBorders>
              <w:top w:val="single" w:sz="4" w:space="0" w:color="000000"/>
              <w:left w:val="nil"/>
              <w:bottom w:val="single" w:sz="4" w:space="0" w:color="000000"/>
              <w:right w:val="nil"/>
            </w:tcBorders>
            <w:shd w:val="clear" w:color="auto" w:fill="E6E6E6"/>
            <w:noWrap/>
            <w:vAlign w:val="bottom"/>
            <w:hideMark/>
          </w:tcPr>
          <w:p w14:paraId="7E675C76" w14:textId="77777777" w:rsidR="001C0F49" w:rsidRPr="007D644F" w:rsidRDefault="001C0F49" w:rsidP="00293BD0">
            <w:pPr>
              <w:spacing w:after="0" w:line="240" w:lineRule="auto"/>
              <w:jc w:val="right"/>
              <w:rPr>
                <w:rFonts w:ascii="Arial" w:hAnsi="Arial" w:cs="Arial"/>
                <w:color w:val="000000"/>
                <w:sz w:val="16"/>
                <w:szCs w:val="16"/>
              </w:rPr>
            </w:pPr>
            <w:r w:rsidRPr="007D644F">
              <w:rPr>
                <w:rFonts w:ascii="Arial" w:hAnsi="Arial" w:cs="Arial"/>
                <w:color w:val="000000"/>
                <w:sz w:val="16"/>
                <w:szCs w:val="16"/>
              </w:rPr>
              <w:t>73</w:t>
            </w:r>
          </w:p>
        </w:tc>
      </w:tr>
    </w:tbl>
    <w:p w14:paraId="3522B4A2" w14:textId="77777777" w:rsidR="001C0F49" w:rsidRPr="005F1ADF" w:rsidRDefault="001C0F49" w:rsidP="008D0F63">
      <w:pPr>
        <w:pStyle w:val="ChartandTableFootnoteAlpha"/>
        <w:numPr>
          <w:ilvl w:val="0"/>
          <w:numId w:val="85"/>
        </w:numPr>
        <w:tabs>
          <w:tab w:val="clear" w:pos="284"/>
        </w:tabs>
        <w:spacing w:before="60"/>
        <w:ind w:left="426" w:hanging="426"/>
        <w:jc w:val="left"/>
      </w:pPr>
      <w:r w:rsidRPr="005F1ADF">
        <w:t>Expenses not requiring appropriation in the Budget year are made up of depreciation expenses, amortisation expenses, make good expenses, audit fees.</w:t>
      </w:r>
    </w:p>
    <w:p w14:paraId="0F788B36" w14:textId="77777777" w:rsidR="001C0F49" w:rsidRDefault="001C0F49" w:rsidP="001C0F49">
      <w:pPr>
        <w:pStyle w:val="TableHeading"/>
      </w:pPr>
      <w:r>
        <w:br w:type="page"/>
      </w:r>
    </w:p>
    <w:p w14:paraId="1E8160B9" w14:textId="77777777" w:rsidR="001C0F49" w:rsidRPr="005153A8" w:rsidRDefault="001C0F49" w:rsidP="001C0F49">
      <w:pPr>
        <w:pStyle w:val="TableHeading"/>
        <w:rPr>
          <w:lang w:val="en-AU"/>
        </w:rPr>
      </w:pPr>
      <w:r w:rsidRPr="00F71634">
        <w:lastRenderedPageBreak/>
        <w:t>Table 2.</w:t>
      </w:r>
      <w:r>
        <w:rPr>
          <w:lang w:val="en-AU"/>
        </w:rPr>
        <w:t>1</w:t>
      </w:r>
      <w:r w:rsidRPr="00F71634">
        <w:t>.</w:t>
      </w:r>
      <w:r>
        <w:rPr>
          <w:lang w:val="en-US"/>
        </w:rPr>
        <w:t>2</w:t>
      </w:r>
      <w:r w:rsidRPr="00F71634">
        <w:t xml:space="preserve">: Performance </w:t>
      </w:r>
      <w:r>
        <w:rPr>
          <w:lang w:val="en-AU"/>
        </w:rPr>
        <w:t>measure</w:t>
      </w:r>
      <w:r w:rsidRPr="00F71634">
        <w:t xml:space="preserve"> for Outcome </w:t>
      </w:r>
      <w:r>
        <w:rPr>
          <w:lang w:val="en-AU"/>
        </w:rPr>
        <w:t>1</w:t>
      </w:r>
    </w:p>
    <w:p w14:paraId="64686555" w14:textId="77777777" w:rsidR="001C0F49" w:rsidRPr="00F71634" w:rsidRDefault="001C0F49" w:rsidP="001C0F49">
      <w:pPr>
        <w:spacing w:before="120"/>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051"/>
        <w:gridCol w:w="3064"/>
      </w:tblGrid>
      <w:tr w:rsidR="001C0F49" w:rsidRPr="001B2F81" w14:paraId="06650B4F" w14:textId="77777777" w:rsidTr="00AE2189">
        <w:trPr>
          <w:trHeight w:val="569"/>
        </w:trPr>
        <w:tc>
          <w:tcPr>
            <w:tcW w:w="7655" w:type="dxa"/>
            <w:gridSpan w:val="3"/>
            <w:shd w:val="clear" w:color="auto" w:fill="E6E6E6"/>
          </w:tcPr>
          <w:p w14:paraId="14045CB3" w14:textId="0072E7D3" w:rsidR="001C0F49" w:rsidRPr="00BE4D64" w:rsidRDefault="001C0F49" w:rsidP="00293BD0">
            <w:pPr>
              <w:pStyle w:val="TableColumnHeadingLeft"/>
              <w:rPr>
                <w:rFonts w:cs="Arial"/>
                <w:color w:val="000000"/>
              </w:rPr>
            </w:pPr>
            <w:r w:rsidRPr="006906E4">
              <w:t xml:space="preserve">Outcome </w:t>
            </w:r>
            <w:r w:rsidRPr="00112148">
              <w:rPr>
                <w:rFonts w:cs="Arial"/>
                <w:color w:val="000000"/>
              </w:rPr>
              <w:t>1</w:t>
            </w:r>
            <w:r w:rsidR="002864B7">
              <w:rPr>
                <w:rFonts w:cs="Arial"/>
                <w:color w:val="000000"/>
              </w:rPr>
              <w:t xml:space="preserve"> </w:t>
            </w:r>
            <w:r w:rsidR="00B32140">
              <w:rPr>
                <w:rFonts w:cs="Arial"/>
                <w:color w:val="000000"/>
              </w:rPr>
              <w:t>—</w:t>
            </w:r>
            <w:r w:rsidR="002864B7" w:rsidRPr="00B32140">
              <w:rPr>
                <w:rFonts w:cs="Arial"/>
                <w:b w:val="0"/>
                <w:color w:val="000000"/>
              </w:rPr>
              <w:t xml:space="preserve"> </w:t>
            </w:r>
            <w:r w:rsidRPr="00B32140">
              <w:rPr>
                <w:rFonts w:cs="Arial"/>
                <w:b w:val="0"/>
                <w:color w:val="00000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r w:rsidR="001C0F49" w:rsidRPr="00B16C4D" w14:paraId="30E6A827" w14:textId="77777777" w:rsidTr="00AE2189">
        <w:trPr>
          <w:trHeight w:val="522"/>
        </w:trPr>
        <w:tc>
          <w:tcPr>
            <w:tcW w:w="7655" w:type="dxa"/>
            <w:gridSpan w:val="3"/>
            <w:shd w:val="clear" w:color="auto" w:fill="E6E6E6"/>
          </w:tcPr>
          <w:p w14:paraId="6D6F85BA" w14:textId="77777777" w:rsidR="001C0F49" w:rsidRPr="002864B7" w:rsidRDefault="001C0F49" w:rsidP="00293BD0">
            <w:pPr>
              <w:tabs>
                <w:tab w:val="left" w:pos="709"/>
              </w:tabs>
              <w:spacing w:before="60" w:after="60"/>
              <w:rPr>
                <w:rFonts w:ascii="Arial" w:hAnsi="Arial" w:cs="Arial"/>
                <w:b/>
                <w:color w:val="000000"/>
                <w:sz w:val="18"/>
                <w:szCs w:val="18"/>
              </w:rPr>
            </w:pPr>
            <w:r w:rsidRPr="002864B7">
              <w:rPr>
                <w:rFonts w:ascii="Arial" w:hAnsi="Arial" w:cs="Arial"/>
                <w:b/>
                <w:sz w:val="18"/>
                <w:szCs w:val="18"/>
              </w:rPr>
              <w:t xml:space="preserve">Program 1.1 – </w:t>
            </w:r>
            <w:r w:rsidRPr="002864B7">
              <w:rPr>
                <w:rFonts w:ascii="Arial" w:hAnsi="Arial" w:cs="Arial"/>
                <w:b/>
                <w:color w:val="000000"/>
                <w:sz w:val="18"/>
                <w:szCs w:val="18"/>
              </w:rPr>
              <w:t>Old Parliament House</w:t>
            </w:r>
          </w:p>
          <w:p w14:paraId="0399733D" w14:textId="05CE5D0F" w:rsidR="001C0F49" w:rsidRPr="002864B7" w:rsidRDefault="001C0F49" w:rsidP="002864B7">
            <w:pPr>
              <w:tabs>
                <w:tab w:val="left" w:pos="709"/>
              </w:tabs>
              <w:spacing w:after="60" w:line="240" w:lineRule="auto"/>
              <w:rPr>
                <w:rFonts w:ascii="Arial" w:hAnsi="Arial" w:cs="Arial"/>
                <w:color w:val="000000"/>
                <w:sz w:val="18"/>
                <w:szCs w:val="18"/>
              </w:rPr>
            </w:pPr>
            <w:r w:rsidRPr="002864B7">
              <w:rPr>
                <w:rFonts w:ascii="Arial" w:hAnsi="Arial" w:cs="Arial"/>
                <w:color w:val="000000"/>
                <w:sz w:val="18"/>
                <w:szCs w:val="18"/>
              </w:rPr>
              <w:t>OPH’s collection is of national, regional and local significance. It captures the ideas, movements, individuals and events of Australian democracy and the story of this nationally listed heritage place, Old Parliament House, which was home to the Federal Parliament for 61 years.</w:t>
            </w:r>
            <w:r w:rsidR="002864B7">
              <w:rPr>
                <w:rFonts w:ascii="Arial" w:hAnsi="Arial" w:cs="Arial"/>
                <w:color w:val="000000"/>
                <w:sz w:val="18"/>
                <w:szCs w:val="18"/>
              </w:rPr>
              <w:t xml:space="preserve"> </w:t>
            </w:r>
            <w:r w:rsidRPr="002864B7">
              <w:rPr>
                <w:rFonts w:ascii="Arial" w:hAnsi="Arial" w:cs="Arial"/>
                <w:color w:val="000000"/>
                <w:sz w:val="18"/>
                <w:szCs w:val="18"/>
              </w:rPr>
              <w:t>OPH offers a spectrum of entry points: through interpretations of the building, in-house and touring exhibitions, onsite and online projects, education and public programs, children’s activities and opportunities to experience the spirit of Old Parliament House through festivals and events.</w:t>
            </w:r>
          </w:p>
        </w:tc>
      </w:tr>
      <w:tr w:rsidR="001C0F49" w:rsidRPr="001B2F81" w14:paraId="4547B1AA" w14:textId="77777777" w:rsidTr="00293BD0">
        <w:trPr>
          <w:trHeight w:val="694"/>
        </w:trPr>
        <w:tc>
          <w:tcPr>
            <w:tcW w:w="1540" w:type="dxa"/>
            <w:tcBorders>
              <w:bottom w:val="double" w:sz="4" w:space="0" w:color="auto"/>
            </w:tcBorders>
          </w:tcPr>
          <w:p w14:paraId="1BCDB477" w14:textId="77777777" w:rsidR="001C0F49" w:rsidRPr="00160C23" w:rsidRDefault="001C0F49" w:rsidP="00293BD0">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115" w:type="dxa"/>
            <w:gridSpan w:val="2"/>
            <w:tcBorders>
              <w:bottom w:val="double" w:sz="4" w:space="0" w:color="auto"/>
            </w:tcBorders>
          </w:tcPr>
          <w:p w14:paraId="3D90F9F8" w14:textId="77777777" w:rsidR="001C0F49" w:rsidRPr="004E629F" w:rsidRDefault="001C0F49" w:rsidP="00066FDF">
            <w:pPr>
              <w:spacing w:before="60" w:after="0"/>
              <w:rPr>
                <w:rFonts w:ascii="Arial" w:hAnsi="Arial" w:cs="Arial"/>
                <w:sz w:val="16"/>
                <w:szCs w:val="16"/>
              </w:rPr>
            </w:pPr>
            <w:r w:rsidRPr="004E629F">
              <w:rPr>
                <w:rFonts w:ascii="Arial" w:hAnsi="Arial" w:cs="Arial"/>
                <w:sz w:val="16"/>
                <w:szCs w:val="16"/>
              </w:rPr>
              <w:t>The Program will be delivered in the following ways:</w:t>
            </w:r>
          </w:p>
          <w:p w14:paraId="7DD27688" w14:textId="77777777" w:rsidR="001C0F49" w:rsidRPr="004E629F" w:rsidRDefault="001C0F49" w:rsidP="008D0F63">
            <w:pPr>
              <w:numPr>
                <w:ilvl w:val="0"/>
                <w:numId w:val="63"/>
              </w:numPr>
              <w:spacing w:before="60" w:after="0" w:line="240" w:lineRule="auto"/>
              <w:ind w:left="227" w:hanging="227"/>
              <w:rPr>
                <w:rFonts w:ascii="Arial" w:hAnsi="Arial" w:cs="Arial"/>
                <w:sz w:val="16"/>
                <w:szCs w:val="16"/>
              </w:rPr>
            </w:pPr>
            <w:r w:rsidRPr="004E629F">
              <w:rPr>
                <w:rFonts w:ascii="Arial" w:hAnsi="Arial" w:cs="Arial"/>
                <w:sz w:val="16"/>
                <w:szCs w:val="16"/>
              </w:rPr>
              <w:t>Ensuring the heritage values of Old Parliament House are recognised, preserved and communicated</w:t>
            </w:r>
          </w:p>
          <w:p w14:paraId="0E1A3EA3" w14:textId="77777777" w:rsidR="001C0F49" w:rsidRPr="004E629F" w:rsidRDefault="001C0F49" w:rsidP="008D0F63">
            <w:pPr>
              <w:numPr>
                <w:ilvl w:val="0"/>
                <w:numId w:val="63"/>
              </w:numPr>
              <w:spacing w:before="60" w:after="0" w:line="240" w:lineRule="auto"/>
              <w:ind w:left="227" w:hanging="227"/>
              <w:rPr>
                <w:rFonts w:ascii="Arial" w:hAnsi="Arial" w:cs="Arial"/>
                <w:sz w:val="16"/>
                <w:szCs w:val="16"/>
              </w:rPr>
            </w:pPr>
            <w:r w:rsidRPr="004E629F">
              <w:rPr>
                <w:rFonts w:ascii="Arial" w:hAnsi="Arial" w:cs="Arial"/>
                <w:sz w:val="16"/>
                <w:szCs w:val="16"/>
              </w:rPr>
              <w:t>Managing a collection of national, regional and local significance to document and illustrate the development of Australian democracy</w:t>
            </w:r>
          </w:p>
          <w:p w14:paraId="1FE1B72D" w14:textId="77777777" w:rsidR="001C0F49" w:rsidRDefault="001C0F49" w:rsidP="008D0F63">
            <w:pPr>
              <w:numPr>
                <w:ilvl w:val="0"/>
                <w:numId w:val="63"/>
              </w:numPr>
              <w:spacing w:before="60" w:after="0" w:line="240" w:lineRule="auto"/>
              <w:ind w:left="227" w:hanging="227"/>
              <w:rPr>
                <w:rFonts w:ascii="Arial" w:hAnsi="Arial" w:cs="Arial"/>
                <w:sz w:val="16"/>
                <w:szCs w:val="16"/>
              </w:rPr>
            </w:pPr>
            <w:r w:rsidRPr="004E629F">
              <w:rPr>
                <w:rFonts w:ascii="Arial" w:hAnsi="Arial" w:cs="Arial"/>
                <w:sz w:val="16"/>
                <w:szCs w:val="16"/>
              </w:rPr>
              <w:t>Providing enhanced visitor experiences through participation onsite and online</w:t>
            </w:r>
          </w:p>
          <w:p w14:paraId="313D0986" w14:textId="77777777" w:rsidR="001C0F49" w:rsidRPr="00F13204" w:rsidRDefault="001C0F49" w:rsidP="008D0F63">
            <w:pPr>
              <w:numPr>
                <w:ilvl w:val="0"/>
                <w:numId w:val="63"/>
              </w:numPr>
              <w:spacing w:before="60" w:after="0" w:line="240" w:lineRule="auto"/>
              <w:ind w:left="227" w:hanging="227"/>
              <w:rPr>
                <w:rFonts w:ascii="Arial" w:hAnsi="Arial" w:cs="Arial"/>
                <w:sz w:val="16"/>
                <w:szCs w:val="16"/>
              </w:rPr>
            </w:pPr>
            <w:r w:rsidRPr="00914106">
              <w:rPr>
                <w:rFonts w:ascii="Arial" w:hAnsi="Arial" w:cs="Arial"/>
                <w:sz w:val="16"/>
                <w:szCs w:val="16"/>
              </w:rPr>
              <w:t xml:space="preserve">Providing quality learning programs that align with national curriculum requirements both onsite and to regional and remote areas through our </w:t>
            </w:r>
            <w:r w:rsidRPr="00F13204">
              <w:rPr>
                <w:rFonts w:ascii="Arial" w:hAnsi="Arial" w:cs="Arial"/>
                <w:sz w:val="16"/>
                <w:szCs w:val="16"/>
              </w:rPr>
              <w:t>digital excursion program</w:t>
            </w:r>
          </w:p>
          <w:p w14:paraId="0DA31ACC" w14:textId="16DA42A2" w:rsidR="001C0F49" w:rsidRPr="006477EA" w:rsidRDefault="001C0F49" w:rsidP="00066FDF">
            <w:pPr>
              <w:numPr>
                <w:ilvl w:val="0"/>
                <w:numId w:val="63"/>
              </w:numPr>
              <w:spacing w:before="60" w:after="60" w:line="240" w:lineRule="auto"/>
              <w:ind w:left="227" w:hanging="227"/>
              <w:rPr>
                <w:rFonts w:ascii="Arial" w:hAnsi="Arial" w:cs="Arial"/>
                <w:sz w:val="16"/>
                <w:szCs w:val="16"/>
              </w:rPr>
            </w:pPr>
            <w:r w:rsidRPr="00F13204">
              <w:rPr>
                <w:rFonts w:ascii="Arial" w:hAnsi="Arial" w:cs="Arial"/>
                <w:sz w:val="16"/>
                <w:szCs w:val="16"/>
              </w:rPr>
              <w:t>Delivering critical capital works program and conservation of key heritage spaces</w:t>
            </w:r>
            <w:r w:rsidR="002864B7">
              <w:rPr>
                <w:rFonts w:ascii="Arial" w:hAnsi="Arial" w:cs="Arial"/>
                <w:sz w:val="16"/>
                <w:szCs w:val="16"/>
              </w:rPr>
              <w:t>.</w:t>
            </w:r>
          </w:p>
        </w:tc>
      </w:tr>
      <w:tr w:rsidR="001C0F49" w:rsidRPr="001B2F81" w14:paraId="4CDC1402" w14:textId="77777777" w:rsidTr="002864B7">
        <w:trPr>
          <w:trHeight w:val="258"/>
        </w:trPr>
        <w:tc>
          <w:tcPr>
            <w:tcW w:w="1540" w:type="dxa"/>
            <w:tcBorders>
              <w:top w:val="double" w:sz="4" w:space="0" w:color="auto"/>
              <w:bottom w:val="single" w:sz="4" w:space="0" w:color="auto"/>
              <w:right w:val="single" w:sz="4" w:space="0" w:color="auto"/>
            </w:tcBorders>
          </w:tcPr>
          <w:p w14:paraId="6A77B161" w14:textId="77777777" w:rsidR="001C0F49" w:rsidRPr="00160C23" w:rsidRDefault="001C0F49" w:rsidP="00293BD0">
            <w:pPr>
              <w:pStyle w:val="TableTextBase"/>
              <w:rPr>
                <w:b/>
                <w:sz w:val="16"/>
                <w:szCs w:val="16"/>
              </w:rPr>
            </w:pPr>
            <w:r>
              <w:rPr>
                <w:b/>
                <w:sz w:val="16"/>
                <w:szCs w:val="16"/>
              </w:rPr>
              <w:t>Year</w:t>
            </w:r>
          </w:p>
        </w:tc>
        <w:tc>
          <w:tcPr>
            <w:tcW w:w="3051" w:type="dxa"/>
            <w:tcBorders>
              <w:top w:val="double" w:sz="4" w:space="0" w:color="auto"/>
              <w:left w:val="single" w:sz="4" w:space="0" w:color="auto"/>
              <w:bottom w:val="single" w:sz="4" w:space="0" w:color="auto"/>
              <w:right w:val="single" w:sz="4" w:space="0" w:color="auto"/>
            </w:tcBorders>
          </w:tcPr>
          <w:p w14:paraId="0CDCC24A"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3064" w:type="dxa"/>
            <w:tcBorders>
              <w:top w:val="double" w:sz="4" w:space="0" w:color="auto"/>
              <w:left w:val="single" w:sz="4" w:space="0" w:color="auto"/>
              <w:bottom w:val="single" w:sz="4" w:space="0" w:color="auto"/>
            </w:tcBorders>
          </w:tcPr>
          <w:p w14:paraId="0C164184" w14:textId="77777777" w:rsidR="001C0F49" w:rsidRPr="00160C23" w:rsidRDefault="001C0F49" w:rsidP="00293BD0">
            <w:pPr>
              <w:pStyle w:val="TableTextBase"/>
              <w:rPr>
                <w:rFonts w:cs="Arial"/>
                <w:b/>
                <w:sz w:val="16"/>
                <w:szCs w:val="16"/>
              </w:rPr>
            </w:pPr>
            <w:r w:rsidRPr="00160C23">
              <w:rPr>
                <w:rFonts w:cs="Arial"/>
                <w:b/>
                <w:sz w:val="16"/>
                <w:szCs w:val="16"/>
              </w:rPr>
              <w:t>Expected Performance Results</w:t>
            </w:r>
          </w:p>
        </w:tc>
      </w:tr>
      <w:tr w:rsidR="001C0F49" w:rsidRPr="001B2F81" w14:paraId="240478F8" w14:textId="77777777" w:rsidTr="002864B7">
        <w:trPr>
          <w:trHeight w:val="3015"/>
        </w:trPr>
        <w:tc>
          <w:tcPr>
            <w:tcW w:w="1540" w:type="dxa"/>
            <w:tcBorders>
              <w:top w:val="single" w:sz="4" w:space="0" w:color="auto"/>
              <w:bottom w:val="single" w:sz="4" w:space="0" w:color="auto"/>
              <w:right w:val="single" w:sz="4" w:space="0" w:color="auto"/>
            </w:tcBorders>
          </w:tcPr>
          <w:p w14:paraId="228489B2" w14:textId="70182F32" w:rsidR="001C0F49" w:rsidRPr="00160C23" w:rsidRDefault="001C0F49" w:rsidP="00066FDF">
            <w:pPr>
              <w:pStyle w:val="TableTextBase"/>
              <w:rPr>
                <w:sz w:val="16"/>
                <w:szCs w:val="16"/>
              </w:rPr>
            </w:pPr>
            <w:r>
              <w:rPr>
                <w:sz w:val="16"/>
                <w:szCs w:val="16"/>
              </w:rPr>
              <w:t>Prior</w:t>
            </w:r>
            <w:r w:rsidRPr="00160C23">
              <w:rPr>
                <w:sz w:val="16"/>
                <w:szCs w:val="16"/>
              </w:rPr>
              <w:t xml:space="preserve"> year </w:t>
            </w:r>
            <w:r w:rsidR="00066FDF">
              <w:rPr>
                <w:sz w:val="16"/>
                <w:szCs w:val="16"/>
              </w:rPr>
              <w:br/>
            </w:r>
            <w:r w:rsidRPr="005B6AE5">
              <w:rPr>
                <w:rFonts w:cs="Arial"/>
                <w:sz w:val="16"/>
                <w:szCs w:val="16"/>
              </w:rPr>
              <w:t>202</w:t>
            </w:r>
            <w:r>
              <w:rPr>
                <w:rFonts w:cs="Arial"/>
                <w:sz w:val="16"/>
                <w:szCs w:val="16"/>
              </w:rPr>
              <w:t>1</w:t>
            </w:r>
            <w:r w:rsidRPr="005B6AE5">
              <w:rPr>
                <w:rFonts w:cs="Arial"/>
                <w:sz w:val="16"/>
                <w:szCs w:val="16"/>
              </w:rPr>
              <w:t>-2</w:t>
            </w:r>
            <w:r>
              <w:rPr>
                <w:rFonts w:cs="Arial"/>
                <w:sz w:val="16"/>
                <w:szCs w:val="16"/>
              </w:rPr>
              <w:t>2</w:t>
            </w:r>
          </w:p>
        </w:tc>
        <w:tc>
          <w:tcPr>
            <w:tcW w:w="3051" w:type="dxa"/>
            <w:tcBorders>
              <w:top w:val="single" w:sz="4" w:space="0" w:color="auto"/>
              <w:left w:val="single" w:sz="4" w:space="0" w:color="auto"/>
              <w:bottom w:val="single" w:sz="4" w:space="0" w:color="auto"/>
              <w:right w:val="single" w:sz="4" w:space="0" w:color="auto"/>
            </w:tcBorders>
          </w:tcPr>
          <w:p w14:paraId="51A329C9" w14:textId="77777777" w:rsidR="001C0F49" w:rsidRPr="00B16C4D" w:rsidRDefault="001C0F49" w:rsidP="00293BD0">
            <w:pPr>
              <w:pStyle w:val="ListParagraph"/>
              <w:spacing w:before="60" w:after="60" w:line="240" w:lineRule="auto"/>
              <w:ind w:left="0"/>
              <w:rPr>
                <w:rFonts w:ascii="Arial" w:hAnsi="Arial"/>
                <w:sz w:val="16"/>
                <w:szCs w:val="16"/>
              </w:rPr>
            </w:pPr>
            <w:r w:rsidRPr="005B6AE5">
              <w:rPr>
                <w:rFonts w:ascii="Arial" w:hAnsi="Arial"/>
                <w:b/>
                <w:sz w:val="16"/>
                <w:szCs w:val="16"/>
              </w:rPr>
              <w:t>Deliver a spectrum of experiences</w:t>
            </w:r>
            <w:r w:rsidRPr="005B6AE5">
              <w:rPr>
                <w:rFonts w:ascii="Arial" w:hAnsi="Arial"/>
                <w:sz w:val="16"/>
                <w:szCs w:val="16"/>
              </w:rPr>
              <w:t xml:space="preserve"> – exhibitions, events, learning programs and digital activities that allow our audience to engage with the concepts and history of democracy.</w:t>
            </w:r>
          </w:p>
        </w:tc>
        <w:tc>
          <w:tcPr>
            <w:tcW w:w="3064" w:type="dxa"/>
            <w:tcBorders>
              <w:top w:val="single" w:sz="4" w:space="0" w:color="auto"/>
              <w:left w:val="single" w:sz="4" w:space="0" w:color="auto"/>
              <w:bottom w:val="single" w:sz="4" w:space="0" w:color="auto"/>
            </w:tcBorders>
          </w:tcPr>
          <w:p w14:paraId="7B86DFBA" w14:textId="77777777" w:rsidR="001C0F49" w:rsidRPr="00575BD7" w:rsidRDefault="001C0F49" w:rsidP="00293BD0">
            <w:pPr>
              <w:pStyle w:val="Tabletextcell8left12"/>
              <w:spacing w:before="60" w:after="60"/>
              <w:rPr>
                <w:bCs/>
              </w:rPr>
            </w:pPr>
            <w:r w:rsidRPr="00575BD7">
              <w:rPr>
                <w:bCs/>
              </w:rPr>
              <w:t xml:space="preserve">Due to the closure of the Museum from the impacts of COVID and the fire, OPH did not meet onsite KPI’s. OPH exceeded online KPI’s.  </w:t>
            </w:r>
          </w:p>
          <w:p w14:paraId="0041EF5D" w14:textId="5653459E" w:rsidR="001C0F49" w:rsidRPr="005B6AE5" w:rsidRDefault="00D718CA" w:rsidP="00293BD0">
            <w:pPr>
              <w:pStyle w:val="Tabletextcell8left12"/>
              <w:spacing w:before="60" w:after="60"/>
            </w:pPr>
            <w:r>
              <w:t xml:space="preserve">Actual: </w:t>
            </w:r>
            <w:r w:rsidR="001C0F49">
              <w:t>79,956</w:t>
            </w:r>
            <w:r w:rsidR="001C0F49" w:rsidRPr="005B6AE5">
              <w:t xml:space="preserve"> number of visits to the organisation. </w:t>
            </w:r>
          </w:p>
          <w:p w14:paraId="7C8881F2" w14:textId="6410C1B3" w:rsidR="001C0F49" w:rsidRPr="005B6AE5" w:rsidRDefault="00D718CA" w:rsidP="00293BD0">
            <w:pPr>
              <w:pStyle w:val="Tabletextcell8left12"/>
              <w:spacing w:before="60" w:after="60"/>
            </w:pPr>
            <w:r>
              <w:t xml:space="preserve">Actual: </w:t>
            </w:r>
            <w:r w:rsidR="001C0F49" w:rsidRPr="005B6AE5">
              <w:t>1</w:t>
            </w:r>
            <w:r w:rsidR="001C0F49">
              <w:t>5,705</w:t>
            </w:r>
            <w:r w:rsidR="001C0F49" w:rsidRPr="005B6AE5">
              <w:t xml:space="preserve"> number of offsite visitors to the organisation.</w:t>
            </w:r>
          </w:p>
          <w:p w14:paraId="1BEE25D7" w14:textId="61DEA4D7" w:rsidR="001C0F49" w:rsidRPr="005B6AE5" w:rsidRDefault="00D718CA" w:rsidP="00293BD0">
            <w:pPr>
              <w:pStyle w:val="Tabletextcell8left12"/>
              <w:spacing w:before="60" w:after="60"/>
            </w:pPr>
            <w:r>
              <w:t xml:space="preserve">Actual: </w:t>
            </w:r>
            <w:r w:rsidR="001C0F49">
              <w:t>978,371</w:t>
            </w:r>
            <w:r w:rsidR="001C0F49" w:rsidRPr="005B6AE5">
              <w:t xml:space="preserve"> number of visits to the organisation’s website.</w:t>
            </w:r>
          </w:p>
          <w:p w14:paraId="1A2E73D0" w14:textId="3914BC9B" w:rsidR="001C0F49" w:rsidRDefault="00D718CA" w:rsidP="00293BD0">
            <w:pPr>
              <w:pStyle w:val="Tabletextcell8left12"/>
              <w:spacing w:before="60" w:after="60"/>
            </w:pPr>
            <w:r>
              <w:t xml:space="preserve">Actual: </w:t>
            </w:r>
            <w:r w:rsidR="001C0F49" w:rsidRPr="005B6AE5">
              <w:t>9</w:t>
            </w:r>
            <w:r w:rsidR="001C0F49">
              <w:t>8</w:t>
            </w:r>
            <w:r w:rsidR="001C0F49" w:rsidRPr="005B6AE5">
              <w:t>% of visitors were satisfied with their visit.</w:t>
            </w:r>
          </w:p>
          <w:p w14:paraId="031DA9B7" w14:textId="767248F6" w:rsidR="001C0F49" w:rsidRPr="00BB1017" w:rsidRDefault="00D718CA" w:rsidP="00B11900">
            <w:pPr>
              <w:pStyle w:val="Tabletextcell8left12"/>
              <w:spacing w:before="60" w:after="60"/>
            </w:pPr>
            <w:r>
              <w:t xml:space="preserve">Actual: </w:t>
            </w:r>
            <w:r w:rsidR="001C0F49">
              <w:t>14,858</w:t>
            </w:r>
            <w:r w:rsidR="001C0F49" w:rsidRPr="005B6AE5">
              <w:t xml:space="preserve"> people participating in public programs.</w:t>
            </w:r>
          </w:p>
        </w:tc>
      </w:tr>
    </w:tbl>
    <w:p w14:paraId="5AA1915E"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3069"/>
        <w:gridCol w:w="3082"/>
      </w:tblGrid>
      <w:tr w:rsidR="001C0F49" w:rsidRPr="00160C23" w14:paraId="4F4F6C0B" w14:textId="77777777" w:rsidTr="00D718CA">
        <w:trPr>
          <w:trHeight w:val="258"/>
        </w:trPr>
        <w:tc>
          <w:tcPr>
            <w:tcW w:w="1006" w:type="pct"/>
            <w:tcBorders>
              <w:top w:val="double" w:sz="4" w:space="0" w:color="auto"/>
              <w:bottom w:val="single" w:sz="4" w:space="0" w:color="auto"/>
              <w:right w:val="single" w:sz="4" w:space="0" w:color="auto"/>
            </w:tcBorders>
          </w:tcPr>
          <w:p w14:paraId="0352BABD" w14:textId="77777777" w:rsidR="001C0F49" w:rsidRPr="00160C23" w:rsidRDefault="001C0F49" w:rsidP="00293BD0">
            <w:pPr>
              <w:pStyle w:val="TableTextBase"/>
              <w:rPr>
                <w:b/>
                <w:sz w:val="16"/>
                <w:szCs w:val="16"/>
              </w:rPr>
            </w:pPr>
            <w:r>
              <w:rPr>
                <w:b/>
                <w:sz w:val="16"/>
                <w:szCs w:val="16"/>
              </w:rPr>
              <w:lastRenderedPageBreak/>
              <w:t>Year</w:t>
            </w:r>
          </w:p>
        </w:tc>
        <w:tc>
          <w:tcPr>
            <w:tcW w:w="1993" w:type="pct"/>
            <w:tcBorders>
              <w:top w:val="double" w:sz="4" w:space="0" w:color="auto"/>
              <w:left w:val="single" w:sz="4" w:space="0" w:color="auto"/>
              <w:bottom w:val="single" w:sz="4" w:space="0" w:color="auto"/>
              <w:right w:val="single" w:sz="4" w:space="0" w:color="auto"/>
            </w:tcBorders>
          </w:tcPr>
          <w:p w14:paraId="17D2943E" w14:textId="77777777" w:rsidR="001C0F49" w:rsidRPr="00160C23" w:rsidRDefault="001C0F49" w:rsidP="00293BD0">
            <w:pPr>
              <w:pStyle w:val="TableTextBase"/>
              <w:rPr>
                <w:rFonts w:cs="Arial"/>
                <w:b/>
                <w:sz w:val="16"/>
                <w:szCs w:val="16"/>
              </w:rPr>
            </w:pPr>
            <w:r w:rsidRPr="00160C23">
              <w:rPr>
                <w:rFonts w:cs="Arial"/>
                <w:b/>
                <w:sz w:val="16"/>
                <w:szCs w:val="16"/>
              </w:rPr>
              <w:t>Performance measures</w:t>
            </w:r>
          </w:p>
        </w:tc>
        <w:tc>
          <w:tcPr>
            <w:tcW w:w="2001" w:type="pct"/>
            <w:tcBorders>
              <w:top w:val="double" w:sz="4" w:space="0" w:color="auto"/>
              <w:left w:val="single" w:sz="4" w:space="0" w:color="auto"/>
              <w:bottom w:val="single" w:sz="4" w:space="0" w:color="auto"/>
            </w:tcBorders>
          </w:tcPr>
          <w:p w14:paraId="048DCF1E" w14:textId="77777777" w:rsidR="001C0F49" w:rsidRPr="00160C23" w:rsidRDefault="001C0F49" w:rsidP="00293BD0">
            <w:pPr>
              <w:pStyle w:val="TableTextBase"/>
              <w:rPr>
                <w:rFonts w:cs="Arial"/>
                <w:b/>
                <w:sz w:val="16"/>
                <w:szCs w:val="16"/>
              </w:rPr>
            </w:pPr>
            <w:r w:rsidRPr="00160C23">
              <w:rPr>
                <w:rFonts w:cs="Arial"/>
                <w:b/>
                <w:sz w:val="16"/>
                <w:szCs w:val="16"/>
              </w:rPr>
              <w:t>Expected Performance Results</w:t>
            </w:r>
          </w:p>
        </w:tc>
      </w:tr>
      <w:tr w:rsidR="001C0F49" w:rsidRPr="001B2F81" w14:paraId="49EA3B11" w14:textId="77777777" w:rsidTr="00D718CA">
        <w:trPr>
          <w:trHeight w:val="642"/>
        </w:trPr>
        <w:tc>
          <w:tcPr>
            <w:tcW w:w="1006" w:type="pct"/>
            <w:tcBorders>
              <w:top w:val="single" w:sz="4" w:space="0" w:color="auto"/>
              <w:bottom w:val="nil"/>
              <w:right w:val="single" w:sz="4" w:space="0" w:color="auto"/>
            </w:tcBorders>
          </w:tcPr>
          <w:p w14:paraId="121DD585" w14:textId="71F03A2A" w:rsidR="001C0F49" w:rsidRDefault="001C0F49" w:rsidP="00CB6C5A">
            <w:pPr>
              <w:pStyle w:val="TableTextBase"/>
              <w:rPr>
                <w:sz w:val="16"/>
                <w:szCs w:val="16"/>
              </w:rPr>
            </w:pPr>
            <w:r>
              <w:rPr>
                <w:sz w:val="16"/>
                <w:szCs w:val="16"/>
              </w:rPr>
              <w:t>Prior</w:t>
            </w:r>
            <w:r w:rsidRPr="00160C23">
              <w:rPr>
                <w:sz w:val="16"/>
                <w:szCs w:val="16"/>
              </w:rPr>
              <w:t xml:space="preserve"> year </w:t>
            </w:r>
            <w:r w:rsidR="00CB6C5A">
              <w:rPr>
                <w:sz w:val="16"/>
                <w:szCs w:val="16"/>
              </w:rPr>
              <w:br/>
            </w:r>
            <w:r w:rsidRPr="005B6AE5">
              <w:rPr>
                <w:rFonts w:cs="Arial"/>
                <w:sz w:val="16"/>
                <w:szCs w:val="16"/>
              </w:rPr>
              <w:t>202</w:t>
            </w:r>
            <w:r>
              <w:rPr>
                <w:rFonts w:cs="Arial"/>
                <w:sz w:val="16"/>
                <w:szCs w:val="16"/>
              </w:rPr>
              <w:t>1</w:t>
            </w:r>
            <w:r w:rsidRPr="005B6AE5">
              <w:rPr>
                <w:rFonts w:cs="Arial"/>
                <w:sz w:val="16"/>
                <w:szCs w:val="16"/>
              </w:rPr>
              <w:t>-2</w:t>
            </w:r>
            <w:r>
              <w:rPr>
                <w:rFonts w:cs="Arial"/>
                <w:sz w:val="16"/>
                <w:szCs w:val="16"/>
              </w:rPr>
              <w:t>2 cont.</w:t>
            </w:r>
          </w:p>
        </w:tc>
        <w:tc>
          <w:tcPr>
            <w:tcW w:w="1993" w:type="pct"/>
            <w:tcBorders>
              <w:top w:val="single" w:sz="4" w:space="0" w:color="auto"/>
              <w:left w:val="single" w:sz="4" w:space="0" w:color="auto"/>
              <w:bottom w:val="single" w:sz="4" w:space="0" w:color="auto"/>
              <w:right w:val="single" w:sz="4" w:space="0" w:color="auto"/>
            </w:tcBorders>
          </w:tcPr>
          <w:p w14:paraId="1D951886" w14:textId="02B8DE64" w:rsidR="001C0F49" w:rsidRPr="005B6AE5" w:rsidRDefault="00D718CA" w:rsidP="00293BD0">
            <w:pPr>
              <w:pStyle w:val="ListParagraph"/>
              <w:spacing w:before="60" w:after="60" w:line="240" w:lineRule="auto"/>
              <w:ind w:left="0"/>
              <w:rPr>
                <w:rFonts w:ascii="Arial" w:hAnsi="Arial"/>
                <w:b/>
                <w:sz w:val="16"/>
                <w:szCs w:val="16"/>
              </w:rPr>
            </w:pPr>
            <w:r w:rsidRPr="00D718CA">
              <w:rPr>
                <w:rFonts w:ascii="Arial" w:hAnsi="Arial"/>
                <w:b/>
                <w:sz w:val="16"/>
                <w:szCs w:val="16"/>
              </w:rPr>
              <w:t>Deliver a spectrum of experiences</w:t>
            </w:r>
            <w:r w:rsidRPr="005B6AE5">
              <w:rPr>
                <w:rFonts w:ascii="Arial" w:hAnsi="Arial"/>
                <w:sz w:val="16"/>
                <w:szCs w:val="16"/>
              </w:rPr>
              <w:t xml:space="preserve"> – exhibitions, events, learning programs and digital activities that allow our audience to engage with the concepts and history of democracy</w:t>
            </w:r>
            <w:r>
              <w:rPr>
                <w:rFonts w:ascii="Arial" w:hAnsi="Arial"/>
                <w:sz w:val="16"/>
                <w:szCs w:val="16"/>
              </w:rPr>
              <w:t>, cont.</w:t>
            </w:r>
          </w:p>
        </w:tc>
        <w:tc>
          <w:tcPr>
            <w:tcW w:w="2001" w:type="pct"/>
            <w:tcBorders>
              <w:top w:val="single" w:sz="4" w:space="0" w:color="auto"/>
              <w:left w:val="single" w:sz="4" w:space="0" w:color="auto"/>
              <w:bottom w:val="single" w:sz="4" w:space="0" w:color="auto"/>
            </w:tcBorders>
          </w:tcPr>
          <w:p w14:paraId="7BDA91E9" w14:textId="21336D36" w:rsidR="001C0F49" w:rsidRPr="005B6AE5" w:rsidRDefault="00D718CA" w:rsidP="00293BD0">
            <w:pPr>
              <w:pStyle w:val="Tabletextcell8left12"/>
              <w:spacing w:before="60" w:after="60"/>
            </w:pPr>
            <w:r>
              <w:t xml:space="preserve">Actual: </w:t>
            </w:r>
            <w:r w:rsidR="001C0F49">
              <w:t xml:space="preserve">24,396 </w:t>
            </w:r>
            <w:r w:rsidR="001C0F49" w:rsidRPr="005B6AE5">
              <w:t>students and teachers participating in school programs onsite and offsite.</w:t>
            </w:r>
          </w:p>
          <w:p w14:paraId="0B1C918E" w14:textId="57D65C75" w:rsidR="001C0F49" w:rsidRPr="005B6AE5" w:rsidRDefault="00D718CA" w:rsidP="00293BD0">
            <w:pPr>
              <w:pStyle w:val="Tabletextcell8left12"/>
              <w:spacing w:before="60" w:after="60"/>
            </w:pPr>
            <w:r>
              <w:t xml:space="preserve">Actual: </w:t>
            </w:r>
            <w:r w:rsidR="001C0F49">
              <w:t>722,562</w:t>
            </w:r>
            <w:r w:rsidR="001C0F49" w:rsidRPr="005B6AE5">
              <w:t xml:space="preserve"> students and teachers participating in virtual and online excursions.</w:t>
            </w:r>
          </w:p>
          <w:p w14:paraId="6208BC71" w14:textId="6C2CC5E2" w:rsidR="001C0F49" w:rsidRPr="005B6AE5" w:rsidRDefault="00D718CA" w:rsidP="00293BD0">
            <w:pPr>
              <w:pStyle w:val="Tabletextcell8left12"/>
              <w:spacing w:before="60" w:after="60"/>
            </w:pPr>
            <w:r>
              <w:t xml:space="preserve">Actual: </w:t>
            </w:r>
            <w:r w:rsidR="001C0F49">
              <w:t>908</w:t>
            </w:r>
            <w:r w:rsidR="001C0F49" w:rsidRPr="005B6AE5">
              <w:t xml:space="preserve"> educational institutions participating in organised school learning programs.</w:t>
            </w:r>
          </w:p>
          <w:p w14:paraId="04321C50" w14:textId="78018EC7" w:rsidR="001C0F49" w:rsidRPr="005B6AE5" w:rsidRDefault="00D718CA" w:rsidP="00293BD0">
            <w:pPr>
              <w:pStyle w:val="Tabletextcell8left12"/>
              <w:spacing w:before="60" w:after="60"/>
            </w:pPr>
            <w:r>
              <w:t xml:space="preserve">Actual: </w:t>
            </w:r>
            <w:r w:rsidR="001C0F49" w:rsidRPr="005B6AE5">
              <w:t>9</w:t>
            </w:r>
            <w:r w:rsidR="001C0F49">
              <w:t>9</w:t>
            </w:r>
            <w:r w:rsidR="001C0F49" w:rsidRPr="005B6AE5">
              <w:t>% of teachers reporting overall positive experience.</w:t>
            </w:r>
          </w:p>
          <w:p w14:paraId="1174D3B3" w14:textId="209AB29F" w:rsidR="001C0F49" w:rsidRPr="00BB1017" w:rsidRDefault="00D718CA" w:rsidP="00293BD0">
            <w:pPr>
              <w:pStyle w:val="Tabletextcell8left12"/>
              <w:spacing w:before="60" w:after="60"/>
            </w:pPr>
            <w:r>
              <w:t xml:space="preserve">Actual: </w:t>
            </w:r>
            <w:r w:rsidR="001C0F49" w:rsidRPr="005B6AE5">
              <w:t>9</w:t>
            </w:r>
            <w:r w:rsidR="001C0F49">
              <w:t>8</w:t>
            </w:r>
            <w:r w:rsidR="001C0F49" w:rsidRPr="005B6AE5">
              <w:t>% of teachers reporting relevance to the classroom curriculum.</w:t>
            </w:r>
          </w:p>
        </w:tc>
      </w:tr>
      <w:tr w:rsidR="001C0F49" w:rsidRPr="001B2F81" w14:paraId="238E1F80" w14:textId="77777777" w:rsidTr="00D718CA">
        <w:trPr>
          <w:trHeight w:val="642"/>
        </w:trPr>
        <w:tc>
          <w:tcPr>
            <w:tcW w:w="1006" w:type="pct"/>
            <w:tcBorders>
              <w:top w:val="nil"/>
              <w:bottom w:val="double" w:sz="4" w:space="0" w:color="auto"/>
              <w:right w:val="single" w:sz="4" w:space="0" w:color="auto"/>
            </w:tcBorders>
          </w:tcPr>
          <w:p w14:paraId="39E8C821" w14:textId="77777777" w:rsidR="001C0F49" w:rsidRDefault="001C0F49" w:rsidP="00293BD0">
            <w:pPr>
              <w:pStyle w:val="TableTextBase"/>
              <w:rPr>
                <w:sz w:val="16"/>
                <w:szCs w:val="16"/>
              </w:rPr>
            </w:pPr>
          </w:p>
        </w:tc>
        <w:tc>
          <w:tcPr>
            <w:tcW w:w="1993" w:type="pct"/>
            <w:tcBorders>
              <w:top w:val="single" w:sz="4" w:space="0" w:color="auto"/>
              <w:left w:val="single" w:sz="4" w:space="0" w:color="auto"/>
              <w:bottom w:val="double" w:sz="4" w:space="0" w:color="auto"/>
              <w:right w:val="single" w:sz="4" w:space="0" w:color="auto"/>
            </w:tcBorders>
          </w:tcPr>
          <w:p w14:paraId="3252625F" w14:textId="0A45139F" w:rsidR="001C0F49" w:rsidRPr="00BB1017" w:rsidRDefault="001C0F49" w:rsidP="00293BD0">
            <w:pPr>
              <w:pStyle w:val="ListParagraph"/>
              <w:spacing w:before="60" w:after="60" w:line="240" w:lineRule="auto"/>
              <w:ind w:left="0"/>
              <w:rPr>
                <w:rFonts w:ascii="Arial" w:hAnsi="Arial"/>
                <w:sz w:val="16"/>
                <w:szCs w:val="16"/>
              </w:rPr>
            </w:pPr>
            <w:r w:rsidRPr="00D718CA">
              <w:rPr>
                <w:rFonts w:ascii="Arial" w:hAnsi="Arial"/>
                <w:b/>
                <w:sz w:val="16"/>
                <w:szCs w:val="16"/>
              </w:rPr>
              <w:t xml:space="preserve">Collect, share and </w:t>
            </w:r>
            <w:r w:rsidR="002864B7">
              <w:rPr>
                <w:rFonts w:ascii="Arial" w:hAnsi="Arial"/>
                <w:b/>
                <w:sz w:val="16"/>
                <w:szCs w:val="16"/>
              </w:rPr>
              <w:t>digitise —</w:t>
            </w:r>
            <w:r w:rsidR="00D718CA">
              <w:rPr>
                <w:rFonts w:ascii="Arial" w:hAnsi="Arial"/>
                <w:sz w:val="16"/>
                <w:szCs w:val="16"/>
              </w:rPr>
              <w:t xml:space="preserve"> </w:t>
            </w:r>
            <w:r w:rsidRPr="005B6AE5">
              <w:rPr>
                <w:rFonts w:ascii="Arial" w:hAnsi="Arial"/>
                <w:sz w:val="16"/>
                <w:szCs w:val="16"/>
              </w:rPr>
              <w:t>build and maintain a rich national collection for current and future generations of Australians to enjoy and learn from</w:t>
            </w:r>
            <w:r>
              <w:rPr>
                <w:rFonts w:ascii="Arial" w:hAnsi="Arial"/>
                <w:sz w:val="16"/>
                <w:szCs w:val="16"/>
              </w:rPr>
              <w:t>.</w:t>
            </w:r>
          </w:p>
        </w:tc>
        <w:tc>
          <w:tcPr>
            <w:tcW w:w="2001" w:type="pct"/>
            <w:tcBorders>
              <w:top w:val="single" w:sz="4" w:space="0" w:color="auto"/>
              <w:left w:val="single" w:sz="4" w:space="0" w:color="auto"/>
              <w:bottom w:val="double" w:sz="4" w:space="0" w:color="auto"/>
            </w:tcBorders>
          </w:tcPr>
          <w:p w14:paraId="1D949BD3" w14:textId="256CF543" w:rsidR="001C0F49" w:rsidRPr="005B6AE5" w:rsidRDefault="00D718CA" w:rsidP="00293BD0">
            <w:pPr>
              <w:pStyle w:val="Tabletextcell8left12"/>
              <w:spacing w:before="60" w:after="60"/>
            </w:pPr>
            <w:r>
              <w:t xml:space="preserve">Actual: </w:t>
            </w:r>
            <w:r w:rsidR="001C0F49">
              <w:t>23</w:t>
            </w:r>
            <w:r w:rsidR="001C0F49" w:rsidRPr="005B6AE5">
              <w:t>% of the total collection available to the public.</w:t>
            </w:r>
          </w:p>
          <w:p w14:paraId="692AA1CD" w14:textId="5EB13992" w:rsidR="001C0F49" w:rsidRPr="00BB1017" w:rsidRDefault="00D718CA" w:rsidP="00293BD0">
            <w:pPr>
              <w:pStyle w:val="Tabletextcell8left12"/>
              <w:spacing w:before="60" w:after="60"/>
            </w:pPr>
            <w:r>
              <w:t xml:space="preserve">Actual: </w:t>
            </w:r>
            <w:r w:rsidR="001C0F49">
              <w:t>85</w:t>
            </w:r>
            <w:r w:rsidR="001C0F49" w:rsidRPr="005B6AE5">
              <w:t xml:space="preserve">% of </w:t>
            </w:r>
            <w:r w:rsidR="001C0F49">
              <w:t>the total collection digitised.</w:t>
            </w:r>
          </w:p>
        </w:tc>
      </w:tr>
      <w:tr w:rsidR="001C0F49" w:rsidRPr="001B2F81" w14:paraId="792DB6B6" w14:textId="77777777" w:rsidTr="00D718CA">
        <w:trPr>
          <w:trHeight w:val="258"/>
        </w:trPr>
        <w:tc>
          <w:tcPr>
            <w:tcW w:w="1006" w:type="pct"/>
            <w:tcBorders>
              <w:top w:val="double" w:sz="4" w:space="0" w:color="auto"/>
              <w:bottom w:val="single" w:sz="4" w:space="0" w:color="auto"/>
              <w:right w:val="single" w:sz="4" w:space="0" w:color="auto"/>
            </w:tcBorders>
          </w:tcPr>
          <w:p w14:paraId="1E5B25CD" w14:textId="77777777" w:rsidR="001C0F49" w:rsidRPr="00160C23" w:rsidRDefault="001C0F49" w:rsidP="00293BD0">
            <w:pPr>
              <w:pStyle w:val="TableTextBase"/>
              <w:rPr>
                <w:b/>
                <w:sz w:val="16"/>
                <w:szCs w:val="16"/>
              </w:rPr>
            </w:pPr>
            <w:r>
              <w:rPr>
                <w:b/>
                <w:sz w:val="16"/>
                <w:szCs w:val="16"/>
              </w:rPr>
              <w:t>Year</w:t>
            </w:r>
          </w:p>
        </w:tc>
        <w:tc>
          <w:tcPr>
            <w:tcW w:w="1993" w:type="pct"/>
            <w:tcBorders>
              <w:top w:val="double" w:sz="4" w:space="0" w:color="auto"/>
              <w:left w:val="single" w:sz="4" w:space="0" w:color="auto"/>
              <w:bottom w:val="single" w:sz="4" w:space="0" w:color="auto"/>
              <w:right w:val="single" w:sz="4" w:space="0" w:color="auto"/>
            </w:tcBorders>
          </w:tcPr>
          <w:p w14:paraId="29C5FB12" w14:textId="77777777" w:rsidR="001C0F49" w:rsidRPr="00160C23" w:rsidRDefault="001C0F49" w:rsidP="00293BD0">
            <w:pPr>
              <w:pStyle w:val="TableTextBase"/>
              <w:rPr>
                <w:b/>
                <w:sz w:val="16"/>
                <w:szCs w:val="16"/>
              </w:rPr>
            </w:pPr>
            <w:r w:rsidRPr="00160C23">
              <w:rPr>
                <w:b/>
                <w:sz w:val="16"/>
                <w:szCs w:val="16"/>
              </w:rPr>
              <w:t>Performance measures</w:t>
            </w:r>
          </w:p>
        </w:tc>
        <w:tc>
          <w:tcPr>
            <w:tcW w:w="2001" w:type="pct"/>
            <w:tcBorders>
              <w:top w:val="double" w:sz="4" w:space="0" w:color="auto"/>
              <w:left w:val="single" w:sz="4" w:space="0" w:color="auto"/>
              <w:bottom w:val="single" w:sz="4" w:space="0" w:color="auto"/>
            </w:tcBorders>
          </w:tcPr>
          <w:p w14:paraId="2B3DB3F6" w14:textId="77777777" w:rsidR="001C0F49" w:rsidRPr="00160C23" w:rsidRDefault="001C0F49" w:rsidP="00293BD0">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7715346F" w14:textId="77777777" w:rsidTr="00D718CA">
        <w:trPr>
          <w:trHeight w:val="100"/>
        </w:trPr>
        <w:tc>
          <w:tcPr>
            <w:tcW w:w="1006" w:type="pct"/>
            <w:tcBorders>
              <w:top w:val="single" w:sz="4" w:space="0" w:color="auto"/>
              <w:bottom w:val="nil"/>
              <w:right w:val="single" w:sz="4" w:space="0" w:color="auto"/>
            </w:tcBorders>
          </w:tcPr>
          <w:p w14:paraId="69C755DB" w14:textId="7F9B38B0" w:rsidR="001C0F49" w:rsidRPr="00BB1017" w:rsidRDefault="001C0F49" w:rsidP="00293BD0">
            <w:pPr>
              <w:pStyle w:val="TableTextBase"/>
              <w:rPr>
                <w:sz w:val="16"/>
                <w:szCs w:val="16"/>
              </w:rPr>
            </w:pPr>
            <w:r w:rsidRPr="00BB1017">
              <w:rPr>
                <w:sz w:val="16"/>
                <w:szCs w:val="16"/>
              </w:rPr>
              <w:t>Budget year</w:t>
            </w:r>
            <w:r w:rsidR="00D718CA">
              <w:rPr>
                <w:sz w:val="16"/>
                <w:szCs w:val="16"/>
              </w:rPr>
              <w:br/>
            </w:r>
            <w:r w:rsidRPr="00BB1017">
              <w:rPr>
                <w:sz w:val="16"/>
                <w:szCs w:val="16"/>
              </w:rPr>
              <w:t>2022-23</w:t>
            </w:r>
          </w:p>
        </w:tc>
        <w:tc>
          <w:tcPr>
            <w:tcW w:w="1993" w:type="pct"/>
            <w:tcBorders>
              <w:top w:val="single" w:sz="4" w:space="0" w:color="auto"/>
              <w:left w:val="single" w:sz="4" w:space="0" w:color="auto"/>
              <w:bottom w:val="single" w:sz="4" w:space="0" w:color="auto"/>
              <w:right w:val="single" w:sz="4" w:space="0" w:color="auto"/>
            </w:tcBorders>
          </w:tcPr>
          <w:p w14:paraId="1F35A893" w14:textId="21F85778" w:rsidR="001C0F49" w:rsidRPr="007E7BB6" w:rsidRDefault="001C0F49" w:rsidP="00293BD0">
            <w:pPr>
              <w:pStyle w:val="ListParagraph"/>
              <w:spacing w:before="60" w:after="60" w:line="240" w:lineRule="auto"/>
              <w:ind w:left="0"/>
              <w:rPr>
                <w:rFonts w:ascii="Arial" w:hAnsi="Arial"/>
                <w:sz w:val="16"/>
                <w:szCs w:val="16"/>
              </w:rPr>
            </w:pPr>
            <w:r w:rsidRPr="007E7BB6">
              <w:rPr>
                <w:rFonts w:ascii="Arial" w:hAnsi="Arial"/>
                <w:b/>
                <w:sz w:val="16"/>
                <w:szCs w:val="16"/>
              </w:rPr>
              <w:t>Deliver a spectrum of experiences</w:t>
            </w:r>
            <w:r w:rsidR="002864B7">
              <w:rPr>
                <w:rFonts w:ascii="Arial" w:hAnsi="Arial"/>
                <w:b/>
                <w:sz w:val="16"/>
                <w:szCs w:val="16"/>
              </w:rPr>
              <w:t xml:space="preserve"> —</w:t>
            </w:r>
            <w:r w:rsidRPr="007E7BB6">
              <w:rPr>
                <w:rFonts w:ascii="Arial" w:hAnsi="Arial"/>
                <w:sz w:val="16"/>
                <w:szCs w:val="16"/>
              </w:rPr>
              <w:t>exhibitions, events, learning programs and digital activities that allow our audience to engage with the concepts and history of democracy.</w:t>
            </w:r>
          </w:p>
          <w:p w14:paraId="6890C619" w14:textId="77777777" w:rsidR="001C0F49" w:rsidRPr="00160C23" w:rsidRDefault="001C0F49" w:rsidP="00293BD0">
            <w:pPr>
              <w:pStyle w:val="TableTextBase"/>
              <w:rPr>
                <w:i/>
                <w:color w:val="0070C0"/>
              </w:rPr>
            </w:pPr>
          </w:p>
        </w:tc>
        <w:tc>
          <w:tcPr>
            <w:tcW w:w="2001" w:type="pct"/>
            <w:tcBorders>
              <w:top w:val="single" w:sz="4" w:space="0" w:color="auto"/>
              <w:left w:val="single" w:sz="4" w:space="0" w:color="auto"/>
              <w:bottom w:val="single" w:sz="4" w:space="0" w:color="auto"/>
            </w:tcBorders>
          </w:tcPr>
          <w:p w14:paraId="150C9DDA" w14:textId="77777777" w:rsidR="001C0F49" w:rsidRPr="009241DC" w:rsidRDefault="001C0F49" w:rsidP="00293BD0">
            <w:pPr>
              <w:pStyle w:val="Tabletextcell8left12"/>
              <w:spacing w:before="60" w:after="60"/>
            </w:pPr>
            <w:r w:rsidRPr="009241DC">
              <w:t>180,000 number of visits to the organisation.</w:t>
            </w:r>
            <w:r w:rsidRPr="007E7BB6">
              <w:t xml:space="preserve"> </w:t>
            </w:r>
          </w:p>
          <w:p w14:paraId="201075D6" w14:textId="77777777" w:rsidR="001C0F49" w:rsidRPr="009241DC" w:rsidRDefault="001C0F49" w:rsidP="00293BD0">
            <w:pPr>
              <w:pStyle w:val="Tabletextcell8left12"/>
              <w:spacing w:before="60" w:after="60"/>
            </w:pPr>
            <w:r>
              <w:t>30,000</w:t>
            </w:r>
            <w:r w:rsidRPr="009241DC">
              <w:t xml:space="preserve"> number of offsite visitors</w:t>
            </w:r>
            <w:r>
              <w:t xml:space="preserve"> </w:t>
            </w:r>
          </w:p>
          <w:p w14:paraId="32854AB7" w14:textId="77777777" w:rsidR="001C0F49" w:rsidRPr="009241DC" w:rsidRDefault="001C0F49" w:rsidP="00293BD0">
            <w:pPr>
              <w:pStyle w:val="Tabletextcell8left12"/>
              <w:spacing w:before="60" w:after="60"/>
            </w:pPr>
            <w:r w:rsidRPr="009241DC">
              <w:t>800,000 number of visits to the organisation’s website.</w:t>
            </w:r>
          </w:p>
          <w:p w14:paraId="3E901C42" w14:textId="77777777" w:rsidR="001C0F49" w:rsidRPr="009241DC" w:rsidRDefault="001C0F49" w:rsidP="00293BD0">
            <w:pPr>
              <w:pStyle w:val="Tabletextcell8left12"/>
              <w:spacing w:before="60" w:after="60"/>
            </w:pPr>
            <w:r w:rsidRPr="009241DC">
              <w:t>90% of visitors were satisfied with their visit.</w:t>
            </w:r>
          </w:p>
          <w:p w14:paraId="3998D848" w14:textId="77777777" w:rsidR="001C0F49" w:rsidRPr="007E7BB6" w:rsidRDefault="001C0F49" w:rsidP="00293BD0">
            <w:pPr>
              <w:pStyle w:val="Tabletextcell8left12"/>
              <w:spacing w:before="60" w:after="60"/>
            </w:pPr>
            <w:r>
              <w:t>35,000 people participating in public programs.</w:t>
            </w:r>
          </w:p>
          <w:p w14:paraId="37AE26DC" w14:textId="77777777" w:rsidR="001C0F49" w:rsidRPr="007E7BB6" w:rsidRDefault="001C0F49" w:rsidP="00293BD0">
            <w:pPr>
              <w:pStyle w:val="Tabletextcell8left12"/>
              <w:spacing w:before="60" w:after="60"/>
            </w:pPr>
            <w:r>
              <w:t>70,000 students and teachers participating in school programs onsite and offsite.</w:t>
            </w:r>
          </w:p>
          <w:p w14:paraId="2F15A48F" w14:textId="77777777" w:rsidR="001C0F49" w:rsidRPr="007E7BB6" w:rsidRDefault="001C0F49" w:rsidP="00293BD0">
            <w:pPr>
              <w:pStyle w:val="Tabletextcell8left12"/>
              <w:spacing w:before="60" w:after="60"/>
            </w:pPr>
            <w:r w:rsidRPr="009241DC">
              <w:t>1</w:t>
            </w:r>
            <w:r>
              <w:t>10</w:t>
            </w:r>
            <w:r w:rsidRPr="009241DC">
              <w:t>,000 students and teachers participating in virtual and online excursions.</w:t>
            </w:r>
          </w:p>
          <w:p w14:paraId="6C56C53C" w14:textId="77777777" w:rsidR="001C0F49" w:rsidRDefault="001C0F49" w:rsidP="00293BD0">
            <w:pPr>
              <w:pStyle w:val="Tabletextcell8left12"/>
              <w:spacing w:before="60" w:after="60"/>
            </w:pPr>
            <w:r w:rsidRPr="0064724F">
              <w:t>250,000</w:t>
            </w:r>
            <w:r>
              <w:t xml:space="preserve"> student</w:t>
            </w:r>
            <w:r w:rsidRPr="0064724F">
              <w:t xml:space="preserve"> </w:t>
            </w:r>
            <w:r w:rsidRPr="004578B9">
              <w:t>classroom resources reach</w:t>
            </w:r>
          </w:p>
          <w:p w14:paraId="57D96CFB" w14:textId="77777777" w:rsidR="001C0F49" w:rsidRPr="009241DC" w:rsidRDefault="001C0F49" w:rsidP="00293BD0">
            <w:pPr>
              <w:pStyle w:val="Tabletextcell8left12"/>
              <w:spacing w:before="60" w:after="60"/>
            </w:pPr>
            <w:r w:rsidRPr="009241DC">
              <w:t>900 educational institutions participating in organised school learning programs.</w:t>
            </w:r>
          </w:p>
          <w:p w14:paraId="4B36BF76" w14:textId="77777777" w:rsidR="001C0F49" w:rsidRPr="009241DC" w:rsidRDefault="001C0F49" w:rsidP="00293BD0">
            <w:pPr>
              <w:pStyle w:val="Tabletextcell8left12"/>
              <w:spacing w:before="60" w:after="60"/>
            </w:pPr>
            <w:r w:rsidRPr="009241DC">
              <w:t>95% of teachers reporting overall positive experience.</w:t>
            </w:r>
          </w:p>
          <w:p w14:paraId="0E5BE963" w14:textId="77777777" w:rsidR="001C0F49" w:rsidRPr="004578B9" w:rsidRDefault="001C0F49" w:rsidP="00293BD0">
            <w:pPr>
              <w:pStyle w:val="Tabletextcell8left12"/>
              <w:spacing w:before="60" w:after="60"/>
            </w:pPr>
            <w:r>
              <w:t>95% of teachers reporting relevance to the classroom curriculum.</w:t>
            </w:r>
          </w:p>
        </w:tc>
      </w:tr>
      <w:tr w:rsidR="001C0F49" w:rsidRPr="001B2F81" w14:paraId="126E788B" w14:textId="77777777" w:rsidTr="00D718CA">
        <w:trPr>
          <w:trHeight w:val="100"/>
        </w:trPr>
        <w:tc>
          <w:tcPr>
            <w:tcW w:w="1006" w:type="pct"/>
            <w:tcBorders>
              <w:top w:val="nil"/>
              <w:bottom w:val="nil"/>
              <w:right w:val="single" w:sz="4" w:space="0" w:color="auto"/>
            </w:tcBorders>
          </w:tcPr>
          <w:p w14:paraId="03896C61" w14:textId="77777777" w:rsidR="001C0F49" w:rsidRPr="001B2F81" w:rsidRDefault="001C0F49" w:rsidP="00293BD0">
            <w:pPr>
              <w:pStyle w:val="TableTextBase"/>
            </w:pPr>
          </w:p>
        </w:tc>
        <w:tc>
          <w:tcPr>
            <w:tcW w:w="1993" w:type="pct"/>
            <w:tcBorders>
              <w:top w:val="single" w:sz="4" w:space="0" w:color="auto"/>
              <w:left w:val="single" w:sz="4" w:space="0" w:color="auto"/>
              <w:bottom w:val="single" w:sz="4" w:space="0" w:color="auto"/>
              <w:right w:val="single" w:sz="4" w:space="0" w:color="auto"/>
            </w:tcBorders>
          </w:tcPr>
          <w:p w14:paraId="4A0F8800" w14:textId="77777777" w:rsidR="001C0F49" w:rsidRPr="00BB1017" w:rsidRDefault="001C0F49" w:rsidP="00293BD0">
            <w:pPr>
              <w:pStyle w:val="TableTextBase"/>
              <w:rPr>
                <w:sz w:val="16"/>
                <w:szCs w:val="16"/>
              </w:rPr>
            </w:pPr>
            <w:r w:rsidRPr="007E7BB6">
              <w:rPr>
                <w:b/>
                <w:sz w:val="16"/>
                <w:szCs w:val="16"/>
              </w:rPr>
              <w:t>Collect, share and digitise—</w:t>
            </w:r>
            <w:r w:rsidRPr="007E7BB6">
              <w:rPr>
                <w:sz w:val="16"/>
                <w:szCs w:val="16"/>
              </w:rPr>
              <w:t>build and maintain a rich national collection for current and future generations of Australians to enjoy and learn from</w:t>
            </w:r>
            <w:r>
              <w:rPr>
                <w:sz w:val="16"/>
                <w:szCs w:val="16"/>
              </w:rPr>
              <w:t>.</w:t>
            </w:r>
          </w:p>
        </w:tc>
        <w:tc>
          <w:tcPr>
            <w:tcW w:w="2001" w:type="pct"/>
            <w:tcBorders>
              <w:top w:val="single" w:sz="4" w:space="0" w:color="auto"/>
              <w:left w:val="single" w:sz="4" w:space="0" w:color="auto"/>
              <w:bottom w:val="single" w:sz="4" w:space="0" w:color="auto"/>
            </w:tcBorders>
          </w:tcPr>
          <w:p w14:paraId="50E13BC5" w14:textId="77777777" w:rsidR="001C0F49" w:rsidRPr="007E7BB6" w:rsidRDefault="001C0F49" w:rsidP="00293BD0">
            <w:pPr>
              <w:pStyle w:val="Tabletextcell8left12"/>
              <w:spacing w:before="60" w:after="60"/>
            </w:pPr>
            <w:r w:rsidRPr="007E7BB6">
              <w:t>35% of the total collection available to the public.</w:t>
            </w:r>
          </w:p>
          <w:p w14:paraId="6BBED140" w14:textId="77777777" w:rsidR="001C0F49" w:rsidRPr="00BB1017" w:rsidRDefault="001C0F49" w:rsidP="00293BD0">
            <w:pPr>
              <w:pStyle w:val="TableTextBase"/>
              <w:rPr>
                <w:rFonts w:eastAsia="Calibri"/>
                <w:sz w:val="16"/>
                <w:szCs w:val="16"/>
                <w:lang w:eastAsia="en-US"/>
              </w:rPr>
            </w:pPr>
            <w:r w:rsidRPr="007E7BB6">
              <w:rPr>
                <w:rFonts w:eastAsia="Calibri"/>
                <w:sz w:val="16"/>
                <w:szCs w:val="16"/>
                <w:lang w:eastAsia="en-US"/>
              </w:rPr>
              <w:t>90% of the total collection digitised</w:t>
            </w:r>
          </w:p>
        </w:tc>
      </w:tr>
      <w:tr w:rsidR="001C0F49" w:rsidRPr="001B2F81" w14:paraId="00E348E9" w14:textId="77777777" w:rsidTr="00D718CA">
        <w:trPr>
          <w:trHeight w:val="100"/>
        </w:trPr>
        <w:tc>
          <w:tcPr>
            <w:tcW w:w="1006" w:type="pct"/>
            <w:tcBorders>
              <w:top w:val="nil"/>
              <w:bottom w:val="single" w:sz="4" w:space="0" w:color="auto"/>
              <w:right w:val="single" w:sz="4" w:space="0" w:color="auto"/>
            </w:tcBorders>
          </w:tcPr>
          <w:p w14:paraId="33131C60" w14:textId="77777777" w:rsidR="001C0F49" w:rsidRPr="001B2F81" w:rsidRDefault="001C0F49" w:rsidP="00293BD0">
            <w:pPr>
              <w:pStyle w:val="TableTextBase"/>
            </w:pPr>
          </w:p>
        </w:tc>
        <w:tc>
          <w:tcPr>
            <w:tcW w:w="1993" w:type="pct"/>
            <w:tcBorders>
              <w:top w:val="single" w:sz="4" w:space="0" w:color="auto"/>
              <w:left w:val="single" w:sz="4" w:space="0" w:color="auto"/>
              <w:bottom w:val="single" w:sz="4" w:space="0" w:color="auto"/>
              <w:right w:val="single" w:sz="4" w:space="0" w:color="auto"/>
            </w:tcBorders>
          </w:tcPr>
          <w:p w14:paraId="7F346B55" w14:textId="713BAF3F" w:rsidR="001C0F49" w:rsidRPr="00BB1017" w:rsidRDefault="001C0F49" w:rsidP="00293BD0">
            <w:pPr>
              <w:pStyle w:val="TableTextBase"/>
              <w:rPr>
                <w:sz w:val="16"/>
                <w:szCs w:val="16"/>
              </w:rPr>
            </w:pPr>
            <w:r>
              <w:rPr>
                <w:b/>
                <w:sz w:val="16"/>
                <w:szCs w:val="16"/>
              </w:rPr>
              <w:t xml:space="preserve">A sustainable and thriving future </w:t>
            </w:r>
            <w:r w:rsidR="002864B7">
              <w:rPr>
                <w:b/>
                <w:sz w:val="16"/>
                <w:szCs w:val="16"/>
              </w:rPr>
              <w:t>—</w:t>
            </w:r>
            <w:r w:rsidRPr="007E7BB6">
              <w:rPr>
                <w:sz w:val="16"/>
                <w:szCs w:val="16"/>
              </w:rPr>
              <w:t xml:space="preserve">build and maintain a </w:t>
            </w:r>
            <w:r>
              <w:rPr>
                <w:sz w:val="16"/>
                <w:szCs w:val="16"/>
              </w:rPr>
              <w:t>sustainable structure.</w:t>
            </w:r>
          </w:p>
        </w:tc>
        <w:tc>
          <w:tcPr>
            <w:tcW w:w="2001" w:type="pct"/>
            <w:tcBorders>
              <w:top w:val="single" w:sz="4" w:space="0" w:color="auto"/>
              <w:left w:val="single" w:sz="4" w:space="0" w:color="auto"/>
              <w:bottom w:val="single" w:sz="4" w:space="0" w:color="auto"/>
            </w:tcBorders>
          </w:tcPr>
          <w:p w14:paraId="1906A1A1" w14:textId="77777777" w:rsidR="001C0F49" w:rsidRPr="004578B9" w:rsidRDefault="001C0F49" w:rsidP="00293BD0">
            <w:pPr>
              <w:pStyle w:val="TableTextBase"/>
              <w:rPr>
                <w:rFonts w:eastAsia="Calibri"/>
                <w:sz w:val="16"/>
                <w:szCs w:val="16"/>
                <w:lang w:eastAsia="en-US"/>
              </w:rPr>
            </w:pPr>
            <w:r w:rsidRPr="004578B9">
              <w:rPr>
                <w:rFonts w:eastAsia="Calibri"/>
                <w:sz w:val="16"/>
                <w:szCs w:val="16"/>
                <w:lang w:eastAsia="en-US"/>
              </w:rPr>
              <w:t>100% of volunteers undertake training</w:t>
            </w:r>
          </w:p>
          <w:p w14:paraId="2E7359CF" w14:textId="77777777" w:rsidR="001C0F49" w:rsidRPr="004578B9" w:rsidRDefault="001C0F49" w:rsidP="00293BD0">
            <w:pPr>
              <w:pStyle w:val="TableTextBase"/>
              <w:rPr>
                <w:rFonts w:eastAsia="Calibri"/>
                <w:sz w:val="16"/>
                <w:szCs w:val="16"/>
                <w:lang w:eastAsia="en-US"/>
              </w:rPr>
            </w:pPr>
            <w:r w:rsidRPr="004578B9">
              <w:rPr>
                <w:rFonts w:eastAsia="Calibri"/>
                <w:sz w:val="16"/>
                <w:szCs w:val="16"/>
                <w:lang w:eastAsia="en-US"/>
              </w:rPr>
              <w:t>90% of tenancy spaces occupied</w:t>
            </w:r>
          </w:p>
          <w:p w14:paraId="1A491625" w14:textId="77777777" w:rsidR="001C0F49" w:rsidRPr="009241DC" w:rsidRDefault="001C0F49" w:rsidP="00293BD0">
            <w:pPr>
              <w:pStyle w:val="Tabletextcell8left12"/>
              <w:spacing w:before="60" w:after="60"/>
            </w:pPr>
            <w:r w:rsidRPr="004578B9">
              <w:t>Rank in the top 15 agencies in the APS employee Census</w:t>
            </w:r>
          </w:p>
        </w:tc>
      </w:tr>
    </w:tbl>
    <w:p w14:paraId="2A70C05A" w14:textId="77777777" w:rsidR="001C0F49" w:rsidRDefault="001C0F49" w:rsidP="001C0F49">
      <w:r>
        <w:br w:type="page"/>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3051"/>
        <w:gridCol w:w="3064"/>
      </w:tblGrid>
      <w:tr w:rsidR="001C0F49" w:rsidRPr="00160C23" w14:paraId="0252CDE1" w14:textId="77777777" w:rsidTr="00D718CA">
        <w:trPr>
          <w:trHeight w:val="258"/>
        </w:trPr>
        <w:tc>
          <w:tcPr>
            <w:tcW w:w="1540" w:type="dxa"/>
            <w:tcBorders>
              <w:top w:val="double" w:sz="4" w:space="0" w:color="auto"/>
              <w:bottom w:val="single" w:sz="4" w:space="0" w:color="auto"/>
              <w:right w:val="single" w:sz="4" w:space="0" w:color="auto"/>
            </w:tcBorders>
          </w:tcPr>
          <w:p w14:paraId="42900EE5" w14:textId="77777777" w:rsidR="001C0F49" w:rsidRPr="00160C23" w:rsidRDefault="001C0F49" w:rsidP="00293BD0">
            <w:pPr>
              <w:pStyle w:val="TableTextBase"/>
              <w:rPr>
                <w:b/>
                <w:sz w:val="16"/>
                <w:szCs w:val="16"/>
              </w:rPr>
            </w:pPr>
            <w:r>
              <w:rPr>
                <w:b/>
                <w:sz w:val="16"/>
                <w:szCs w:val="16"/>
              </w:rPr>
              <w:lastRenderedPageBreak/>
              <w:t>Year</w:t>
            </w:r>
          </w:p>
        </w:tc>
        <w:tc>
          <w:tcPr>
            <w:tcW w:w="3051" w:type="dxa"/>
            <w:tcBorders>
              <w:top w:val="double" w:sz="4" w:space="0" w:color="auto"/>
              <w:left w:val="single" w:sz="4" w:space="0" w:color="auto"/>
              <w:bottom w:val="single" w:sz="4" w:space="0" w:color="auto"/>
              <w:right w:val="single" w:sz="4" w:space="0" w:color="auto"/>
            </w:tcBorders>
          </w:tcPr>
          <w:p w14:paraId="2B983023" w14:textId="77777777" w:rsidR="001C0F49" w:rsidRPr="00160C23" w:rsidRDefault="001C0F49" w:rsidP="00293BD0">
            <w:pPr>
              <w:pStyle w:val="TableTextBase"/>
              <w:rPr>
                <w:b/>
                <w:sz w:val="16"/>
                <w:szCs w:val="16"/>
              </w:rPr>
            </w:pPr>
            <w:r w:rsidRPr="00160C23">
              <w:rPr>
                <w:b/>
                <w:sz w:val="16"/>
                <w:szCs w:val="16"/>
              </w:rPr>
              <w:t>Performance measures</w:t>
            </w:r>
          </w:p>
        </w:tc>
        <w:tc>
          <w:tcPr>
            <w:tcW w:w="3064" w:type="dxa"/>
            <w:tcBorders>
              <w:top w:val="double" w:sz="4" w:space="0" w:color="auto"/>
              <w:left w:val="single" w:sz="4" w:space="0" w:color="auto"/>
              <w:bottom w:val="single" w:sz="4" w:space="0" w:color="auto"/>
            </w:tcBorders>
          </w:tcPr>
          <w:p w14:paraId="087B6EB5" w14:textId="77777777" w:rsidR="001C0F49" w:rsidRPr="00160C23" w:rsidRDefault="001C0F49" w:rsidP="00293BD0">
            <w:pPr>
              <w:pStyle w:val="TableTextBase"/>
              <w:rPr>
                <w:b/>
                <w:sz w:val="16"/>
                <w:szCs w:val="16"/>
              </w:rPr>
            </w:pPr>
            <w:r>
              <w:rPr>
                <w:b/>
                <w:sz w:val="16"/>
                <w:szCs w:val="16"/>
              </w:rPr>
              <w:t>Planned</w:t>
            </w:r>
            <w:r w:rsidRPr="00160C23">
              <w:rPr>
                <w:b/>
                <w:sz w:val="16"/>
                <w:szCs w:val="16"/>
              </w:rPr>
              <w:t xml:space="preserve"> Performance Results</w:t>
            </w:r>
          </w:p>
        </w:tc>
      </w:tr>
      <w:tr w:rsidR="001C0F49" w:rsidRPr="001B2F81" w14:paraId="6D1F9DFB" w14:textId="77777777" w:rsidTr="00D718CA">
        <w:trPr>
          <w:trHeight w:val="491"/>
        </w:trPr>
        <w:tc>
          <w:tcPr>
            <w:tcW w:w="1540" w:type="dxa"/>
            <w:tcBorders>
              <w:top w:val="single" w:sz="4" w:space="0" w:color="auto"/>
              <w:bottom w:val="nil"/>
              <w:right w:val="single" w:sz="4" w:space="0" w:color="auto"/>
            </w:tcBorders>
          </w:tcPr>
          <w:p w14:paraId="4677C06C" w14:textId="7A3B982E" w:rsidR="001C0F49" w:rsidRPr="001B2F81" w:rsidRDefault="001C0F49" w:rsidP="00CB6C5A">
            <w:pPr>
              <w:pStyle w:val="TableTextBase"/>
              <w:rPr>
                <w:b/>
              </w:rPr>
            </w:pPr>
            <w:r w:rsidRPr="00BB1017">
              <w:rPr>
                <w:sz w:val="16"/>
                <w:szCs w:val="16"/>
              </w:rPr>
              <w:t xml:space="preserve">Forward Estimates </w:t>
            </w:r>
            <w:r w:rsidR="00CB6C5A">
              <w:rPr>
                <w:sz w:val="16"/>
                <w:szCs w:val="16"/>
              </w:rPr>
              <w:br/>
            </w:r>
            <w:r w:rsidRPr="00BB1017">
              <w:rPr>
                <w:sz w:val="16"/>
                <w:szCs w:val="16"/>
              </w:rPr>
              <w:t>2023-26</w:t>
            </w:r>
          </w:p>
        </w:tc>
        <w:tc>
          <w:tcPr>
            <w:tcW w:w="3051" w:type="dxa"/>
            <w:tcBorders>
              <w:top w:val="single" w:sz="4" w:space="0" w:color="auto"/>
              <w:left w:val="single" w:sz="4" w:space="0" w:color="auto"/>
              <w:bottom w:val="single" w:sz="4" w:space="0" w:color="auto"/>
              <w:right w:val="single" w:sz="4" w:space="0" w:color="auto"/>
            </w:tcBorders>
          </w:tcPr>
          <w:p w14:paraId="7B1DC553" w14:textId="20B65A6E" w:rsidR="001C0F49" w:rsidRPr="00BB1017" w:rsidRDefault="001C0F49" w:rsidP="00293BD0">
            <w:pPr>
              <w:pStyle w:val="ListParagraph"/>
              <w:spacing w:before="60" w:after="60" w:line="240" w:lineRule="auto"/>
              <w:ind w:left="0"/>
              <w:rPr>
                <w:rFonts w:ascii="Arial" w:hAnsi="Arial"/>
                <w:sz w:val="16"/>
                <w:szCs w:val="16"/>
              </w:rPr>
            </w:pPr>
            <w:r w:rsidRPr="007E7BB6">
              <w:rPr>
                <w:rFonts w:ascii="Arial" w:hAnsi="Arial"/>
                <w:b/>
                <w:sz w:val="16"/>
                <w:szCs w:val="16"/>
              </w:rPr>
              <w:t>Deliver a spectrum of experiences</w:t>
            </w:r>
            <w:r w:rsidRPr="007E7BB6">
              <w:rPr>
                <w:rFonts w:ascii="Arial" w:hAnsi="Arial"/>
                <w:sz w:val="16"/>
                <w:szCs w:val="16"/>
              </w:rPr>
              <w:t xml:space="preserve"> </w:t>
            </w:r>
            <w:r w:rsidR="002864B7">
              <w:rPr>
                <w:rFonts w:ascii="Arial" w:hAnsi="Arial"/>
                <w:sz w:val="16"/>
                <w:szCs w:val="16"/>
              </w:rPr>
              <w:t>—</w:t>
            </w:r>
            <w:r w:rsidRPr="007E7BB6">
              <w:rPr>
                <w:rFonts w:ascii="Arial" w:hAnsi="Arial"/>
                <w:sz w:val="16"/>
                <w:szCs w:val="16"/>
              </w:rPr>
              <w:t>exhibitions, events, learning programs and digital activities that allow our audience to engage with the con</w:t>
            </w:r>
            <w:r>
              <w:rPr>
                <w:rFonts w:ascii="Arial" w:hAnsi="Arial"/>
                <w:sz w:val="16"/>
                <w:szCs w:val="16"/>
              </w:rPr>
              <w:t>cepts and history of democracy.</w:t>
            </w:r>
          </w:p>
        </w:tc>
        <w:tc>
          <w:tcPr>
            <w:tcW w:w="3064" w:type="dxa"/>
            <w:tcBorders>
              <w:top w:val="single" w:sz="4" w:space="0" w:color="auto"/>
              <w:left w:val="single" w:sz="4" w:space="0" w:color="auto"/>
              <w:bottom w:val="single" w:sz="4" w:space="0" w:color="auto"/>
            </w:tcBorders>
          </w:tcPr>
          <w:p w14:paraId="4027F60A" w14:textId="77777777" w:rsidR="001C0F49" w:rsidRPr="009241DC" w:rsidRDefault="001C0F49" w:rsidP="00293BD0">
            <w:pPr>
              <w:pStyle w:val="Tabletextcell8left12"/>
              <w:spacing w:before="60" w:after="60"/>
            </w:pPr>
            <w:r>
              <w:t>220,000</w:t>
            </w:r>
            <w:r w:rsidRPr="009241DC">
              <w:t xml:space="preserve"> number of visits to the organisation</w:t>
            </w:r>
            <w:r>
              <w:t xml:space="preserve"> by 2025-26</w:t>
            </w:r>
            <w:r w:rsidRPr="009241DC">
              <w:t>.</w:t>
            </w:r>
            <w:r w:rsidRPr="007E7BB6">
              <w:t xml:space="preserve"> </w:t>
            </w:r>
          </w:p>
          <w:p w14:paraId="5816C542" w14:textId="77777777" w:rsidR="001C0F49" w:rsidRPr="009241DC" w:rsidRDefault="001C0F49" w:rsidP="00293BD0">
            <w:pPr>
              <w:pStyle w:val="Tabletextcell8left12"/>
              <w:spacing w:before="60" w:after="60"/>
            </w:pPr>
            <w:r>
              <w:t>45,000</w:t>
            </w:r>
            <w:r w:rsidRPr="009241DC">
              <w:t xml:space="preserve"> number of offsite visitors</w:t>
            </w:r>
            <w:r>
              <w:t xml:space="preserve"> by 2025-26.</w:t>
            </w:r>
          </w:p>
          <w:p w14:paraId="7C9A56D4" w14:textId="77777777" w:rsidR="001C0F49" w:rsidRPr="009241DC" w:rsidRDefault="001C0F49" w:rsidP="00293BD0">
            <w:pPr>
              <w:pStyle w:val="Tabletextcell8left12"/>
              <w:spacing w:before="60" w:after="60"/>
            </w:pPr>
            <w:r>
              <w:t>98</w:t>
            </w:r>
            <w:r w:rsidRPr="009241DC">
              <w:t>0,000</w:t>
            </w:r>
            <w:r>
              <w:t xml:space="preserve"> </w:t>
            </w:r>
            <w:r w:rsidRPr="009241DC">
              <w:t>number of visits to the organisation’s website</w:t>
            </w:r>
            <w:r>
              <w:t xml:space="preserve"> by 2025-26</w:t>
            </w:r>
            <w:r w:rsidRPr="009241DC">
              <w:t>.</w:t>
            </w:r>
          </w:p>
          <w:p w14:paraId="48020BC2" w14:textId="77777777" w:rsidR="001C0F49" w:rsidRPr="009241DC" w:rsidRDefault="001C0F49" w:rsidP="00293BD0">
            <w:pPr>
              <w:pStyle w:val="Tabletextcell8left12"/>
              <w:spacing w:before="60" w:after="60"/>
            </w:pPr>
            <w:r>
              <w:t xml:space="preserve">Maintain </w:t>
            </w:r>
            <w:r w:rsidRPr="009241DC">
              <w:t>90% of visitors satisfied with their visit.</w:t>
            </w:r>
          </w:p>
          <w:p w14:paraId="1189FE5A" w14:textId="77777777" w:rsidR="001C0F49" w:rsidRPr="007E7BB6" w:rsidRDefault="001C0F49" w:rsidP="00293BD0">
            <w:pPr>
              <w:pStyle w:val="Tabletextcell8left12"/>
              <w:spacing w:before="60" w:after="60"/>
            </w:pPr>
            <w:r>
              <w:t>60,000 people participating in public programs by 2025-26.</w:t>
            </w:r>
          </w:p>
          <w:p w14:paraId="75EF733F" w14:textId="77777777" w:rsidR="001C0F49" w:rsidRPr="007E7BB6" w:rsidRDefault="001C0F49" w:rsidP="00293BD0">
            <w:pPr>
              <w:pStyle w:val="Tabletextcell8left12"/>
              <w:spacing w:before="60" w:after="60"/>
            </w:pPr>
            <w:r>
              <w:t>80,000 students and teachers participating in school programs onsite and offsite by 2025-26.</w:t>
            </w:r>
          </w:p>
          <w:p w14:paraId="7E252CB2" w14:textId="77777777" w:rsidR="001C0F49" w:rsidRPr="007E7BB6" w:rsidRDefault="001C0F49" w:rsidP="00293BD0">
            <w:pPr>
              <w:pStyle w:val="Tabletextcell8left12"/>
              <w:spacing w:before="60" w:after="60"/>
            </w:pPr>
            <w:r w:rsidRPr="009241DC">
              <w:t>1</w:t>
            </w:r>
            <w:r>
              <w:t xml:space="preserve">15,000 </w:t>
            </w:r>
            <w:r w:rsidRPr="009241DC">
              <w:t>students and teachers participating in virtual and online excursions</w:t>
            </w:r>
            <w:r>
              <w:t xml:space="preserve"> by 2025-26</w:t>
            </w:r>
            <w:r w:rsidRPr="009241DC">
              <w:t>.</w:t>
            </w:r>
          </w:p>
          <w:p w14:paraId="7330AFC2" w14:textId="77777777" w:rsidR="001C0F49" w:rsidRDefault="001C0F49" w:rsidP="00293BD0">
            <w:pPr>
              <w:pStyle w:val="Tabletextcell8left12"/>
              <w:spacing w:before="60" w:after="60"/>
            </w:pPr>
            <w:r>
              <w:t>32</w:t>
            </w:r>
            <w:r w:rsidRPr="0064724F">
              <w:t>0,000</w:t>
            </w:r>
            <w:r>
              <w:t xml:space="preserve"> student</w:t>
            </w:r>
            <w:r w:rsidRPr="0064724F">
              <w:t xml:space="preserve"> </w:t>
            </w:r>
            <w:r w:rsidRPr="009241DC">
              <w:rPr>
                <w:color w:val="000000" w:themeColor="text1"/>
              </w:rPr>
              <w:t>classroom resource</w:t>
            </w:r>
            <w:r>
              <w:rPr>
                <w:color w:val="000000" w:themeColor="text1"/>
              </w:rPr>
              <w:t xml:space="preserve">s </w:t>
            </w:r>
            <w:r w:rsidRPr="009241DC">
              <w:rPr>
                <w:color w:val="000000" w:themeColor="text1"/>
              </w:rPr>
              <w:t>reach</w:t>
            </w:r>
            <w:r>
              <w:t xml:space="preserve"> by 2025-26.</w:t>
            </w:r>
          </w:p>
          <w:p w14:paraId="2DD39280" w14:textId="77777777" w:rsidR="001C0F49" w:rsidRPr="009241DC" w:rsidRDefault="001C0F49" w:rsidP="00293BD0">
            <w:pPr>
              <w:pStyle w:val="Tabletextcell8left12"/>
              <w:spacing w:before="60" w:after="60"/>
            </w:pPr>
            <w:r w:rsidRPr="009241DC">
              <w:t>9</w:t>
            </w:r>
            <w:r>
              <w:t xml:space="preserve">50 </w:t>
            </w:r>
            <w:r w:rsidRPr="009241DC">
              <w:t>educational institutions participating in organised school learning programs</w:t>
            </w:r>
            <w:r>
              <w:t xml:space="preserve"> by 2025-26.</w:t>
            </w:r>
          </w:p>
          <w:p w14:paraId="28A7F711" w14:textId="77777777" w:rsidR="001C0F49" w:rsidRPr="009241DC" w:rsidRDefault="001C0F49" w:rsidP="00293BD0">
            <w:pPr>
              <w:pStyle w:val="Tabletextcell8left12"/>
              <w:spacing w:before="60" w:after="60"/>
            </w:pPr>
            <w:r>
              <w:t xml:space="preserve">Maintain </w:t>
            </w:r>
            <w:r w:rsidRPr="009241DC">
              <w:t>95% of teachers reporting overall positive experience.</w:t>
            </w:r>
          </w:p>
          <w:p w14:paraId="4EBE145A" w14:textId="77777777" w:rsidR="001C0F49" w:rsidRPr="00BB1017" w:rsidRDefault="001C0F49" w:rsidP="00293BD0">
            <w:pPr>
              <w:pStyle w:val="Tabletextcell8left12"/>
              <w:spacing w:before="60" w:after="60"/>
            </w:pPr>
            <w:r>
              <w:t>Maintain 95% of teachers reporting relevance to the classroom curriculum.</w:t>
            </w:r>
          </w:p>
        </w:tc>
      </w:tr>
      <w:tr w:rsidR="001C0F49" w:rsidRPr="001B2F81" w14:paraId="5BDF116C" w14:textId="77777777" w:rsidTr="00D718CA">
        <w:trPr>
          <w:trHeight w:val="491"/>
        </w:trPr>
        <w:tc>
          <w:tcPr>
            <w:tcW w:w="1540" w:type="dxa"/>
            <w:tcBorders>
              <w:top w:val="nil"/>
              <w:bottom w:val="nil"/>
              <w:right w:val="single" w:sz="4" w:space="0" w:color="auto"/>
            </w:tcBorders>
          </w:tcPr>
          <w:p w14:paraId="70FC857D" w14:textId="77777777" w:rsidR="001C0F49" w:rsidRPr="001B2F81" w:rsidRDefault="001C0F49" w:rsidP="00293BD0">
            <w:pPr>
              <w:pStyle w:val="TableTextBase"/>
            </w:pPr>
          </w:p>
        </w:tc>
        <w:tc>
          <w:tcPr>
            <w:tcW w:w="3051" w:type="dxa"/>
            <w:tcBorders>
              <w:top w:val="single" w:sz="4" w:space="0" w:color="auto"/>
              <w:left w:val="single" w:sz="4" w:space="0" w:color="auto"/>
              <w:bottom w:val="single" w:sz="4" w:space="0" w:color="auto"/>
              <w:right w:val="single" w:sz="4" w:space="0" w:color="auto"/>
            </w:tcBorders>
          </w:tcPr>
          <w:p w14:paraId="229A0E6A" w14:textId="77777777" w:rsidR="001C0F49" w:rsidRPr="00BB1017" w:rsidRDefault="001C0F49" w:rsidP="00293BD0">
            <w:pPr>
              <w:pStyle w:val="TableTextBase"/>
              <w:rPr>
                <w:sz w:val="16"/>
                <w:szCs w:val="16"/>
              </w:rPr>
            </w:pPr>
            <w:r w:rsidRPr="007E7BB6">
              <w:rPr>
                <w:b/>
                <w:sz w:val="16"/>
                <w:szCs w:val="16"/>
              </w:rPr>
              <w:t>Collect, share and digitise—</w:t>
            </w:r>
            <w:r w:rsidRPr="007E7BB6">
              <w:rPr>
                <w:sz w:val="16"/>
                <w:szCs w:val="16"/>
              </w:rPr>
              <w:t>build and maintain a rich national collection for current and future generations of Australians to enjoy and learn from</w:t>
            </w:r>
            <w:r>
              <w:rPr>
                <w:sz w:val="16"/>
                <w:szCs w:val="16"/>
              </w:rPr>
              <w:t>.</w:t>
            </w:r>
          </w:p>
        </w:tc>
        <w:tc>
          <w:tcPr>
            <w:tcW w:w="3064" w:type="dxa"/>
            <w:tcBorders>
              <w:top w:val="single" w:sz="4" w:space="0" w:color="auto"/>
              <w:left w:val="single" w:sz="4" w:space="0" w:color="auto"/>
              <w:bottom w:val="single" w:sz="4" w:space="0" w:color="auto"/>
            </w:tcBorders>
          </w:tcPr>
          <w:p w14:paraId="0B27B1AF" w14:textId="77777777" w:rsidR="001C0F49" w:rsidRPr="007E7BB6" w:rsidRDefault="001C0F49" w:rsidP="00293BD0">
            <w:pPr>
              <w:pStyle w:val="Tabletextcell8left12"/>
              <w:spacing w:before="60" w:after="60"/>
            </w:pPr>
            <w:r>
              <w:t xml:space="preserve">Maintain </w:t>
            </w:r>
            <w:r w:rsidRPr="007E7BB6">
              <w:t>35% of the total collection available to the public.</w:t>
            </w:r>
          </w:p>
          <w:p w14:paraId="0CD82A65" w14:textId="77777777" w:rsidR="001C0F49" w:rsidRPr="00BB1017" w:rsidRDefault="001C0F49" w:rsidP="00293BD0">
            <w:pPr>
              <w:pStyle w:val="TableTextBase"/>
              <w:rPr>
                <w:rFonts w:eastAsia="Calibri"/>
                <w:sz w:val="16"/>
                <w:szCs w:val="16"/>
                <w:lang w:eastAsia="en-US"/>
              </w:rPr>
            </w:pPr>
            <w:r>
              <w:rPr>
                <w:rFonts w:eastAsia="Calibri"/>
                <w:sz w:val="16"/>
                <w:szCs w:val="16"/>
                <w:lang w:eastAsia="en-US"/>
              </w:rPr>
              <w:t xml:space="preserve">Maintain </w:t>
            </w:r>
            <w:r w:rsidRPr="007E7BB6">
              <w:rPr>
                <w:rFonts w:eastAsia="Calibri"/>
                <w:sz w:val="16"/>
                <w:szCs w:val="16"/>
                <w:lang w:eastAsia="en-US"/>
              </w:rPr>
              <w:t>90% of the total collection digitised</w:t>
            </w:r>
          </w:p>
        </w:tc>
      </w:tr>
      <w:tr w:rsidR="001C0F49" w:rsidRPr="001B2F81" w14:paraId="754AC68A" w14:textId="77777777" w:rsidTr="00D718CA">
        <w:trPr>
          <w:trHeight w:val="491"/>
        </w:trPr>
        <w:tc>
          <w:tcPr>
            <w:tcW w:w="1540" w:type="dxa"/>
            <w:tcBorders>
              <w:top w:val="nil"/>
              <w:bottom w:val="single" w:sz="4" w:space="0" w:color="auto"/>
              <w:right w:val="single" w:sz="4" w:space="0" w:color="auto"/>
            </w:tcBorders>
          </w:tcPr>
          <w:p w14:paraId="17AC46EF" w14:textId="77777777" w:rsidR="001C0F49" w:rsidRPr="001B2F81" w:rsidRDefault="001C0F49" w:rsidP="00293BD0">
            <w:pPr>
              <w:pStyle w:val="TableTextBase"/>
            </w:pPr>
          </w:p>
        </w:tc>
        <w:tc>
          <w:tcPr>
            <w:tcW w:w="3051" w:type="dxa"/>
            <w:tcBorders>
              <w:top w:val="single" w:sz="4" w:space="0" w:color="auto"/>
              <w:left w:val="single" w:sz="4" w:space="0" w:color="auto"/>
              <w:bottom w:val="single" w:sz="4" w:space="0" w:color="auto"/>
              <w:right w:val="single" w:sz="4" w:space="0" w:color="auto"/>
            </w:tcBorders>
          </w:tcPr>
          <w:p w14:paraId="472A0B7A" w14:textId="70A0AE59" w:rsidR="001C0F49" w:rsidRPr="00BB1017" w:rsidRDefault="001C0F49" w:rsidP="00293BD0">
            <w:pPr>
              <w:pStyle w:val="TableTextBase"/>
              <w:rPr>
                <w:sz w:val="16"/>
                <w:szCs w:val="16"/>
              </w:rPr>
            </w:pPr>
            <w:r>
              <w:rPr>
                <w:b/>
                <w:sz w:val="16"/>
                <w:szCs w:val="16"/>
              </w:rPr>
              <w:t xml:space="preserve">A sustainable and thriving future </w:t>
            </w:r>
            <w:r w:rsidR="002864B7">
              <w:rPr>
                <w:b/>
                <w:sz w:val="16"/>
                <w:szCs w:val="16"/>
              </w:rPr>
              <w:t>—</w:t>
            </w:r>
            <w:r w:rsidRPr="007E7BB6">
              <w:rPr>
                <w:sz w:val="16"/>
                <w:szCs w:val="16"/>
              </w:rPr>
              <w:t xml:space="preserve">build and maintain a </w:t>
            </w:r>
            <w:r>
              <w:rPr>
                <w:sz w:val="16"/>
                <w:szCs w:val="16"/>
              </w:rPr>
              <w:t>sustainable structure.</w:t>
            </w:r>
          </w:p>
        </w:tc>
        <w:tc>
          <w:tcPr>
            <w:tcW w:w="3064" w:type="dxa"/>
            <w:tcBorders>
              <w:top w:val="single" w:sz="4" w:space="0" w:color="auto"/>
              <w:left w:val="single" w:sz="4" w:space="0" w:color="auto"/>
              <w:bottom w:val="single" w:sz="4" w:space="0" w:color="auto"/>
            </w:tcBorders>
          </w:tcPr>
          <w:p w14:paraId="33071A31" w14:textId="77777777" w:rsidR="001C0F49" w:rsidRPr="004578B9" w:rsidRDefault="001C0F49" w:rsidP="00293BD0">
            <w:pPr>
              <w:pStyle w:val="TableTextBase"/>
              <w:rPr>
                <w:rFonts w:eastAsia="Calibri"/>
                <w:sz w:val="16"/>
                <w:szCs w:val="16"/>
                <w:lang w:eastAsia="en-US"/>
              </w:rPr>
            </w:pPr>
            <w:r w:rsidRPr="004578B9">
              <w:rPr>
                <w:rFonts w:eastAsia="Calibri"/>
                <w:sz w:val="16"/>
                <w:szCs w:val="16"/>
                <w:lang w:eastAsia="en-US"/>
              </w:rPr>
              <w:t>100% of volunteers undertake training</w:t>
            </w:r>
          </w:p>
          <w:p w14:paraId="32849F98" w14:textId="77777777" w:rsidR="001C0F49" w:rsidRPr="004578B9" w:rsidRDefault="001C0F49" w:rsidP="00293BD0">
            <w:pPr>
              <w:pStyle w:val="TableTextBase"/>
              <w:rPr>
                <w:rFonts w:eastAsia="Calibri"/>
                <w:sz w:val="16"/>
                <w:szCs w:val="16"/>
                <w:lang w:eastAsia="en-US"/>
              </w:rPr>
            </w:pPr>
            <w:r w:rsidRPr="004578B9">
              <w:rPr>
                <w:rFonts w:eastAsia="Calibri"/>
                <w:sz w:val="16"/>
                <w:szCs w:val="16"/>
                <w:lang w:eastAsia="en-US"/>
              </w:rPr>
              <w:t>90% of tenancy spaces occupied</w:t>
            </w:r>
          </w:p>
          <w:p w14:paraId="24EB633C" w14:textId="77777777" w:rsidR="001C0F49" w:rsidRPr="00BB1017" w:rsidRDefault="001C0F49" w:rsidP="00293BD0">
            <w:pPr>
              <w:pStyle w:val="TableTextBase"/>
              <w:rPr>
                <w:rFonts w:eastAsia="Calibri"/>
                <w:b/>
                <w:sz w:val="16"/>
                <w:szCs w:val="16"/>
                <w:lang w:eastAsia="en-US"/>
              </w:rPr>
            </w:pPr>
            <w:r w:rsidRPr="004578B9">
              <w:rPr>
                <w:rFonts w:eastAsia="Calibri"/>
                <w:sz w:val="16"/>
                <w:szCs w:val="16"/>
                <w:lang w:eastAsia="en-US"/>
              </w:rPr>
              <w:t>Rank in the top 15 agencies in the APS employee Census</w:t>
            </w:r>
          </w:p>
        </w:tc>
      </w:tr>
    </w:tbl>
    <w:p w14:paraId="50AFA2DA" w14:textId="77777777" w:rsidR="001C0F49" w:rsidRDefault="001C0F49" w:rsidP="001C0F49">
      <w:pPr>
        <w:spacing w:after="0" w:line="240" w:lineRule="auto"/>
        <w:rPr>
          <w:rFonts w:ascii="Arial Bold" w:hAnsi="Arial Bold"/>
          <w:b/>
          <w:sz w:val="26"/>
        </w:rPr>
      </w:pPr>
      <w:r>
        <w:br w:type="page"/>
      </w:r>
    </w:p>
    <w:p w14:paraId="7D0775CF" w14:textId="7192D13E" w:rsidR="001C0F49" w:rsidRPr="00AD42E2" w:rsidRDefault="001C0F49" w:rsidP="001C0F49">
      <w:pPr>
        <w:pStyle w:val="Heading2-OPH"/>
      </w:pPr>
      <w:bookmarkStart w:id="9" w:name="_Toc115866221"/>
      <w:r w:rsidRPr="00AD42E2">
        <w:lastRenderedPageBreak/>
        <w:t>Section 3: Budgeted financial statements</w:t>
      </w:r>
      <w:bookmarkEnd w:id="9"/>
    </w:p>
    <w:p w14:paraId="223F86A1" w14:textId="77777777" w:rsidR="001C0F49" w:rsidRDefault="001C0F49" w:rsidP="002B4BF3">
      <w:r>
        <w:t>Section 3 presents budgeted financial statements which provide a comprehensive snapshot of OPH finances for the 2022-23</w:t>
      </w:r>
      <w:r>
        <w:rPr>
          <w:color w:val="00B050"/>
        </w:rPr>
        <w:t xml:space="preserve"> </w:t>
      </w:r>
      <w:r w:rsidRPr="005D106D">
        <w:t>B</w:t>
      </w:r>
      <w:r>
        <w:t>udget year, including the impact of budget measures and resourcing on financial statements.</w:t>
      </w:r>
    </w:p>
    <w:p w14:paraId="7A1C8ED9" w14:textId="410C73A3" w:rsidR="001C0F49" w:rsidRPr="005328A9" w:rsidRDefault="001C0F49" w:rsidP="001C0F49">
      <w:pPr>
        <w:pStyle w:val="Heading3-OPH"/>
      </w:pPr>
      <w:bookmarkStart w:id="10" w:name="_Toc115866222"/>
      <w:r w:rsidRPr="005328A9">
        <w:t>3.1</w:t>
      </w:r>
      <w:r w:rsidRPr="005328A9">
        <w:tab/>
        <w:t>Budgeted financial statements</w:t>
      </w:r>
      <w:bookmarkEnd w:id="10"/>
    </w:p>
    <w:p w14:paraId="34A11C29" w14:textId="77777777" w:rsidR="001C0F49" w:rsidRDefault="001C0F49" w:rsidP="001C0F49">
      <w:pPr>
        <w:pStyle w:val="Heading4"/>
      </w:pPr>
      <w:r>
        <w:t>3.1.1</w:t>
      </w:r>
      <w:r>
        <w:tab/>
        <w:t>Explanatory notes and analysis of budgeted financial statements</w:t>
      </w:r>
    </w:p>
    <w:p w14:paraId="23C21827" w14:textId="77777777" w:rsidR="001C0F49" w:rsidRDefault="001C0F49" w:rsidP="002B4BF3">
      <w:pPr>
        <w:pStyle w:val="bulletlevel1"/>
      </w:pPr>
      <w:r>
        <w:t>MoAD experienced significant disruptions to its operations during the 2021-22 financial year. Including a period of closure of over four months as a result of protest action and extensive fire damage to the front steps of the building. Soot and smoke permeated the building and water used to put out the fire also caused further damage inside.</w:t>
      </w:r>
    </w:p>
    <w:p w14:paraId="6825600A" w14:textId="77777777" w:rsidR="001C0F49" w:rsidRDefault="001C0F49" w:rsidP="00D718CA">
      <w:pPr>
        <w:pStyle w:val="bulletlevel1"/>
      </w:pPr>
      <w:r>
        <w:t>In 2022-23, OPH will see a significant increase in capital works including the replacement of damaged sections of the roof (including remaining damage from the hail storm in January 2020), asbestos removal, hydraulics remediation, and conservation of the House of Representatives chamber. A new permanent exhibition gallery will also open.</w:t>
      </w:r>
    </w:p>
    <w:p w14:paraId="7CE25198" w14:textId="77777777" w:rsidR="001C0F49" w:rsidRPr="00633929" w:rsidRDefault="001C0F49" w:rsidP="002B4BF3">
      <w:pPr>
        <w:spacing w:after="120"/>
        <w:rPr>
          <w:b/>
        </w:rPr>
      </w:pPr>
      <w:r w:rsidRPr="00633929">
        <w:rPr>
          <w:b/>
        </w:rPr>
        <w:t>Comprehensive income statement</w:t>
      </w:r>
    </w:p>
    <w:p w14:paraId="11613EFD" w14:textId="77777777" w:rsidR="001C0F49" w:rsidRPr="00633929" w:rsidRDefault="001C0F49" w:rsidP="002B4BF3">
      <w:pPr>
        <w:pStyle w:val="Paragraphtext"/>
        <w:spacing w:after="120"/>
      </w:pPr>
      <w:r w:rsidRPr="00633929">
        <w:t>Total budgeted income for 202</w:t>
      </w:r>
      <w:r>
        <w:t>2</w:t>
      </w:r>
      <w:r w:rsidRPr="00633929">
        <w:t>-2</w:t>
      </w:r>
      <w:r>
        <w:t>3</w:t>
      </w:r>
      <w:r w:rsidRPr="00633929">
        <w:t xml:space="preserve"> is estimated to be $16.9 million, of which $1</w:t>
      </w:r>
      <w:r>
        <w:t>5.0 </w:t>
      </w:r>
      <w:r w:rsidRPr="00633929">
        <w:t>million is appropriation from Government. Sale of goods and services is forecast to be $</w:t>
      </w:r>
      <w:r>
        <w:t>2.0</w:t>
      </w:r>
      <w:r w:rsidRPr="00633929">
        <w:t xml:space="preserve"> million</w:t>
      </w:r>
      <w:r>
        <w:t>,</w:t>
      </w:r>
      <w:r w:rsidRPr="00633929">
        <w:t xml:space="preserve"> a slight drop from the </w:t>
      </w:r>
      <w:r>
        <w:t>last</w:t>
      </w:r>
      <w:r w:rsidRPr="00633929">
        <w:t xml:space="preserve"> financial year due to the continuing impacts of COVID-19</w:t>
      </w:r>
      <w:r>
        <w:t xml:space="preserve">, </w:t>
      </w:r>
      <w:r w:rsidRPr="00633929">
        <w:t>reduced onsite visitation and the flow on effect to other revenue generating activities, such as catering. This revenue is forecasted to be impacted for the forward estimates also</w:t>
      </w:r>
      <w:r>
        <w:t xml:space="preserve"> as we rebuild </w:t>
      </w:r>
      <w:r w:rsidRPr="00633929">
        <w:t>visitation</w:t>
      </w:r>
      <w:r>
        <w:t>.</w:t>
      </w:r>
    </w:p>
    <w:p w14:paraId="5ABA32AC" w14:textId="77777777" w:rsidR="001C0F49" w:rsidRPr="00633929" w:rsidRDefault="001C0F49" w:rsidP="002B4BF3">
      <w:pPr>
        <w:pStyle w:val="Paragraphtext"/>
        <w:spacing w:after="120"/>
      </w:pPr>
      <w:r w:rsidRPr="00633929">
        <w:t>Total expenses for 202</w:t>
      </w:r>
      <w:r>
        <w:t>2</w:t>
      </w:r>
      <w:r w:rsidRPr="00633929">
        <w:t>-2</w:t>
      </w:r>
      <w:r>
        <w:t>3</w:t>
      </w:r>
      <w:r w:rsidRPr="00633929">
        <w:t xml:space="preserve"> are estimated to be $</w:t>
      </w:r>
      <w:r>
        <w:t>15.3</w:t>
      </w:r>
      <w:r w:rsidRPr="00633929">
        <w:t xml:space="preserve"> million (excluding depreciation), </w:t>
      </w:r>
      <w:r>
        <w:t xml:space="preserve">due to additional resources needed for the fire remediation and cyber security. Some of these expenses will be the subject of an insurance claim. </w:t>
      </w:r>
    </w:p>
    <w:p w14:paraId="3436C441" w14:textId="77777777" w:rsidR="001C0F49" w:rsidRPr="00633929" w:rsidRDefault="001C0F49" w:rsidP="00D718CA">
      <w:pPr>
        <w:spacing w:after="120"/>
      </w:pPr>
      <w:r w:rsidRPr="00633929">
        <w:t>Operational losses sustained by OPH are technical accounting losses driven by the heritage depreciation on the building. OPH maintains sufficient underlying cash balances to maintain financial sustainability.</w:t>
      </w:r>
    </w:p>
    <w:p w14:paraId="3413CE4D" w14:textId="77777777" w:rsidR="001C0F49" w:rsidRPr="00633929" w:rsidRDefault="001C0F49" w:rsidP="002B4BF3">
      <w:pPr>
        <w:spacing w:after="120"/>
        <w:rPr>
          <w:b/>
        </w:rPr>
      </w:pPr>
      <w:r w:rsidRPr="00633929">
        <w:rPr>
          <w:b/>
        </w:rPr>
        <w:t>Departmental Balance Sheet</w:t>
      </w:r>
    </w:p>
    <w:p w14:paraId="4493A6CC" w14:textId="50D63965" w:rsidR="001C0F49" w:rsidRDefault="001C0F49" w:rsidP="00D718CA">
      <w:pPr>
        <w:spacing w:after="120"/>
      </w:pPr>
      <w:r w:rsidRPr="00633929">
        <w:t>Total assets are budgeted to decrease</w:t>
      </w:r>
      <w:r>
        <w:t xml:space="preserve"> slightly</w:t>
      </w:r>
      <w:r w:rsidRPr="00633929">
        <w:t xml:space="preserve"> in 202</w:t>
      </w:r>
      <w:r>
        <w:t>2</w:t>
      </w:r>
      <w:r w:rsidRPr="00633929">
        <w:t>-2</w:t>
      </w:r>
      <w:r>
        <w:t>3</w:t>
      </w:r>
      <w:r w:rsidRPr="00633929">
        <w:t>, reflecting the depreciation on non-financial assets</w:t>
      </w:r>
      <w:r>
        <w:t xml:space="preserve"> and the impairment due to damage by the fire,</w:t>
      </w:r>
      <w:r w:rsidRPr="00633929">
        <w:t xml:space="preserve"> offset by completed capital works during the year. $</w:t>
      </w:r>
      <w:r>
        <w:t>6.3</w:t>
      </w:r>
      <w:r w:rsidRPr="00633929">
        <w:t xml:space="preserve"> million is expected to be spent in the capital works program and includes additional funding received via equity injection for critical capital wor</w:t>
      </w:r>
      <w:r>
        <w:t>ks</w:t>
      </w:r>
      <w:r w:rsidRPr="00633929">
        <w:t xml:space="preserve">, a </w:t>
      </w:r>
      <w:r w:rsidRPr="00C66C1A">
        <w:t>further $0.2</w:t>
      </w:r>
      <w:r>
        <w:t> </w:t>
      </w:r>
      <w:r w:rsidRPr="00C66C1A">
        <w:t>m</w:t>
      </w:r>
      <w:r>
        <w:t>illion</w:t>
      </w:r>
      <w:r w:rsidRPr="00633929">
        <w:t xml:space="preserve"> capital will be spent on heritage collection</w:t>
      </w:r>
      <w:r w:rsidR="00AE2189">
        <w:t>.</w:t>
      </w:r>
      <w:r w:rsidRPr="00633929">
        <w:t xml:space="preserve"> </w:t>
      </w:r>
    </w:p>
    <w:p w14:paraId="1FBBEC4C" w14:textId="3866932D" w:rsidR="001C0F49" w:rsidRPr="00D718CA" w:rsidRDefault="001C0F49" w:rsidP="00D718CA">
      <w:pPr>
        <w:rPr>
          <w:rStyle w:val="Heading3-OPHChar"/>
        </w:rPr>
      </w:pPr>
      <w:r w:rsidRPr="002E0970">
        <w:t xml:space="preserve">OPH classifies the building to a ‘Heritage </w:t>
      </w:r>
      <w:r>
        <w:t>and</w:t>
      </w:r>
      <w:r w:rsidRPr="002E0970">
        <w:t xml:space="preserve"> Cultural asset’. This is on the basis that the building reflects significant cultural heritage of the Australian nation and has satisfactorily met the criteria under the Financial Reporting Rules for Heritage and Cultural classification.</w:t>
      </w:r>
      <w:r>
        <w:br w:type="page"/>
      </w:r>
      <w:bookmarkStart w:id="11" w:name="_Toc115866223"/>
      <w:r w:rsidRPr="00D718CA">
        <w:rPr>
          <w:rStyle w:val="Heading3-OPHChar"/>
        </w:rPr>
        <w:lastRenderedPageBreak/>
        <w:t>3.2</w:t>
      </w:r>
      <w:r w:rsidRPr="00D718CA">
        <w:rPr>
          <w:rStyle w:val="Heading3-OPHChar"/>
        </w:rPr>
        <w:tab/>
        <w:t>Budgeted financial statements tables</w:t>
      </w:r>
      <w:bookmarkEnd w:id="11"/>
    </w:p>
    <w:p w14:paraId="0764D7E2" w14:textId="77777777" w:rsidR="001C0F49" w:rsidRDefault="001C0F49" w:rsidP="001C0F49">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1C0F49" w:rsidRPr="00B52A20" w14:paraId="67448349" w14:textId="77777777" w:rsidTr="00AE2189">
        <w:trPr>
          <w:trHeight w:val="204"/>
        </w:trPr>
        <w:tc>
          <w:tcPr>
            <w:tcW w:w="2110" w:type="pct"/>
            <w:tcBorders>
              <w:top w:val="single" w:sz="4" w:space="0" w:color="auto"/>
              <w:left w:val="nil"/>
              <w:bottom w:val="nil"/>
              <w:right w:val="nil"/>
            </w:tcBorders>
            <w:shd w:val="clear" w:color="auto" w:fill="auto"/>
            <w:noWrap/>
            <w:vAlign w:val="bottom"/>
            <w:hideMark/>
          </w:tcPr>
          <w:p w14:paraId="42BABC63"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0DA0027"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2021-22 Estimated actual</w:t>
            </w:r>
            <w:r w:rsidRPr="00B52A2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16449802"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2022-23</w:t>
            </w:r>
            <w:r w:rsidRPr="00B52A20">
              <w:rPr>
                <w:rFonts w:ascii="Arial" w:hAnsi="Arial" w:cs="Arial"/>
                <w:sz w:val="16"/>
                <w:szCs w:val="16"/>
              </w:rPr>
              <w:br/>
              <w:t>Budget</w:t>
            </w:r>
            <w:r w:rsidRPr="00B52A20">
              <w:rPr>
                <w:rFonts w:ascii="Arial" w:hAnsi="Arial" w:cs="Arial"/>
                <w:sz w:val="16"/>
                <w:szCs w:val="16"/>
              </w:rPr>
              <w:br/>
            </w:r>
            <w:r w:rsidRPr="00B52A2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088554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2023-24 Forward estimate</w:t>
            </w:r>
            <w:r w:rsidRPr="00B52A2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93C4262"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2024-25 Forward estimate</w:t>
            </w:r>
            <w:r w:rsidRPr="00B52A2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47CB8F47"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2025-26</w:t>
            </w:r>
            <w:r w:rsidRPr="00B52A20">
              <w:rPr>
                <w:rFonts w:ascii="Arial" w:hAnsi="Arial" w:cs="Arial"/>
                <w:sz w:val="16"/>
                <w:szCs w:val="16"/>
              </w:rPr>
              <w:br/>
              <w:t>Forward estimate</w:t>
            </w:r>
            <w:r w:rsidRPr="00B52A20">
              <w:rPr>
                <w:rFonts w:ascii="Arial" w:hAnsi="Arial" w:cs="Arial"/>
                <w:sz w:val="16"/>
                <w:szCs w:val="16"/>
              </w:rPr>
              <w:br/>
              <w:t>$'000</w:t>
            </w:r>
          </w:p>
        </w:tc>
      </w:tr>
      <w:tr w:rsidR="001C0F49" w:rsidRPr="00B52A20" w14:paraId="368EA8EF" w14:textId="77777777" w:rsidTr="00AE2189">
        <w:trPr>
          <w:trHeight w:val="204"/>
        </w:trPr>
        <w:tc>
          <w:tcPr>
            <w:tcW w:w="2110" w:type="pct"/>
            <w:tcBorders>
              <w:top w:val="nil"/>
              <w:left w:val="nil"/>
              <w:bottom w:val="nil"/>
              <w:right w:val="nil"/>
            </w:tcBorders>
            <w:shd w:val="clear" w:color="auto" w:fill="auto"/>
            <w:noWrap/>
            <w:vAlign w:val="bottom"/>
            <w:hideMark/>
          </w:tcPr>
          <w:p w14:paraId="4A6D8852"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671394D8" w14:textId="77777777" w:rsidR="001C0F49" w:rsidRPr="00B52A20"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75420140"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036EBD7"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60246AF" w14:textId="77777777" w:rsidR="001C0F49" w:rsidRPr="00B52A20" w:rsidRDefault="001C0F49" w:rsidP="00293BD0">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305E8E87" w14:textId="77777777" w:rsidR="001C0F49" w:rsidRPr="00B52A20" w:rsidRDefault="001C0F49" w:rsidP="00293BD0">
            <w:pPr>
              <w:spacing w:after="0" w:line="240" w:lineRule="auto"/>
              <w:jc w:val="right"/>
              <w:rPr>
                <w:rFonts w:ascii="Times New Roman" w:hAnsi="Times New Roman"/>
              </w:rPr>
            </w:pPr>
          </w:p>
        </w:tc>
      </w:tr>
      <w:tr w:rsidR="001C0F49" w:rsidRPr="00B52A20" w14:paraId="4C0EC9D6" w14:textId="77777777" w:rsidTr="00AE2189">
        <w:trPr>
          <w:trHeight w:val="204"/>
        </w:trPr>
        <w:tc>
          <w:tcPr>
            <w:tcW w:w="2110" w:type="pct"/>
            <w:tcBorders>
              <w:top w:val="nil"/>
              <w:left w:val="nil"/>
              <w:bottom w:val="nil"/>
              <w:right w:val="nil"/>
            </w:tcBorders>
            <w:shd w:val="clear" w:color="auto" w:fill="auto"/>
            <w:noWrap/>
            <w:vAlign w:val="bottom"/>
            <w:hideMark/>
          </w:tcPr>
          <w:p w14:paraId="19F3B523" w14:textId="77777777" w:rsidR="001C0F49" w:rsidRPr="00B52A20" w:rsidRDefault="001C0F49" w:rsidP="00293BD0">
            <w:pPr>
              <w:spacing w:after="0" w:line="240" w:lineRule="auto"/>
              <w:ind w:left="113"/>
              <w:rPr>
                <w:rFonts w:ascii="Arial" w:hAnsi="Arial" w:cs="Arial"/>
                <w:sz w:val="16"/>
                <w:szCs w:val="16"/>
              </w:rPr>
            </w:pPr>
            <w:r w:rsidRPr="00B52A20">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3578D12A"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8,221</w:t>
            </w:r>
          </w:p>
        </w:tc>
        <w:tc>
          <w:tcPr>
            <w:tcW w:w="571" w:type="pct"/>
            <w:tcBorders>
              <w:top w:val="nil"/>
              <w:left w:val="nil"/>
              <w:bottom w:val="nil"/>
              <w:right w:val="nil"/>
            </w:tcBorders>
            <w:shd w:val="clear" w:color="auto" w:fill="E6E6E6"/>
            <w:noWrap/>
            <w:vAlign w:val="bottom"/>
            <w:hideMark/>
          </w:tcPr>
          <w:p w14:paraId="76FCFCBD"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8,352</w:t>
            </w:r>
          </w:p>
        </w:tc>
        <w:tc>
          <w:tcPr>
            <w:tcW w:w="572" w:type="pct"/>
            <w:tcBorders>
              <w:top w:val="nil"/>
              <w:left w:val="nil"/>
              <w:bottom w:val="nil"/>
              <w:right w:val="nil"/>
            </w:tcBorders>
            <w:shd w:val="clear" w:color="auto" w:fill="auto"/>
            <w:noWrap/>
            <w:vAlign w:val="bottom"/>
            <w:hideMark/>
          </w:tcPr>
          <w:p w14:paraId="6278DF9C"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8,445</w:t>
            </w:r>
          </w:p>
        </w:tc>
        <w:tc>
          <w:tcPr>
            <w:tcW w:w="572" w:type="pct"/>
            <w:tcBorders>
              <w:top w:val="nil"/>
              <w:left w:val="nil"/>
              <w:bottom w:val="nil"/>
              <w:right w:val="nil"/>
            </w:tcBorders>
            <w:shd w:val="clear" w:color="auto" w:fill="auto"/>
            <w:noWrap/>
            <w:vAlign w:val="bottom"/>
            <w:hideMark/>
          </w:tcPr>
          <w:p w14:paraId="522754BD"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8,417</w:t>
            </w:r>
          </w:p>
        </w:tc>
        <w:tc>
          <w:tcPr>
            <w:tcW w:w="571" w:type="pct"/>
            <w:tcBorders>
              <w:top w:val="nil"/>
              <w:left w:val="nil"/>
              <w:bottom w:val="nil"/>
              <w:right w:val="nil"/>
            </w:tcBorders>
            <w:shd w:val="clear" w:color="auto" w:fill="auto"/>
            <w:noWrap/>
            <w:vAlign w:val="bottom"/>
            <w:hideMark/>
          </w:tcPr>
          <w:p w14:paraId="49EAB42C"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8,581</w:t>
            </w:r>
          </w:p>
        </w:tc>
      </w:tr>
      <w:tr w:rsidR="001C0F49" w:rsidRPr="00B52A20" w14:paraId="7C7B7841" w14:textId="77777777" w:rsidTr="00AE2189">
        <w:trPr>
          <w:trHeight w:val="204"/>
        </w:trPr>
        <w:tc>
          <w:tcPr>
            <w:tcW w:w="2110" w:type="pct"/>
            <w:tcBorders>
              <w:top w:val="nil"/>
              <w:left w:val="nil"/>
              <w:bottom w:val="nil"/>
              <w:right w:val="nil"/>
            </w:tcBorders>
            <w:shd w:val="clear" w:color="auto" w:fill="auto"/>
            <w:noWrap/>
            <w:vAlign w:val="bottom"/>
            <w:hideMark/>
          </w:tcPr>
          <w:p w14:paraId="6E61E604" w14:textId="77777777" w:rsidR="001C0F49" w:rsidRPr="00B52A20" w:rsidRDefault="001C0F49" w:rsidP="00293BD0">
            <w:pPr>
              <w:spacing w:after="0" w:line="240" w:lineRule="auto"/>
              <w:ind w:left="113"/>
              <w:rPr>
                <w:rFonts w:ascii="Arial" w:hAnsi="Arial" w:cs="Arial"/>
                <w:sz w:val="16"/>
                <w:szCs w:val="16"/>
              </w:rPr>
            </w:pPr>
            <w:r w:rsidRPr="00B52A20">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3CC20809"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9,575</w:t>
            </w:r>
          </w:p>
        </w:tc>
        <w:tc>
          <w:tcPr>
            <w:tcW w:w="571" w:type="pct"/>
            <w:tcBorders>
              <w:top w:val="nil"/>
              <w:left w:val="nil"/>
              <w:bottom w:val="nil"/>
              <w:right w:val="nil"/>
            </w:tcBorders>
            <w:shd w:val="clear" w:color="auto" w:fill="E6E6E6"/>
            <w:noWrap/>
            <w:vAlign w:val="bottom"/>
            <w:hideMark/>
          </w:tcPr>
          <w:p w14:paraId="7ABB205A"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6,995</w:t>
            </w:r>
          </w:p>
        </w:tc>
        <w:tc>
          <w:tcPr>
            <w:tcW w:w="572" w:type="pct"/>
            <w:tcBorders>
              <w:top w:val="nil"/>
              <w:left w:val="nil"/>
              <w:bottom w:val="nil"/>
              <w:right w:val="nil"/>
            </w:tcBorders>
            <w:shd w:val="clear" w:color="auto" w:fill="auto"/>
            <w:noWrap/>
            <w:vAlign w:val="bottom"/>
            <w:hideMark/>
          </w:tcPr>
          <w:p w14:paraId="77D509CA"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7,352</w:t>
            </w:r>
          </w:p>
        </w:tc>
        <w:tc>
          <w:tcPr>
            <w:tcW w:w="572" w:type="pct"/>
            <w:tcBorders>
              <w:top w:val="nil"/>
              <w:left w:val="nil"/>
              <w:bottom w:val="nil"/>
              <w:right w:val="nil"/>
            </w:tcBorders>
            <w:shd w:val="clear" w:color="auto" w:fill="auto"/>
            <w:noWrap/>
            <w:vAlign w:val="bottom"/>
            <w:hideMark/>
          </w:tcPr>
          <w:p w14:paraId="42E57634"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7,536</w:t>
            </w:r>
          </w:p>
        </w:tc>
        <w:tc>
          <w:tcPr>
            <w:tcW w:w="571" w:type="pct"/>
            <w:tcBorders>
              <w:top w:val="nil"/>
              <w:left w:val="nil"/>
              <w:bottom w:val="nil"/>
              <w:right w:val="nil"/>
            </w:tcBorders>
            <w:shd w:val="clear" w:color="auto" w:fill="auto"/>
            <w:noWrap/>
            <w:vAlign w:val="bottom"/>
            <w:hideMark/>
          </w:tcPr>
          <w:p w14:paraId="77F4916A"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7,487</w:t>
            </w:r>
          </w:p>
        </w:tc>
      </w:tr>
      <w:tr w:rsidR="001C0F49" w:rsidRPr="00B52A20" w14:paraId="2AD1779F" w14:textId="77777777" w:rsidTr="00AE2189">
        <w:trPr>
          <w:trHeight w:val="204"/>
        </w:trPr>
        <w:tc>
          <w:tcPr>
            <w:tcW w:w="2110" w:type="pct"/>
            <w:tcBorders>
              <w:top w:val="nil"/>
              <w:left w:val="nil"/>
              <w:bottom w:val="nil"/>
              <w:right w:val="nil"/>
            </w:tcBorders>
            <w:shd w:val="clear" w:color="auto" w:fill="auto"/>
            <w:noWrap/>
            <w:vAlign w:val="bottom"/>
            <w:hideMark/>
          </w:tcPr>
          <w:p w14:paraId="27C1536B" w14:textId="77777777" w:rsidR="001C0F49" w:rsidRPr="00B52A20" w:rsidRDefault="001C0F49" w:rsidP="00293BD0">
            <w:pPr>
              <w:spacing w:after="0" w:line="240" w:lineRule="auto"/>
              <w:ind w:left="113"/>
              <w:rPr>
                <w:rFonts w:ascii="Arial" w:hAnsi="Arial" w:cs="Arial"/>
                <w:sz w:val="16"/>
                <w:szCs w:val="16"/>
              </w:rPr>
            </w:pPr>
            <w:r w:rsidRPr="00B52A20">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3EAA08D0"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7,622</w:t>
            </w:r>
          </w:p>
        </w:tc>
        <w:tc>
          <w:tcPr>
            <w:tcW w:w="571" w:type="pct"/>
            <w:tcBorders>
              <w:top w:val="nil"/>
              <w:left w:val="nil"/>
              <w:bottom w:val="nil"/>
              <w:right w:val="nil"/>
            </w:tcBorders>
            <w:shd w:val="clear" w:color="auto" w:fill="E6E6E6"/>
            <w:noWrap/>
            <w:vAlign w:val="bottom"/>
            <w:hideMark/>
          </w:tcPr>
          <w:p w14:paraId="1C20DE58"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7,428</w:t>
            </w:r>
          </w:p>
        </w:tc>
        <w:tc>
          <w:tcPr>
            <w:tcW w:w="572" w:type="pct"/>
            <w:tcBorders>
              <w:top w:val="nil"/>
              <w:left w:val="nil"/>
              <w:bottom w:val="nil"/>
              <w:right w:val="nil"/>
            </w:tcBorders>
            <w:shd w:val="clear" w:color="auto" w:fill="auto"/>
            <w:noWrap/>
            <w:vAlign w:val="bottom"/>
            <w:hideMark/>
          </w:tcPr>
          <w:p w14:paraId="33FE941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7,308</w:t>
            </w:r>
          </w:p>
        </w:tc>
        <w:tc>
          <w:tcPr>
            <w:tcW w:w="572" w:type="pct"/>
            <w:tcBorders>
              <w:top w:val="nil"/>
              <w:left w:val="nil"/>
              <w:bottom w:val="nil"/>
              <w:right w:val="nil"/>
            </w:tcBorders>
            <w:shd w:val="clear" w:color="auto" w:fill="auto"/>
            <w:noWrap/>
            <w:vAlign w:val="bottom"/>
            <w:hideMark/>
          </w:tcPr>
          <w:p w14:paraId="4883D9B9"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7,308</w:t>
            </w:r>
          </w:p>
        </w:tc>
        <w:tc>
          <w:tcPr>
            <w:tcW w:w="571" w:type="pct"/>
            <w:tcBorders>
              <w:top w:val="nil"/>
              <w:left w:val="nil"/>
              <w:bottom w:val="nil"/>
              <w:right w:val="nil"/>
            </w:tcBorders>
            <w:shd w:val="clear" w:color="auto" w:fill="auto"/>
            <w:noWrap/>
            <w:vAlign w:val="bottom"/>
            <w:hideMark/>
          </w:tcPr>
          <w:p w14:paraId="05445DDC"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7,308</w:t>
            </w:r>
          </w:p>
        </w:tc>
      </w:tr>
      <w:tr w:rsidR="001C0F49" w:rsidRPr="00B52A20" w14:paraId="27F88FBF" w14:textId="77777777" w:rsidTr="00AE2189">
        <w:trPr>
          <w:trHeight w:val="204"/>
        </w:trPr>
        <w:tc>
          <w:tcPr>
            <w:tcW w:w="2110" w:type="pct"/>
            <w:tcBorders>
              <w:top w:val="nil"/>
              <w:left w:val="nil"/>
              <w:bottom w:val="nil"/>
              <w:right w:val="nil"/>
            </w:tcBorders>
            <w:shd w:val="clear" w:color="auto" w:fill="auto"/>
            <w:noWrap/>
            <w:vAlign w:val="bottom"/>
            <w:hideMark/>
          </w:tcPr>
          <w:p w14:paraId="40E6D92A"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73260841"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25,418</w:t>
            </w:r>
          </w:p>
        </w:tc>
        <w:tc>
          <w:tcPr>
            <w:tcW w:w="571" w:type="pct"/>
            <w:tcBorders>
              <w:top w:val="single" w:sz="4" w:space="0" w:color="auto"/>
              <w:left w:val="nil"/>
              <w:bottom w:val="single" w:sz="4" w:space="0" w:color="auto"/>
              <w:right w:val="nil"/>
            </w:tcBorders>
            <w:shd w:val="clear" w:color="auto" w:fill="E6E6E6"/>
            <w:noWrap/>
            <w:vAlign w:val="bottom"/>
            <w:hideMark/>
          </w:tcPr>
          <w:p w14:paraId="1517AA50"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22,775</w:t>
            </w:r>
          </w:p>
        </w:tc>
        <w:tc>
          <w:tcPr>
            <w:tcW w:w="572" w:type="pct"/>
            <w:tcBorders>
              <w:top w:val="single" w:sz="4" w:space="0" w:color="auto"/>
              <w:left w:val="nil"/>
              <w:bottom w:val="single" w:sz="4" w:space="0" w:color="auto"/>
              <w:right w:val="nil"/>
            </w:tcBorders>
            <w:shd w:val="clear" w:color="auto" w:fill="auto"/>
            <w:noWrap/>
            <w:vAlign w:val="bottom"/>
            <w:hideMark/>
          </w:tcPr>
          <w:p w14:paraId="47ED8CE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23,105</w:t>
            </w:r>
          </w:p>
        </w:tc>
        <w:tc>
          <w:tcPr>
            <w:tcW w:w="572" w:type="pct"/>
            <w:tcBorders>
              <w:top w:val="single" w:sz="4" w:space="0" w:color="auto"/>
              <w:left w:val="nil"/>
              <w:bottom w:val="single" w:sz="4" w:space="0" w:color="auto"/>
              <w:right w:val="nil"/>
            </w:tcBorders>
            <w:shd w:val="clear" w:color="auto" w:fill="auto"/>
            <w:noWrap/>
            <w:vAlign w:val="bottom"/>
            <w:hideMark/>
          </w:tcPr>
          <w:p w14:paraId="7F43BC47"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23,261</w:t>
            </w:r>
          </w:p>
        </w:tc>
        <w:tc>
          <w:tcPr>
            <w:tcW w:w="571" w:type="pct"/>
            <w:tcBorders>
              <w:top w:val="single" w:sz="4" w:space="0" w:color="auto"/>
              <w:left w:val="nil"/>
              <w:bottom w:val="single" w:sz="4" w:space="0" w:color="auto"/>
              <w:right w:val="nil"/>
            </w:tcBorders>
            <w:shd w:val="clear" w:color="auto" w:fill="auto"/>
            <w:noWrap/>
            <w:vAlign w:val="bottom"/>
            <w:hideMark/>
          </w:tcPr>
          <w:p w14:paraId="649AF6BD"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23,376</w:t>
            </w:r>
          </w:p>
        </w:tc>
      </w:tr>
      <w:tr w:rsidR="001C0F49" w:rsidRPr="00B52A20" w14:paraId="1A5A5287" w14:textId="77777777" w:rsidTr="00AE2189">
        <w:trPr>
          <w:trHeight w:val="204"/>
        </w:trPr>
        <w:tc>
          <w:tcPr>
            <w:tcW w:w="2110" w:type="pct"/>
            <w:tcBorders>
              <w:top w:val="nil"/>
              <w:left w:val="nil"/>
              <w:bottom w:val="nil"/>
              <w:right w:val="nil"/>
            </w:tcBorders>
            <w:shd w:val="clear" w:color="auto" w:fill="auto"/>
            <w:noWrap/>
            <w:vAlign w:val="bottom"/>
            <w:hideMark/>
          </w:tcPr>
          <w:p w14:paraId="05AF591F"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32FABFB9" w14:textId="77777777" w:rsidR="001C0F49" w:rsidRPr="00B52A20"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5899DE4B"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1F1C508"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32078F4" w14:textId="77777777" w:rsidR="001C0F49" w:rsidRPr="00B52A20" w:rsidRDefault="001C0F49" w:rsidP="00293BD0">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1FCD198F" w14:textId="77777777" w:rsidR="001C0F49" w:rsidRPr="00B52A20" w:rsidRDefault="001C0F49" w:rsidP="00293BD0">
            <w:pPr>
              <w:spacing w:after="0" w:line="240" w:lineRule="auto"/>
              <w:jc w:val="right"/>
              <w:rPr>
                <w:rFonts w:ascii="Times New Roman" w:hAnsi="Times New Roman"/>
              </w:rPr>
            </w:pPr>
          </w:p>
        </w:tc>
      </w:tr>
      <w:tr w:rsidR="001C0F49" w:rsidRPr="00B52A20" w14:paraId="79989582" w14:textId="77777777" w:rsidTr="00AE2189">
        <w:trPr>
          <w:trHeight w:val="204"/>
        </w:trPr>
        <w:tc>
          <w:tcPr>
            <w:tcW w:w="2110" w:type="pct"/>
            <w:tcBorders>
              <w:top w:val="nil"/>
              <w:left w:val="nil"/>
              <w:bottom w:val="nil"/>
              <w:right w:val="nil"/>
            </w:tcBorders>
            <w:shd w:val="clear" w:color="auto" w:fill="auto"/>
            <w:noWrap/>
            <w:vAlign w:val="bottom"/>
            <w:hideMark/>
          </w:tcPr>
          <w:p w14:paraId="161CB4C6"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664FDE74" w14:textId="77777777" w:rsidR="001C0F49" w:rsidRPr="00B52A20"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2115EFC5"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19C140F"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BBA65D5" w14:textId="77777777" w:rsidR="001C0F49" w:rsidRPr="00B52A20" w:rsidRDefault="001C0F49" w:rsidP="00293BD0">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78E162CF" w14:textId="77777777" w:rsidR="001C0F49" w:rsidRPr="00B52A20" w:rsidRDefault="001C0F49" w:rsidP="00293BD0">
            <w:pPr>
              <w:spacing w:after="0" w:line="240" w:lineRule="auto"/>
              <w:jc w:val="right"/>
              <w:rPr>
                <w:rFonts w:ascii="Times New Roman" w:hAnsi="Times New Roman"/>
              </w:rPr>
            </w:pPr>
          </w:p>
        </w:tc>
      </w:tr>
      <w:tr w:rsidR="001C0F49" w:rsidRPr="00B52A20" w14:paraId="352CBA70" w14:textId="77777777" w:rsidTr="00AE2189">
        <w:trPr>
          <w:trHeight w:val="204"/>
        </w:trPr>
        <w:tc>
          <w:tcPr>
            <w:tcW w:w="2110" w:type="pct"/>
            <w:tcBorders>
              <w:top w:val="nil"/>
              <w:left w:val="nil"/>
              <w:bottom w:val="nil"/>
              <w:right w:val="nil"/>
            </w:tcBorders>
            <w:shd w:val="clear" w:color="auto" w:fill="auto"/>
            <w:noWrap/>
            <w:vAlign w:val="bottom"/>
            <w:hideMark/>
          </w:tcPr>
          <w:p w14:paraId="6DAC953C"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10E60620" w14:textId="77777777" w:rsidR="001C0F49" w:rsidRPr="00B52A20"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6385BFAE"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1D17700C"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7323D2D" w14:textId="77777777" w:rsidR="001C0F49" w:rsidRPr="00B52A20" w:rsidRDefault="001C0F49" w:rsidP="00293BD0">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4D619F65" w14:textId="77777777" w:rsidR="001C0F49" w:rsidRPr="00B52A20" w:rsidRDefault="001C0F49" w:rsidP="00293BD0">
            <w:pPr>
              <w:spacing w:after="0" w:line="240" w:lineRule="auto"/>
              <w:jc w:val="right"/>
              <w:rPr>
                <w:rFonts w:ascii="Times New Roman" w:hAnsi="Times New Roman"/>
              </w:rPr>
            </w:pPr>
          </w:p>
        </w:tc>
      </w:tr>
      <w:tr w:rsidR="001C0F49" w:rsidRPr="00B52A20" w14:paraId="218CECDE" w14:textId="77777777" w:rsidTr="00AE2189">
        <w:trPr>
          <w:trHeight w:val="204"/>
        </w:trPr>
        <w:tc>
          <w:tcPr>
            <w:tcW w:w="2110" w:type="pct"/>
            <w:tcBorders>
              <w:top w:val="nil"/>
              <w:left w:val="nil"/>
              <w:bottom w:val="nil"/>
              <w:right w:val="nil"/>
            </w:tcBorders>
            <w:shd w:val="clear" w:color="auto" w:fill="auto"/>
            <w:vAlign w:val="bottom"/>
            <w:hideMark/>
          </w:tcPr>
          <w:p w14:paraId="0FF91EE0" w14:textId="77777777" w:rsidR="001C0F49" w:rsidRPr="00B52A20" w:rsidRDefault="001C0F49" w:rsidP="00293BD0">
            <w:pPr>
              <w:spacing w:after="0" w:line="240" w:lineRule="auto"/>
              <w:ind w:left="113"/>
              <w:rPr>
                <w:rFonts w:ascii="Arial" w:hAnsi="Arial" w:cs="Arial"/>
                <w:sz w:val="16"/>
                <w:szCs w:val="16"/>
              </w:rPr>
            </w:pPr>
            <w:r w:rsidRPr="00B52A20">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63223617"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2,787</w:t>
            </w:r>
          </w:p>
        </w:tc>
        <w:tc>
          <w:tcPr>
            <w:tcW w:w="571" w:type="pct"/>
            <w:tcBorders>
              <w:top w:val="nil"/>
              <w:left w:val="nil"/>
              <w:bottom w:val="nil"/>
              <w:right w:val="nil"/>
            </w:tcBorders>
            <w:shd w:val="clear" w:color="auto" w:fill="E6E6E6"/>
            <w:noWrap/>
            <w:vAlign w:val="bottom"/>
            <w:hideMark/>
          </w:tcPr>
          <w:p w14:paraId="3281EB78"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1,961</w:t>
            </w:r>
          </w:p>
        </w:tc>
        <w:tc>
          <w:tcPr>
            <w:tcW w:w="572" w:type="pct"/>
            <w:tcBorders>
              <w:top w:val="nil"/>
              <w:left w:val="nil"/>
              <w:bottom w:val="nil"/>
              <w:right w:val="nil"/>
            </w:tcBorders>
            <w:shd w:val="clear" w:color="auto" w:fill="auto"/>
            <w:noWrap/>
            <w:vAlign w:val="bottom"/>
            <w:hideMark/>
          </w:tcPr>
          <w:p w14:paraId="3D332FA3"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2,399</w:t>
            </w:r>
          </w:p>
        </w:tc>
        <w:tc>
          <w:tcPr>
            <w:tcW w:w="572" w:type="pct"/>
            <w:tcBorders>
              <w:top w:val="nil"/>
              <w:left w:val="nil"/>
              <w:bottom w:val="nil"/>
              <w:right w:val="nil"/>
            </w:tcBorders>
            <w:shd w:val="clear" w:color="auto" w:fill="auto"/>
            <w:noWrap/>
            <w:vAlign w:val="bottom"/>
            <w:hideMark/>
          </w:tcPr>
          <w:p w14:paraId="6FB76045"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2,520</w:t>
            </w:r>
          </w:p>
        </w:tc>
        <w:tc>
          <w:tcPr>
            <w:tcW w:w="571" w:type="pct"/>
            <w:tcBorders>
              <w:top w:val="nil"/>
              <w:left w:val="nil"/>
              <w:bottom w:val="nil"/>
              <w:right w:val="nil"/>
            </w:tcBorders>
            <w:shd w:val="clear" w:color="auto" w:fill="auto"/>
            <w:noWrap/>
            <w:vAlign w:val="bottom"/>
            <w:hideMark/>
          </w:tcPr>
          <w:p w14:paraId="68F5320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2,637</w:t>
            </w:r>
          </w:p>
        </w:tc>
      </w:tr>
      <w:tr w:rsidR="001C0F49" w:rsidRPr="00B52A20" w14:paraId="0A8A95F9" w14:textId="77777777" w:rsidTr="00AE2189">
        <w:trPr>
          <w:trHeight w:val="204"/>
        </w:trPr>
        <w:tc>
          <w:tcPr>
            <w:tcW w:w="2110" w:type="pct"/>
            <w:tcBorders>
              <w:top w:val="nil"/>
              <w:left w:val="nil"/>
              <w:bottom w:val="nil"/>
              <w:right w:val="nil"/>
            </w:tcBorders>
            <w:shd w:val="clear" w:color="auto" w:fill="auto"/>
            <w:noWrap/>
            <w:vAlign w:val="bottom"/>
            <w:hideMark/>
          </w:tcPr>
          <w:p w14:paraId="3667CE93"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476CB3A5"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2,787</w:t>
            </w:r>
          </w:p>
        </w:tc>
        <w:tc>
          <w:tcPr>
            <w:tcW w:w="571" w:type="pct"/>
            <w:tcBorders>
              <w:top w:val="single" w:sz="4" w:space="0" w:color="auto"/>
              <w:left w:val="nil"/>
              <w:bottom w:val="single" w:sz="4" w:space="0" w:color="auto"/>
              <w:right w:val="nil"/>
            </w:tcBorders>
            <w:shd w:val="clear" w:color="auto" w:fill="E6E6E6"/>
            <w:noWrap/>
            <w:vAlign w:val="bottom"/>
            <w:hideMark/>
          </w:tcPr>
          <w:p w14:paraId="30349D67"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1,961</w:t>
            </w:r>
          </w:p>
        </w:tc>
        <w:tc>
          <w:tcPr>
            <w:tcW w:w="572" w:type="pct"/>
            <w:tcBorders>
              <w:top w:val="single" w:sz="4" w:space="0" w:color="auto"/>
              <w:left w:val="nil"/>
              <w:bottom w:val="single" w:sz="4" w:space="0" w:color="auto"/>
              <w:right w:val="nil"/>
            </w:tcBorders>
            <w:shd w:val="clear" w:color="auto" w:fill="auto"/>
            <w:noWrap/>
            <w:vAlign w:val="bottom"/>
            <w:hideMark/>
          </w:tcPr>
          <w:p w14:paraId="6D8757CD"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2,399</w:t>
            </w:r>
          </w:p>
        </w:tc>
        <w:tc>
          <w:tcPr>
            <w:tcW w:w="572" w:type="pct"/>
            <w:tcBorders>
              <w:top w:val="single" w:sz="4" w:space="0" w:color="auto"/>
              <w:left w:val="nil"/>
              <w:bottom w:val="single" w:sz="4" w:space="0" w:color="auto"/>
              <w:right w:val="nil"/>
            </w:tcBorders>
            <w:shd w:val="clear" w:color="auto" w:fill="auto"/>
            <w:noWrap/>
            <w:vAlign w:val="bottom"/>
            <w:hideMark/>
          </w:tcPr>
          <w:p w14:paraId="7C403613"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2,520</w:t>
            </w:r>
          </w:p>
        </w:tc>
        <w:tc>
          <w:tcPr>
            <w:tcW w:w="571" w:type="pct"/>
            <w:tcBorders>
              <w:top w:val="single" w:sz="4" w:space="0" w:color="auto"/>
              <w:left w:val="nil"/>
              <w:bottom w:val="single" w:sz="4" w:space="0" w:color="auto"/>
              <w:right w:val="nil"/>
            </w:tcBorders>
            <w:shd w:val="clear" w:color="auto" w:fill="auto"/>
            <w:noWrap/>
            <w:vAlign w:val="bottom"/>
            <w:hideMark/>
          </w:tcPr>
          <w:p w14:paraId="4667789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2,637</w:t>
            </w:r>
          </w:p>
        </w:tc>
      </w:tr>
      <w:tr w:rsidR="001C0F49" w:rsidRPr="00B52A20" w14:paraId="52B5615B" w14:textId="77777777" w:rsidTr="00AE2189">
        <w:trPr>
          <w:trHeight w:val="204"/>
        </w:trPr>
        <w:tc>
          <w:tcPr>
            <w:tcW w:w="2110" w:type="pct"/>
            <w:tcBorders>
              <w:top w:val="nil"/>
              <w:left w:val="nil"/>
              <w:bottom w:val="nil"/>
              <w:right w:val="nil"/>
            </w:tcBorders>
            <w:shd w:val="clear" w:color="auto" w:fill="auto"/>
            <w:noWrap/>
            <w:vAlign w:val="bottom"/>
            <w:hideMark/>
          </w:tcPr>
          <w:p w14:paraId="01A825C3"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Gains</w:t>
            </w:r>
          </w:p>
        </w:tc>
        <w:tc>
          <w:tcPr>
            <w:tcW w:w="605" w:type="pct"/>
            <w:tcBorders>
              <w:top w:val="nil"/>
              <w:left w:val="nil"/>
              <w:right w:val="nil"/>
            </w:tcBorders>
            <w:shd w:val="clear" w:color="auto" w:fill="auto"/>
            <w:noWrap/>
            <w:vAlign w:val="bottom"/>
            <w:hideMark/>
          </w:tcPr>
          <w:p w14:paraId="2ABD5513" w14:textId="77777777" w:rsidR="001C0F49" w:rsidRPr="00B52A20" w:rsidRDefault="001C0F49" w:rsidP="00293BD0">
            <w:pPr>
              <w:spacing w:after="0" w:line="240" w:lineRule="auto"/>
              <w:jc w:val="right"/>
              <w:rPr>
                <w:rFonts w:ascii="Arial" w:hAnsi="Arial" w:cs="Arial"/>
                <w:b/>
                <w:bCs/>
                <w:sz w:val="16"/>
                <w:szCs w:val="16"/>
              </w:rPr>
            </w:pPr>
          </w:p>
        </w:tc>
        <w:tc>
          <w:tcPr>
            <w:tcW w:w="571" w:type="pct"/>
            <w:tcBorders>
              <w:top w:val="nil"/>
              <w:left w:val="nil"/>
              <w:right w:val="nil"/>
            </w:tcBorders>
            <w:shd w:val="clear" w:color="auto" w:fill="E6E6E6"/>
            <w:noWrap/>
            <w:vAlign w:val="bottom"/>
            <w:hideMark/>
          </w:tcPr>
          <w:p w14:paraId="3C758C53"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right w:val="nil"/>
            </w:tcBorders>
            <w:shd w:val="clear" w:color="auto" w:fill="auto"/>
            <w:noWrap/>
            <w:vAlign w:val="bottom"/>
            <w:hideMark/>
          </w:tcPr>
          <w:p w14:paraId="04952A01" w14:textId="77777777" w:rsidR="001C0F49" w:rsidRPr="00B52A20" w:rsidRDefault="001C0F49" w:rsidP="00293BD0">
            <w:pPr>
              <w:spacing w:after="0" w:line="240" w:lineRule="auto"/>
              <w:jc w:val="right"/>
              <w:rPr>
                <w:rFonts w:ascii="Arial" w:hAnsi="Arial" w:cs="Arial"/>
                <w:b/>
                <w:bCs/>
                <w:sz w:val="16"/>
                <w:szCs w:val="16"/>
              </w:rPr>
            </w:pPr>
          </w:p>
        </w:tc>
        <w:tc>
          <w:tcPr>
            <w:tcW w:w="572" w:type="pct"/>
            <w:tcBorders>
              <w:top w:val="nil"/>
              <w:left w:val="nil"/>
              <w:right w:val="nil"/>
            </w:tcBorders>
            <w:shd w:val="clear" w:color="auto" w:fill="auto"/>
            <w:noWrap/>
            <w:vAlign w:val="bottom"/>
            <w:hideMark/>
          </w:tcPr>
          <w:p w14:paraId="69791C10" w14:textId="77777777" w:rsidR="001C0F49" w:rsidRPr="00B52A20" w:rsidRDefault="001C0F49" w:rsidP="00293BD0">
            <w:pPr>
              <w:spacing w:after="0" w:line="240" w:lineRule="auto"/>
              <w:jc w:val="right"/>
              <w:rPr>
                <w:rFonts w:ascii="Times New Roman" w:hAnsi="Times New Roman"/>
              </w:rPr>
            </w:pPr>
          </w:p>
        </w:tc>
        <w:tc>
          <w:tcPr>
            <w:tcW w:w="571" w:type="pct"/>
            <w:tcBorders>
              <w:top w:val="nil"/>
              <w:left w:val="nil"/>
              <w:right w:val="nil"/>
            </w:tcBorders>
            <w:shd w:val="clear" w:color="auto" w:fill="auto"/>
            <w:noWrap/>
            <w:vAlign w:val="bottom"/>
            <w:hideMark/>
          </w:tcPr>
          <w:p w14:paraId="66367863" w14:textId="77777777" w:rsidR="001C0F49" w:rsidRPr="00B52A20" w:rsidRDefault="001C0F49" w:rsidP="00293BD0">
            <w:pPr>
              <w:spacing w:after="0" w:line="240" w:lineRule="auto"/>
              <w:jc w:val="right"/>
              <w:rPr>
                <w:rFonts w:ascii="Times New Roman" w:hAnsi="Times New Roman"/>
              </w:rPr>
            </w:pPr>
          </w:p>
        </w:tc>
      </w:tr>
      <w:tr w:rsidR="001C0F49" w:rsidRPr="00B52A20" w14:paraId="74D8FA14" w14:textId="77777777" w:rsidTr="00AE2189">
        <w:trPr>
          <w:trHeight w:val="204"/>
        </w:trPr>
        <w:tc>
          <w:tcPr>
            <w:tcW w:w="2110" w:type="pct"/>
            <w:tcBorders>
              <w:top w:val="nil"/>
              <w:left w:val="nil"/>
              <w:bottom w:val="nil"/>
              <w:right w:val="nil"/>
            </w:tcBorders>
            <w:shd w:val="clear" w:color="auto" w:fill="auto"/>
            <w:noWrap/>
            <w:vAlign w:val="bottom"/>
            <w:hideMark/>
          </w:tcPr>
          <w:p w14:paraId="1364AF69"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gains</w:t>
            </w:r>
          </w:p>
        </w:tc>
        <w:tc>
          <w:tcPr>
            <w:tcW w:w="605" w:type="pct"/>
            <w:tcBorders>
              <w:left w:val="nil"/>
              <w:bottom w:val="single" w:sz="4" w:space="0" w:color="auto"/>
              <w:right w:val="nil"/>
            </w:tcBorders>
            <w:shd w:val="clear" w:color="auto" w:fill="auto"/>
            <w:noWrap/>
            <w:vAlign w:val="bottom"/>
            <w:hideMark/>
          </w:tcPr>
          <w:p w14:paraId="18AA105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w:t>
            </w:r>
          </w:p>
        </w:tc>
        <w:tc>
          <w:tcPr>
            <w:tcW w:w="571" w:type="pct"/>
            <w:tcBorders>
              <w:left w:val="nil"/>
              <w:bottom w:val="single" w:sz="4" w:space="0" w:color="auto"/>
              <w:right w:val="nil"/>
            </w:tcBorders>
            <w:shd w:val="clear" w:color="auto" w:fill="E6E6E6"/>
            <w:noWrap/>
            <w:vAlign w:val="bottom"/>
            <w:hideMark/>
          </w:tcPr>
          <w:p w14:paraId="4F4167C4"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w:t>
            </w:r>
          </w:p>
        </w:tc>
        <w:tc>
          <w:tcPr>
            <w:tcW w:w="572" w:type="pct"/>
            <w:tcBorders>
              <w:left w:val="nil"/>
              <w:bottom w:val="single" w:sz="4" w:space="0" w:color="auto"/>
              <w:right w:val="nil"/>
            </w:tcBorders>
            <w:shd w:val="clear" w:color="auto" w:fill="auto"/>
            <w:noWrap/>
            <w:vAlign w:val="bottom"/>
            <w:hideMark/>
          </w:tcPr>
          <w:p w14:paraId="1B36B0B5"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w:t>
            </w:r>
          </w:p>
        </w:tc>
        <w:tc>
          <w:tcPr>
            <w:tcW w:w="572" w:type="pct"/>
            <w:tcBorders>
              <w:left w:val="nil"/>
              <w:bottom w:val="single" w:sz="4" w:space="0" w:color="auto"/>
              <w:right w:val="nil"/>
            </w:tcBorders>
            <w:shd w:val="clear" w:color="auto" w:fill="auto"/>
            <w:noWrap/>
            <w:vAlign w:val="bottom"/>
            <w:hideMark/>
          </w:tcPr>
          <w:p w14:paraId="1C25D5D0"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w:t>
            </w:r>
          </w:p>
        </w:tc>
        <w:tc>
          <w:tcPr>
            <w:tcW w:w="571" w:type="pct"/>
            <w:tcBorders>
              <w:left w:val="nil"/>
              <w:bottom w:val="single" w:sz="4" w:space="0" w:color="auto"/>
              <w:right w:val="nil"/>
            </w:tcBorders>
            <w:shd w:val="clear" w:color="auto" w:fill="auto"/>
            <w:noWrap/>
            <w:vAlign w:val="bottom"/>
            <w:hideMark/>
          </w:tcPr>
          <w:p w14:paraId="72886008"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w:t>
            </w:r>
          </w:p>
        </w:tc>
      </w:tr>
      <w:tr w:rsidR="001C0F49" w:rsidRPr="00B52A20" w14:paraId="4BABC972" w14:textId="77777777" w:rsidTr="00AE2189">
        <w:trPr>
          <w:trHeight w:val="204"/>
        </w:trPr>
        <w:tc>
          <w:tcPr>
            <w:tcW w:w="2110" w:type="pct"/>
            <w:tcBorders>
              <w:top w:val="nil"/>
              <w:left w:val="nil"/>
              <w:bottom w:val="nil"/>
              <w:right w:val="nil"/>
            </w:tcBorders>
            <w:shd w:val="clear" w:color="auto" w:fill="auto"/>
            <w:noWrap/>
            <w:vAlign w:val="bottom"/>
            <w:hideMark/>
          </w:tcPr>
          <w:p w14:paraId="42FED61D"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4568F253"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2,788</w:t>
            </w:r>
          </w:p>
        </w:tc>
        <w:tc>
          <w:tcPr>
            <w:tcW w:w="571" w:type="pct"/>
            <w:tcBorders>
              <w:top w:val="single" w:sz="4" w:space="0" w:color="auto"/>
              <w:left w:val="nil"/>
              <w:bottom w:val="single" w:sz="4" w:space="0" w:color="auto"/>
              <w:right w:val="nil"/>
            </w:tcBorders>
            <w:shd w:val="clear" w:color="auto" w:fill="E6E6E6"/>
            <w:noWrap/>
            <w:vAlign w:val="bottom"/>
            <w:hideMark/>
          </w:tcPr>
          <w:p w14:paraId="6625212F"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1,961</w:t>
            </w:r>
          </w:p>
        </w:tc>
        <w:tc>
          <w:tcPr>
            <w:tcW w:w="572" w:type="pct"/>
            <w:tcBorders>
              <w:top w:val="single" w:sz="4" w:space="0" w:color="auto"/>
              <w:left w:val="nil"/>
              <w:bottom w:val="single" w:sz="4" w:space="0" w:color="auto"/>
              <w:right w:val="nil"/>
            </w:tcBorders>
            <w:shd w:val="clear" w:color="auto" w:fill="auto"/>
            <w:noWrap/>
            <w:vAlign w:val="bottom"/>
            <w:hideMark/>
          </w:tcPr>
          <w:p w14:paraId="3976E968"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2,399</w:t>
            </w:r>
          </w:p>
        </w:tc>
        <w:tc>
          <w:tcPr>
            <w:tcW w:w="572" w:type="pct"/>
            <w:tcBorders>
              <w:top w:val="single" w:sz="4" w:space="0" w:color="auto"/>
              <w:left w:val="nil"/>
              <w:bottom w:val="single" w:sz="4" w:space="0" w:color="auto"/>
              <w:right w:val="nil"/>
            </w:tcBorders>
            <w:shd w:val="clear" w:color="auto" w:fill="auto"/>
            <w:noWrap/>
            <w:vAlign w:val="bottom"/>
            <w:hideMark/>
          </w:tcPr>
          <w:p w14:paraId="21E512C0"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2,520</w:t>
            </w:r>
          </w:p>
        </w:tc>
        <w:tc>
          <w:tcPr>
            <w:tcW w:w="571" w:type="pct"/>
            <w:tcBorders>
              <w:top w:val="single" w:sz="4" w:space="0" w:color="auto"/>
              <w:left w:val="nil"/>
              <w:bottom w:val="single" w:sz="4" w:space="0" w:color="auto"/>
              <w:right w:val="nil"/>
            </w:tcBorders>
            <w:shd w:val="clear" w:color="auto" w:fill="auto"/>
            <w:noWrap/>
            <w:vAlign w:val="bottom"/>
            <w:hideMark/>
          </w:tcPr>
          <w:p w14:paraId="6C0D0CA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2,637</w:t>
            </w:r>
          </w:p>
        </w:tc>
      </w:tr>
      <w:tr w:rsidR="001C0F49" w:rsidRPr="00B52A20" w14:paraId="7FD5E1E3" w14:textId="77777777" w:rsidTr="00AE2189">
        <w:trPr>
          <w:trHeight w:val="204"/>
        </w:trPr>
        <w:tc>
          <w:tcPr>
            <w:tcW w:w="2110" w:type="pct"/>
            <w:tcBorders>
              <w:top w:val="nil"/>
              <w:left w:val="nil"/>
              <w:bottom w:val="nil"/>
              <w:right w:val="nil"/>
            </w:tcBorders>
            <w:shd w:val="clear" w:color="auto" w:fill="auto"/>
            <w:vAlign w:val="bottom"/>
            <w:hideMark/>
          </w:tcPr>
          <w:p w14:paraId="185C05A4" w14:textId="77777777" w:rsidR="001C0F49" w:rsidRPr="00B52A20" w:rsidRDefault="001C0F49" w:rsidP="00293BD0">
            <w:pPr>
              <w:spacing w:after="0" w:line="240" w:lineRule="auto"/>
              <w:rPr>
                <w:rFonts w:ascii="Arial" w:hAnsi="Arial" w:cs="Arial"/>
                <w:b/>
                <w:bCs/>
                <w:color w:val="000000"/>
                <w:sz w:val="16"/>
                <w:szCs w:val="16"/>
              </w:rPr>
            </w:pPr>
            <w:r w:rsidRPr="00B52A20">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1D511549"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(22,630)</w:t>
            </w:r>
          </w:p>
        </w:tc>
        <w:tc>
          <w:tcPr>
            <w:tcW w:w="571" w:type="pct"/>
            <w:tcBorders>
              <w:top w:val="nil"/>
              <w:left w:val="nil"/>
              <w:bottom w:val="single" w:sz="4" w:space="0" w:color="auto"/>
              <w:right w:val="nil"/>
            </w:tcBorders>
            <w:shd w:val="clear" w:color="auto" w:fill="E6E6E6"/>
            <w:noWrap/>
            <w:vAlign w:val="bottom"/>
            <w:hideMark/>
          </w:tcPr>
          <w:p w14:paraId="4AAA478B"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(20,814)</w:t>
            </w:r>
          </w:p>
        </w:tc>
        <w:tc>
          <w:tcPr>
            <w:tcW w:w="572" w:type="pct"/>
            <w:tcBorders>
              <w:top w:val="nil"/>
              <w:left w:val="nil"/>
              <w:bottom w:val="single" w:sz="4" w:space="0" w:color="auto"/>
              <w:right w:val="nil"/>
            </w:tcBorders>
            <w:shd w:val="clear" w:color="auto" w:fill="auto"/>
            <w:noWrap/>
            <w:vAlign w:val="bottom"/>
            <w:hideMark/>
          </w:tcPr>
          <w:p w14:paraId="018777E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(20,706)</w:t>
            </w:r>
          </w:p>
        </w:tc>
        <w:tc>
          <w:tcPr>
            <w:tcW w:w="572" w:type="pct"/>
            <w:tcBorders>
              <w:top w:val="nil"/>
              <w:left w:val="nil"/>
              <w:bottom w:val="single" w:sz="4" w:space="0" w:color="auto"/>
              <w:right w:val="nil"/>
            </w:tcBorders>
            <w:shd w:val="clear" w:color="auto" w:fill="auto"/>
            <w:noWrap/>
            <w:vAlign w:val="bottom"/>
            <w:hideMark/>
          </w:tcPr>
          <w:p w14:paraId="45100C5F"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(20,741)</w:t>
            </w:r>
          </w:p>
        </w:tc>
        <w:tc>
          <w:tcPr>
            <w:tcW w:w="571" w:type="pct"/>
            <w:tcBorders>
              <w:top w:val="nil"/>
              <w:left w:val="nil"/>
              <w:bottom w:val="single" w:sz="4" w:space="0" w:color="auto"/>
              <w:right w:val="nil"/>
            </w:tcBorders>
            <w:shd w:val="clear" w:color="auto" w:fill="auto"/>
            <w:noWrap/>
            <w:vAlign w:val="bottom"/>
            <w:hideMark/>
          </w:tcPr>
          <w:p w14:paraId="13B7737B"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(20,739)</w:t>
            </w:r>
          </w:p>
        </w:tc>
      </w:tr>
      <w:tr w:rsidR="001C0F49" w:rsidRPr="00B52A20" w14:paraId="5665B222" w14:textId="77777777" w:rsidTr="00AE2189">
        <w:trPr>
          <w:trHeight w:val="204"/>
        </w:trPr>
        <w:tc>
          <w:tcPr>
            <w:tcW w:w="2110" w:type="pct"/>
            <w:tcBorders>
              <w:top w:val="nil"/>
              <w:left w:val="nil"/>
              <w:bottom w:val="nil"/>
              <w:right w:val="nil"/>
            </w:tcBorders>
            <w:shd w:val="clear" w:color="auto" w:fill="auto"/>
            <w:noWrap/>
            <w:vAlign w:val="bottom"/>
            <w:hideMark/>
          </w:tcPr>
          <w:p w14:paraId="4B47C81C" w14:textId="77777777" w:rsidR="001C0F49" w:rsidRPr="00B52A20" w:rsidRDefault="001C0F49" w:rsidP="00293BD0">
            <w:pPr>
              <w:spacing w:after="0" w:line="240" w:lineRule="auto"/>
              <w:ind w:left="113"/>
              <w:rPr>
                <w:rFonts w:ascii="Arial" w:hAnsi="Arial" w:cs="Arial"/>
                <w:sz w:val="16"/>
                <w:szCs w:val="16"/>
              </w:rPr>
            </w:pPr>
            <w:r w:rsidRPr="00B52A20">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1BD4C3C0"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13,569</w:t>
            </w:r>
          </w:p>
        </w:tc>
        <w:tc>
          <w:tcPr>
            <w:tcW w:w="571" w:type="pct"/>
            <w:tcBorders>
              <w:top w:val="nil"/>
              <w:left w:val="nil"/>
              <w:bottom w:val="single" w:sz="4" w:space="0" w:color="auto"/>
              <w:right w:val="nil"/>
            </w:tcBorders>
            <w:shd w:val="clear" w:color="auto" w:fill="E6E6E6"/>
            <w:noWrap/>
            <w:vAlign w:val="bottom"/>
            <w:hideMark/>
          </w:tcPr>
          <w:p w14:paraId="4C664D9A"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14,970</w:t>
            </w:r>
          </w:p>
        </w:tc>
        <w:tc>
          <w:tcPr>
            <w:tcW w:w="572" w:type="pct"/>
            <w:tcBorders>
              <w:top w:val="nil"/>
              <w:left w:val="nil"/>
              <w:bottom w:val="single" w:sz="4" w:space="0" w:color="auto"/>
              <w:right w:val="nil"/>
            </w:tcBorders>
            <w:shd w:val="clear" w:color="auto" w:fill="auto"/>
            <w:noWrap/>
            <w:vAlign w:val="bottom"/>
            <w:hideMark/>
          </w:tcPr>
          <w:p w14:paraId="0BBBF74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14,665</w:t>
            </w:r>
          </w:p>
        </w:tc>
        <w:tc>
          <w:tcPr>
            <w:tcW w:w="572" w:type="pct"/>
            <w:tcBorders>
              <w:top w:val="nil"/>
              <w:left w:val="nil"/>
              <w:bottom w:val="single" w:sz="4" w:space="0" w:color="auto"/>
              <w:right w:val="nil"/>
            </w:tcBorders>
            <w:shd w:val="clear" w:color="auto" w:fill="auto"/>
            <w:noWrap/>
            <w:vAlign w:val="bottom"/>
            <w:hideMark/>
          </w:tcPr>
          <w:p w14:paraId="4509E23D"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14,711</w:t>
            </w:r>
          </w:p>
        </w:tc>
        <w:tc>
          <w:tcPr>
            <w:tcW w:w="571" w:type="pct"/>
            <w:tcBorders>
              <w:top w:val="nil"/>
              <w:left w:val="nil"/>
              <w:bottom w:val="single" w:sz="4" w:space="0" w:color="auto"/>
              <w:right w:val="nil"/>
            </w:tcBorders>
            <w:shd w:val="clear" w:color="auto" w:fill="auto"/>
            <w:noWrap/>
            <w:vAlign w:val="bottom"/>
            <w:hideMark/>
          </w:tcPr>
          <w:p w14:paraId="273925A3"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14,722</w:t>
            </w:r>
          </w:p>
        </w:tc>
      </w:tr>
      <w:tr w:rsidR="001C0F49" w:rsidRPr="00B52A20" w14:paraId="6F3E3BA0" w14:textId="77777777" w:rsidTr="00AE2189">
        <w:trPr>
          <w:trHeight w:val="204"/>
        </w:trPr>
        <w:tc>
          <w:tcPr>
            <w:tcW w:w="2110" w:type="pct"/>
            <w:tcBorders>
              <w:top w:val="nil"/>
              <w:left w:val="nil"/>
              <w:bottom w:val="nil"/>
              <w:right w:val="nil"/>
            </w:tcBorders>
            <w:shd w:val="clear" w:color="auto" w:fill="auto"/>
            <w:vAlign w:val="bottom"/>
            <w:hideMark/>
          </w:tcPr>
          <w:p w14:paraId="166FACFA"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54BB881"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(9,061)</w:t>
            </w:r>
          </w:p>
        </w:tc>
        <w:tc>
          <w:tcPr>
            <w:tcW w:w="571" w:type="pct"/>
            <w:tcBorders>
              <w:top w:val="nil"/>
              <w:left w:val="nil"/>
              <w:bottom w:val="single" w:sz="4" w:space="0" w:color="auto"/>
              <w:right w:val="nil"/>
            </w:tcBorders>
            <w:shd w:val="clear" w:color="auto" w:fill="E6E6E6"/>
            <w:noWrap/>
            <w:vAlign w:val="bottom"/>
            <w:hideMark/>
          </w:tcPr>
          <w:p w14:paraId="54F203DB"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(5,844)</w:t>
            </w:r>
          </w:p>
        </w:tc>
        <w:tc>
          <w:tcPr>
            <w:tcW w:w="572" w:type="pct"/>
            <w:tcBorders>
              <w:top w:val="nil"/>
              <w:left w:val="nil"/>
              <w:bottom w:val="single" w:sz="4" w:space="0" w:color="auto"/>
              <w:right w:val="nil"/>
            </w:tcBorders>
            <w:shd w:val="clear" w:color="auto" w:fill="auto"/>
            <w:noWrap/>
            <w:vAlign w:val="bottom"/>
            <w:hideMark/>
          </w:tcPr>
          <w:p w14:paraId="638ABDF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(6,041)</w:t>
            </w:r>
          </w:p>
        </w:tc>
        <w:tc>
          <w:tcPr>
            <w:tcW w:w="572" w:type="pct"/>
            <w:tcBorders>
              <w:top w:val="nil"/>
              <w:left w:val="nil"/>
              <w:bottom w:val="single" w:sz="4" w:space="0" w:color="auto"/>
              <w:right w:val="nil"/>
            </w:tcBorders>
            <w:shd w:val="clear" w:color="auto" w:fill="auto"/>
            <w:noWrap/>
            <w:vAlign w:val="bottom"/>
            <w:hideMark/>
          </w:tcPr>
          <w:p w14:paraId="5CA6FC5B"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(6,030)</w:t>
            </w:r>
          </w:p>
        </w:tc>
        <w:tc>
          <w:tcPr>
            <w:tcW w:w="571" w:type="pct"/>
            <w:tcBorders>
              <w:top w:val="nil"/>
              <w:left w:val="nil"/>
              <w:bottom w:val="single" w:sz="4" w:space="0" w:color="auto"/>
              <w:right w:val="nil"/>
            </w:tcBorders>
            <w:shd w:val="clear" w:color="auto" w:fill="auto"/>
            <w:noWrap/>
            <w:vAlign w:val="bottom"/>
            <w:hideMark/>
          </w:tcPr>
          <w:p w14:paraId="0D2C156A"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(6,017)</w:t>
            </w:r>
          </w:p>
        </w:tc>
      </w:tr>
      <w:tr w:rsidR="001C0F49" w:rsidRPr="00B52A20" w14:paraId="34CE5563" w14:textId="77777777" w:rsidTr="00AE2189">
        <w:trPr>
          <w:trHeight w:val="204"/>
        </w:trPr>
        <w:tc>
          <w:tcPr>
            <w:tcW w:w="2110" w:type="pct"/>
            <w:tcBorders>
              <w:top w:val="nil"/>
              <w:left w:val="nil"/>
              <w:bottom w:val="nil"/>
              <w:right w:val="nil"/>
            </w:tcBorders>
            <w:shd w:val="clear" w:color="auto" w:fill="auto"/>
            <w:noWrap/>
            <w:vAlign w:val="bottom"/>
            <w:hideMark/>
          </w:tcPr>
          <w:p w14:paraId="41826B33"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435769F4"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(9,061)</w:t>
            </w:r>
          </w:p>
        </w:tc>
        <w:tc>
          <w:tcPr>
            <w:tcW w:w="571" w:type="pct"/>
            <w:tcBorders>
              <w:top w:val="single" w:sz="4" w:space="0" w:color="auto"/>
              <w:left w:val="nil"/>
              <w:bottom w:val="single" w:sz="4" w:space="0" w:color="auto"/>
              <w:right w:val="nil"/>
            </w:tcBorders>
            <w:shd w:val="clear" w:color="auto" w:fill="E6E6E6"/>
            <w:noWrap/>
            <w:vAlign w:val="bottom"/>
            <w:hideMark/>
          </w:tcPr>
          <w:p w14:paraId="0B889B19"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(5,844)</w:t>
            </w:r>
          </w:p>
        </w:tc>
        <w:tc>
          <w:tcPr>
            <w:tcW w:w="572" w:type="pct"/>
            <w:tcBorders>
              <w:top w:val="single" w:sz="4" w:space="0" w:color="auto"/>
              <w:left w:val="nil"/>
              <w:bottom w:val="single" w:sz="4" w:space="0" w:color="auto"/>
              <w:right w:val="nil"/>
            </w:tcBorders>
            <w:shd w:val="clear" w:color="auto" w:fill="auto"/>
            <w:noWrap/>
            <w:vAlign w:val="bottom"/>
            <w:hideMark/>
          </w:tcPr>
          <w:p w14:paraId="12B2BF50"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(6,041)</w:t>
            </w:r>
          </w:p>
        </w:tc>
        <w:tc>
          <w:tcPr>
            <w:tcW w:w="572" w:type="pct"/>
            <w:tcBorders>
              <w:top w:val="single" w:sz="4" w:space="0" w:color="auto"/>
              <w:left w:val="nil"/>
              <w:bottom w:val="single" w:sz="4" w:space="0" w:color="auto"/>
              <w:right w:val="nil"/>
            </w:tcBorders>
            <w:shd w:val="clear" w:color="auto" w:fill="auto"/>
            <w:noWrap/>
            <w:vAlign w:val="bottom"/>
            <w:hideMark/>
          </w:tcPr>
          <w:p w14:paraId="6E622080"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(6,030)</w:t>
            </w:r>
          </w:p>
        </w:tc>
        <w:tc>
          <w:tcPr>
            <w:tcW w:w="571" w:type="pct"/>
            <w:tcBorders>
              <w:top w:val="single" w:sz="4" w:space="0" w:color="auto"/>
              <w:left w:val="nil"/>
              <w:bottom w:val="single" w:sz="4" w:space="0" w:color="auto"/>
              <w:right w:val="nil"/>
            </w:tcBorders>
            <w:shd w:val="clear" w:color="auto" w:fill="auto"/>
            <w:noWrap/>
            <w:vAlign w:val="bottom"/>
            <w:hideMark/>
          </w:tcPr>
          <w:p w14:paraId="4585B06E"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(6,017)</w:t>
            </w:r>
          </w:p>
        </w:tc>
      </w:tr>
      <w:tr w:rsidR="001C0F49" w:rsidRPr="00B52A20" w14:paraId="0EA869F9" w14:textId="77777777" w:rsidTr="00AE2189">
        <w:trPr>
          <w:trHeight w:val="204"/>
        </w:trPr>
        <w:tc>
          <w:tcPr>
            <w:tcW w:w="2110" w:type="pct"/>
            <w:tcBorders>
              <w:top w:val="nil"/>
              <w:left w:val="nil"/>
              <w:bottom w:val="single" w:sz="4" w:space="0" w:color="auto"/>
              <w:right w:val="nil"/>
            </w:tcBorders>
            <w:shd w:val="clear" w:color="auto" w:fill="auto"/>
            <w:vAlign w:val="bottom"/>
            <w:hideMark/>
          </w:tcPr>
          <w:p w14:paraId="6AAE803E" w14:textId="77777777" w:rsidR="001C0F49" w:rsidRPr="00B52A20" w:rsidRDefault="001C0F49" w:rsidP="00293BD0">
            <w:pPr>
              <w:spacing w:after="0" w:line="240" w:lineRule="auto"/>
              <w:rPr>
                <w:rFonts w:ascii="Arial" w:hAnsi="Arial" w:cs="Arial"/>
                <w:b/>
                <w:bCs/>
                <w:sz w:val="16"/>
                <w:szCs w:val="16"/>
              </w:rPr>
            </w:pPr>
            <w:r w:rsidRPr="00B52A20">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437ABD17"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(9,061)</w:t>
            </w:r>
          </w:p>
        </w:tc>
        <w:tc>
          <w:tcPr>
            <w:tcW w:w="571" w:type="pct"/>
            <w:tcBorders>
              <w:top w:val="nil"/>
              <w:left w:val="nil"/>
              <w:bottom w:val="single" w:sz="4" w:space="0" w:color="auto"/>
              <w:right w:val="nil"/>
            </w:tcBorders>
            <w:shd w:val="clear" w:color="auto" w:fill="E6E6E6"/>
            <w:noWrap/>
            <w:vAlign w:val="bottom"/>
            <w:hideMark/>
          </w:tcPr>
          <w:p w14:paraId="56B4EAC7"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(5,844)</w:t>
            </w:r>
          </w:p>
        </w:tc>
        <w:tc>
          <w:tcPr>
            <w:tcW w:w="572" w:type="pct"/>
            <w:tcBorders>
              <w:top w:val="nil"/>
              <w:left w:val="nil"/>
              <w:bottom w:val="single" w:sz="4" w:space="0" w:color="auto"/>
              <w:right w:val="nil"/>
            </w:tcBorders>
            <w:shd w:val="clear" w:color="auto" w:fill="auto"/>
            <w:noWrap/>
            <w:vAlign w:val="bottom"/>
            <w:hideMark/>
          </w:tcPr>
          <w:p w14:paraId="759FC2CF"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(6,041)</w:t>
            </w:r>
          </w:p>
        </w:tc>
        <w:tc>
          <w:tcPr>
            <w:tcW w:w="572" w:type="pct"/>
            <w:tcBorders>
              <w:top w:val="nil"/>
              <w:left w:val="nil"/>
              <w:bottom w:val="single" w:sz="4" w:space="0" w:color="auto"/>
              <w:right w:val="nil"/>
            </w:tcBorders>
            <w:shd w:val="clear" w:color="auto" w:fill="auto"/>
            <w:noWrap/>
            <w:vAlign w:val="bottom"/>
            <w:hideMark/>
          </w:tcPr>
          <w:p w14:paraId="0D017C55"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(6,030)</w:t>
            </w:r>
          </w:p>
        </w:tc>
        <w:tc>
          <w:tcPr>
            <w:tcW w:w="571" w:type="pct"/>
            <w:tcBorders>
              <w:top w:val="nil"/>
              <w:left w:val="nil"/>
              <w:bottom w:val="single" w:sz="4" w:space="0" w:color="auto"/>
              <w:right w:val="nil"/>
            </w:tcBorders>
            <w:shd w:val="clear" w:color="auto" w:fill="auto"/>
            <w:noWrap/>
            <w:vAlign w:val="bottom"/>
            <w:hideMark/>
          </w:tcPr>
          <w:p w14:paraId="0D0B898C"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(6,017)</w:t>
            </w:r>
          </w:p>
        </w:tc>
      </w:tr>
      <w:tr w:rsidR="001C0F49" w:rsidRPr="00B52A20" w14:paraId="04873852" w14:textId="77777777" w:rsidTr="002B4BF3">
        <w:trPr>
          <w:trHeight w:val="204"/>
        </w:trPr>
        <w:tc>
          <w:tcPr>
            <w:tcW w:w="3285" w:type="pct"/>
            <w:gridSpan w:val="3"/>
            <w:tcBorders>
              <w:top w:val="nil"/>
              <w:left w:val="nil"/>
              <w:bottom w:val="single" w:sz="4" w:space="0" w:color="auto"/>
              <w:right w:val="nil"/>
            </w:tcBorders>
            <w:shd w:val="clear" w:color="auto" w:fill="auto"/>
            <w:noWrap/>
            <w:vAlign w:val="bottom"/>
            <w:hideMark/>
          </w:tcPr>
          <w:p w14:paraId="6DF62C14" w14:textId="77777777" w:rsidR="001C0F49" w:rsidRPr="00B52A20" w:rsidRDefault="001C0F49" w:rsidP="00293BD0">
            <w:pPr>
              <w:spacing w:after="0" w:line="240" w:lineRule="auto"/>
              <w:rPr>
                <w:rFonts w:ascii="Arial" w:hAnsi="Arial" w:cs="Arial"/>
                <w:b/>
                <w:bCs/>
                <w:color w:val="000000"/>
                <w:sz w:val="16"/>
                <w:szCs w:val="16"/>
              </w:rPr>
            </w:pPr>
            <w:r w:rsidRPr="00B52A20">
              <w:rPr>
                <w:rFonts w:ascii="Arial" w:hAnsi="Arial" w:cs="Arial"/>
                <w:b/>
                <w:bCs/>
                <w:color w:val="000000"/>
                <w:sz w:val="16"/>
                <w:szCs w:val="16"/>
              </w:rPr>
              <w:t>Note: Impact of net cash appropriation arrangements</w:t>
            </w:r>
          </w:p>
        </w:tc>
        <w:tc>
          <w:tcPr>
            <w:tcW w:w="572" w:type="pct"/>
            <w:tcBorders>
              <w:top w:val="nil"/>
              <w:left w:val="nil"/>
              <w:bottom w:val="single" w:sz="4" w:space="0" w:color="auto"/>
              <w:right w:val="nil"/>
            </w:tcBorders>
            <w:shd w:val="clear" w:color="auto" w:fill="auto"/>
            <w:noWrap/>
            <w:vAlign w:val="bottom"/>
            <w:hideMark/>
          </w:tcPr>
          <w:p w14:paraId="1805E511" w14:textId="20B06399" w:rsidR="001C0F49" w:rsidRPr="00B52A20" w:rsidRDefault="001C0F49" w:rsidP="00293BD0">
            <w:pPr>
              <w:spacing w:after="0" w:line="240" w:lineRule="auto"/>
              <w:jc w:val="right"/>
              <w:rPr>
                <w:rFonts w:ascii="Arial" w:hAnsi="Arial" w:cs="Arial"/>
                <w:sz w:val="16"/>
                <w:szCs w:val="16"/>
              </w:rPr>
            </w:pPr>
          </w:p>
        </w:tc>
        <w:tc>
          <w:tcPr>
            <w:tcW w:w="572" w:type="pct"/>
            <w:tcBorders>
              <w:top w:val="nil"/>
              <w:left w:val="nil"/>
              <w:bottom w:val="single" w:sz="4" w:space="0" w:color="auto"/>
              <w:right w:val="nil"/>
            </w:tcBorders>
            <w:shd w:val="clear" w:color="auto" w:fill="auto"/>
            <w:noWrap/>
            <w:vAlign w:val="bottom"/>
            <w:hideMark/>
          </w:tcPr>
          <w:p w14:paraId="353182EF" w14:textId="29E99C8E" w:rsidR="001C0F49" w:rsidRPr="00B52A20" w:rsidRDefault="001C0F49" w:rsidP="00293BD0">
            <w:pPr>
              <w:spacing w:after="0" w:line="240" w:lineRule="auto"/>
              <w:jc w:val="right"/>
              <w:rPr>
                <w:rFonts w:ascii="Arial" w:hAnsi="Arial" w:cs="Arial"/>
                <w:sz w:val="16"/>
                <w:szCs w:val="16"/>
              </w:rPr>
            </w:pPr>
          </w:p>
        </w:tc>
        <w:tc>
          <w:tcPr>
            <w:tcW w:w="571" w:type="pct"/>
            <w:tcBorders>
              <w:top w:val="nil"/>
              <w:left w:val="nil"/>
              <w:bottom w:val="single" w:sz="4" w:space="0" w:color="auto"/>
              <w:right w:val="nil"/>
            </w:tcBorders>
            <w:shd w:val="clear" w:color="auto" w:fill="auto"/>
            <w:noWrap/>
            <w:vAlign w:val="bottom"/>
            <w:hideMark/>
          </w:tcPr>
          <w:p w14:paraId="4778E8C9" w14:textId="0227C15E" w:rsidR="001C0F49" w:rsidRPr="00B52A20" w:rsidRDefault="001C0F49" w:rsidP="00293BD0">
            <w:pPr>
              <w:spacing w:after="0" w:line="240" w:lineRule="auto"/>
              <w:jc w:val="right"/>
              <w:rPr>
                <w:rFonts w:ascii="Arial" w:hAnsi="Arial" w:cs="Arial"/>
                <w:sz w:val="16"/>
                <w:szCs w:val="16"/>
              </w:rPr>
            </w:pPr>
          </w:p>
        </w:tc>
      </w:tr>
      <w:tr w:rsidR="001C0F49" w:rsidRPr="00B52A20" w14:paraId="33116238" w14:textId="77777777" w:rsidTr="00AE2189">
        <w:trPr>
          <w:trHeight w:val="204"/>
        </w:trPr>
        <w:tc>
          <w:tcPr>
            <w:tcW w:w="2110" w:type="pct"/>
            <w:tcBorders>
              <w:top w:val="nil"/>
              <w:left w:val="nil"/>
              <w:bottom w:val="nil"/>
              <w:right w:val="nil"/>
            </w:tcBorders>
            <w:shd w:val="clear" w:color="auto" w:fill="auto"/>
            <w:vAlign w:val="bottom"/>
            <w:hideMark/>
          </w:tcPr>
          <w:p w14:paraId="52885856" w14:textId="77777777" w:rsidR="001C0F49" w:rsidRPr="00B52A20" w:rsidRDefault="001C0F49" w:rsidP="00293BD0">
            <w:pPr>
              <w:spacing w:after="0" w:line="240" w:lineRule="auto"/>
              <w:rPr>
                <w:rFonts w:ascii="Arial" w:hAnsi="Arial" w:cs="Arial"/>
                <w:b/>
                <w:bCs/>
                <w:color w:val="000000"/>
                <w:sz w:val="16"/>
                <w:szCs w:val="16"/>
              </w:rPr>
            </w:pPr>
            <w:r w:rsidRPr="00B52A20">
              <w:rPr>
                <w:rFonts w:ascii="Arial" w:hAnsi="Arial" w:cs="Arial"/>
                <w:b/>
                <w:bCs/>
                <w:color w:val="000000"/>
                <w:sz w:val="16"/>
                <w:szCs w:val="16"/>
              </w:rPr>
              <w:t>Total comprehensive income/(loss) - as per statement of comprehensive income</w:t>
            </w:r>
          </w:p>
        </w:tc>
        <w:tc>
          <w:tcPr>
            <w:tcW w:w="605" w:type="pct"/>
            <w:tcBorders>
              <w:top w:val="nil"/>
              <w:left w:val="nil"/>
              <w:bottom w:val="nil"/>
              <w:right w:val="nil"/>
            </w:tcBorders>
            <w:shd w:val="clear" w:color="auto" w:fill="auto"/>
            <w:noWrap/>
            <w:vAlign w:val="bottom"/>
            <w:hideMark/>
          </w:tcPr>
          <w:p w14:paraId="53B1BE12" w14:textId="77777777" w:rsidR="001C0F49" w:rsidRPr="00B52A20" w:rsidRDefault="001C0F49" w:rsidP="00293BD0">
            <w:pPr>
              <w:spacing w:after="0" w:line="240" w:lineRule="auto"/>
              <w:jc w:val="right"/>
              <w:rPr>
                <w:rFonts w:ascii="Arial" w:hAnsi="Arial" w:cs="Arial"/>
                <w:b/>
                <w:bCs/>
                <w:color w:val="000000"/>
                <w:sz w:val="16"/>
                <w:szCs w:val="16"/>
              </w:rPr>
            </w:pPr>
            <w:r w:rsidRPr="00B52A20">
              <w:rPr>
                <w:rFonts w:ascii="Arial" w:hAnsi="Arial" w:cs="Arial"/>
                <w:b/>
                <w:bCs/>
                <w:color w:val="000000"/>
                <w:sz w:val="16"/>
                <w:szCs w:val="16"/>
              </w:rPr>
              <w:t>(9,061)</w:t>
            </w:r>
          </w:p>
        </w:tc>
        <w:tc>
          <w:tcPr>
            <w:tcW w:w="571" w:type="pct"/>
            <w:tcBorders>
              <w:top w:val="nil"/>
              <w:left w:val="nil"/>
              <w:bottom w:val="nil"/>
              <w:right w:val="nil"/>
            </w:tcBorders>
            <w:shd w:val="clear" w:color="auto" w:fill="E6E6E6"/>
            <w:noWrap/>
            <w:vAlign w:val="bottom"/>
            <w:hideMark/>
          </w:tcPr>
          <w:p w14:paraId="64D5A8C8" w14:textId="77777777" w:rsidR="001C0F49" w:rsidRPr="00B52A20" w:rsidRDefault="001C0F49" w:rsidP="00293BD0">
            <w:pPr>
              <w:spacing w:after="0" w:line="240" w:lineRule="auto"/>
              <w:jc w:val="right"/>
              <w:rPr>
                <w:rFonts w:ascii="Arial" w:hAnsi="Arial" w:cs="Arial"/>
                <w:b/>
                <w:bCs/>
                <w:color w:val="000000"/>
                <w:sz w:val="16"/>
                <w:szCs w:val="16"/>
              </w:rPr>
            </w:pPr>
            <w:r w:rsidRPr="00B52A20">
              <w:rPr>
                <w:rFonts w:ascii="Arial" w:hAnsi="Arial" w:cs="Arial"/>
                <w:b/>
                <w:bCs/>
                <w:color w:val="000000"/>
                <w:sz w:val="16"/>
                <w:szCs w:val="16"/>
              </w:rPr>
              <w:t>(5,844)</w:t>
            </w:r>
          </w:p>
        </w:tc>
        <w:tc>
          <w:tcPr>
            <w:tcW w:w="572" w:type="pct"/>
            <w:tcBorders>
              <w:top w:val="nil"/>
              <w:left w:val="nil"/>
              <w:bottom w:val="nil"/>
              <w:right w:val="nil"/>
            </w:tcBorders>
            <w:shd w:val="clear" w:color="auto" w:fill="auto"/>
            <w:noWrap/>
            <w:vAlign w:val="bottom"/>
            <w:hideMark/>
          </w:tcPr>
          <w:p w14:paraId="73B8DE3D" w14:textId="77777777" w:rsidR="001C0F49" w:rsidRPr="00B52A20" w:rsidRDefault="001C0F49" w:rsidP="00293BD0">
            <w:pPr>
              <w:spacing w:after="0" w:line="240" w:lineRule="auto"/>
              <w:jc w:val="right"/>
              <w:rPr>
                <w:rFonts w:ascii="Arial" w:hAnsi="Arial" w:cs="Arial"/>
                <w:b/>
                <w:bCs/>
                <w:color w:val="000000"/>
                <w:sz w:val="16"/>
                <w:szCs w:val="16"/>
              </w:rPr>
            </w:pPr>
            <w:r w:rsidRPr="00B52A20">
              <w:rPr>
                <w:rFonts w:ascii="Arial" w:hAnsi="Arial" w:cs="Arial"/>
                <w:b/>
                <w:bCs/>
                <w:color w:val="000000"/>
                <w:sz w:val="16"/>
                <w:szCs w:val="16"/>
              </w:rPr>
              <w:t>(6,041)</w:t>
            </w:r>
          </w:p>
        </w:tc>
        <w:tc>
          <w:tcPr>
            <w:tcW w:w="572" w:type="pct"/>
            <w:tcBorders>
              <w:top w:val="nil"/>
              <w:left w:val="nil"/>
              <w:bottom w:val="nil"/>
              <w:right w:val="nil"/>
            </w:tcBorders>
            <w:shd w:val="clear" w:color="auto" w:fill="auto"/>
            <w:noWrap/>
            <w:vAlign w:val="bottom"/>
            <w:hideMark/>
          </w:tcPr>
          <w:p w14:paraId="1632C558" w14:textId="77777777" w:rsidR="001C0F49" w:rsidRPr="00B52A20" w:rsidRDefault="001C0F49" w:rsidP="00293BD0">
            <w:pPr>
              <w:spacing w:after="0" w:line="240" w:lineRule="auto"/>
              <w:jc w:val="right"/>
              <w:rPr>
                <w:rFonts w:ascii="Arial" w:hAnsi="Arial" w:cs="Arial"/>
                <w:b/>
                <w:bCs/>
                <w:color w:val="000000"/>
                <w:sz w:val="16"/>
                <w:szCs w:val="16"/>
              </w:rPr>
            </w:pPr>
            <w:r w:rsidRPr="00B52A20">
              <w:rPr>
                <w:rFonts w:ascii="Arial" w:hAnsi="Arial" w:cs="Arial"/>
                <w:b/>
                <w:bCs/>
                <w:color w:val="000000"/>
                <w:sz w:val="16"/>
                <w:szCs w:val="16"/>
              </w:rPr>
              <w:t>(6,030)</w:t>
            </w:r>
          </w:p>
        </w:tc>
        <w:tc>
          <w:tcPr>
            <w:tcW w:w="571" w:type="pct"/>
            <w:tcBorders>
              <w:top w:val="nil"/>
              <w:left w:val="nil"/>
              <w:bottom w:val="nil"/>
              <w:right w:val="nil"/>
            </w:tcBorders>
            <w:shd w:val="clear" w:color="auto" w:fill="auto"/>
            <w:noWrap/>
            <w:vAlign w:val="bottom"/>
            <w:hideMark/>
          </w:tcPr>
          <w:p w14:paraId="34C98C1F" w14:textId="77777777" w:rsidR="001C0F49" w:rsidRPr="00B52A20" w:rsidRDefault="001C0F49" w:rsidP="00293BD0">
            <w:pPr>
              <w:spacing w:after="0" w:line="240" w:lineRule="auto"/>
              <w:jc w:val="right"/>
              <w:rPr>
                <w:rFonts w:ascii="Arial" w:hAnsi="Arial" w:cs="Arial"/>
                <w:b/>
                <w:bCs/>
                <w:color w:val="000000"/>
                <w:sz w:val="16"/>
                <w:szCs w:val="16"/>
              </w:rPr>
            </w:pPr>
            <w:r w:rsidRPr="00B52A20">
              <w:rPr>
                <w:rFonts w:ascii="Arial" w:hAnsi="Arial" w:cs="Arial"/>
                <w:b/>
                <w:bCs/>
                <w:color w:val="000000"/>
                <w:sz w:val="16"/>
                <w:szCs w:val="16"/>
              </w:rPr>
              <w:t>(6,017)</w:t>
            </w:r>
          </w:p>
        </w:tc>
      </w:tr>
      <w:tr w:rsidR="001C0F49" w:rsidRPr="00B52A20" w14:paraId="53D7AC04" w14:textId="77777777" w:rsidTr="00AE2189">
        <w:trPr>
          <w:trHeight w:val="204"/>
        </w:trPr>
        <w:tc>
          <w:tcPr>
            <w:tcW w:w="2110" w:type="pct"/>
            <w:tcBorders>
              <w:top w:val="nil"/>
              <w:left w:val="nil"/>
              <w:bottom w:val="nil"/>
              <w:right w:val="nil"/>
            </w:tcBorders>
            <w:shd w:val="clear" w:color="auto" w:fill="auto"/>
            <w:vAlign w:val="bottom"/>
            <w:hideMark/>
          </w:tcPr>
          <w:p w14:paraId="3CF1D9D5" w14:textId="77777777" w:rsidR="001C0F49" w:rsidRPr="00B52A20" w:rsidRDefault="001C0F49" w:rsidP="00293BD0">
            <w:pPr>
              <w:spacing w:after="0" w:line="240" w:lineRule="auto"/>
              <w:ind w:left="113"/>
              <w:rPr>
                <w:rFonts w:ascii="Arial" w:hAnsi="Arial" w:cs="Arial"/>
                <w:color w:val="000000"/>
                <w:sz w:val="16"/>
                <w:szCs w:val="16"/>
              </w:rPr>
            </w:pPr>
            <w:r w:rsidRPr="00B52A20">
              <w:rPr>
                <w:rFonts w:ascii="Arial" w:hAnsi="Arial" w:cs="Arial"/>
                <w:color w:val="000000"/>
                <w:sz w:val="16"/>
                <w:szCs w:val="16"/>
              </w:rPr>
              <w:t>plus: heritage and cultural depreciation/amortisation expenses previously funded through revenue appropriations</w:t>
            </w:r>
            <w:r w:rsidRPr="00B52A20">
              <w:rPr>
                <w:rFonts w:ascii="Arial" w:hAnsi="Arial" w:cs="Arial"/>
                <w:color w:val="000000"/>
                <w:sz w:val="16"/>
                <w:szCs w:val="16"/>
                <w:vertAlign w:val="superscript"/>
              </w:rPr>
              <w:t xml:space="preserve"> (a)</w:t>
            </w:r>
          </w:p>
        </w:tc>
        <w:tc>
          <w:tcPr>
            <w:tcW w:w="605" w:type="pct"/>
            <w:tcBorders>
              <w:top w:val="nil"/>
              <w:left w:val="nil"/>
              <w:bottom w:val="nil"/>
              <w:right w:val="nil"/>
            </w:tcBorders>
            <w:shd w:val="clear" w:color="auto" w:fill="auto"/>
            <w:noWrap/>
            <w:vAlign w:val="bottom"/>
            <w:hideMark/>
          </w:tcPr>
          <w:p w14:paraId="253E91E7"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6,475</w:t>
            </w:r>
          </w:p>
        </w:tc>
        <w:tc>
          <w:tcPr>
            <w:tcW w:w="571" w:type="pct"/>
            <w:tcBorders>
              <w:top w:val="nil"/>
              <w:left w:val="nil"/>
              <w:bottom w:val="nil"/>
              <w:right w:val="nil"/>
            </w:tcBorders>
            <w:shd w:val="clear" w:color="auto" w:fill="E6E6E6"/>
            <w:noWrap/>
            <w:vAlign w:val="bottom"/>
            <w:hideMark/>
          </w:tcPr>
          <w:p w14:paraId="6C70165E"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6,800</w:t>
            </w:r>
          </w:p>
        </w:tc>
        <w:tc>
          <w:tcPr>
            <w:tcW w:w="572" w:type="pct"/>
            <w:tcBorders>
              <w:top w:val="nil"/>
              <w:left w:val="nil"/>
              <w:bottom w:val="nil"/>
              <w:right w:val="nil"/>
            </w:tcBorders>
            <w:shd w:val="clear" w:color="auto" w:fill="auto"/>
            <w:noWrap/>
            <w:vAlign w:val="bottom"/>
            <w:hideMark/>
          </w:tcPr>
          <w:p w14:paraId="231710FB"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6,800</w:t>
            </w:r>
          </w:p>
        </w:tc>
        <w:tc>
          <w:tcPr>
            <w:tcW w:w="572" w:type="pct"/>
            <w:tcBorders>
              <w:top w:val="nil"/>
              <w:left w:val="nil"/>
              <w:bottom w:val="nil"/>
              <w:right w:val="nil"/>
            </w:tcBorders>
            <w:shd w:val="clear" w:color="auto" w:fill="auto"/>
            <w:noWrap/>
            <w:vAlign w:val="bottom"/>
            <w:hideMark/>
          </w:tcPr>
          <w:p w14:paraId="46F33856"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6,800</w:t>
            </w:r>
          </w:p>
        </w:tc>
        <w:tc>
          <w:tcPr>
            <w:tcW w:w="571" w:type="pct"/>
            <w:tcBorders>
              <w:top w:val="nil"/>
              <w:left w:val="nil"/>
              <w:bottom w:val="nil"/>
              <w:right w:val="nil"/>
            </w:tcBorders>
            <w:shd w:val="clear" w:color="auto" w:fill="auto"/>
            <w:noWrap/>
            <w:vAlign w:val="bottom"/>
            <w:hideMark/>
          </w:tcPr>
          <w:p w14:paraId="7BC51C32" w14:textId="77777777" w:rsidR="001C0F49" w:rsidRPr="00B52A20" w:rsidRDefault="001C0F49" w:rsidP="00293BD0">
            <w:pPr>
              <w:spacing w:after="0" w:line="240" w:lineRule="auto"/>
              <w:jc w:val="right"/>
              <w:rPr>
                <w:rFonts w:ascii="Arial" w:hAnsi="Arial" w:cs="Arial"/>
                <w:sz w:val="16"/>
                <w:szCs w:val="16"/>
              </w:rPr>
            </w:pPr>
            <w:r w:rsidRPr="00B52A20">
              <w:rPr>
                <w:rFonts w:ascii="Arial" w:hAnsi="Arial" w:cs="Arial"/>
                <w:sz w:val="16"/>
                <w:szCs w:val="16"/>
              </w:rPr>
              <w:t>6,800</w:t>
            </w:r>
          </w:p>
        </w:tc>
      </w:tr>
      <w:tr w:rsidR="001C0F49" w:rsidRPr="00B52A20" w14:paraId="755991CA" w14:textId="77777777" w:rsidTr="00AE2189">
        <w:trPr>
          <w:trHeight w:val="204"/>
        </w:trPr>
        <w:tc>
          <w:tcPr>
            <w:tcW w:w="2110" w:type="pct"/>
            <w:tcBorders>
              <w:top w:val="nil"/>
              <w:left w:val="nil"/>
              <w:bottom w:val="nil"/>
              <w:right w:val="nil"/>
            </w:tcBorders>
            <w:shd w:val="clear" w:color="auto" w:fill="auto"/>
            <w:vAlign w:val="bottom"/>
            <w:hideMark/>
          </w:tcPr>
          <w:p w14:paraId="13EEE70E" w14:textId="77777777" w:rsidR="001C0F49" w:rsidRPr="00B52A20" w:rsidRDefault="001C0F49" w:rsidP="00293BD0">
            <w:pPr>
              <w:spacing w:after="0" w:line="240" w:lineRule="auto"/>
              <w:ind w:left="113"/>
              <w:rPr>
                <w:rFonts w:ascii="Arial" w:hAnsi="Arial" w:cs="Arial"/>
                <w:color w:val="000000"/>
                <w:sz w:val="16"/>
                <w:szCs w:val="16"/>
              </w:rPr>
            </w:pPr>
            <w:r w:rsidRPr="00B52A20">
              <w:rPr>
                <w:rFonts w:ascii="Arial" w:hAnsi="Arial" w:cs="Arial"/>
                <w:color w:val="000000"/>
                <w:sz w:val="16"/>
                <w:szCs w:val="16"/>
              </w:rPr>
              <w:t>less: lease principal repayments</w:t>
            </w:r>
            <w:r w:rsidRPr="00B52A20">
              <w:rPr>
                <w:rFonts w:ascii="Arial" w:hAnsi="Arial" w:cs="Arial"/>
                <w:sz w:val="16"/>
                <w:szCs w:val="16"/>
                <w:vertAlign w:val="superscript"/>
              </w:rPr>
              <w:t xml:space="preserve"> (b)</w:t>
            </w:r>
          </w:p>
        </w:tc>
        <w:tc>
          <w:tcPr>
            <w:tcW w:w="605" w:type="pct"/>
            <w:tcBorders>
              <w:top w:val="nil"/>
              <w:left w:val="nil"/>
              <w:bottom w:val="nil"/>
              <w:right w:val="nil"/>
            </w:tcBorders>
            <w:shd w:val="clear" w:color="auto" w:fill="auto"/>
            <w:noWrap/>
            <w:vAlign w:val="bottom"/>
            <w:hideMark/>
          </w:tcPr>
          <w:p w14:paraId="4F22B025" w14:textId="00BC4D81" w:rsidR="001C0F49" w:rsidRPr="00B52A20" w:rsidRDefault="002864B7" w:rsidP="00293BD0">
            <w:pPr>
              <w:spacing w:after="0" w:line="240" w:lineRule="auto"/>
              <w:jc w:val="right"/>
              <w:rPr>
                <w:rFonts w:ascii="Arial" w:hAnsi="Arial" w:cs="Arial"/>
                <w:sz w:val="16"/>
                <w:szCs w:val="16"/>
              </w:rPr>
            </w:pPr>
            <w:r>
              <w:rPr>
                <w:rFonts w:ascii="Arial" w:hAnsi="Arial" w:cs="Arial"/>
                <w:sz w:val="16"/>
                <w:szCs w:val="16"/>
              </w:rPr>
              <w:t>(</w:t>
            </w:r>
            <w:r w:rsidR="001C0F49" w:rsidRPr="00B52A20">
              <w:rPr>
                <w:rFonts w:ascii="Arial" w:hAnsi="Arial" w:cs="Arial"/>
                <w:sz w:val="16"/>
                <w:szCs w:val="16"/>
              </w:rPr>
              <w:t>223</w:t>
            </w:r>
            <w:r>
              <w:rPr>
                <w:rFonts w:ascii="Arial" w:hAnsi="Arial" w:cs="Arial"/>
                <w:sz w:val="16"/>
                <w:szCs w:val="16"/>
              </w:rPr>
              <w:t>)</w:t>
            </w:r>
          </w:p>
        </w:tc>
        <w:tc>
          <w:tcPr>
            <w:tcW w:w="571" w:type="pct"/>
            <w:tcBorders>
              <w:top w:val="nil"/>
              <w:left w:val="nil"/>
              <w:bottom w:val="nil"/>
              <w:right w:val="nil"/>
            </w:tcBorders>
            <w:shd w:val="clear" w:color="auto" w:fill="E6E6E6"/>
            <w:noWrap/>
            <w:vAlign w:val="bottom"/>
            <w:hideMark/>
          </w:tcPr>
          <w:p w14:paraId="00CC4DCB" w14:textId="5DDE5755" w:rsidR="001C0F49" w:rsidRPr="00B52A20" w:rsidRDefault="002864B7" w:rsidP="00293BD0">
            <w:pPr>
              <w:spacing w:after="0" w:line="240" w:lineRule="auto"/>
              <w:jc w:val="right"/>
              <w:rPr>
                <w:rFonts w:ascii="Arial" w:hAnsi="Arial" w:cs="Arial"/>
                <w:sz w:val="16"/>
                <w:szCs w:val="16"/>
              </w:rPr>
            </w:pPr>
            <w:r>
              <w:rPr>
                <w:rFonts w:ascii="Arial" w:hAnsi="Arial" w:cs="Arial"/>
                <w:sz w:val="16"/>
                <w:szCs w:val="16"/>
              </w:rPr>
              <w:t>(</w:t>
            </w:r>
            <w:r w:rsidR="001C0F49" w:rsidRPr="00B52A20">
              <w:rPr>
                <w:rFonts w:ascii="Arial" w:hAnsi="Arial" w:cs="Arial"/>
                <w:sz w:val="16"/>
                <w:szCs w:val="16"/>
              </w:rPr>
              <w:t>472</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38D109C3" w14:textId="5787C71A" w:rsidR="001C0F49" w:rsidRPr="00B52A20" w:rsidRDefault="002864B7" w:rsidP="00293BD0">
            <w:pPr>
              <w:spacing w:after="0" w:line="240" w:lineRule="auto"/>
              <w:jc w:val="right"/>
              <w:rPr>
                <w:rFonts w:ascii="Arial" w:hAnsi="Arial" w:cs="Arial"/>
                <w:sz w:val="16"/>
                <w:szCs w:val="16"/>
              </w:rPr>
            </w:pPr>
            <w:r>
              <w:rPr>
                <w:rFonts w:ascii="Arial" w:hAnsi="Arial" w:cs="Arial"/>
                <w:sz w:val="16"/>
                <w:szCs w:val="16"/>
              </w:rPr>
              <w:t>(</w:t>
            </w:r>
            <w:r w:rsidR="001C0F49" w:rsidRPr="00B52A20">
              <w:rPr>
                <w:rFonts w:ascii="Arial" w:hAnsi="Arial" w:cs="Arial"/>
                <w:sz w:val="16"/>
                <w:szCs w:val="16"/>
              </w:rPr>
              <w:t>228</w:t>
            </w:r>
            <w:r>
              <w:rPr>
                <w:rFonts w:ascii="Arial" w:hAnsi="Arial" w:cs="Arial"/>
                <w:sz w:val="16"/>
                <w:szCs w:val="16"/>
              </w:rPr>
              <w:t>)</w:t>
            </w:r>
          </w:p>
        </w:tc>
        <w:tc>
          <w:tcPr>
            <w:tcW w:w="572" w:type="pct"/>
            <w:tcBorders>
              <w:top w:val="nil"/>
              <w:left w:val="nil"/>
              <w:bottom w:val="nil"/>
              <w:right w:val="nil"/>
            </w:tcBorders>
            <w:shd w:val="clear" w:color="auto" w:fill="auto"/>
            <w:noWrap/>
            <w:vAlign w:val="bottom"/>
            <w:hideMark/>
          </w:tcPr>
          <w:p w14:paraId="46704D57" w14:textId="55E8E08B" w:rsidR="001C0F49" w:rsidRPr="00B52A20" w:rsidRDefault="002864B7" w:rsidP="00293BD0">
            <w:pPr>
              <w:spacing w:after="0" w:line="240" w:lineRule="auto"/>
              <w:jc w:val="right"/>
              <w:rPr>
                <w:rFonts w:ascii="Arial" w:hAnsi="Arial" w:cs="Arial"/>
                <w:sz w:val="16"/>
                <w:szCs w:val="16"/>
              </w:rPr>
            </w:pPr>
            <w:r>
              <w:rPr>
                <w:rFonts w:ascii="Arial" w:hAnsi="Arial" w:cs="Arial"/>
                <w:sz w:val="16"/>
                <w:szCs w:val="16"/>
              </w:rPr>
              <w:t>(</w:t>
            </w:r>
            <w:r w:rsidR="001C0F49" w:rsidRPr="00B52A20">
              <w:rPr>
                <w:rFonts w:ascii="Arial" w:hAnsi="Arial" w:cs="Arial"/>
                <w:sz w:val="16"/>
                <w:szCs w:val="16"/>
              </w:rPr>
              <w:t>228</w:t>
            </w:r>
            <w:r>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14:paraId="5D53DD31" w14:textId="746673FF" w:rsidR="001C0F49" w:rsidRPr="00B52A20" w:rsidRDefault="002864B7" w:rsidP="00293BD0">
            <w:pPr>
              <w:spacing w:after="0" w:line="240" w:lineRule="auto"/>
              <w:jc w:val="right"/>
              <w:rPr>
                <w:rFonts w:ascii="Arial" w:hAnsi="Arial" w:cs="Arial"/>
                <w:sz w:val="16"/>
                <w:szCs w:val="16"/>
              </w:rPr>
            </w:pPr>
            <w:r>
              <w:rPr>
                <w:rFonts w:ascii="Arial" w:hAnsi="Arial" w:cs="Arial"/>
                <w:sz w:val="16"/>
                <w:szCs w:val="16"/>
              </w:rPr>
              <w:t>(</w:t>
            </w:r>
            <w:r w:rsidR="001C0F49" w:rsidRPr="00B52A20">
              <w:rPr>
                <w:rFonts w:ascii="Arial" w:hAnsi="Arial" w:cs="Arial"/>
                <w:sz w:val="16"/>
                <w:szCs w:val="16"/>
              </w:rPr>
              <w:t>228</w:t>
            </w:r>
            <w:r>
              <w:rPr>
                <w:rFonts w:ascii="Arial" w:hAnsi="Arial" w:cs="Arial"/>
                <w:sz w:val="16"/>
                <w:szCs w:val="16"/>
              </w:rPr>
              <w:t>)</w:t>
            </w:r>
          </w:p>
        </w:tc>
      </w:tr>
      <w:tr w:rsidR="001C0F49" w:rsidRPr="00B52A20" w14:paraId="0F71D502" w14:textId="77777777" w:rsidTr="00AE2189">
        <w:trPr>
          <w:trHeight w:val="204"/>
        </w:trPr>
        <w:tc>
          <w:tcPr>
            <w:tcW w:w="2110" w:type="pct"/>
            <w:tcBorders>
              <w:top w:val="nil"/>
              <w:left w:val="nil"/>
              <w:bottom w:val="single" w:sz="4" w:space="0" w:color="auto"/>
              <w:right w:val="nil"/>
            </w:tcBorders>
            <w:shd w:val="clear" w:color="auto" w:fill="auto"/>
            <w:vAlign w:val="bottom"/>
            <w:hideMark/>
          </w:tcPr>
          <w:p w14:paraId="083AEF4B" w14:textId="77777777" w:rsidR="001C0F49" w:rsidRPr="00B52A20" w:rsidRDefault="001C0F49" w:rsidP="00293BD0">
            <w:pPr>
              <w:spacing w:after="0" w:line="240" w:lineRule="auto"/>
              <w:rPr>
                <w:rFonts w:ascii="Arial" w:hAnsi="Arial" w:cs="Arial"/>
                <w:b/>
                <w:bCs/>
                <w:color w:val="000000"/>
                <w:sz w:val="16"/>
                <w:szCs w:val="16"/>
              </w:rPr>
            </w:pPr>
            <w:r w:rsidRPr="00B52A20">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57FABBEE"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(2,809)</w:t>
            </w:r>
          </w:p>
        </w:tc>
        <w:tc>
          <w:tcPr>
            <w:tcW w:w="571" w:type="pct"/>
            <w:tcBorders>
              <w:top w:val="single" w:sz="4" w:space="0" w:color="auto"/>
              <w:left w:val="nil"/>
              <w:bottom w:val="single" w:sz="4" w:space="0" w:color="auto"/>
              <w:right w:val="nil"/>
            </w:tcBorders>
            <w:shd w:val="clear" w:color="auto" w:fill="E6E6E6"/>
            <w:vAlign w:val="bottom"/>
            <w:hideMark/>
          </w:tcPr>
          <w:p w14:paraId="49086F54"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484</w:t>
            </w:r>
          </w:p>
        </w:tc>
        <w:tc>
          <w:tcPr>
            <w:tcW w:w="572" w:type="pct"/>
            <w:tcBorders>
              <w:top w:val="single" w:sz="4" w:space="0" w:color="auto"/>
              <w:left w:val="nil"/>
              <w:bottom w:val="single" w:sz="4" w:space="0" w:color="auto"/>
              <w:right w:val="nil"/>
            </w:tcBorders>
            <w:shd w:val="clear" w:color="auto" w:fill="auto"/>
            <w:vAlign w:val="bottom"/>
            <w:hideMark/>
          </w:tcPr>
          <w:p w14:paraId="63A3C97F"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531</w:t>
            </w:r>
          </w:p>
        </w:tc>
        <w:tc>
          <w:tcPr>
            <w:tcW w:w="572" w:type="pct"/>
            <w:tcBorders>
              <w:top w:val="single" w:sz="4" w:space="0" w:color="auto"/>
              <w:left w:val="nil"/>
              <w:bottom w:val="single" w:sz="4" w:space="0" w:color="auto"/>
              <w:right w:val="nil"/>
            </w:tcBorders>
            <w:shd w:val="clear" w:color="auto" w:fill="auto"/>
            <w:vAlign w:val="bottom"/>
            <w:hideMark/>
          </w:tcPr>
          <w:p w14:paraId="1D760121"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542</w:t>
            </w:r>
          </w:p>
        </w:tc>
        <w:tc>
          <w:tcPr>
            <w:tcW w:w="571" w:type="pct"/>
            <w:tcBorders>
              <w:top w:val="single" w:sz="4" w:space="0" w:color="auto"/>
              <w:left w:val="nil"/>
              <w:bottom w:val="single" w:sz="4" w:space="0" w:color="auto"/>
              <w:right w:val="nil"/>
            </w:tcBorders>
            <w:shd w:val="clear" w:color="auto" w:fill="auto"/>
            <w:vAlign w:val="bottom"/>
            <w:hideMark/>
          </w:tcPr>
          <w:p w14:paraId="5316095B" w14:textId="77777777" w:rsidR="001C0F49" w:rsidRPr="00B52A20" w:rsidRDefault="001C0F49" w:rsidP="00293BD0">
            <w:pPr>
              <w:spacing w:after="0" w:line="240" w:lineRule="auto"/>
              <w:jc w:val="right"/>
              <w:rPr>
                <w:rFonts w:ascii="Arial" w:hAnsi="Arial" w:cs="Arial"/>
                <w:b/>
                <w:bCs/>
                <w:sz w:val="16"/>
                <w:szCs w:val="16"/>
              </w:rPr>
            </w:pPr>
            <w:r w:rsidRPr="00B52A20">
              <w:rPr>
                <w:rFonts w:ascii="Arial" w:hAnsi="Arial" w:cs="Arial"/>
                <w:b/>
                <w:bCs/>
                <w:sz w:val="16"/>
                <w:szCs w:val="16"/>
              </w:rPr>
              <w:t>555</w:t>
            </w:r>
          </w:p>
        </w:tc>
      </w:tr>
    </w:tbl>
    <w:p w14:paraId="1D056540" w14:textId="77777777" w:rsidR="001C0F49" w:rsidRDefault="001C0F49" w:rsidP="00572266">
      <w:pPr>
        <w:pStyle w:val="ChartandTableFootnoteAlpha"/>
        <w:numPr>
          <w:ilvl w:val="0"/>
          <w:numId w:val="0"/>
        </w:numPr>
        <w:spacing w:before="60"/>
        <w:ind w:left="284" w:hanging="284"/>
        <w:jc w:val="left"/>
      </w:pPr>
      <w:r w:rsidRPr="00576429">
        <w:t>Prepared on Australian Accounting Standards basis.</w:t>
      </w:r>
    </w:p>
    <w:p w14:paraId="730A1293" w14:textId="77777777" w:rsidR="001C0F49" w:rsidRPr="005D106D" w:rsidRDefault="001C0F49" w:rsidP="008D0F63">
      <w:pPr>
        <w:pStyle w:val="ListParagraph"/>
        <w:numPr>
          <w:ilvl w:val="0"/>
          <w:numId w:val="86"/>
        </w:numPr>
        <w:spacing w:after="0" w:line="240" w:lineRule="auto"/>
        <w:ind w:left="426" w:hanging="426"/>
      </w:pPr>
      <w:r w:rsidRPr="0005145F">
        <w:rPr>
          <w:rFonts w:ascii="Arial" w:hAnsi="Arial" w:cs="Arial"/>
          <w:sz w:val="16"/>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z w:val="16"/>
          <w:szCs w:val="16"/>
        </w:rPr>
        <w:t>Department</w:t>
      </w:r>
      <w:r w:rsidRPr="0005145F">
        <w:rPr>
          <w:rFonts w:ascii="Arial" w:hAnsi="Arial" w:cs="Arial"/>
          <w:sz w:val="16"/>
          <w:szCs w:val="16"/>
        </w:rPr>
        <w:t xml:space="preserve">al </w:t>
      </w:r>
      <w:r>
        <w:rPr>
          <w:rFonts w:ascii="Arial" w:hAnsi="Arial" w:cs="Arial"/>
          <w:sz w:val="16"/>
          <w:szCs w:val="16"/>
        </w:rPr>
        <w:t>c</w:t>
      </w:r>
      <w:r w:rsidRPr="0005145F">
        <w:rPr>
          <w:rFonts w:ascii="Arial" w:hAnsi="Arial" w:cs="Arial"/>
          <w:sz w:val="16"/>
          <w:szCs w:val="16"/>
        </w:rPr>
        <w:t xml:space="preserve">apital </w:t>
      </w:r>
      <w:r>
        <w:rPr>
          <w:rFonts w:ascii="Arial" w:hAnsi="Arial" w:cs="Arial"/>
          <w:sz w:val="16"/>
          <w:szCs w:val="16"/>
        </w:rPr>
        <w:t>b</w:t>
      </w:r>
      <w:r w:rsidRPr="0005145F">
        <w:rPr>
          <w:rFonts w:ascii="Arial" w:hAnsi="Arial" w:cs="Arial"/>
          <w:sz w:val="16"/>
          <w:szCs w:val="16"/>
        </w:rPr>
        <w:t xml:space="preserve">udget </w:t>
      </w:r>
      <w:r>
        <w:rPr>
          <w:rFonts w:ascii="Arial" w:hAnsi="Arial" w:cs="Arial"/>
          <w:sz w:val="16"/>
          <w:szCs w:val="16"/>
        </w:rPr>
        <w:t>s</w:t>
      </w:r>
      <w:r w:rsidRPr="0005145F">
        <w:rPr>
          <w:rFonts w:ascii="Arial" w:hAnsi="Arial" w:cs="Arial"/>
          <w:sz w:val="16"/>
          <w:szCs w:val="16"/>
        </w:rPr>
        <w:t>tatement.</w:t>
      </w:r>
    </w:p>
    <w:p w14:paraId="647798CC" w14:textId="77777777" w:rsidR="001C0F49" w:rsidRPr="00E441FA" w:rsidRDefault="001C0F49" w:rsidP="008D0F63">
      <w:pPr>
        <w:pStyle w:val="ListParagraph"/>
        <w:numPr>
          <w:ilvl w:val="0"/>
          <w:numId w:val="86"/>
        </w:numPr>
        <w:spacing w:after="0" w:line="240" w:lineRule="auto"/>
        <w:ind w:left="426" w:hanging="426"/>
        <w:rPr>
          <w:rFonts w:ascii="Arial" w:hAnsi="Arial" w:cs="Arial"/>
          <w:sz w:val="16"/>
          <w:szCs w:val="16"/>
        </w:rPr>
      </w:pPr>
      <w:r w:rsidRPr="005D106D">
        <w:rPr>
          <w:rFonts w:ascii="Arial" w:hAnsi="Arial" w:cs="Arial"/>
          <w:sz w:val="16"/>
          <w:szCs w:val="16"/>
        </w:rPr>
        <w:t>Applies to leases under AASB 16 Leases</w:t>
      </w:r>
      <w:r>
        <w:rPr>
          <w:rFonts w:ascii="Arial" w:hAnsi="Arial" w:cs="Arial"/>
          <w:sz w:val="16"/>
          <w:szCs w:val="16"/>
        </w:rPr>
        <w:t>.</w:t>
      </w:r>
    </w:p>
    <w:p w14:paraId="5B2DACA4" w14:textId="77777777" w:rsidR="001C0F49" w:rsidRDefault="001C0F49" w:rsidP="001C0F49">
      <w:pPr>
        <w:pStyle w:val="TableHeadingcontinued"/>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3129"/>
        <w:gridCol w:w="976"/>
        <w:gridCol w:w="902"/>
        <w:gridCol w:w="902"/>
        <w:gridCol w:w="902"/>
        <w:gridCol w:w="899"/>
      </w:tblGrid>
      <w:tr w:rsidR="001C0F49" w:rsidRPr="006F35F7" w14:paraId="466526AB" w14:textId="77777777" w:rsidTr="00AE2189">
        <w:trPr>
          <w:trHeight w:val="204"/>
        </w:trPr>
        <w:tc>
          <w:tcPr>
            <w:tcW w:w="2029" w:type="pct"/>
            <w:tcBorders>
              <w:top w:val="single" w:sz="4" w:space="0" w:color="auto"/>
              <w:left w:val="nil"/>
              <w:bottom w:val="nil"/>
              <w:right w:val="nil"/>
            </w:tcBorders>
            <w:shd w:val="clear" w:color="auto" w:fill="auto"/>
            <w:noWrap/>
            <w:vAlign w:val="bottom"/>
            <w:hideMark/>
          </w:tcPr>
          <w:p w14:paraId="0244E3F4" w14:textId="77777777" w:rsidR="001C0F49" w:rsidRPr="006F35F7" w:rsidRDefault="001C0F49" w:rsidP="00293BD0">
            <w:pPr>
              <w:spacing w:after="0" w:line="240" w:lineRule="auto"/>
              <w:rPr>
                <w:rFonts w:ascii="Arial" w:hAnsi="Arial" w:cs="Arial"/>
                <w:b/>
                <w:bCs/>
                <w:sz w:val="16"/>
                <w:szCs w:val="16"/>
              </w:rPr>
            </w:pPr>
            <w:r w:rsidRPr="006F35F7">
              <w:rPr>
                <w:rFonts w:ascii="Arial" w:hAnsi="Arial" w:cs="Arial"/>
                <w:b/>
                <w:bCs/>
                <w:sz w:val="16"/>
                <w:szCs w:val="16"/>
              </w:rPr>
              <w:t> </w:t>
            </w:r>
          </w:p>
        </w:tc>
        <w:tc>
          <w:tcPr>
            <w:tcW w:w="633" w:type="pct"/>
            <w:tcBorders>
              <w:top w:val="single" w:sz="4" w:space="0" w:color="auto"/>
              <w:left w:val="nil"/>
              <w:bottom w:val="single" w:sz="4" w:space="0" w:color="auto"/>
              <w:right w:val="nil"/>
            </w:tcBorders>
            <w:shd w:val="clear" w:color="auto" w:fill="auto"/>
            <w:vAlign w:val="bottom"/>
            <w:hideMark/>
          </w:tcPr>
          <w:p w14:paraId="27E9A8FC" w14:textId="77777777" w:rsidR="001C0F49" w:rsidRPr="006F35F7" w:rsidRDefault="001C0F49" w:rsidP="00293BD0">
            <w:pPr>
              <w:spacing w:after="0" w:line="240" w:lineRule="auto"/>
              <w:jc w:val="right"/>
              <w:rPr>
                <w:rFonts w:ascii="Arial" w:hAnsi="Arial" w:cs="Arial"/>
                <w:sz w:val="16"/>
                <w:szCs w:val="16"/>
              </w:rPr>
            </w:pPr>
            <w:r w:rsidRPr="006F35F7">
              <w:rPr>
                <w:rFonts w:ascii="Arial" w:hAnsi="Arial" w:cs="Arial"/>
                <w:sz w:val="16"/>
                <w:szCs w:val="16"/>
              </w:rPr>
              <w:t>2021-22 Estimated actual</w:t>
            </w:r>
            <w:r w:rsidRPr="006F35F7">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E6E6E6"/>
            <w:vAlign w:val="bottom"/>
            <w:hideMark/>
          </w:tcPr>
          <w:p w14:paraId="4A049EDF" w14:textId="77777777" w:rsidR="001C0F49" w:rsidRPr="006F35F7" w:rsidRDefault="001C0F49" w:rsidP="00293BD0">
            <w:pPr>
              <w:spacing w:after="0" w:line="240" w:lineRule="auto"/>
              <w:jc w:val="right"/>
              <w:rPr>
                <w:rFonts w:ascii="Arial" w:hAnsi="Arial" w:cs="Arial"/>
                <w:sz w:val="16"/>
                <w:szCs w:val="16"/>
              </w:rPr>
            </w:pPr>
            <w:r w:rsidRPr="006F35F7">
              <w:rPr>
                <w:rFonts w:ascii="Arial" w:hAnsi="Arial" w:cs="Arial"/>
                <w:sz w:val="16"/>
                <w:szCs w:val="16"/>
              </w:rPr>
              <w:t>2022-23</w:t>
            </w:r>
            <w:r w:rsidRPr="006F35F7">
              <w:rPr>
                <w:rFonts w:ascii="Arial" w:hAnsi="Arial" w:cs="Arial"/>
                <w:sz w:val="16"/>
                <w:szCs w:val="16"/>
              </w:rPr>
              <w:br/>
              <w:t>Budget</w:t>
            </w:r>
            <w:r w:rsidRPr="006F35F7">
              <w:rPr>
                <w:rFonts w:ascii="Arial" w:hAnsi="Arial" w:cs="Arial"/>
                <w:sz w:val="16"/>
                <w:szCs w:val="16"/>
              </w:rPr>
              <w:br/>
            </w:r>
            <w:r w:rsidRPr="006F35F7">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2E4F9AE4" w14:textId="77777777" w:rsidR="001C0F49" w:rsidRPr="006F35F7" w:rsidRDefault="001C0F49" w:rsidP="00293BD0">
            <w:pPr>
              <w:spacing w:after="0" w:line="240" w:lineRule="auto"/>
              <w:jc w:val="right"/>
              <w:rPr>
                <w:rFonts w:ascii="Arial" w:hAnsi="Arial" w:cs="Arial"/>
                <w:sz w:val="16"/>
                <w:szCs w:val="16"/>
              </w:rPr>
            </w:pPr>
            <w:r w:rsidRPr="006F35F7">
              <w:rPr>
                <w:rFonts w:ascii="Arial" w:hAnsi="Arial" w:cs="Arial"/>
                <w:sz w:val="16"/>
                <w:szCs w:val="16"/>
              </w:rPr>
              <w:t>2023-24 Forward estimate</w:t>
            </w:r>
            <w:r w:rsidRPr="006F35F7">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3EF5FA6A" w14:textId="77777777" w:rsidR="001C0F49" w:rsidRPr="006F35F7" w:rsidRDefault="001C0F49" w:rsidP="00293BD0">
            <w:pPr>
              <w:spacing w:after="0" w:line="240" w:lineRule="auto"/>
              <w:jc w:val="right"/>
              <w:rPr>
                <w:rFonts w:ascii="Arial" w:hAnsi="Arial" w:cs="Arial"/>
                <w:sz w:val="16"/>
                <w:szCs w:val="16"/>
              </w:rPr>
            </w:pPr>
            <w:r w:rsidRPr="006F35F7">
              <w:rPr>
                <w:rFonts w:ascii="Arial" w:hAnsi="Arial" w:cs="Arial"/>
                <w:sz w:val="16"/>
                <w:szCs w:val="16"/>
              </w:rPr>
              <w:t>2024-25 Forward estimate</w:t>
            </w:r>
            <w:r w:rsidRPr="006F35F7">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vAlign w:val="bottom"/>
            <w:hideMark/>
          </w:tcPr>
          <w:p w14:paraId="7D948953" w14:textId="77777777" w:rsidR="001C0F49" w:rsidRPr="006F35F7" w:rsidRDefault="001C0F49" w:rsidP="00293BD0">
            <w:pPr>
              <w:spacing w:after="0" w:line="240" w:lineRule="auto"/>
              <w:jc w:val="right"/>
              <w:rPr>
                <w:rFonts w:ascii="Arial" w:hAnsi="Arial" w:cs="Arial"/>
                <w:sz w:val="16"/>
                <w:szCs w:val="16"/>
              </w:rPr>
            </w:pPr>
            <w:r w:rsidRPr="006F35F7">
              <w:rPr>
                <w:rFonts w:ascii="Arial" w:hAnsi="Arial" w:cs="Arial"/>
                <w:sz w:val="16"/>
                <w:szCs w:val="16"/>
              </w:rPr>
              <w:t>2025-26</w:t>
            </w:r>
            <w:r w:rsidRPr="006F35F7">
              <w:rPr>
                <w:rFonts w:ascii="Arial" w:hAnsi="Arial" w:cs="Arial"/>
                <w:sz w:val="16"/>
                <w:szCs w:val="16"/>
              </w:rPr>
              <w:br/>
              <w:t>Forward estimate</w:t>
            </w:r>
            <w:r w:rsidRPr="006F35F7">
              <w:rPr>
                <w:rFonts w:ascii="Arial" w:hAnsi="Arial" w:cs="Arial"/>
                <w:sz w:val="16"/>
                <w:szCs w:val="16"/>
              </w:rPr>
              <w:br/>
              <w:t>$'000</w:t>
            </w:r>
          </w:p>
        </w:tc>
      </w:tr>
      <w:tr w:rsidR="001C0F49" w:rsidRPr="006F35F7" w14:paraId="10DBB832" w14:textId="77777777" w:rsidTr="00AE2189">
        <w:trPr>
          <w:trHeight w:val="204"/>
        </w:trPr>
        <w:tc>
          <w:tcPr>
            <w:tcW w:w="2029" w:type="pct"/>
            <w:tcBorders>
              <w:top w:val="nil"/>
              <w:left w:val="nil"/>
              <w:bottom w:val="nil"/>
              <w:right w:val="nil"/>
            </w:tcBorders>
            <w:shd w:val="clear" w:color="auto" w:fill="auto"/>
            <w:noWrap/>
            <w:vAlign w:val="bottom"/>
            <w:hideMark/>
          </w:tcPr>
          <w:p w14:paraId="31894F28"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ASSETS</w:t>
            </w:r>
          </w:p>
        </w:tc>
        <w:tc>
          <w:tcPr>
            <w:tcW w:w="633" w:type="pct"/>
            <w:tcBorders>
              <w:top w:val="nil"/>
              <w:left w:val="nil"/>
              <w:bottom w:val="nil"/>
              <w:right w:val="nil"/>
            </w:tcBorders>
            <w:shd w:val="clear" w:color="auto" w:fill="auto"/>
            <w:noWrap/>
            <w:vAlign w:val="bottom"/>
            <w:hideMark/>
          </w:tcPr>
          <w:p w14:paraId="7BAE6D9F"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6DB06086"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2273E6F3"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36FABE7"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7E229C86" w14:textId="77777777" w:rsidR="001C0F49" w:rsidRPr="006F35F7" w:rsidRDefault="001C0F49" w:rsidP="00572266">
            <w:pPr>
              <w:spacing w:after="0" w:line="240" w:lineRule="auto"/>
              <w:jc w:val="right"/>
              <w:rPr>
                <w:rFonts w:ascii="Times New Roman" w:hAnsi="Times New Roman"/>
              </w:rPr>
            </w:pPr>
          </w:p>
        </w:tc>
      </w:tr>
      <w:tr w:rsidR="001C0F49" w:rsidRPr="006F35F7" w14:paraId="27772305" w14:textId="77777777" w:rsidTr="00AE2189">
        <w:trPr>
          <w:trHeight w:val="204"/>
        </w:trPr>
        <w:tc>
          <w:tcPr>
            <w:tcW w:w="2029" w:type="pct"/>
            <w:tcBorders>
              <w:top w:val="nil"/>
              <w:left w:val="nil"/>
              <w:bottom w:val="nil"/>
              <w:right w:val="nil"/>
            </w:tcBorders>
            <w:shd w:val="clear" w:color="auto" w:fill="auto"/>
            <w:noWrap/>
            <w:vAlign w:val="bottom"/>
            <w:hideMark/>
          </w:tcPr>
          <w:p w14:paraId="5835FED9"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Financial assets</w:t>
            </w:r>
          </w:p>
        </w:tc>
        <w:tc>
          <w:tcPr>
            <w:tcW w:w="633" w:type="pct"/>
            <w:tcBorders>
              <w:top w:val="nil"/>
              <w:left w:val="nil"/>
              <w:bottom w:val="nil"/>
              <w:right w:val="nil"/>
            </w:tcBorders>
            <w:shd w:val="clear" w:color="auto" w:fill="auto"/>
            <w:noWrap/>
            <w:vAlign w:val="bottom"/>
            <w:hideMark/>
          </w:tcPr>
          <w:p w14:paraId="2A7EBCE0"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5B20A262"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E026E9C"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0E5A0475"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2E69AF4F" w14:textId="77777777" w:rsidR="001C0F49" w:rsidRPr="006F35F7" w:rsidRDefault="001C0F49" w:rsidP="00572266">
            <w:pPr>
              <w:spacing w:after="0" w:line="240" w:lineRule="auto"/>
              <w:jc w:val="right"/>
              <w:rPr>
                <w:rFonts w:ascii="Times New Roman" w:hAnsi="Times New Roman"/>
              </w:rPr>
            </w:pPr>
          </w:p>
        </w:tc>
      </w:tr>
      <w:tr w:rsidR="001C0F49" w:rsidRPr="006F35F7" w14:paraId="416E2188" w14:textId="77777777" w:rsidTr="00AE2189">
        <w:trPr>
          <w:trHeight w:val="204"/>
        </w:trPr>
        <w:tc>
          <w:tcPr>
            <w:tcW w:w="2029" w:type="pct"/>
            <w:tcBorders>
              <w:top w:val="nil"/>
              <w:left w:val="nil"/>
              <w:bottom w:val="nil"/>
              <w:right w:val="nil"/>
            </w:tcBorders>
            <w:shd w:val="clear" w:color="auto" w:fill="auto"/>
            <w:noWrap/>
            <w:vAlign w:val="bottom"/>
            <w:hideMark/>
          </w:tcPr>
          <w:p w14:paraId="20874EEF"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 xml:space="preserve">Cash </w:t>
            </w:r>
            <w:r w:rsidRPr="006F35F7">
              <w:rPr>
                <w:rFonts w:ascii="Arial" w:hAnsi="Arial" w:cs="Arial"/>
                <w:sz w:val="16"/>
                <w:szCs w:val="16"/>
              </w:rPr>
              <w:t>and cash equivalents</w:t>
            </w:r>
          </w:p>
        </w:tc>
        <w:tc>
          <w:tcPr>
            <w:tcW w:w="633" w:type="pct"/>
            <w:tcBorders>
              <w:top w:val="nil"/>
              <w:left w:val="nil"/>
              <w:bottom w:val="nil"/>
              <w:right w:val="nil"/>
            </w:tcBorders>
            <w:shd w:val="clear" w:color="auto" w:fill="auto"/>
            <w:noWrap/>
            <w:vAlign w:val="bottom"/>
            <w:hideMark/>
          </w:tcPr>
          <w:p w14:paraId="01EBF1A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8,579</w:t>
            </w:r>
          </w:p>
        </w:tc>
        <w:tc>
          <w:tcPr>
            <w:tcW w:w="585" w:type="pct"/>
            <w:tcBorders>
              <w:top w:val="nil"/>
              <w:left w:val="nil"/>
              <w:bottom w:val="nil"/>
              <w:right w:val="nil"/>
            </w:tcBorders>
            <w:shd w:val="clear" w:color="auto" w:fill="E6E6E6"/>
            <w:noWrap/>
            <w:vAlign w:val="bottom"/>
            <w:hideMark/>
          </w:tcPr>
          <w:p w14:paraId="53A3654B"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7,591</w:t>
            </w:r>
          </w:p>
        </w:tc>
        <w:tc>
          <w:tcPr>
            <w:tcW w:w="585" w:type="pct"/>
            <w:tcBorders>
              <w:top w:val="nil"/>
              <w:left w:val="nil"/>
              <w:bottom w:val="nil"/>
              <w:right w:val="nil"/>
            </w:tcBorders>
            <w:shd w:val="clear" w:color="auto" w:fill="auto"/>
            <w:noWrap/>
            <w:vAlign w:val="bottom"/>
            <w:hideMark/>
          </w:tcPr>
          <w:p w14:paraId="3E71DA3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5,972</w:t>
            </w:r>
          </w:p>
        </w:tc>
        <w:tc>
          <w:tcPr>
            <w:tcW w:w="585" w:type="pct"/>
            <w:tcBorders>
              <w:top w:val="nil"/>
              <w:left w:val="nil"/>
              <w:bottom w:val="nil"/>
              <w:right w:val="nil"/>
            </w:tcBorders>
            <w:shd w:val="clear" w:color="auto" w:fill="auto"/>
            <w:noWrap/>
            <w:vAlign w:val="bottom"/>
            <w:hideMark/>
          </w:tcPr>
          <w:p w14:paraId="30CD7D5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4,364</w:t>
            </w:r>
          </w:p>
        </w:tc>
        <w:tc>
          <w:tcPr>
            <w:tcW w:w="585" w:type="pct"/>
            <w:tcBorders>
              <w:top w:val="nil"/>
              <w:left w:val="nil"/>
              <w:bottom w:val="nil"/>
              <w:right w:val="nil"/>
            </w:tcBorders>
            <w:shd w:val="clear" w:color="auto" w:fill="auto"/>
            <w:noWrap/>
            <w:vAlign w:val="bottom"/>
            <w:hideMark/>
          </w:tcPr>
          <w:p w14:paraId="564F75FC"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3,352</w:t>
            </w:r>
          </w:p>
        </w:tc>
      </w:tr>
      <w:tr w:rsidR="001C0F49" w:rsidRPr="006F35F7" w14:paraId="106B9760" w14:textId="77777777" w:rsidTr="00AE2189">
        <w:trPr>
          <w:trHeight w:val="204"/>
        </w:trPr>
        <w:tc>
          <w:tcPr>
            <w:tcW w:w="2029" w:type="pct"/>
            <w:tcBorders>
              <w:top w:val="nil"/>
              <w:left w:val="nil"/>
              <w:bottom w:val="nil"/>
              <w:right w:val="nil"/>
            </w:tcBorders>
            <w:shd w:val="clear" w:color="auto" w:fill="auto"/>
            <w:noWrap/>
            <w:vAlign w:val="bottom"/>
            <w:hideMark/>
          </w:tcPr>
          <w:p w14:paraId="39094835" w14:textId="77777777" w:rsidR="001C0F49" w:rsidRPr="006F35F7" w:rsidRDefault="001C0F49" w:rsidP="00293BD0">
            <w:pPr>
              <w:spacing w:after="0" w:line="240" w:lineRule="auto"/>
              <w:ind w:left="113"/>
              <w:rPr>
                <w:rFonts w:ascii="Arial" w:hAnsi="Arial" w:cs="Arial"/>
                <w:sz w:val="16"/>
                <w:szCs w:val="16"/>
              </w:rPr>
            </w:pPr>
            <w:r w:rsidRPr="006F35F7">
              <w:rPr>
                <w:rFonts w:ascii="Arial" w:hAnsi="Arial" w:cs="Arial"/>
                <w:sz w:val="16"/>
                <w:szCs w:val="16"/>
              </w:rPr>
              <w:t>Trade and other receivables</w:t>
            </w:r>
          </w:p>
        </w:tc>
        <w:tc>
          <w:tcPr>
            <w:tcW w:w="633" w:type="pct"/>
            <w:tcBorders>
              <w:top w:val="nil"/>
              <w:left w:val="nil"/>
              <w:bottom w:val="nil"/>
              <w:right w:val="nil"/>
            </w:tcBorders>
            <w:shd w:val="clear" w:color="auto" w:fill="auto"/>
            <w:noWrap/>
            <w:vAlign w:val="bottom"/>
            <w:hideMark/>
          </w:tcPr>
          <w:p w14:paraId="3423DF0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280</w:t>
            </w:r>
          </w:p>
        </w:tc>
        <w:tc>
          <w:tcPr>
            <w:tcW w:w="585" w:type="pct"/>
            <w:tcBorders>
              <w:top w:val="nil"/>
              <w:left w:val="nil"/>
              <w:bottom w:val="nil"/>
              <w:right w:val="nil"/>
            </w:tcBorders>
            <w:shd w:val="clear" w:color="auto" w:fill="E6E6E6"/>
            <w:noWrap/>
            <w:vAlign w:val="bottom"/>
            <w:hideMark/>
          </w:tcPr>
          <w:p w14:paraId="5F2F540C"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280</w:t>
            </w:r>
          </w:p>
        </w:tc>
        <w:tc>
          <w:tcPr>
            <w:tcW w:w="585" w:type="pct"/>
            <w:tcBorders>
              <w:top w:val="nil"/>
              <w:left w:val="nil"/>
              <w:bottom w:val="nil"/>
              <w:right w:val="nil"/>
            </w:tcBorders>
            <w:shd w:val="clear" w:color="auto" w:fill="auto"/>
            <w:noWrap/>
            <w:vAlign w:val="bottom"/>
            <w:hideMark/>
          </w:tcPr>
          <w:p w14:paraId="35B84805"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280</w:t>
            </w:r>
          </w:p>
        </w:tc>
        <w:tc>
          <w:tcPr>
            <w:tcW w:w="585" w:type="pct"/>
            <w:tcBorders>
              <w:top w:val="nil"/>
              <w:left w:val="nil"/>
              <w:bottom w:val="nil"/>
              <w:right w:val="nil"/>
            </w:tcBorders>
            <w:shd w:val="clear" w:color="auto" w:fill="auto"/>
            <w:noWrap/>
            <w:vAlign w:val="bottom"/>
            <w:hideMark/>
          </w:tcPr>
          <w:p w14:paraId="79AFC4B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280</w:t>
            </w:r>
          </w:p>
        </w:tc>
        <w:tc>
          <w:tcPr>
            <w:tcW w:w="585" w:type="pct"/>
            <w:tcBorders>
              <w:top w:val="nil"/>
              <w:left w:val="nil"/>
              <w:bottom w:val="nil"/>
              <w:right w:val="nil"/>
            </w:tcBorders>
            <w:shd w:val="clear" w:color="auto" w:fill="auto"/>
            <w:noWrap/>
            <w:vAlign w:val="bottom"/>
            <w:hideMark/>
          </w:tcPr>
          <w:p w14:paraId="671AF666"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280</w:t>
            </w:r>
          </w:p>
        </w:tc>
      </w:tr>
      <w:tr w:rsidR="001C0F49" w:rsidRPr="006F35F7" w14:paraId="63AD7A03" w14:textId="77777777" w:rsidTr="00AE2189">
        <w:trPr>
          <w:trHeight w:val="204"/>
        </w:trPr>
        <w:tc>
          <w:tcPr>
            <w:tcW w:w="2029" w:type="pct"/>
            <w:tcBorders>
              <w:top w:val="nil"/>
              <w:left w:val="nil"/>
              <w:bottom w:val="nil"/>
              <w:right w:val="nil"/>
            </w:tcBorders>
            <w:shd w:val="clear" w:color="auto" w:fill="auto"/>
            <w:noWrap/>
            <w:vAlign w:val="bottom"/>
            <w:hideMark/>
          </w:tcPr>
          <w:p w14:paraId="0A9AFC12" w14:textId="77777777" w:rsidR="001C0F49" w:rsidRPr="006F35F7" w:rsidRDefault="001C0F49" w:rsidP="00293BD0">
            <w:pPr>
              <w:spacing w:after="0" w:line="240" w:lineRule="auto"/>
              <w:rPr>
                <w:rFonts w:ascii="Arial" w:hAnsi="Arial" w:cs="Arial"/>
                <w:b/>
                <w:bCs/>
                <w:i/>
                <w:iCs/>
                <w:color w:val="000000"/>
                <w:sz w:val="16"/>
                <w:szCs w:val="16"/>
              </w:rPr>
            </w:pPr>
            <w:r w:rsidRPr="006F35F7">
              <w:rPr>
                <w:rFonts w:ascii="Arial" w:hAnsi="Arial" w:cs="Arial"/>
                <w:b/>
                <w:bCs/>
                <w:i/>
                <w:iCs/>
                <w:color w:val="000000"/>
                <w:sz w:val="16"/>
                <w:szCs w:val="16"/>
              </w:rPr>
              <w:t>Total 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76C4E8DF"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8,859</w:t>
            </w:r>
          </w:p>
        </w:tc>
        <w:tc>
          <w:tcPr>
            <w:tcW w:w="585" w:type="pct"/>
            <w:tcBorders>
              <w:top w:val="single" w:sz="4" w:space="0" w:color="000000"/>
              <w:left w:val="nil"/>
              <w:bottom w:val="single" w:sz="4" w:space="0" w:color="000000"/>
              <w:right w:val="nil"/>
            </w:tcBorders>
            <w:shd w:val="clear" w:color="auto" w:fill="E6E6E6"/>
            <w:noWrap/>
            <w:vAlign w:val="bottom"/>
            <w:hideMark/>
          </w:tcPr>
          <w:p w14:paraId="7B26A4E6"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7,871</w:t>
            </w:r>
          </w:p>
        </w:tc>
        <w:tc>
          <w:tcPr>
            <w:tcW w:w="585" w:type="pct"/>
            <w:tcBorders>
              <w:top w:val="single" w:sz="4" w:space="0" w:color="000000"/>
              <w:left w:val="nil"/>
              <w:bottom w:val="single" w:sz="4" w:space="0" w:color="000000"/>
              <w:right w:val="nil"/>
            </w:tcBorders>
            <w:shd w:val="clear" w:color="auto" w:fill="auto"/>
            <w:noWrap/>
            <w:vAlign w:val="bottom"/>
            <w:hideMark/>
          </w:tcPr>
          <w:p w14:paraId="14910F5B"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6,252</w:t>
            </w:r>
          </w:p>
        </w:tc>
        <w:tc>
          <w:tcPr>
            <w:tcW w:w="585" w:type="pct"/>
            <w:tcBorders>
              <w:top w:val="single" w:sz="4" w:space="0" w:color="000000"/>
              <w:left w:val="nil"/>
              <w:bottom w:val="single" w:sz="4" w:space="0" w:color="000000"/>
              <w:right w:val="nil"/>
            </w:tcBorders>
            <w:shd w:val="clear" w:color="auto" w:fill="auto"/>
            <w:noWrap/>
            <w:vAlign w:val="bottom"/>
            <w:hideMark/>
          </w:tcPr>
          <w:p w14:paraId="1C06DD05"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4,644</w:t>
            </w:r>
          </w:p>
        </w:tc>
        <w:tc>
          <w:tcPr>
            <w:tcW w:w="585" w:type="pct"/>
            <w:tcBorders>
              <w:top w:val="single" w:sz="4" w:space="0" w:color="000000"/>
              <w:left w:val="nil"/>
              <w:bottom w:val="single" w:sz="4" w:space="0" w:color="000000"/>
              <w:right w:val="nil"/>
            </w:tcBorders>
            <w:shd w:val="clear" w:color="auto" w:fill="auto"/>
            <w:noWrap/>
            <w:vAlign w:val="bottom"/>
            <w:hideMark/>
          </w:tcPr>
          <w:p w14:paraId="4E59BCD1"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3,632</w:t>
            </w:r>
          </w:p>
        </w:tc>
      </w:tr>
      <w:tr w:rsidR="001C0F49" w:rsidRPr="006F35F7" w14:paraId="20F6C02E" w14:textId="77777777" w:rsidTr="00AE2189">
        <w:trPr>
          <w:trHeight w:val="204"/>
        </w:trPr>
        <w:tc>
          <w:tcPr>
            <w:tcW w:w="2029" w:type="pct"/>
            <w:tcBorders>
              <w:top w:val="nil"/>
              <w:left w:val="nil"/>
              <w:bottom w:val="nil"/>
              <w:right w:val="nil"/>
            </w:tcBorders>
            <w:shd w:val="clear" w:color="auto" w:fill="auto"/>
            <w:noWrap/>
            <w:vAlign w:val="bottom"/>
            <w:hideMark/>
          </w:tcPr>
          <w:p w14:paraId="112EA800"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Non-financial assets</w:t>
            </w:r>
          </w:p>
        </w:tc>
        <w:tc>
          <w:tcPr>
            <w:tcW w:w="633" w:type="pct"/>
            <w:tcBorders>
              <w:top w:val="nil"/>
              <w:left w:val="nil"/>
              <w:bottom w:val="nil"/>
              <w:right w:val="nil"/>
            </w:tcBorders>
            <w:shd w:val="clear" w:color="auto" w:fill="auto"/>
            <w:noWrap/>
            <w:vAlign w:val="bottom"/>
            <w:hideMark/>
          </w:tcPr>
          <w:p w14:paraId="45EFB27C"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179F1884"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D7C2EC8"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01B9CA7"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2E557F05" w14:textId="77777777" w:rsidR="001C0F49" w:rsidRPr="006F35F7" w:rsidRDefault="001C0F49" w:rsidP="00572266">
            <w:pPr>
              <w:spacing w:after="0" w:line="240" w:lineRule="auto"/>
              <w:jc w:val="right"/>
              <w:rPr>
                <w:rFonts w:ascii="Times New Roman" w:hAnsi="Times New Roman"/>
              </w:rPr>
            </w:pPr>
          </w:p>
        </w:tc>
      </w:tr>
      <w:tr w:rsidR="001C0F49" w:rsidRPr="006F35F7" w14:paraId="36463E93" w14:textId="77777777" w:rsidTr="00AE2189">
        <w:trPr>
          <w:trHeight w:val="204"/>
        </w:trPr>
        <w:tc>
          <w:tcPr>
            <w:tcW w:w="2029" w:type="pct"/>
            <w:tcBorders>
              <w:top w:val="nil"/>
              <w:left w:val="nil"/>
              <w:bottom w:val="nil"/>
              <w:right w:val="nil"/>
            </w:tcBorders>
            <w:shd w:val="clear" w:color="auto" w:fill="auto"/>
            <w:noWrap/>
            <w:vAlign w:val="bottom"/>
            <w:hideMark/>
          </w:tcPr>
          <w:p w14:paraId="353764A0"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Land and buildings</w:t>
            </w:r>
          </w:p>
        </w:tc>
        <w:tc>
          <w:tcPr>
            <w:tcW w:w="633" w:type="pct"/>
            <w:tcBorders>
              <w:top w:val="nil"/>
              <w:left w:val="nil"/>
              <w:bottom w:val="nil"/>
              <w:right w:val="nil"/>
            </w:tcBorders>
            <w:shd w:val="clear" w:color="auto" w:fill="auto"/>
            <w:noWrap/>
            <w:vAlign w:val="bottom"/>
            <w:hideMark/>
          </w:tcPr>
          <w:p w14:paraId="291C25A5"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1,051</w:t>
            </w:r>
          </w:p>
        </w:tc>
        <w:tc>
          <w:tcPr>
            <w:tcW w:w="585" w:type="pct"/>
            <w:tcBorders>
              <w:top w:val="nil"/>
              <w:left w:val="nil"/>
              <w:bottom w:val="nil"/>
              <w:right w:val="nil"/>
            </w:tcBorders>
            <w:shd w:val="clear" w:color="auto" w:fill="E6E6E6"/>
            <w:noWrap/>
            <w:vAlign w:val="bottom"/>
            <w:hideMark/>
          </w:tcPr>
          <w:p w14:paraId="37DCE46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1,090</w:t>
            </w:r>
          </w:p>
        </w:tc>
        <w:tc>
          <w:tcPr>
            <w:tcW w:w="585" w:type="pct"/>
            <w:tcBorders>
              <w:top w:val="nil"/>
              <w:left w:val="nil"/>
              <w:bottom w:val="nil"/>
              <w:right w:val="nil"/>
            </w:tcBorders>
            <w:shd w:val="clear" w:color="auto" w:fill="auto"/>
            <w:noWrap/>
            <w:vAlign w:val="bottom"/>
            <w:hideMark/>
          </w:tcPr>
          <w:p w14:paraId="3033763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867</w:t>
            </w:r>
          </w:p>
        </w:tc>
        <w:tc>
          <w:tcPr>
            <w:tcW w:w="585" w:type="pct"/>
            <w:tcBorders>
              <w:top w:val="nil"/>
              <w:left w:val="nil"/>
              <w:bottom w:val="nil"/>
              <w:right w:val="nil"/>
            </w:tcBorders>
            <w:shd w:val="clear" w:color="auto" w:fill="auto"/>
            <w:noWrap/>
            <w:vAlign w:val="bottom"/>
            <w:hideMark/>
          </w:tcPr>
          <w:p w14:paraId="414A4524"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644</w:t>
            </w:r>
          </w:p>
        </w:tc>
        <w:tc>
          <w:tcPr>
            <w:tcW w:w="585" w:type="pct"/>
            <w:tcBorders>
              <w:top w:val="nil"/>
              <w:left w:val="nil"/>
              <w:bottom w:val="nil"/>
              <w:right w:val="nil"/>
            </w:tcBorders>
            <w:shd w:val="clear" w:color="auto" w:fill="auto"/>
            <w:noWrap/>
            <w:vAlign w:val="bottom"/>
            <w:hideMark/>
          </w:tcPr>
          <w:p w14:paraId="594B3BE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421</w:t>
            </w:r>
          </w:p>
        </w:tc>
      </w:tr>
      <w:tr w:rsidR="001C0F49" w:rsidRPr="006F35F7" w14:paraId="76A5A345" w14:textId="77777777" w:rsidTr="00AE2189">
        <w:trPr>
          <w:trHeight w:val="204"/>
        </w:trPr>
        <w:tc>
          <w:tcPr>
            <w:tcW w:w="2029" w:type="pct"/>
            <w:tcBorders>
              <w:top w:val="nil"/>
              <w:left w:val="nil"/>
              <w:bottom w:val="nil"/>
              <w:right w:val="nil"/>
            </w:tcBorders>
            <w:shd w:val="clear" w:color="auto" w:fill="auto"/>
            <w:noWrap/>
            <w:vAlign w:val="bottom"/>
            <w:hideMark/>
          </w:tcPr>
          <w:p w14:paraId="3FDB5A94"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Property, plant and equipment</w:t>
            </w:r>
          </w:p>
        </w:tc>
        <w:tc>
          <w:tcPr>
            <w:tcW w:w="633" w:type="pct"/>
            <w:tcBorders>
              <w:top w:val="nil"/>
              <w:left w:val="nil"/>
              <w:bottom w:val="nil"/>
              <w:right w:val="nil"/>
            </w:tcBorders>
            <w:shd w:val="clear" w:color="auto" w:fill="auto"/>
            <w:noWrap/>
            <w:vAlign w:val="bottom"/>
            <w:hideMark/>
          </w:tcPr>
          <w:p w14:paraId="5D2EBD0D"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4,657</w:t>
            </w:r>
          </w:p>
        </w:tc>
        <w:tc>
          <w:tcPr>
            <w:tcW w:w="585" w:type="pct"/>
            <w:tcBorders>
              <w:top w:val="nil"/>
              <w:left w:val="nil"/>
              <w:bottom w:val="nil"/>
              <w:right w:val="nil"/>
            </w:tcBorders>
            <w:shd w:val="clear" w:color="auto" w:fill="E6E6E6"/>
            <w:noWrap/>
            <w:vAlign w:val="bottom"/>
            <w:hideMark/>
          </w:tcPr>
          <w:p w14:paraId="65177B0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4,805</w:t>
            </w:r>
          </w:p>
        </w:tc>
        <w:tc>
          <w:tcPr>
            <w:tcW w:w="585" w:type="pct"/>
            <w:tcBorders>
              <w:top w:val="nil"/>
              <w:left w:val="nil"/>
              <w:bottom w:val="nil"/>
              <w:right w:val="nil"/>
            </w:tcBorders>
            <w:shd w:val="clear" w:color="auto" w:fill="auto"/>
            <w:noWrap/>
            <w:vAlign w:val="bottom"/>
            <w:hideMark/>
          </w:tcPr>
          <w:p w14:paraId="50D7BD8B"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5,078</w:t>
            </w:r>
          </w:p>
        </w:tc>
        <w:tc>
          <w:tcPr>
            <w:tcW w:w="585" w:type="pct"/>
            <w:tcBorders>
              <w:top w:val="nil"/>
              <w:left w:val="nil"/>
              <w:bottom w:val="nil"/>
              <w:right w:val="nil"/>
            </w:tcBorders>
            <w:shd w:val="clear" w:color="auto" w:fill="auto"/>
            <w:noWrap/>
            <w:vAlign w:val="bottom"/>
            <w:hideMark/>
          </w:tcPr>
          <w:p w14:paraId="7F8F5CF4"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5,128</w:t>
            </w:r>
          </w:p>
        </w:tc>
        <w:tc>
          <w:tcPr>
            <w:tcW w:w="585" w:type="pct"/>
            <w:tcBorders>
              <w:top w:val="nil"/>
              <w:left w:val="nil"/>
              <w:bottom w:val="nil"/>
              <w:right w:val="nil"/>
            </w:tcBorders>
            <w:shd w:val="clear" w:color="auto" w:fill="auto"/>
            <w:noWrap/>
            <w:vAlign w:val="bottom"/>
            <w:hideMark/>
          </w:tcPr>
          <w:p w14:paraId="39EDE637"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5,178</w:t>
            </w:r>
          </w:p>
        </w:tc>
      </w:tr>
      <w:tr w:rsidR="001C0F49" w:rsidRPr="006F35F7" w14:paraId="4D363EA7" w14:textId="77777777" w:rsidTr="00AE2189">
        <w:trPr>
          <w:trHeight w:val="204"/>
        </w:trPr>
        <w:tc>
          <w:tcPr>
            <w:tcW w:w="2029" w:type="pct"/>
            <w:tcBorders>
              <w:top w:val="nil"/>
              <w:left w:val="nil"/>
              <w:bottom w:val="nil"/>
              <w:right w:val="nil"/>
            </w:tcBorders>
            <w:shd w:val="clear" w:color="auto" w:fill="auto"/>
            <w:noWrap/>
            <w:vAlign w:val="bottom"/>
            <w:hideMark/>
          </w:tcPr>
          <w:p w14:paraId="4B757F5C"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Heritage and Cultural</w:t>
            </w:r>
          </w:p>
        </w:tc>
        <w:tc>
          <w:tcPr>
            <w:tcW w:w="633" w:type="pct"/>
            <w:tcBorders>
              <w:top w:val="nil"/>
              <w:left w:val="nil"/>
              <w:bottom w:val="nil"/>
              <w:right w:val="nil"/>
            </w:tcBorders>
            <w:shd w:val="clear" w:color="auto" w:fill="auto"/>
            <w:noWrap/>
            <w:vAlign w:val="bottom"/>
            <w:hideMark/>
          </w:tcPr>
          <w:p w14:paraId="75A3B87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107,143</w:t>
            </w:r>
          </w:p>
        </w:tc>
        <w:tc>
          <w:tcPr>
            <w:tcW w:w="585" w:type="pct"/>
            <w:tcBorders>
              <w:top w:val="nil"/>
              <w:left w:val="nil"/>
              <w:bottom w:val="nil"/>
              <w:right w:val="nil"/>
            </w:tcBorders>
            <w:shd w:val="clear" w:color="auto" w:fill="E6E6E6"/>
            <w:noWrap/>
            <w:vAlign w:val="bottom"/>
            <w:hideMark/>
          </w:tcPr>
          <w:p w14:paraId="24E8E1C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106,346</w:t>
            </w:r>
          </w:p>
        </w:tc>
        <w:tc>
          <w:tcPr>
            <w:tcW w:w="585" w:type="pct"/>
            <w:tcBorders>
              <w:top w:val="nil"/>
              <w:left w:val="nil"/>
              <w:bottom w:val="nil"/>
              <w:right w:val="nil"/>
            </w:tcBorders>
            <w:shd w:val="clear" w:color="auto" w:fill="auto"/>
            <w:noWrap/>
            <w:vAlign w:val="bottom"/>
            <w:hideMark/>
          </w:tcPr>
          <w:p w14:paraId="152B92C0"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104,715</w:t>
            </w:r>
          </w:p>
        </w:tc>
        <w:tc>
          <w:tcPr>
            <w:tcW w:w="585" w:type="pct"/>
            <w:tcBorders>
              <w:top w:val="nil"/>
              <w:left w:val="nil"/>
              <w:bottom w:val="nil"/>
              <w:right w:val="nil"/>
            </w:tcBorders>
            <w:shd w:val="clear" w:color="auto" w:fill="auto"/>
            <w:noWrap/>
            <w:vAlign w:val="bottom"/>
            <w:hideMark/>
          </w:tcPr>
          <w:p w14:paraId="43A98D57"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101,484</w:t>
            </w:r>
          </w:p>
        </w:tc>
        <w:tc>
          <w:tcPr>
            <w:tcW w:w="585" w:type="pct"/>
            <w:tcBorders>
              <w:top w:val="nil"/>
              <w:left w:val="nil"/>
              <w:bottom w:val="nil"/>
              <w:right w:val="nil"/>
            </w:tcBorders>
            <w:shd w:val="clear" w:color="auto" w:fill="auto"/>
            <w:noWrap/>
            <w:vAlign w:val="bottom"/>
            <w:hideMark/>
          </w:tcPr>
          <w:p w14:paraId="5AA0284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96,639</w:t>
            </w:r>
          </w:p>
        </w:tc>
      </w:tr>
      <w:tr w:rsidR="001C0F49" w:rsidRPr="006F35F7" w14:paraId="3FB4AC2D" w14:textId="77777777" w:rsidTr="00AE2189">
        <w:trPr>
          <w:trHeight w:val="204"/>
        </w:trPr>
        <w:tc>
          <w:tcPr>
            <w:tcW w:w="2029" w:type="pct"/>
            <w:tcBorders>
              <w:top w:val="nil"/>
              <w:left w:val="nil"/>
              <w:bottom w:val="nil"/>
              <w:right w:val="nil"/>
            </w:tcBorders>
            <w:shd w:val="clear" w:color="auto" w:fill="auto"/>
            <w:noWrap/>
            <w:vAlign w:val="bottom"/>
            <w:hideMark/>
          </w:tcPr>
          <w:p w14:paraId="350E671B"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Intangibles</w:t>
            </w:r>
          </w:p>
        </w:tc>
        <w:tc>
          <w:tcPr>
            <w:tcW w:w="633" w:type="pct"/>
            <w:tcBorders>
              <w:top w:val="nil"/>
              <w:left w:val="nil"/>
              <w:bottom w:val="nil"/>
              <w:right w:val="nil"/>
            </w:tcBorders>
            <w:shd w:val="clear" w:color="auto" w:fill="auto"/>
            <w:noWrap/>
            <w:vAlign w:val="bottom"/>
            <w:hideMark/>
          </w:tcPr>
          <w:p w14:paraId="049659DE"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221</w:t>
            </w:r>
          </w:p>
        </w:tc>
        <w:tc>
          <w:tcPr>
            <w:tcW w:w="585" w:type="pct"/>
            <w:tcBorders>
              <w:top w:val="nil"/>
              <w:left w:val="nil"/>
              <w:bottom w:val="nil"/>
              <w:right w:val="nil"/>
            </w:tcBorders>
            <w:shd w:val="clear" w:color="auto" w:fill="E6E6E6"/>
            <w:noWrap/>
            <w:vAlign w:val="bottom"/>
            <w:hideMark/>
          </w:tcPr>
          <w:p w14:paraId="1702521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w:t>
            </w:r>
          </w:p>
        </w:tc>
        <w:tc>
          <w:tcPr>
            <w:tcW w:w="585" w:type="pct"/>
            <w:tcBorders>
              <w:top w:val="nil"/>
              <w:left w:val="nil"/>
              <w:bottom w:val="nil"/>
              <w:right w:val="nil"/>
            </w:tcBorders>
            <w:shd w:val="clear" w:color="auto" w:fill="auto"/>
            <w:noWrap/>
            <w:vAlign w:val="bottom"/>
            <w:hideMark/>
          </w:tcPr>
          <w:p w14:paraId="4F134DC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w:t>
            </w:r>
          </w:p>
        </w:tc>
        <w:tc>
          <w:tcPr>
            <w:tcW w:w="585" w:type="pct"/>
            <w:tcBorders>
              <w:top w:val="nil"/>
              <w:left w:val="nil"/>
              <w:bottom w:val="nil"/>
              <w:right w:val="nil"/>
            </w:tcBorders>
            <w:shd w:val="clear" w:color="auto" w:fill="auto"/>
            <w:noWrap/>
            <w:vAlign w:val="bottom"/>
            <w:hideMark/>
          </w:tcPr>
          <w:p w14:paraId="329B07C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w:t>
            </w:r>
          </w:p>
        </w:tc>
        <w:tc>
          <w:tcPr>
            <w:tcW w:w="585" w:type="pct"/>
            <w:tcBorders>
              <w:top w:val="nil"/>
              <w:left w:val="nil"/>
              <w:bottom w:val="nil"/>
              <w:right w:val="nil"/>
            </w:tcBorders>
            <w:shd w:val="clear" w:color="auto" w:fill="auto"/>
            <w:noWrap/>
            <w:vAlign w:val="bottom"/>
            <w:hideMark/>
          </w:tcPr>
          <w:p w14:paraId="00866A9D"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w:t>
            </w:r>
          </w:p>
        </w:tc>
      </w:tr>
      <w:tr w:rsidR="001C0F49" w:rsidRPr="006F35F7" w14:paraId="4CC1A062" w14:textId="77777777" w:rsidTr="00AE2189">
        <w:trPr>
          <w:trHeight w:val="204"/>
        </w:trPr>
        <w:tc>
          <w:tcPr>
            <w:tcW w:w="2029" w:type="pct"/>
            <w:tcBorders>
              <w:top w:val="nil"/>
              <w:left w:val="nil"/>
              <w:bottom w:val="nil"/>
              <w:right w:val="nil"/>
            </w:tcBorders>
            <w:shd w:val="clear" w:color="auto" w:fill="auto"/>
            <w:noWrap/>
            <w:vAlign w:val="bottom"/>
            <w:hideMark/>
          </w:tcPr>
          <w:p w14:paraId="113E1B76"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Inventories</w:t>
            </w:r>
          </w:p>
        </w:tc>
        <w:tc>
          <w:tcPr>
            <w:tcW w:w="633" w:type="pct"/>
            <w:tcBorders>
              <w:top w:val="nil"/>
              <w:left w:val="nil"/>
              <w:bottom w:val="nil"/>
              <w:right w:val="nil"/>
            </w:tcBorders>
            <w:shd w:val="clear" w:color="auto" w:fill="auto"/>
            <w:noWrap/>
            <w:vAlign w:val="bottom"/>
            <w:hideMark/>
          </w:tcPr>
          <w:p w14:paraId="16B0260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102</w:t>
            </w:r>
          </w:p>
        </w:tc>
        <w:tc>
          <w:tcPr>
            <w:tcW w:w="585" w:type="pct"/>
            <w:tcBorders>
              <w:top w:val="nil"/>
              <w:left w:val="nil"/>
              <w:bottom w:val="nil"/>
              <w:right w:val="nil"/>
            </w:tcBorders>
            <w:shd w:val="clear" w:color="auto" w:fill="E6E6E6"/>
            <w:noWrap/>
            <w:vAlign w:val="bottom"/>
            <w:hideMark/>
          </w:tcPr>
          <w:p w14:paraId="7EAFC22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102</w:t>
            </w:r>
          </w:p>
        </w:tc>
        <w:tc>
          <w:tcPr>
            <w:tcW w:w="585" w:type="pct"/>
            <w:tcBorders>
              <w:top w:val="nil"/>
              <w:left w:val="nil"/>
              <w:bottom w:val="nil"/>
              <w:right w:val="nil"/>
            </w:tcBorders>
            <w:shd w:val="clear" w:color="auto" w:fill="auto"/>
            <w:noWrap/>
            <w:vAlign w:val="bottom"/>
            <w:hideMark/>
          </w:tcPr>
          <w:p w14:paraId="37B8CD7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102</w:t>
            </w:r>
          </w:p>
        </w:tc>
        <w:tc>
          <w:tcPr>
            <w:tcW w:w="585" w:type="pct"/>
            <w:tcBorders>
              <w:top w:val="nil"/>
              <w:left w:val="nil"/>
              <w:bottom w:val="nil"/>
              <w:right w:val="nil"/>
            </w:tcBorders>
            <w:shd w:val="clear" w:color="auto" w:fill="auto"/>
            <w:noWrap/>
            <w:vAlign w:val="bottom"/>
            <w:hideMark/>
          </w:tcPr>
          <w:p w14:paraId="47AFA3D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102</w:t>
            </w:r>
          </w:p>
        </w:tc>
        <w:tc>
          <w:tcPr>
            <w:tcW w:w="585" w:type="pct"/>
            <w:tcBorders>
              <w:top w:val="nil"/>
              <w:left w:val="nil"/>
              <w:bottom w:val="nil"/>
              <w:right w:val="nil"/>
            </w:tcBorders>
            <w:shd w:val="clear" w:color="auto" w:fill="auto"/>
            <w:noWrap/>
            <w:vAlign w:val="bottom"/>
            <w:hideMark/>
          </w:tcPr>
          <w:p w14:paraId="382DB691"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102</w:t>
            </w:r>
          </w:p>
        </w:tc>
      </w:tr>
      <w:tr w:rsidR="001C0F49" w:rsidRPr="006F35F7" w14:paraId="5D1916D7" w14:textId="77777777" w:rsidTr="00AE2189">
        <w:trPr>
          <w:trHeight w:val="204"/>
        </w:trPr>
        <w:tc>
          <w:tcPr>
            <w:tcW w:w="2029" w:type="pct"/>
            <w:tcBorders>
              <w:top w:val="nil"/>
              <w:left w:val="nil"/>
              <w:bottom w:val="nil"/>
              <w:right w:val="nil"/>
            </w:tcBorders>
            <w:shd w:val="clear" w:color="auto" w:fill="auto"/>
            <w:noWrap/>
            <w:vAlign w:val="bottom"/>
            <w:hideMark/>
          </w:tcPr>
          <w:p w14:paraId="3B32A2EC"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Other non-financial assets</w:t>
            </w:r>
          </w:p>
        </w:tc>
        <w:tc>
          <w:tcPr>
            <w:tcW w:w="633" w:type="pct"/>
            <w:tcBorders>
              <w:top w:val="nil"/>
              <w:left w:val="nil"/>
              <w:bottom w:val="nil"/>
              <w:right w:val="nil"/>
            </w:tcBorders>
            <w:shd w:val="clear" w:color="auto" w:fill="auto"/>
            <w:noWrap/>
            <w:vAlign w:val="bottom"/>
            <w:hideMark/>
          </w:tcPr>
          <w:p w14:paraId="20A110F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116</w:t>
            </w:r>
          </w:p>
        </w:tc>
        <w:tc>
          <w:tcPr>
            <w:tcW w:w="585" w:type="pct"/>
            <w:tcBorders>
              <w:top w:val="nil"/>
              <w:left w:val="nil"/>
              <w:bottom w:val="nil"/>
              <w:right w:val="nil"/>
            </w:tcBorders>
            <w:shd w:val="clear" w:color="auto" w:fill="E6E6E6"/>
            <w:noWrap/>
            <w:vAlign w:val="bottom"/>
            <w:hideMark/>
          </w:tcPr>
          <w:p w14:paraId="5E15071B"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116</w:t>
            </w:r>
          </w:p>
        </w:tc>
        <w:tc>
          <w:tcPr>
            <w:tcW w:w="585" w:type="pct"/>
            <w:tcBorders>
              <w:top w:val="nil"/>
              <w:left w:val="nil"/>
              <w:bottom w:val="nil"/>
              <w:right w:val="nil"/>
            </w:tcBorders>
            <w:shd w:val="clear" w:color="auto" w:fill="auto"/>
            <w:noWrap/>
            <w:vAlign w:val="bottom"/>
            <w:hideMark/>
          </w:tcPr>
          <w:p w14:paraId="67BE912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116</w:t>
            </w:r>
          </w:p>
        </w:tc>
        <w:tc>
          <w:tcPr>
            <w:tcW w:w="585" w:type="pct"/>
            <w:tcBorders>
              <w:top w:val="nil"/>
              <w:left w:val="nil"/>
              <w:bottom w:val="nil"/>
              <w:right w:val="nil"/>
            </w:tcBorders>
            <w:shd w:val="clear" w:color="auto" w:fill="auto"/>
            <w:noWrap/>
            <w:vAlign w:val="bottom"/>
            <w:hideMark/>
          </w:tcPr>
          <w:p w14:paraId="14D3E9D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116</w:t>
            </w:r>
          </w:p>
        </w:tc>
        <w:tc>
          <w:tcPr>
            <w:tcW w:w="585" w:type="pct"/>
            <w:tcBorders>
              <w:top w:val="nil"/>
              <w:left w:val="nil"/>
              <w:bottom w:val="nil"/>
              <w:right w:val="nil"/>
            </w:tcBorders>
            <w:shd w:val="clear" w:color="auto" w:fill="auto"/>
            <w:noWrap/>
            <w:vAlign w:val="bottom"/>
            <w:hideMark/>
          </w:tcPr>
          <w:p w14:paraId="20BF11C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116</w:t>
            </w:r>
          </w:p>
        </w:tc>
      </w:tr>
      <w:tr w:rsidR="001C0F49" w:rsidRPr="006F35F7" w14:paraId="3271DCC2" w14:textId="77777777" w:rsidTr="00AE2189">
        <w:trPr>
          <w:trHeight w:val="204"/>
        </w:trPr>
        <w:tc>
          <w:tcPr>
            <w:tcW w:w="2029" w:type="pct"/>
            <w:tcBorders>
              <w:top w:val="nil"/>
              <w:left w:val="nil"/>
              <w:bottom w:val="nil"/>
              <w:right w:val="nil"/>
            </w:tcBorders>
            <w:shd w:val="clear" w:color="auto" w:fill="auto"/>
            <w:noWrap/>
            <w:vAlign w:val="bottom"/>
            <w:hideMark/>
          </w:tcPr>
          <w:p w14:paraId="268E2E5E" w14:textId="77777777" w:rsidR="001C0F49" w:rsidRPr="006F35F7" w:rsidRDefault="001C0F49" w:rsidP="00293BD0">
            <w:pPr>
              <w:spacing w:after="0" w:line="240" w:lineRule="auto"/>
              <w:rPr>
                <w:rFonts w:ascii="Arial" w:hAnsi="Arial" w:cs="Arial"/>
                <w:b/>
                <w:bCs/>
                <w:i/>
                <w:iCs/>
                <w:color w:val="000000"/>
                <w:sz w:val="16"/>
                <w:szCs w:val="16"/>
              </w:rPr>
            </w:pPr>
            <w:r w:rsidRPr="006F35F7">
              <w:rPr>
                <w:rFonts w:ascii="Arial" w:hAnsi="Arial" w:cs="Arial"/>
                <w:b/>
                <w:bCs/>
                <w:i/>
                <w:iCs/>
                <w:color w:val="000000"/>
                <w:sz w:val="16"/>
                <w:szCs w:val="16"/>
              </w:rPr>
              <w:t>Total non-financial assets</w:t>
            </w:r>
          </w:p>
        </w:tc>
        <w:tc>
          <w:tcPr>
            <w:tcW w:w="633" w:type="pct"/>
            <w:tcBorders>
              <w:top w:val="single" w:sz="4" w:space="0" w:color="000000"/>
              <w:left w:val="nil"/>
              <w:bottom w:val="single" w:sz="4" w:space="0" w:color="000000"/>
              <w:right w:val="nil"/>
            </w:tcBorders>
            <w:shd w:val="clear" w:color="auto" w:fill="auto"/>
            <w:noWrap/>
            <w:vAlign w:val="bottom"/>
            <w:hideMark/>
          </w:tcPr>
          <w:p w14:paraId="37959415"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113,290</w:t>
            </w:r>
          </w:p>
        </w:tc>
        <w:tc>
          <w:tcPr>
            <w:tcW w:w="585" w:type="pct"/>
            <w:tcBorders>
              <w:top w:val="single" w:sz="4" w:space="0" w:color="000000"/>
              <w:left w:val="nil"/>
              <w:bottom w:val="single" w:sz="4" w:space="0" w:color="000000"/>
              <w:right w:val="nil"/>
            </w:tcBorders>
            <w:shd w:val="clear" w:color="auto" w:fill="E6E6E6"/>
            <w:noWrap/>
            <w:vAlign w:val="bottom"/>
            <w:hideMark/>
          </w:tcPr>
          <w:p w14:paraId="005EAB7F"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112,685</w:t>
            </w:r>
          </w:p>
        </w:tc>
        <w:tc>
          <w:tcPr>
            <w:tcW w:w="585" w:type="pct"/>
            <w:tcBorders>
              <w:top w:val="single" w:sz="4" w:space="0" w:color="000000"/>
              <w:left w:val="nil"/>
              <w:bottom w:val="single" w:sz="4" w:space="0" w:color="000000"/>
              <w:right w:val="nil"/>
            </w:tcBorders>
            <w:shd w:val="clear" w:color="auto" w:fill="auto"/>
            <w:noWrap/>
            <w:vAlign w:val="bottom"/>
            <w:hideMark/>
          </w:tcPr>
          <w:p w14:paraId="4AE5CDA6"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111,104</w:t>
            </w:r>
          </w:p>
        </w:tc>
        <w:tc>
          <w:tcPr>
            <w:tcW w:w="585" w:type="pct"/>
            <w:tcBorders>
              <w:top w:val="single" w:sz="4" w:space="0" w:color="000000"/>
              <w:left w:val="nil"/>
              <w:bottom w:val="single" w:sz="4" w:space="0" w:color="000000"/>
              <w:right w:val="nil"/>
            </w:tcBorders>
            <w:shd w:val="clear" w:color="auto" w:fill="auto"/>
            <w:noWrap/>
            <w:vAlign w:val="bottom"/>
            <w:hideMark/>
          </w:tcPr>
          <w:p w14:paraId="6D0F4114"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107,700</w:t>
            </w:r>
          </w:p>
        </w:tc>
        <w:tc>
          <w:tcPr>
            <w:tcW w:w="585" w:type="pct"/>
            <w:tcBorders>
              <w:top w:val="single" w:sz="4" w:space="0" w:color="000000"/>
              <w:left w:val="nil"/>
              <w:bottom w:val="single" w:sz="4" w:space="0" w:color="000000"/>
              <w:right w:val="nil"/>
            </w:tcBorders>
            <w:shd w:val="clear" w:color="auto" w:fill="auto"/>
            <w:noWrap/>
            <w:vAlign w:val="bottom"/>
            <w:hideMark/>
          </w:tcPr>
          <w:p w14:paraId="7D409A71"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102,682</w:t>
            </w:r>
          </w:p>
        </w:tc>
      </w:tr>
      <w:tr w:rsidR="001C0F49" w:rsidRPr="006F35F7" w14:paraId="2DEFBD88" w14:textId="77777777" w:rsidTr="00AE2189">
        <w:trPr>
          <w:trHeight w:val="204"/>
        </w:trPr>
        <w:tc>
          <w:tcPr>
            <w:tcW w:w="2029" w:type="pct"/>
            <w:tcBorders>
              <w:top w:val="nil"/>
              <w:left w:val="nil"/>
              <w:bottom w:val="nil"/>
              <w:right w:val="nil"/>
            </w:tcBorders>
            <w:shd w:val="clear" w:color="auto" w:fill="auto"/>
            <w:noWrap/>
            <w:vAlign w:val="bottom"/>
            <w:hideMark/>
          </w:tcPr>
          <w:p w14:paraId="552ED41E"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Total assets</w:t>
            </w:r>
          </w:p>
        </w:tc>
        <w:tc>
          <w:tcPr>
            <w:tcW w:w="633" w:type="pct"/>
            <w:tcBorders>
              <w:top w:val="nil"/>
              <w:left w:val="nil"/>
              <w:bottom w:val="single" w:sz="4" w:space="0" w:color="000000"/>
              <w:right w:val="nil"/>
            </w:tcBorders>
            <w:shd w:val="clear" w:color="auto" w:fill="auto"/>
            <w:noWrap/>
            <w:vAlign w:val="bottom"/>
            <w:hideMark/>
          </w:tcPr>
          <w:p w14:paraId="008C7458"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122,149</w:t>
            </w:r>
          </w:p>
        </w:tc>
        <w:tc>
          <w:tcPr>
            <w:tcW w:w="585" w:type="pct"/>
            <w:tcBorders>
              <w:top w:val="nil"/>
              <w:left w:val="nil"/>
              <w:bottom w:val="single" w:sz="4" w:space="0" w:color="000000"/>
              <w:right w:val="nil"/>
            </w:tcBorders>
            <w:shd w:val="clear" w:color="auto" w:fill="E6E6E6"/>
            <w:noWrap/>
            <w:vAlign w:val="bottom"/>
            <w:hideMark/>
          </w:tcPr>
          <w:p w14:paraId="27580799"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120,556</w:t>
            </w:r>
          </w:p>
        </w:tc>
        <w:tc>
          <w:tcPr>
            <w:tcW w:w="585" w:type="pct"/>
            <w:tcBorders>
              <w:top w:val="nil"/>
              <w:left w:val="nil"/>
              <w:bottom w:val="single" w:sz="4" w:space="0" w:color="000000"/>
              <w:right w:val="nil"/>
            </w:tcBorders>
            <w:shd w:val="clear" w:color="auto" w:fill="auto"/>
            <w:noWrap/>
            <w:vAlign w:val="bottom"/>
            <w:hideMark/>
          </w:tcPr>
          <w:p w14:paraId="772831D3"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117,356</w:t>
            </w:r>
          </w:p>
        </w:tc>
        <w:tc>
          <w:tcPr>
            <w:tcW w:w="585" w:type="pct"/>
            <w:tcBorders>
              <w:top w:val="nil"/>
              <w:left w:val="nil"/>
              <w:bottom w:val="single" w:sz="4" w:space="0" w:color="000000"/>
              <w:right w:val="nil"/>
            </w:tcBorders>
            <w:shd w:val="clear" w:color="auto" w:fill="auto"/>
            <w:noWrap/>
            <w:vAlign w:val="bottom"/>
            <w:hideMark/>
          </w:tcPr>
          <w:p w14:paraId="5C0C6EAA"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112,344</w:t>
            </w:r>
          </w:p>
        </w:tc>
        <w:tc>
          <w:tcPr>
            <w:tcW w:w="585" w:type="pct"/>
            <w:tcBorders>
              <w:top w:val="nil"/>
              <w:left w:val="nil"/>
              <w:bottom w:val="single" w:sz="4" w:space="0" w:color="000000"/>
              <w:right w:val="nil"/>
            </w:tcBorders>
            <w:shd w:val="clear" w:color="auto" w:fill="auto"/>
            <w:noWrap/>
            <w:vAlign w:val="bottom"/>
            <w:hideMark/>
          </w:tcPr>
          <w:p w14:paraId="63FE4D7E"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106,314</w:t>
            </w:r>
          </w:p>
        </w:tc>
      </w:tr>
      <w:tr w:rsidR="001C0F49" w:rsidRPr="006F35F7" w14:paraId="726C2356" w14:textId="77777777" w:rsidTr="00AE2189">
        <w:trPr>
          <w:trHeight w:val="204"/>
        </w:trPr>
        <w:tc>
          <w:tcPr>
            <w:tcW w:w="2029" w:type="pct"/>
            <w:tcBorders>
              <w:top w:val="nil"/>
              <w:left w:val="nil"/>
              <w:bottom w:val="nil"/>
              <w:right w:val="nil"/>
            </w:tcBorders>
            <w:shd w:val="clear" w:color="auto" w:fill="auto"/>
            <w:noWrap/>
            <w:vAlign w:val="bottom"/>
            <w:hideMark/>
          </w:tcPr>
          <w:p w14:paraId="6146CD51"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LIABILITIES</w:t>
            </w:r>
          </w:p>
        </w:tc>
        <w:tc>
          <w:tcPr>
            <w:tcW w:w="633" w:type="pct"/>
            <w:tcBorders>
              <w:top w:val="nil"/>
              <w:left w:val="nil"/>
              <w:bottom w:val="nil"/>
              <w:right w:val="nil"/>
            </w:tcBorders>
            <w:shd w:val="clear" w:color="auto" w:fill="auto"/>
            <w:noWrap/>
            <w:vAlign w:val="bottom"/>
            <w:hideMark/>
          </w:tcPr>
          <w:p w14:paraId="743F7E21"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42D6B2CC"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1960ADC"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342B7017"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0177F7DA" w14:textId="77777777" w:rsidR="001C0F49" w:rsidRPr="006F35F7" w:rsidRDefault="001C0F49" w:rsidP="00572266">
            <w:pPr>
              <w:spacing w:after="0" w:line="240" w:lineRule="auto"/>
              <w:jc w:val="right"/>
              <w:rPr>
                <w:rFonts w:ascii="Times New Roman" w:hAnsi="Times New Roman"/>
              </w:rPr>
            </w:pPr>
          </w:p>
        </w:tc>
      </w:tr>
      <w:tr w:rsidR="001C0F49" w:rsidRPr="006F35F7" w14:paraId="238B0219" w14:textId="77777777" w:rsidTr="00AE2189">
        <w:trPr>
          <w:trHeight w:val="204"/>
        </w:trPr>
        <w:tc>
          <w:tcPr>
            <w:tcW w:w="2029" w:type="pct"/>
            <w:tcBorders>
              <w:top w:val="nil"/>
              <w:left w:val="nil"/>
              <w:bottom w:val="nil"/>
              <w:right w:val="nil"/>
            </w:tcBorders>
            <w:shd w:val="clear" w:color="auto" w:fill="auto"/>
            <w:noWrap/>
            <w:vAlign w:val="bottom"/>
            <w:hideMark/>
          </w:tcPr>
          <w:p w14:paraId="39947C7A"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Payables</w:t>
            </w:r>
          </w:p>
        </w:tc>
        <w:tc>
          <w:tcPr>
            <w:tcW w:w="633" w:type="pct"/>
            <w:tcBorders>
              <w:top w:val="nil"/>
              <w:left w:val="nil"/>
              <w:bottom w:val="nil"/>
              <w:right w:val="nil"/>
            </w:tcBorders>
            <w:shd w:val="clear" w:color="auto" w:fill="auto"/>
            <w:noWrap/>
            <w:vAlign w:val="bottom"/>
            <w:hideMark/>
          </w:tcPr>
          <w:p w14:paraId="1078186F"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6A4E1212"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0181BC6"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7EE4F99"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1C70842A" w14:textId="77777777" w:rsidR="001C0F49" w:rsidRPr="006F35F7" w:rsidRDefault="001C0F49" w:rsidP="00572266">
            <w:pPr>
              <w:spacing w:after="0" w:line="240" w:lineRule="auto"/>
              <w:jc w:val="right"/>
              <w:rPr>
                <w:rFonts w:ascii="Times New Roman" w:hAnsi="Times New Roman"/>
              </w:rPr>
            </w:pPr>
          </w:p>
        </w:tc>
      </w:tr>
      <w:tr w:rsidR="001C0F49" w:rsidRPr="006F35F7" w14:paraId="3ACB9411" w14:textId="77777777" w:rsidTr="00AE2189">
        <w:trPr>
          <w:trHeight w:val="204"/>
        </w:trPr>
        <w:tc>
          <w:tcPr>
            <w:tcW w:w="2029" w:type="pct"/>
            <w:tcBorders>
              <w:top w:val="nil"/>
              <w:left w:val="nil"/>
              <w:bottom w:val="nil"/>
              <w:right w:val="nil"/>
            </w:tcBorders>
            <w:shd w:val="clear" w:color="auto" w:fill="auto"/>
            <w:noWrap/>
            <w:vAlign w:val="bottom"/>
            <w:hideMark/>
          </w:tcPr>
          <w:p w14:paraId="26DC2D75"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Suppliers</w:t>
            </w:r>
          </w:p>
        </w:tc>
        <w:tc>
          <w:tcPr>
            <w:tcW w:w="633" w:type="pct"/>
            <w:tcBorders>
              <w:top w:val="nil"/>
              <w:left w:val="nil"/>
              <w:bottom w:val="nil"/>
              <w:right w:val="nil"/>
            </w:tcBorders>
            <w:shd w:val="clear" w:color="auto" w:fill="auto"/>
            <w:noWrap/>
            <w:vAlign w:val="bottom"/>
            <w:hideMark/>
          </w:tcPr>
          <w:p w14:paraId="67C8BA11"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1,519</w:t>
            </w:r>
          </w:p>
        </w:tc>
        <w:tc>
          <w:tcPr>
            <w:tcW w:w="585" w:type="pct"/>
            <w:tcBorders>
              <w:top w:val="nil"/>
              <w:left w:val="nil"/>
              <w:bottom w:val="nil"/>
              <w:right w:val="nil"/>
            </w:tcBorders>
            <w:shd w:val="clear" w:color="auto" w:fill="E6E6E6"/>
            <w:noWrap/>
            <w:vAlign w:val="bottom"/>
            <w:hideMark/>
          </w:tcPr>
          <w:p w14:paraId="1A9712D7"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1,519</w:t>
            </w:r>
          </w:p>
        </w:tc>
        <w:tc>
          <w:tcPr>
            <w:tcW w:w="585" w:type="pct"/>
            <w:tcBorders>
              <w:top w:val="nil"/>
              <w:left w:val="nil"/>
              <w:bottom w:val="nil"/>
              <w:right w:val="nil"/>
            </w:tcBorders>
            <w:shd w:val="clear" w:color="auto" w:fill="auto"/>
            <w:noWrap/>
            <w:vAlign w:val="bottom"/>
            <w:hideMark/>
          </w:tcPr>
          <w:p w14:paraId="30BA94D4"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1,519</w:t>
            </w:r>
          </w:p>
        </w:tc>
        <w:tc>
          <w:tcPr>
            <w:tcW w:w="585" w:type="pct"/>
            <w:tcBorders>
              <w:top w:val="nil"/>
              <w:left w:val="nil"/>
              <w:bottom w:val="nil"/>
              <w:right w:val="nil"/>
            </w:tcBorders>
            <w:shd w:val="clear" w:color="auto" w:fill="auto"/>
            <w:noWrap/>
            <w:vAlign w:val="bottom"/>
            <w:hideMark/>
          </w:tcPr>
          <w:p w14:paraId="00EC50E0"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1,519</w:t>
            </w:r>
          </w:p>
        </w:tc>
        <w:tc>
          <w:tcPr>
            <w:tcW w:w="585" w:type="pct"/>
            <w:tcBorders>
              <w:top w:val="nil"/>
              <w:left w:val="nil"/>
              <w:bottom w:val="nil"/>
              <w:right w:val="nil"/>
            </w:tcBorders>
            <w:shd w:val="clear" w:color="auto" w:fill="auto"/>
            <w:noWrap/>
            <w:vAlign w:val="bottom"/>
            <w:hideMark/>
          </w:tcPr>
          <w:p w14:paraId="04E75C46"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1,519</w:t>
            </w:r>
          </w:p>
        </w:tc>
      </w:tr>
      <w:tr w:rsidR="001C0F49" w:rsidRPr="006F35F7" w14:paraId="50B5D01E" w14:textId="77777777" w:rsidTr="00AE2189">
        <w:trPr>
          <w:trHeight w:val="204"/>
        </w:trPr>
        <w:tc>
          <w:tcPr>
            <w:tcW w:w="2029" w:type="pct"/>
            <w:tcBorders>
              <w:top w:val="nil"/>
              <w:left w:val="nil"/>
              <w:bottom w:val="nil"/>
              <w:right w:val="nil"/>
            </w:tcBorders>
            <w:shd w:val="clear" w:color="auto" w:fill="auto"/>
            <w:noWrap/>
            <w:vAlign w:val="bottom"/>
            <w:hideMark/>
          </w:tcPr>
          <w:p w14:paraId="2EFC1CB6"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Other payables</w:t>
            </w:r>
          </w:p>
        </w:tc>
        <w:tc>
          <w:tcPr>
            <w:tcW w:w="633" w:type="pct"/>
            <w:tcBorders>
              <w:top w:val="nil"/>
              <w:left w:val="nil"/>
              <w:bottom w:val="nil"/>
              <w:right w:val="nil"/>
            </w:tcBorders>
            <w:shd w:val="clear" w:color="auto" w:fill="auto"/>
            <w:noWrap/>
            <w:vAlign w:val="bottom"/>
            <w:hideMark/>
          </w:tcPr>
          <w:p w14:paraId="18E6461D"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60</w:t>
            </w:r>
          </w:p>
        </w:tc>
        <w:tc>
          <w:tcPr>
            <w:tcW w:w="585" w:type="pct"/>
            <w:tcBorders>
              <w:top w:val="nil"/>
              <w:left w:val="nil"/>
              <w:bottom w:val="nil"/>
              <w:right w:val="nil"/>
            </w:tcBorders>
            <w:shd w:val="clear" w:color="auto" w:fill="E6E6E6"/>
            <w:noWrap/>
            <w:vAlign w:val="bottom"/>
            <w:hideMark/>
          </w:tcPr>
          <w:p w14:paraId="551C91C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60</w:t>
            </w:r>
          </w:p>
        </w:tc>
        <w:tc>
          <w:tcPr>
            <w:tcW w:w="585" w:type="pct"/>
            <w:tcBorders>
              <w:top w:val="nil"/>
              <w:left w:val="nil"/>
              <w:bottom w:val="nil"/>
              <w:right w:val="nil"/>
            </w:tcBorders>
            <w:shd w:val="clear" w:color="auto" w:fill="auto"/>
            <w:noWrap/>
            <w:vAlign w:val="bottom"/>
            <w:hideMark/>
          </w:tcPr>
          <w:p w14:paraId="4410CDC4"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60</w:t>
            </w:r>
          </w:p>
        </w:tc>
        <w:tc>
          <w:tcPr>
            <w:tcW w:w="585" w:type="pct"/>
            <w:tcBorders>
              <w:top w:val="nil"/>
              <w:left w:val="nil"/>
              <w:bottom w:val="nil"/>
              <w:right w:val="nil"/>
            </w:tcBorders>
            <w:shd w:val="clear" w:color="auto" w:fill="auto"/>
            <w:noWrap/>
            <w:vAlign w:val="bottom"/>
            <w:hideMark/>
          </w:tcPr>
          <w:p w14:paraId="53B2AF92"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60</w:t>
            </w:r>
          </w:p>
        </w:tc>
        <w:tc>
          <w:tcPr>
            <w:tcW w:w="585" w:type="pct"/>
            <w:tcBorders>
              <w:top w:val="nil"/>
              <w:left w:val="nil"/>
              <w:bottom w:val="nil"/>
              <w:right w:val="nil"/>
            </w:tcBorders>
            <w:shd w:val="clear" w:color="auto" w:fill="auto"/>
            <w:noWrap/>
            <w:vAlign w:val="bottom"/>
            <w:hideMark/>
          </w:tcPr>
          <w:p w14:paraId="090645F0"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60</w:t>
            </w:r>
          </w:p>
        </w:tc>
      </w:tr>
      <w:tr w:rsidR="001C0F49" w:rsidRPr="002B4BF3" w14:paraId="287C504E" w14:textId="77777777" w:rsidTr="00AE2189">
        <w:trPr>
          <w:trHeight w:val="204"/>
        </w:trPr>
        <w:tc>
          <w:tcPr>
            <w:tcW w:w="2029" w:type="pct"/>
            <w:tcBorders>
              <w:top w:val="nil"/>
              <w:left w:val="nil"/>
              <w:bottom w:val="nil"/>
              <w:right w:val="nil"/>
            </w:tcBorders>
            <w:shd w:val="clear" w:color="auto" w:fill="auto"/>
            <w:noWrap/>
            <w:vAlign w:val="bottom"/>
            <w:hideMark/>
          </w:tcPr>
          <w:p w14:paraId="69FDF71F" w14:textId="77777777" w:rsidR="001C0F49" w:rsidRPr="002B4BF3" w:rsidRDefault="001C0F49" w:rsidP="00293BD0">
            <w:pPr>
              <w:spacing w:after="0" w:line="240" w:lineRule="auto"/>
              <w:rPr>
                <w:rFonts w:ascii="Arial" w:hAnsi="Arial" w:cs="Arial"/>
                <w:b/>
                <w:bCs/>
                <w:iCs/>
                <w:color w:val="000000"/>
                <w:sz w:val="16"/>
                <w:szCs w:val="16"/>
              </w:rPr>
            </w:pPr>
            <w:r w:rsidRPr="002B4BF3">
              <w:rPr>
                <w:rFonts w:ascii="Arial" w:hAnsi="Arial" w:cs="Arial"/>
                <w:b/>
                <w:bCs/>
                <w:iCs/>
                <w:color w:val="000000"/>
                <w:sz w:val="16"/>
                <w:szCs w:val="16"/>
              </w:rPr>
              <w:t>Total payables</w:t>
            </w:r>
          </w:p>
        </w:tc>
        <w:tc>
          <w:tcPr>
            <w:tcW w:w="633" w:type="pct"/>
            <w:tcBorders>
              <w:top w:val="single" w:sz="4" w:space="0" w:color="000000"/>
              <w:left w:val="nil"/>
              <w:bottom w:val="single" w:sz="4" w:space="0" w:color="000000"/>
              <w:right w:val="nil"/>
            </w:tcBorders>
            <w:shd w:val="clear" w:color="auto" w:fill="auto"/>
            <w:noWrap/>
            <w:vAlign w:val="bottom"/>
            <w:hideMark/>
          </w:tcPr>
          <w:p w14:paraId="4EFE5380"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1,579</w:t>
            </w:r>
          </w:p>
        </w:tc>
        <w:tc>
          <w:tcPr>
            <w:tcW w:w="585" w:type="pct"/>
            <w:tcBorders>
              <w:top w:val="single" w:sz="4" w:space="0" w:color="000000"/>
              <w:left w:val="nil"/>
              <w:bottom w:val="single" w:sz="4" w:space="0" w:color="000000"/>
              <w:right w:val="nil"/>
            </w:tcBorders>
            <w:shd w:val="clear" w:color="auto" w:fill="E6E6E6"/>
            <w:noWrap/>
            <w:vAlign w:val="bottom"/>
            <w:hideMark/>
          </w:tcPr>
          <w:p w14:paraId="0DD63D47"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1,579</w:t>
            </w:r>
          </w:p>
        </w:tc>
        <w:tc>
          <w:tcPr>
            <w:tcW w:w="585" w:type="pct"/>
            <w:tcBorders>
              <w:top w:val="single" w:sz="4" w:space="0" w:color="000000"/>
              <w:left w:val="nil"/>
              <w:bottom w:val="single" w:sz="4" w:space="0" w:color="000000"/>
              <w:right w:val="nil"/>
            </w:tcBorders>
            <w:shd w:val="clear" w:color="auto" w:fill="auto"/>
            <w:noWrap/>
            <w:vAlign w:val="bottom"/>
            <w:hideMark/>
          </w:tcPr>
          <w:p w14:paraId="6EF99638"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1,579</w:t>
            </w:r>
          </w:p>
        </w:tc>
        <w:tc>
          <w:tcPr>
            <w:tcW w:w="585" w:type="pct"/>
            <w:tcBorders>
              <w:top w:val="single" w:sz="4" w:space="0" w:color="000000"/>
              <w:left w:val="nil"/>
              <w:bottom w:val="single" w:sz="4" w:space="0" w:color="000000"/>
              <w:right w:val="nil"/>
            </w:tcBorders>
            <w:shd w:val="clear" w:color="auto" w:fill="auto"/>
            <w:noWrap/>
            <w:vAlign w:val="bottom"/>
            <w:hideMark/>
          </w:tcPr>
          <w:p w14:paraId="7804E2D8"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1,579</w:t>
            </w:r>
          </w:p>
        </w:tc>
        <w:tc>
          <w:tcPr>
            <w:tcW w:w="585" w:type="pct"/>
            <w:tcBorders>
              <w:top w:val="single" w:sz="4" w:space="0" w:color="000000"/>
              <w:left w:val="nil"/>
              <w:bottom w:val="single" w:sz="4" w:space="0" w:color="000000"/>
              <w:right w:val="nil"/>
            </w:tcBorders>
            <w:shd w:val="clear" w:color="auto" w:fill="auto"/>
            <w:noWrap/>
            <w:vAlign w:val="bottom"/>
            <w:hideMark/>
          </w:tcPr>
          <w:p w14:paraId="6E7F6616"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1,579</w:t>
            </w:r>
          </w:p>
        </w:tc>
      </w:tr>
      <w:tr w:rsidR="001C0F49" w:rsidRPr="006F35F7" w14:paraId="6DF897CF" w14:textId="77777777" w:rsidTr="00AE2189">
        <w:trPr>
          <w:trHeight w:val="204"/>
        </w:trPr>
        <w:tc>
          <w:tcPr>
            <w:tcW w:w="2029" w:type="pct"/>
            <w:tcBorders>
              <w:top w:val="nil"/>
              <w:left w:val="nil"/>
              <w:bottom w:val="nil"/>
              <w:right w:val="nil"/>
            </w:tcBorders>
            <w:shd w:val="clear" w:color="auto" w:fill="auto"/>
            <w:noWrap/>
            <w:vAlign w:val="bottom"/>
            <w:hideMark/>
          </w:tcPr>
          <w:p w14:paraId="442192FB"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Interest bearing liabilities</w:t>
            </w:r>
          </w:p>
        </w:tc>
        <w:tc>
          <w:tcPr>
            <w:tcW w:w="633" w:type="pct"/>
            <w:tcBorders>
              <w:top w:val="nil"/>
              <w:left w:val="nil"/>
              <w:bottom w:val="nil"/>
              <w:right w:val="nil"/>
            </w:tcBorders>
            <w:shd w:val="clear" w:color="auto" w:fill="auto"/>
            <w:noWrap/>
            <w:vAlign w:val="bottom"/>
            <w:hideMark/>
          </w:tcPr>
          <w:p w14:paraId="57108E6F"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31351DB4"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DC15303"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C9A8503"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2EEDA5A6" w14:textId="77777777" w:rsidR="001C0F49" w:rsidRPr="006F35F7" w:rsidRDefault="001C0F49" w:rsidP="00572266">
            <w:pPr>
              <w:spacing w:after="0" w:line="240" w:lineRule="auto"/>
              <w:jc w:val="right"/>
              <w:rPr>
                <w:rFonts w:ascii="Times New Roman" w:hAnsi="Times New Roman"/>
              </w:rPr>
            </w:pPr>
          </w:p>
        </w:tc>
      </w:tr>
      <w:tr w:rsidR="001C0F49" w:rsidRPr="006F35F7" w14:paraId="7C7B33A5" w14:textId="77777777" w:rsidTr="00AE2189">
        <w:trPr>
          <w:trHeight w:val="204"/>
        </w:trPr>
        <w:tc>
          <w:tcPr>
            <w:tcW w:w="2029" w:type="pct"/>
            <w:tcBorders>
              <w:top w:val="nil"/>
              <w:left w:val="nil"/>
              <w:bottom w:val="nil"/>
              <w:right w:val="nil"/>
            </w:tcBorders>
            <w:shd w:val="clear" w:color="auto" w:fill="auto"/>
            <w:noWrap/>
            <w:vAlign w:val="bottom"/>
            <w:hideMark/>
          </w:tcPr>
          <w:p w14:paraId="74E4DD7A"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Leases</w:t>
            </w:r>
          </w:p>
        </w:tc>
        <w:tc>
          <w:tcPr>
            <w:tcW w:w="633" w:type="pct"/>
            <w:tcBorders>
              <w:top w:val="nil"/>
              <w:left w:val="nil"/>
              <w:bottom w:val="nil"/>
              <w:right w:val="nil"/>
            </w:tcBorders>
            <w:shd w:val="clear" w:color="auto" w:fill="auto"/>
            <w:noWrap/>
            <w:vAlign w:val="bottom"/>
            <w:hideMark/>
          </w:tcPr>
          <w:p w14:paraId="0B11862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1,146</w:t>
            </w:r>
          </w:p>
        </w:tc>
        <w:tc>
          <w:tcPr>
            <w:tcW w:w="585" w:type="pct"/>
            <w:tcBorders>
              <w:top w:val="nil"/>
              <w:left w:val="nil"/>
              <w:bottom w:val="nil"/>
              <w:right w:val="nil"/>
            </w:tcBorders>
            <w:shd w:val="clear" w:color="auto" w:fill="E6E6E6"/>
            <w:noWrap/>
            <w:vAlign w:val="bottom"/>
            <w:hideMark/>
          </w:tcPr>
          <w:p w14:paraId="3A53A716"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983</w:t>
            </w:r>
          </w:p>
        </w:tc>
        <w:tc>
          <w:tcPr>
            <w:tcW w:w="585" w:type="pct"/>
            <w:tcBorders>
              <w:top w:val="nil"/>
              <w:left w:val="nil"/>
              <w:bottom w:val="nil"/>
              <w:right w:val="nil"/>
            </w:tcBorders>
            <w:shd w:val="clear" w:color="auto" w:fill="auto"/>
            <w:noWrap/>
            <w:vAlign w:val="bottom"/>
            <w:hideMark/>
          </w:tcPr>
          <w:p w14:paraId="363DBD9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755</w:t>
            </w:r>
          </w:p>
        </w:tc>
        <w:tc>
          <w:tcPr>
            <w:tcW w:w="585" w:type="pct"/>
            <w:tcBorders>
              <w:top w:val="nil"/>
              <w:left w:val="nil"/>
              <w:bottom w:val="nil"/>
              <w:right w:val="nil"/>
            </w:tcBorders>
            <w:shd w:val="clear" w:color="auto" w:fill="auto"/>
            <w:noWrap/>
            <w:vAlign w:val="bottom"/>
            <w:hideMark/>
          </w:tcPr>
          <w:p w14:paraId="799E8E4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527</w:t>
            </w:r>
          </w:p>
        </w:tc>
        <w:tc>
          <w:tcPr>
            <w:tcW w:w="585" w:type="pct"/>
            <w:tcBorders>
              <w:top w:val="nil"/>
              <w:left w:val="nil"/>
              <w:bottom w:val="nil"/>
              <w:right w:val="nil"/>
            </w:tcBorders>
            <w:shd w:val="clear" w:color="auto" w:fill="auto"/>
            <w:noWrap/>
            <w:vAlign w:val="bottom"/>
            <w:hideMark/>
          </w:tcPr>
          <w:p w14:paraId="52C57736"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299</w:t>
            </w:r>
          </w:p>
        </w:tc>
      </w:tr>
      <w:tr w:rsidR="001C0F49" w:rsidRPr="006F35F7" w14:paraId="40F04C6F" w14:textId="77777777" w:rsidTr="00AE2189">
        <w:trPr>
          <w:trHeight w:val="204"/>
        </w:trPr>
        <w:tc>
          <w:tcPr>
            <w:tcW w:w="2029" w:type="pct"/>
            <w:tcBorders>
              <w:top w:val="nil"/>
              <w:left w:val="nil"/>
              <w:bottom w:val="nil"/>
              <w:right w:val="nil"/>
            </w:tcBorders>
            <w:shd w:val="clear" w:color="auto" w:fill="auto"/>
            <w:noWrap/>
            <w:vAlign w:val="bottom"/>
            <w:hideMark/>
          </w:tcPr>
          <w:p w14:paraId="1D7949C3" w14:textId="77777777" w:rsidR="001C0F49" w:rsidRPr="006F35F7" w:rsidRDefault="001C0F49" w:rsidP="00293BD0">
            <w:pPr>
              <w:spacing w:after="0" w:line="240" w:lineRule="auto"/>
              <w:rPr>
                <w:rFonts w:ascii="Arial" w:hAnsi="Arial" w:cs="Arial"/>
                <w:b/>
                <w:bCs/>
                <w:i/>
                <w:iCs/>
                <w:color w:val="000000"/>
                <w:sz w:val="16"/>
                <w:szCs w:val="16"/>
              </w:rPr>
            </w:pPr>
            <w:r w:rsidRPr="006F35F7">
              <w:rPr>
                <w:rFonts w:ascii="Arial" w:hAnsi="Arial" w:cs="Arial"/>
                <w:b/>
                <w:bCs/>
                <w:i/>
                <w:iCs/>
                <w:color w:val="000000"/>
                <w:sz w:val="16"/>
                <w:szCs w:val="16"/>
              </w:rPr>
              <w:t>Total interest bearing liabilities</w:t>
            </w:r>
          </w:p>
        </w:tc>
        <w:tc>
          <w:tcPr>
            <w:tcW w:w="633" w:type="pct"/>
            <w:tcBorders>
              <w:top w:val="single" w:sz="4" w:space="0" w:color="000000"/>
              <w:left w:val="nil"/>
              <w:bottom w:val="single" w:sz="4" w:space="0" w:color="000000"/>
              <w:right w:val="nil"/>
            </w:tcBorders>
            <w:shd w:val="clear" w:color="auto" w:fill="auto"/>
            <w:noWrap/>
            <w:vAlign w:val="bottom"/>
            <w:hideMark/>
          </w:tcPr>
          <w:p w14:paraId="510F8B64"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1,146</w:t>
            </w:r>
          </w:p>
        </w:tc>
        <w:tc>
          <w:tcPr>
            <w:tcW w:w="585" w:type="pct"/>
            <w:tcBorders>
              <w:top w:val="single" w:sz="4" w:space="0" w:color="000000"/>
              <w:left w:val="nil"/>
              <w:bottom w:val="single" w:sz="4" w:space="0" w:color="000000"/>
              <w:right w:val="nil"/>
            </w:tcBorders>
            <w:shd w:val="clear" w:color="auto" w:fill="E6E6E6"/>
            <w:noWrap/>
            <w:vAlign w:val="bottom"/>
            <w:hideMark/>
          </w:tcPr>
          <w:p w14:paraId="5C635517"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983</w:t>
            </w:r>
          </w:p>
        </w:tc>
        <w:tc>
          <w:tcPr>
            <w:tcW w:w="585" w:type="pct"/>
            <w:tcBorders>
              <w:top w:val="single" w:sz="4" w:space="0" w:color="000000"/>
              <w:left w:val="nil"/>
              <w:bottom w:val="single" w:sz="4" w:space="0" w:color="000000"/>
              <w:right w:val="nil"/>
            </w:tcBorders>
            <w:shd w:val="clear" w:color="auto" w:fill="auto"/>
            <w:noWrap/>
            <w:vAlign w:val="bottom"/>
            <w:hideMark/>
          </w:tcPr>
          <w:p w14:paraId="69C4446C"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755</w:t>
            </w:r>
          </w:p>
        </w:tc>
        <w:tc>
          <w:tcPr>
            <w:tcW w:w="585" w:type="pct"/>
            <w:tcBorders>
              <w:top w:val="single" w:sz="4" w:space="0" w:color="000000"/>
              <w:left w:val="nil"/>
              <w:bottom w:val="single" w:sz="4" w:space="0" w:color="000000"/>
              <w:right w:val="nil"/>
            </w:tcBorders>
            <w:shd w:val="clear" w:color="auto" w:fill="auto"/>
            <w:noWrap/>
            <w:vAlign w:val="bottom"/>
            <w:hideMark/>
          </w:tcPr>
          <w:p w14:paraId="2981C0BF"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527</w:t>
            </w:r>
          </w:p>
        </w:tc>
        <w:tc>
          <w:tcPr>
            <w:tcW w:w="585" w:type="pct"/>
            <w:tcBorders>
              <w:top w:val="single" w:sz="4" w:space="0" w:color="000000"/>
              <w:left w:val="nil"/>
              <w:bottom w:val="single" w:sz="4" w:space="0" w:color="000000"/>
              <w:right w:val="nil"/>
            </w:tcBorders>
            <w:shd w:val="clear" w:color="auto" w:fill="auto"/>
            <w:noWrap/>
            <w:vAlign w:val="bottom"/>
            <w:hideMark/>
          </w:tcPr>
          <w:p w14:paraId="71CC2D3C"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299</w:t>
            </w:r>
          </w:p>
        </w:tc>
      </w:tr>
      <w:tr w:rsidR="001C0F49" w:rsidRPr="006F35F7" w14:paraId="7A53E2C2" w14:textId="77777777" w:rsidTr="00AE2189">
        <w:trPr>
          <w:trHeight w:val="204"/>
        </w:trPr>
        <w:tc>
          <w:tcPr>
            <w:tcW w:w="2029" w:type="pct"/>
            <w:tcBorders>
              <w:top w:val="nil"/>
              <w:left w:val="nil"/>
              <w:bottom w:val="nil"/>
              <w:right w:val="nil"/>
            </w:tcBorders>
            <w:shd w:val="clear" w:color="auto" w:fill="auto"/>
            <w:noWrap/>
            <w:vAlign w:val="bottom"/>
            <w:hideMark/>
          </w:tcPr>
          <w:p w14:paraId="5DB11F0E"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Provisions</w:t>
            </w:r>
          </w:p>
        </w:tc>
        <w:tc>
          <w:tcPr>
            <w:tcW w:w="633" w:type="pct"/>
            <w:tcBorders>
              <w:top w:val="nil"/>
              <w:left w:val="nil"/>
              <w:bottom w:val="nil"/>
              <w:right w:val="nil"/>
            </w:tcBorders>
            <w:shd w:val="clear" w:color="auto" w:fill="auto"/>
            <w:noWrap/>
            <w:vAlign w:val="bottom"/>
            <w:hideMark/>
          </w:tcPr>
          <w:p w14:paraId="6F014907"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1F5B95CB"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178E5727"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4AB234CE"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31A0A12C" w14:textId="77777777" w:rsidR="001C0F49" w:rsidRPr="006F35F7" w:rsidRDefault="001C0F49" w:rsidP="00572266">
            <w:pPr>
              <w:spacing w:after="0" w:line="240" w:lineRule="auto"/>
              <w:jc w:val="right"/>
              <w:rPr>
                <w:rFonts w:ascii="Times New Roman" w:hAnsi="Times New Roman"/>
              </w:rPr>
            </w:pPr>
          </w:p>
        </w:tc>
      </w:tr>
      <w:tr w:rsidR="001C0F49" w:rsidRPr="006F35F7" w14:paraId="18313B5F" w14:textId="77777777" w:rsidTr="00AE2189">
        <w:trPr>
          <w:trHeight w:val="204"/>
        </w:trPr>
        <w:tc>
          <w:tcPr>
            <w:tcW w:w="2029" w:type="pct"/>
            <w:tcBorders>
              <w:top w:val="nil"/>
              <w:left w:val="nil"/>
              <w:bottom w:val="nil"/>
              <w:right w:val="nil"/>
            </w:tcBorders>
            <w:shd w:val="clear" w:color="auto" w:fill="auto"/>
            <w:noWrap/>
            <w:vAlign w:val="bottom"/>
            <w:hideMark/>
          </w:tcPr>
          <w:p w14:paraId="7F2F1B24"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Employee provisions</w:t>
            </w:r>
          </w:p>
        </w:tc>
        <w:tc>
          <w:tcPr>
            <w:tcW w:w="633" w:type="pct"/>
            <w:tcBorders>
              <w:top w:val="nil"/>
              <w:left w:val="nil"/>
              <w:bottom w:val="nil"/>
              <w:right w:val="nil"/>
            </w:tcBorders>
            <w:shd w:val="clear" w:color="auto" w:fill="auto"/>
            <w:noWrap/>
            <w:vAlign w:val="bottom"/>
            <w:hideMark/>
          </w:tcPr>
          <w:p w14:paraId="4D313F3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2,266</w:t>
            </w:r>
          </w:p>
        </w:tc>
        <w:tc>
          <w:tcPr>
            <w:tcW w:w="585" w:type="pct"/>
            <w:tcBorders>
              <w:top w:val="nil"/>
              <w:left w:val="nil"/>
              <w:bottom w:val="nil"/>
              <w:right w:val="nil"/>
            </w:tcBorders>
            <w:shd w:val="clear" w:color="auto" w:fill="E6E6E6"/>
            <w:noWrap/>
            <w:vAlign w:val="bottom"/>
            <w:hideMark/>
          </w:tcPr>
          <w:p w14:paraId="75532D05"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2,266</w:t>
            </w:r>
          </w:p>
        </w:tc>
        <w:tc>
          <w:tcPr>
            <w:tcW w:w="585" w:type="pct"/>
            <w:tcBorders>
              <w:top w:val="nil"/>
              <w:left w:val="nil"/>
              <w:bottom w:val="nil"/>
              <w:right w:val="nil"/>
            </w:tcBorders>
            <w:shd w:val="clear" w:color="auto" w:fill="auto"/>
            <w:noWrap/>
            <w:vAlign w:val="bottom"/>
            <w:hideMark/>
          </w:tcPr>
          <w:p w14:paraId="12F30551"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2,266</w:t>
            </w:r>
          </w:p>
        </w:tc>
        <w:tc>
          <w:tcPr>
            <w:tcW w:w="585" w:type="pct"/>
            <w:tcBorders>
              <w:top w:val="nil"/>
              <w:left w:val="nil"/>
              <w:bottom w:val="nil"/>
              <w:right w:val="nil"/>
            </w:tcBorders>
            <w:shd w:val="clear" w:color="auto" w:fill="auto"/>
            <w:noWrap/>
            <w:vAlign w:val="bottom"/>
            <w:hideMark/>
          </w:tcPr>
          <w:p w14:paraId="101FA881"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2,266</w:t>
            </w:r>
          </w:p>
        </w:tc>
        <w:tc>
          <w:tcPr>
            <w:tcW w:w="585" w:type="pct"/>
            <w:tcBorders>
              <w:top w:val="nil"/>
              <w:left w:val="nil"/>
              <w:bottom w:val="nil"/>
              <w:right w:val="nil"/>
            </w:tcBorders>
            <w:shd w:val="clear" w:color="auto" w:fill="auto"/>
            <w:noWrap/>
            <w:vAlign w:val="bottom"/>
            <w:hideMark/>
          </w:tcPr>
          <w:p w14:paraId="2990198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2,266</w:t>
            </w:r>
          </w:p>
        </w:tc>
      </w:tr>
      <w:tr w:rsidR="001C0F49" w:rsidRPr="006F35F7" w14:paraId="0B4FDC47" w14:textId="77777777" w:rsidTr="00AE2189">
        <w:trPr>
          <w:trHeight w:val="204"/>
        </w:trPr>
        <w:tc>
          <w:tcPr>
            <w:tcW w:w="2029" w:type="pct"/>
            <w:tcBorders>
              <w:top w:val="nil"/>
              <w:left w:val="nil"/>
              <w:bottom w:val="nil"/>
              <w:right w:val="nil"/>
            </w:tcBorders>
            <w:shd w:val="clear" w:color="auto" w:fill="auto"/>
            <w:noWrap/>
            <w:vAlign w:val="bottom"/>
            <w:hideMark/>
          </w:tcPr>
          <w:p w14:paraId="33BF7CBC" w14:textId="77777777" w:rsidR="001C0F49" w:rsidRPr="006F35F7" w:rsidRDefault="001C0F49" w:rsidP="00293BD0">
            <w:pPr>
              <w:spacing w:after="0" w:line="240" w:lineRule="auto"/>
              <w:rPr>
                <w:rFonts w:ascii="Arial" w:hAnsi="Arial" w:cs="Arial"/>
                <w:b/>
                <w:bCs/>
                <w:i/>
                <w:iCs/>
                <w:color w:val="000000"/>
                <w:sz w:val="16"/>
                <w:szCs w:val="16"/>
              </w:rPr>
            </w:pPr>
            <w:r w:rsidRPr="006F35F7">
              <w:rPr>
                <w:rFonts w:ascii="Arial" w:hAnsi="Arial" w:cs="Arial"/>
                <w:b/>
                <w:bCs/>
                <w:i/>
                <w:iCs/>
                <w:color w:val="000000"/>
                <w:sz w:val="16"/>
                <w:szCs w:val="16"/>
              </w:rPr>
              <w:t>Total provisions</w:t>
            </w:r>
          </w:p>
        </w:tc>
        <w:tc>
          <w:tcPr>
            <w:tcW w:w="633" w:type="pct"/>
            <w:tcBorders>
              <w:top w:val="single" w:sz="4" w:space="0" w:color="000000"/>
              <w:left w:val="nil"/>
              <w:bottom w:val="single" w:sz="4" w:space="0" w:color="000000"/>
              <w:right w:val="nil"/>
            </w:tcBorders>
            <w:shd w:val="clear" w:color="auto" w:fill="auto"/>
            <w:noWrap/>
            <w:vAlign w:val="bottom"/>
            <w:hideMark/>
          </w:tcPr>
          <w:p w14:paraId="54210E3D"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2,266</w:t>
            </w:r>
          </w:p>
        </w:tc>
        <w:tc>
          <w:tcPr>
            <w:tcW w:w="585" w:type="pct"/>
            <w:tcBorders>
              <w:top w:val="single" w:sz="4" w:space="0" w:color="000000"/>
              <w:left w:val="nil"/>
              <w:bottom w:val="single" w:sz="4" w:space="0" w:color="000000"/>
              <w:right w:val="nil"/>
            </w:tcBorders>
            <w:shd w:val="clear" w:color="auto" w:fill="E6E6E6"/>
            <w:noWrap/>
            <w:vAlign w:val="bottom"/>
            <w:hideMark/>
          </w:tcPr>
          <w:p w14:paraId="132C211D"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2,266</w:t>
            </w:r>
          </w:p>
        </w:tc>
        <w:tc>
          <w:tcPr>
            <w:tcW w:w="585" w:type="pct"/>
            <w:tcBorders>
              <w:top w:val="single" w:sz="4" w:space="0" w:color="000000"/>
              <w:left w:val="nil"/>
              <w:bottom w:val="single" w:sz="4" w:space="0" w:color="000000"/>
              <w:right w:val="nil"/>
            </w:tcBorders>
            <w:shd w:val="clear" w:color="auto" w:fill="auto"/>
            <w:noWrap/>
            <w:vAlign w:val="bottom"/>
            <w:hideMark/>
          </w:tcPr>
          <w:p w14:paraId="1EFF1F0B"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2,266</w:t>
            </w:r>
          </w:p>
        </w:tc>
        <w:tc>
          <w:tcPr>
            <w:tcW w:w="585" w:type="pct"/>
            <w:tcBorders>
              <w:top w:val="single" w:sz="4" w:space="0" w:color="000000"/>
              <w:left w:val="nil"/>
              <w:bottom w:val="single" w:sz="4" w:space="0" w:color="000000"/>
              <w:right w:val="nil"/>
            </w:tcBorders>
            <w:shd w:val="clear" w:color="auto" w:fill="auto"/>
            <w:noWrap/>
            <w:vAlign w:val="bottom"/>
            <w:hideMark/>
          </w:tcPr>
          <w:p w14:paraId="3C56A3BE"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2,266</w:t>
            </w:r>
          </w:p>
        </w:tc>
        <w:tc>
          <w:tcPr>
            <w:tcW w:w="585" w:type="pct"/>
            <w:tcBorders>
              <w:top w:val="single" w:sz="4" w:space="0" w:color="000000"/>
              <w:left w:val="nil"/>
              <w:bottom w:val="single" w:sz="4" w:space="0" w:color="000000"/>
              <w:right w:val="nil"/>
            </w:tcBorders>
            <w:shd w:val="clear" w:color="auto" w:fill="auto"/>
            <w:noWrap/>
            <w:vAlign w:val="bottom"/>
            <w:hideMark/>
          </w:tcPr>
          <w:p w14:paraId="62D47315" w14:textId="77777777" w:rsidR="001C0F49" w:rsidRPr="006F35F7" w:rsidRDefault="001C0F49" w:rsidP="00572266">
            <w:pPr>
              <w:spacing w:after="0" w:line="240" w:lineRule="auto"/>
              <w:jc w:val="right"/>
              <w:rPr>
                <w:rFonts w:ascii="Arial" w:hAnsi="Arial" w:cs="Arial"/>
                <w:b/>
                <w:bCs/>
                <w:i/>
                <w:iCs/>
                <w:color w:val="000000"/>
                <w:sz w:val="16"/>
                <w:szCs w:val="16"/>
              </w:rPr>
            </w:pPr>
            <w:r w:rsidRPr="006F35F7">
              <w:rPr>
                <w:rFonts w:ascii="Arial" w:hAnsi="Arial" w:cs="Arial"/>
                <w:b/>
                <w:bCs/>
                <w:i/>
                <w:iCs/>
                <w:color w:val="000000"/>
                <w:sz w:val="16"/>
                <w:szCs w:val="16"/>
              </w:rPr>
              <w:t>2,266</w:t>
            </w:r>
          </w:p>
        </w:tc>
      </w:tr>
      <w:tr w:rsidR="001C0F49" w:rsidRPr="006F35F7" w14:paraId="2C8C0DE0" w14:textId="77777777" w:rsidTr="00AE2189">
        <w:trPr>
          <w:trHeight w:val="204"/>
        </w:trPr>
        <w:tc>
          <w:tcPr>
            <w:tcW w:w="2029" w:type="pct"/>
            <w:tcBorders>
              <w:top w:val="nil"/>
              <w:left w:val="nil"/>
              <w:bottom w:val="nil"/>
              <w:right w:val="nil"/>
            </w:tcBorders>
            <w:shd w:val="clear" w:color="auto" w:fill="auto"/>
            <w:noWrap/>
            <w:vAlign w:val="bottom"/>
            <w:hideMark/>
          </w:tcPr>
          <w:p w14:paraId="11C235A3"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Total liabilities</w:t>
            </w:r>
          </w:p>
        </w:tc>
        <w:tc>
          <w:tcPr>
            <w:tcW w:w="633" w:type="pct"/>
            <w:tcBorders>
              <w:top w:val="single" w:sz="4" w:space="0" w:color="auto"/>
              <w:left w:val="nil"/>
              <w:bottom w:val="single" w:sz="4" w:space="0" w:color="auto"/>
              <w:right w:val="nil"/>
            </w:tcBorders>
            <w:shd w:val="clear" w:color="auto" w:fill="auto"/>
            <w:noWrap/>
            <w:vAlign w:val="bottom"/>
            <w:hideMark/>
          </w:tcPr>
          <w:p w14:paraId="62905746"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4,991</w:t>
            </w:r>
          </w:p>
        </w:tc>
        <w:tc>
          <w:tcPr>
            <w:tcW w:w="585" w:type="pct"/>
            <w:tcBorders>
              <w:top w:val="single" w:sz="4" w:space="0" w:color="auto"/>
              <w:left w:val="nil"/>
              <w:bottom w:val="single" w:sz="4" w:space="0" w:color="auto"/>
              <w:right w:val="nil"/>
            </w:tcBorders>
            <w:shd w:val="clear" w:color="auto" w:fill="E6E6E6"/>
            <w:noWrap/>
            <w:vAlign w:val="bottom"/>
            <w:hideMark/>
          </w:tcPr>
          <w:p w14:paraId="567106F3"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4,828</w:t>
            </w:r>
          </w:p>
        </w:tc>
        <w:tc>
          <w:tcPr>
            <w:tcW w:w="585" w:type="pct"/>
            <w:tcBorders>
              <w:top w:val="single" w:sz="4" w:space="0" w:color="auto"/>
              <w:left w:val="nil"/>
              <w:bottom w:val="single" w:sz="4" w:space="0" w:color="auto"/>
              <w:right w:val="nil"/>
            </w:tcBorders>
            <w:shd w:val="clear" w:color="auto" w:fill="auto"/>
            <w:noWrap/>
            <w:vAlign w:val="bottom"/>
            <w:hideMark/>
          </w:tcPr>
          <w:p w14:paraId="49246F0B"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4,600</w:t>
            </w:r>
          </w:p>
        </w:tc>
        <w:tc>
          <w:tcPr>
            <w:tcW w:w="585" w:type="pct"/>
            <w:tcBorders>
              <w:top w:val="single" w:sz="4" w:space="0" w:color="auto"/>
              <w:left w:val="nil"/>
              <w:bottom w:val="single" w:sz="4" w:space="0" w:color="auto"/>
              <w:right w:val="nil"/>
            </w:tcBorders>
            <w:shd w:val="clear" w:color="auto" w:fill="auto"/>
            <w:noWrap/>
            <w:vAlign w:val="bottom"/>
            <w:hideMark/>
          </w:tcPr>
          <w:p w14:paraId="15C4DFE0"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4,372</w:t>
            </w:r>
          </w:p>
        </w:tc>
        <w:tc>
          <w:tcPr>
            <w:tcW w:w="585" w:type="pct"/>
            <w:tcBorders>
              <w:top w:val="single" w:sz="4" w:space="0" w:color="auto"/>
              <w:left w:val="nil"/>
              <w:bottom w:val="single" w:sz="4" w:space="0" w:color="auto"/>
              <w:right w:val="nil"/>
            </w:tcBorders>
            <w:shd w:val="clear" w:color="auto" w:fill="auto"/>
            <w:noWrap/>
            <w:vAlign w:val="bottom"/>
            <w:hideMark/>
          </w:tcPr>
          <w:p w14:paraId="3CCD56E9"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4,144</w:t>
            </w:r>
          </w:p>
        </w:tc>
      </w:tr>
      <w:tr w:rsidR="001C0F49" w:rsidRPr="006F35F7" w14:paraId="618511A1" w14:textId="77777777" w:rsidTr="00AE2189">
        <w:trPr>
          <w:trHeight w:val="204"/>
        </w:trPr>
        <w:tc>
          <w:tcPr>
            <w:tcW w:w="2029" w:type="pct"/>
            <w:tcBorders>
              <w:top w:val="nil"/>
              <w:left w:val="nil"/>
              <w:bottom w:val="nil"/>
              <w:right w:val="nil"/>
            </w:tcBorders>
            <w:shd w:val="clear" w:color="auto" w:fill="auto"/>
            <w:noWrap/>
            <w:vAlign w:val="bottom"/>
            <w:hideMark/>
          </w:tcPr>
          <w:p w14:paraId="13FD0D10" w14:textId="77777777" w:rsidR="001C0F49" w:rsidRPr="006F35F7" w:rsidRDefault="001C0F49" w:rsidP="00293BD0">
            <w:pPr>
              <w:spacing w:after="0" w:line="240" w:lineRule="auto"/>
              <w:rPr>
                <w:rFonts w:ascii="Arial" w:hAnsi="Arial" w:cs="Arial"/>
                <w:b/>
                <w:bCs/>
                <w:sz w:val="16"/>
                <w:szCs w:val="16"/>
              </w:rPr>
            </w:pPr>
            <w:r w:rsidRPr="006F35F7">
              <w:rPr>
                <w:rFonts w:ascii="Arial" w:hAnsi="Arial" w:cs="Arial"/>
                <w:b/>
                <w:bCs/>
                <w:sz w:val="16"/>
                <w:szCs w:val="16"/>
              </w:rPr>
              <w:t>Net assets</w:t>
            </w:r>
          </w:p>
        </w:tc>
        <w:tc>
          <w:tcPr>
            <w:tcW w:w="633" w:type="pct"/>
            <w:tcBorders>
              <w:top w:val="nil"/>
              <w:left w:val="nil"/>
              <w:bottom w:val="single" w:sz="4" w:space="0" w:color="auto"/>
              <w:right w:val="nil"/>
            </w:tcBorders>
            <w:shd w:val="clear" w:color="auto" w:fill="auto"/>
            <w:noWrap/>
            <w:vAlign w:val="bottom"/>
            <w:hideMark/>
          </w:tcPr>
          <w:p w14:paraId="6DEAEB9D"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117,158</w:t>
            </w:r>
          </w:p>
        </w:tc>
        <w:tc>
          <w:tcPr>
            <w:tcW w:w="585" w:type="pct"/>
            <w:tcBorders>
              <w:top w:val="nil"/>
              <w:left w:val="nil"/>
              <w:bottom w:val="single" w:sz="4" w:space="0" w:color="auto"/>
              <w:right w:val="nil"/>
            </w:tcBorders>
            <w:shd w:val="clear" w:color="auto" w:fill="E6E6E6"/>
            <w:noWrap/>
            <w:vAlign w:val="bottom"/>
            <w:hideMark/>
          </w:tcPr>
          <w:p w14:paraId="685DC6D7"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115,728</w:t>
            </w:r>
          </w:p>
        </w:tc>
        <w:tc>
          <w:tcPr>
            <w:tcW w:w="585" w:type="pct"/>
            <w:tcBorders>
              <w:top w:val="nil"/>
              <w:left w:val="nil"/>
              <w:bottom w:val="single" w:sz="4" w:space="0" w:color="auto"/>
              <w:right w:val="nil"/>
            </w:tcBorders>
            <w:shd w:val="clear" w:color="auto" w:fill="auto"/>
            <w:noWrap/>
            <w:vAlign w:val="bottom"/>
            <w:hideMark/>
          </w:tcPr>
          <w:p w14:paraId="70A21A04"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112,756</w:t>
            </w:r>
          </w:p>
        </w:tc>
        <w:tc>
          <w:tcPr>
            <w:tcW w:w="585" w:type="pct"/>
            <w:tcBorders>
              <w:top w:val="nil"/>
              <w:left w:val="nil"/>
              <w:bottom w:val="single" w:sz="4" w:space="0" w:color="auto"/>
              <w:right w:val="nil"/>
            </w:tcBorders>
            <w:shd w:val="clear" w:color="auto" w:fill="auto"/>
            <w:noWrap/>
            <w:vAlign w:val="bottom"/>
            <w:hideMark/>
          </w:tcPr>
          <w:p w14:paraId="15CD0B95"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107,972</w:t>
            </w:r>
          </w:p>
        </w:tc>
        <w:tc>
          <w:tcPr>
            <w:tcW w:w="585" w:type="pct"/>
            <w:tcBorders>
              <w:top w:val="nil"/>
              <w:left w:val="nil"/>
              <w:bottom w:val="single" w:sz="4" w:space="0" w:color="auto"/>
              <w:right w:val="nil"/>
            </w:tcBorders>
            <w:shd w:val="clear" w:color="auto" w:fill="auto"/>
            <w:noWrap/>
            <w:vAlign w:val="bottom"/>
            <w:hideMark/>
          </w:tcPr>
          <w:p w14:paraId="76421DFB" w14:textId="77777777" w:rsidR="001C0F49" w:rsidRPr="006F35F7" w:rsidRDefault="001C0F49" w:rsidP="00572266">
            <w:pPr>
              <w:spacing w:after="0" w:line="240" w:lineRule="auto"/>
              <w:jc w:val="right"/>
              <w:rPr>
                <w:rFonts w:ascii="Arial" w:hAnsi="Arial" w:cs="Arial"/>
                <w:b/>
                <w:bCs/>
                <w:color w:val="000000"/>
                <w:sz w:val="16"/>
                <w:szCs w:val="16"/>
              </w:rPr>
            </w:pPr>
            <w:r w:rsidRPr="006F35F7">
              <w:rPr>
                <w:rFonts w:ascii="Arial" w:hAnsi="Arial" w:cs="Arial"/>
                <w:b/>
                <w:bCs/>
                <w:color w:val="000000"/>
                <w:sz w:val="16"/>
                <w:szCs w:val="16"/>
              </w:rPr>
              <w:t>102,170</w:t>
            </w:r>
          </w:p>
        </w:tc>
      </w:tr>
      <w:tr w:rsidR="001C0F49" w:rsidRPr="006F35F7" w14:paraId="3EB49557" w14:textId="77777777" w:rsidTr="00AE2189">
        <w:trPr>
          <w:trHeight w:val="204"/>
        </w:trPr>
        <w:tc>
          <w:tcPr>
            <w:tcW w:w="2029" w:type="pct"/>
            <w:tcBorders>
              <w:top w:val="nil"/>
              <w:left w:val="nil"/>
              <w:bottom w:val="nil"/>
              <w:right w:val="nil"/>
            </w:tcBorders>
            <w:shd w:val="clear" w:color="auto" w:fill="auto"/>
            <w:noWrap/>
            <w:vAlign w:val="bottom"/>
            <w:hideMark/>
          </w:tcPr>
          <w:p w14:paraId="4902399C"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EQUITY</w:t>
            </w:r>
          </w:p>
        </w:tc>
        <w:tc>
          <w:tcPr>
            <w:tcW w:w="633" w:type="pct"/>
            <w:tcBorders>
              <w:top w:val="nil"/>
              <w:left w:val="nil"/>
              <w:bottom w:val="nil"/>
              <w:right w:val="nil"/>
            </w:tcBorders>
            <w:shd w:val="clear" w:color="auto" w:fill="auto"/>
            <w:noWrap/>
            <w:vAlign w:val="bottom"/>
            <w:hideMark/>
          </w:tcPr>
          <w:p w14:paraId="7568F3A1"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56575F26"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0EA11CA"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5EB95C2E"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08123CD6" w14:textId="77777777" w:rsidR="001C0F49" w:rsidRPr="006F35F7" w:rsidRDefault="001C0F49" w:rsidP="00572266">
            <w:pPr>
              <w:spacing w:after="0" w:line="240" w:lineRule="auto"/>
              <w:jc w:val="right"/>
              <w:rPr>
                <w:rFonts w:ascii="Times New Roman" w:hAnsi="Times New Roman"/>
              </w:rPr>
            </w:pPr>
          </w:p>
        </w:tc>
      </w:tr>
      <w:tr w:rsidR="001C0F49" w:rsidRPr="006F35F7" w14:paraId="2A5F8248" w14:textId="77777777" w:rsidTr="00AE2189">
        <w:trPr>
          <w:trHeight w:val="204"/>
        </w:trPr>
        <w:tc>
          <w:tcPr>
            <w:tcW w:w="2029" w:type="pct"/>
            <w:tcBorders>
              <w:top w:val="nil"/>
              <w:left w:val="nil"/>
              <w:bottom w:val="nil"/>
              <w:right w:val="nil"/>
            </w:tcBorders>
            <w:shd w:val="clear" w:color="auto" w:fill="auto"/>
            <w:noWrap/>
            <w:vAlign w:val="bottom"/>
            <w:hideMark/>
          </w:tcPr>
          <w:p w14:paraId="30D1FBE7" w14:textId="77777777" w:rsidR="001C0F49" w:rsidRPr="006F35F7" w:rsidRDefault="001C0F49" w:rsidP="00293BD0">
            <w:pPr>
              <w:spacing w:after="0" w:line="240" w:lineRule="auto"/>
              <w:rPr>
                <w:rFonts w:ascii="Arial" w:hAnsi="Arial" w:cs="Arial"/>
                <w:b/>
                <w:bCs/>
                <w:color w:val="000000"/>
                <w:sz w:val="16"/>
                <w:szCs w:val="16"/>
              </w:rPr>
            </w:pPr>
            <w:r w:rsidRPr="006F35F7">
              <w:rPr>
                <w:rFonts w:ascii="Arial" w:hAnsi="Arial" w:cs="Arial"/>
                <w:b/>
                <w:bCs/>
                <w:color w:val="000000"/>
                <w:sz w:val="16"/>
                <w:szCs w:val="16"/>
              </w:rPr>
              <w:t>Parent entity interest</w:t>
            </w:r>
          </w:p>
        </w:tc>
        <w:tc>
          <w:tcPr>
            <w:tcW w:w="633" w:type="pct"/>
            <w:tcBorders>
              <w:top w:val="nil"/>
              <w:left w:val="nil"/>
              <w:bottom w:val="nil"/>
              <w:right w:val="nil"/>
            </w:tcBorders>
            <w:shd w:val="clear" w:color="auto" w:fill="auto"/>
            <w:noWrap/>
            <w:vAlign w:val="bottom"/>
            <w:hideMark/>
          </w:tcPr>
          <w:p w14:paraId="02B9A9D5" w14:textId="77777777" w:rsidR="001C0F49" w:rsidRPr="006F35F7" w:rsidRDefault="001C0F49" w:rsidP="00572266">
            <w:pPr>
              <w:spacing w:after="0" w:line="240" w:lineRule="auto"/>
              <w:jc w:val="right"/>
              <w:rPr>
                <w:rFonts w:ascii="Arial" w:hAnsi="Arial" w:cs="Arial"/>
                <w:b/>
                <w:bCs/>
                <w:color w:val="000000"/>
                <w:sz w:val="16"/>
                <w:szCs w:val="16"/>
              </w:rPr>
            </w:pPr>
          </w:p>
        </w:tc>
        <w:tc>
          <w:tcPr>
            <w:tcW w:w="585" w:type="pct"/>
            <w:tcBorders>
              <w:top w:val="nil"/>
              <w:left w:val="nil"/>
              <w:bottom w:val="nil"/>
              <w:right w:val="nil"/>
            </w:tcBorders>
            <w:shd w:val="clear" w:color="auto" w:fill="E6E6E6"/>
            <w:noWrap/>
            <w:vAlign w:val="bottom"/>
            <w:hideMark/>
          </w:tcPr>
          <w:p w14:paraId="27B50CD9"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67BAAAB6" w14:textId="77777777" w:rsidR="001C0F49" w:rsidRPr="006F35F7" w:rsidRDefault="001C0F49" w:rsidP="00572266">
            <w:pPr>
              <w:spacing w:after="0" w:line="240" w:lineRule="auto"/>
              <w:jc w:val="right"/>
              <w:rPr>
                <w:rFonts w:ascii="Arial" w:hAnsi="Arial" w:cs="Arial"/>
                <w:color w:val="000000"/>
                <w:sz w:val="16"/>
                <w:szCs w:val="16"/>
              </w:rPr>
            </w:pPr>
          </w:p>
        </w:tc>
        <w:tc>
          <w:tcPr>
            <w:tcW w:w="585" w:type="pct"/>
            <w:tcBorders>
              <w:top w:val="nil"/>
              <w:left w:val="nil"/>
              <w:bottom w:val="nil"/>
              <w:right w:val="nil"/>
            </w:tcBorders>
            <w:shd w:val="clear" w:color="auto" w:fill="auto"/>
            <w:noWrap/>
            <w:vAlign w:val="bottom"/>
            <w:hideMark/>
          </w:tcPr>
          <w:p w14:paraId="7F33FCB4" w14:textId="77777777" w:rsidR="001C0F49" w:rsidRPr="006F35F7" w:rsidRDefault="001C0F49" w:rsidP="00572266">
            <w:pPr>
              <w:spacing w:after="0" w:line="240" w:lineRule="auto"/>
              <w:jc w:val="right"/>
              <w:rPr>
                <w:rFonts w:ascii="Times New Roman" w:hAnsi="Times New Roman"/>
              </w:rPr>
            </w:pPr>
          </w:p>
        </w:tc>
        <w:tc>
          <w:tcPr>
            <w:tcW w:w="585" w:type="pct"/>
            <w:tcBorders>
              <w:top w:val="nil"/>
              <w:left w:val="nil"/>
              <w:bottom w:val="nil"/>
              <w:right w:val="nil"/>
            </w:tcBorders>
            <w:shd w:val="clear" w:color="auto" w:fill="auto"/>
            <w:noWrap/>
            <w:vAlign w:val="bottom"/>
            <w:hideMark/>
          </w:tcPr>
          <w:p w14:paraId="08727783" w14:textId="77777777" w:rsidR="001C0F49" w:rsidRPr="006F35F7" w:rsidRDefault="001C0F49" w:rsidP="00572266">
            <w:pPr>
              <w:spacing w:after="0" w:line="240" w:lineRule="auto"/>
              <w:jc w:val="right"/>
              <w:rPr>
                <w:rFonts w:ascii="Times New Roman" w:hAnsi="Times New Roman"/>
              </w:rPr>
            </w:pPr>
          </w:p>
        </w:tc>
      </w:tr>
      <w:tr w:rsidR="001C0F49" w:rsidRPr="006F35F7" w14:paraId="0DBE5DFE" w14:textId="77777777" w:rsidTr="00AE2189">
        <w:trPr>
          <w:trHeight w:val="204"/>
        </w:trPr>
        <w:tc>
          <w:tcPr>
            <w:tcW w:w="2029" w:type="pct"/>
            <w:tcBorders>
              <w:top w:val="nil"/>
              <w:left w:val="nil"/>
              <w:bottom w:val="nil"/>
              <w:right w:val="nil"/>
            </w:tcBorders>
            <w:shd w:val="clear" w:color="auto" w:fill="auto"/>
            <w:noWrap/>
            <w:vAlign w:val="bottom"/>
            <w:hideMark/>
          </w:tcPr>
          <w:p w14:paraId="2D15C5A5"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Contributed equity</w:t>
            </w:r>
          </w:p>
        </w:tc>
        <w:tc>
          <w:tcPr>
            <w:tcW w:w="633" w:type="pct"/>
            <w:tcBorders>
              <w:top w:val="nil"/>
              <w:left w:val="nil"/>
              <w:bottom w:val="nil"/>
              <w:right w:val="nil"/>
            </w:tcBorders>
            <w:shd w:val="clear" w:color="auto" w:fill="auto"/>
            <w:noWrap/>
            <w:vAlign w:val="bottom"/>
            <w:hideMark/>
          </w:tcPr>
          <w:p w14:paraId="374C1B57"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113,686</w:t>
            </w:r>
          </w:p>
        </w:tc>
        <w:tc>
          <w:tcPr>
            <w:tcW w:w="585" w:type="pct"/>
            <w:tcBorders>
              <w:top w:val="nil"/>
              <w:left w:val="nil"/>
              <w:bottom w:val="nil"/>
              <w:right w:val="nil"/>
            </w:tcBorders>
            <w:shd w:val="clear" w:color="auto" w:fill="E6E6E6"/>
            <w:noWrap/>
            <w:vAlign w:val="bottom"/>
            <w:hideMark/>
          </w:tcPr>
          <w:p w14:paraId="7DC1AE9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74,490</w:t>
            </w:r>
          </w:p>
        </w:tc>
        <w:tc>
          <w:tcPr>
            <w:tcW w:w="585" w:type="pct"/>
            <w:tcBorders>
              <w:top w:val="nil"/>
              <w:left w:val="nil"/>
              <w:bottom w:val="nil"/>
              <w:right w:val="nil"/>
            </w:tcBorders>
            <w:shd w:val="clear" w:color="auto" w:fill="auto"/>
            <w:noWrap/>
            <w:vAlign w:val="bottom"/>
            <w:hideMark/>
          </w:tcPr>
          <w:p w14:paraId="0A54F7AF"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77,559</w:t>
            </w:r>
          </w:p>
        </w:tc>
        <w:tc>
          <w:tcPr>
            <w:tcW w:w="585" w:type="pct"/>
            <w:tcBorders>
              <w:top w:val="nil"/>
              <w:left w:val="nil"/>
              <w:bottom w:val="nil"/>
              <w:right w:val="nil"/>
            </w:tcBorders>
            <w:shd w:val="clear" w:color="auto" w:fill="auto"/>
            <w:noWrap/>
            <w:vAlign w:val="bottom"/>
            <w:hideMark/>
          </w:tcPr>
          <w:p w14:paraId="78AEBA0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78,805</w:t>
            </w:r>
          </w:p>
        </w:tc>
        <w:tc>
          <w:tcPr>
            <w:tcW w:w="585" w:type="pct"/>
            <w:tcBorders>
              <w:top w:val="nil"/>
              <w:left w:val="nil"/>
              <w:bottom w:val="nil"/>
              <w:right w:val="nil"/>
            </w:tcBorders>
            <w:shd w:val="clear" w:color="auto" w:fill="auto"/>
            <w:noWrap/>
            <w:vAlign w:val="bottom"/>
            <w:hideMark/>
          </w:tcPr>
          <w:p w14:paraId="6223AD5B"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79,020</w:t>
            </w:r>
          </w:p>
        </w:tc>
      </w:tr>
      <w:tr w:rsidR="001C0F49" w:rsidRPr="006F35F7" w14:paraId="2AB1E6B6" w14:textId="77777777" w:rsidTr="00AE2189">
        <w:trPr>
          <w:trHeight w:val="204"/>
        </w:trPr>
        <w:tc>
          <w:tcPr>
            <w:tcW w:w="2029" w:type="pct"/>
            <w:tcBorders>
              <w:top w:val="nil"/>
              <w:left w:val="nil"/>
              <w:bottom w:val="nil"/>
              <w:right w:val="nil"/>
            </w:tcBorders>
            <w:shd w:val="clear" w:color="auto" w:fill="auto"/>
            <w:noWrap/>
            <w:vAlign w:val="bottom"/>
            <w:hideMark/>
          </w:tcPr>
          <w:p w14:paraId="5B289C42"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Reserves</w:t>
            </w:r>
          </w:p>
        </w:tc>
        <w:tc>
          <w:tcPr>
            <w:tcW w:w="633" w:type="pct"/>
            <w:tcBorders>
              <w:top w:val="nil"/>
              <w:left w:val="nil"/>
              <w:bottom w:val="nil"/>
              <w:right w:val="nil"/>
            </w:tcBorders>
            <w:shd w:val="clear" w:color="auto" w:fill="auto"/>
            <w:noWrap/>
            <w:vAlign w:val="bottom"/>
            <w:hideMark/>
          </w:tcPr>
          <w:p w14:paraId="3FFF78A7"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50,310</w:t>
            </w:r>
          </w:p>
        </w:tc>
        <w:tc>
          <w:tcPr>
            <w:tcW w:w="585" w:type="pct"/>
            <w:tcBorders>
              <w:top w:val="nil"/>
              <w:left w:val="nil"/>
              <w:bottom w:val="nil"/>
              <w:right w:val="nil"/>
            </w:tcBorders>
            <w:shd w:val="clear" w:color="auto" w:fill="E6E6E6"/>
            <w:noWrap/>
            <w:vAlign w:val="bottom"/>
            <w:hideMark/>
          </w:tcPr>
          <w:p w14:paraId="46C46EFE"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50,310</w:t>
            </w:r>
          </w:p>
        </w:tc>
        <w:tc>
          <w:tcPr>
            <w:tcW w:w="585" w:type="pct"/>
            <w:tcBorders>
              <w:top w:val="nil"/>
              <w:left w:val="nil"/>
              <w:bottom w:val="nil"/>
              <w:right w:val="nil"/>
            </w:tcBorders>
            <w:shd w:val="clear" w:color="auto" w:fill="auto"/>
            <w:noWrap/>
            <w:vAlign w:val="bottom"/>
            <w:hideMark/>
          </w:tcPr>
          <w:p w14:paraId="78E2D552"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50,310</w:t>
            </w:r>
          </w:p>
        </w:tc>
        <w:tc>
          <w:tcPr>
            <w:tcW w:w="585" w:type="pct"/>
            <w:tcBorders>
              <w:top w:val="nil"/>
              <w:left w:val="nil"/>
              <w:bottom w:val="nil"/>
              <w:right w:val="nil"/>
            </w:tcBorders>
            <w:shd w:val="clear" w:color="auto" w:fill="auto"/>
            <w:noWrap/>
            <w:vAlign w:val="bottom"/>
            <w:hideMark/>
          </w:tcPr>
          <w:p w14:paraId="311E9CD5"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50,310</w:t>
            </w:r>
          </w:p>
        </w:tc>
        <w:tc>
          <w:tcPr>
            <w:tcW w:w="585" w:type="pct"/>
            <w:tcBorders>
              <w:top w:val="nil"/>
              <w:left w:val="nil"/>
              <w:bottom w:val="nil"/>
              <w:right w:val="nil"/>
            </w:tcBorders>
            <w:shd w:val="clear" w:color="auto" w:fill="auto"/>
            <w:noWrap/>
            <w:vAlign w:val="bottom"/>
            <w:hideMark/>
          </w:tcPr>
          <w:p w14:paraId="7E735C89"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50,310</w:t>
            </w:r>
          </w:p>
        </w:tc>
      </w:tr>
      <w:tr w:rsidR="001C0F49" w:rsidRPr="006F35F7" w14:paraId="32A5F8C1" w14:textId="77777777" w:rsidTr="00AE2189">
        <w:trPr>
          <w:trHeight w:val="204"/>
        </w:trPr>
        <w:tc>
          <w:tcPr>
            <w:tcW w:w="2029" w:type="pct"/>
            <w:tcBorders>
              <w:top w:val="nil"/>
              <w:left w:val="nil"/>
              <w:bottom w:val="nil"/>
              <w:right w:val="nil"/>
            </w:tcBorders>
            <w:shd w:val="clear" w:color="auto" w:fill="auto"/>
            <w:vAlign w:val="bottom"/>
            <w:hideMark/>
          </w:tcPr>
          <w:p w14:paraId="05ECA02C" w14:textId="77777777" w:rsidR="001C0F49" w:rsidRPr="006F35F7" w:rsidRDefault="001C0F49" w:rsidP="00293BD0">
            <w:pPr>
              <w:spacing w:after="0" w:line="240" w:lineRule="auto"/>
              <w:ind w:left="113"/>
              <w:rPr>
                <w:rFonts w:ascii="Arial" w:hAnsi="Arial" w:cs="Arial"/>
                <w:color w:val="000000"/>
                <w:sz w:val="16"/>
                <w:szCs w:val="16"/>
              </w:rPr>
            </w:pPr>
            <w:r w:rsidRPr="006F35F7">
              <w:rPr>
                <w:rFonts w:ascii="Arial" w:hAnsi="Arial" w:cs="Arial"/>
                <w:color w:val="000000"/>
                <w:sz w:val="16"/>
                <w:szCs w:val="16"/>
              </w:rPr>
              <w:t>Retained surplus (accumulated deficit)</w:t>
            </w:r>
          </w:p>
        </w:tc>
        <w:tc>
          <w:tcPr>
            <w:tcW w:w="633" w:type="pct"/>
            <w:tcBorders>
              <w:top w:val="nil"/>
              <w:left w:val="nil"/>
              <w:bottom w:val="nil"/>
              <w:right w:val="nil"/>
            </w:tcBorders>
            <w:shd w:val="clear" w:color="auto" w:fill="auto"/>
            <w:noWrap/>
            <w:vAlign w:val="bottom"/>
            <w:hideMark/>
          </w:tcPr>
          <w:p w14:paraId="61C97978"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(46,838)</w:t>
            </w:r>
          </w:p>
        </w:tc>
        <w:tc>
          <w:tcPr>
            <w:tcW w:w="585" w:type="pct"/>
            <w:tcBorders>
              <w:top w:val="nil"/>
              <w:left w:val="nil"/>
              <w:bottom w:val="nil"/>
              <w:right w:val="nil"/>
            </w:tcBorders>
            <w:shd w:val="clear" w:color="auto" w:fill="E6E6E6"/>
            <w:noWrap/>
            <w:vAlign w:val="bottom"/>
            <w:hideMark/>
          </w:tcPr>
          <w:p w14:paraId="0945E75C"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(9,072)</w:t>
            </w:r>
          </w:p>
        </w:tc>
        <w:tc>
          <w:tcPr>
            <w:tcW w:w="585" w:type="pct"/>
            <w:tcBorders>
              <w:top w:val="nil"/>
              <w:left w:val="nil"/>
              <w:bottom w:val="nil"/>
              <w:right w:val="nil"/>
            </w:tcBorders>
            <w:shd w:val="clear" w:color="auto" w:fill="auto"/>
            <w:noWrap/>
            <w:vAlign w:val="bottom"/>
            <w:hideMark/>
          </w:tcPr>
          <w:p w14:paraId="59C9641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(15,113)</w:t>
            </w:r>
          </w:p>
        </w:tc>
        <w:tc>
          <w:tcPr>
            <w:tcW w:w="585" w:type="pct"/>
            <w:tcBorders>
              <w:top w:val="nil"/>
              <w:left w:val="nil"/>
              <w:bottom w:val="nil"/>
              <w:right w:val="nil"/>
            </w:tcBorders>
            <w:shd w:val="clear" w:color="auto" w:fill="auto"/>
            <w:noWrap/>
            <w:vAlign w:val="bottom"/>
            <w:hideMark/>
          </w:tcPr>
          <w:p w14:paraId="1E111AD3"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(21,143)</w:t>
            </w:r>
          </w:p>
        </w:tc>
        <w:tc>
          <w:tcPr>
            <w:tcW w:w="585" w:type="pct"/>
            <w:tcBorders>
              <w:top w:val="nil"/>
              <w:left w:val="nil"/>
              <w:bottom w:val="nil"/>
              <w:right w:val="nil"/>
            </w:tcBorders>
            <w:shd w:val="clear" w:color="auto" w:fill="auto"/>
            <w:noWrap/>
            <w:vAlign w:val="bottom"/>
            <w:hideMark/>
          </w:tcPr>
          <w:p w14:paraId="113ED60A" w14:textId="77777777" w:rsidR="001C0F49" w:rsidRPr="006F35F7" w:rsidRDefault="001C0F49" w:rsidP="00572266">
            <w:pPr>
              <w:spacing w:after="0" w:line="240" w:lineRule="auto"/>
              <w:jc w:val="right"/>
              <w:rPr>
                <w:rFonts w:ascii="Arial" w:hAnsi="Arial" w:cs="Arial"/>
                <w:color w:val="000000"/>
                <w:sz w:val="16"/>
                <w:szCs w:val="16"/>
              </w:rPr>
            </w:pPr>
            <w:r w:rsidRPr="006F35F7">
              <w:rPr>
                <w:rFonts w:ascii="Arial" w:hAnsi="Arial" w:cs="Arial"/>
                <w:color w:val="000000"/>
                <w:sz w:val="16"/>
                <w:szCs w:val="16"/>
              </w:rPr>
              <w:t>(27,160)</w:t>
            </w:r>
          </w:p>
        </w:tc>
      </w:tr>
      <w:tr w:rsidR="001C0F49" w:rsidRPr="002B4BF3" w14:paraId="2FCC1F57" w14:textId="77777777" w:rsidTr="00AE2189">
        <w:trPr>
          <w:trHeight w:val="204"/>
        </w:trPr>
        <w:tc>
          <w:tcPr>
            <w:tcW w:w="2029" w:type="pct"/>
            <w:tcBorders>
              <w:top w:val="nil"/>
              <w:left w:val="nil"/>
              <w:bottom w:val="nil"/>
              <w:right w:val="nil"/>
            </w:tcBorders>
            <w:shd w:val="clear" w:color="auto" w:fill="auto"/>
            <w:noWrap/>
            <w:vAlign w:val="bottom"/>
            <w:hideMark/>
          </w:tcPr>
          <w:p w14:paraId="2444C3A8" w14:textId="77777777" w:rsidR="001C0F49" w:rsidRPr="002B4BF3" w:rsidRDefault="001C0F49" w:rsidP="00293BD0">
            <w:pPr>
              <w:spacing w:after="0" w:line="240" w:lineRule="auto"/>
              <w:rPr>
                <w:rFonts w:ascii="Arial" w:hAnsi="Arial" w:cs="Arial"/>
                <w:b/>
                <w:bCs/>
                <w:iCs/>
                <w:color w:val="000000"/>
                <w:sz w:val="16"/>
                <w:szCs w:val="16"/>
              </w:rPr>
            </w:pPr>
            <w:r w:rsidRPr="002B4BF3">
              <w:rPr>
                <w:rFonts w:ascii="Arial" w:hAnsi="Arial" w:cs="Arial"/>
                <w:b/>
                <w:bCs/>
                <w:iCs/>
                <w:color w:val="000000"/>
                <w:sz w:val="16"/>
                <w:szCs w:val="16"/>
              </w:rPr>
              <w:t>Total parent entity interest</w:t>
            </w:r>
          </w:p>
        </w:tc>
        <w:tc>
          <w:tcPr>
            <w:tcW w:w="633" w:type="pct"/>
            <w:tcBorders>
              <w:top w:val="single" w:sz="4" w:space="0" w:color="000000"/>
              <w:left w:val="nil"/>
              <w:bottom w:val="single" w:sz="4" w:space="0" w:color="000000"/>
              <w:right w:val="nil"/>
            </w:tcBorders>
            <w:shd w:val="clear" w:color="auto" w:fill="auto"/>
            <w:noWrap/>
            <w:vAlign w:val="bottom"/>
            <w:hideMark/>
          </w:tcPr>
          <w:p w14:paraId="7D12B8B4"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117,158</w:t>
            </w:r>
          </w:p>
        </w:tc>
        <w:tc>
          <w:tcPr>
            <w:tcW w:w="585" w:type="pct"/>
            <w:tcBorders>
              <w:top w:val="single" w:sz="4" w:space="0" w:color="000000"/>
              <w:left w:val="nil"/>
              <w:bottom w:val="single" w:sz="4" w:space="0" w:color="000000"/>
              <w:right w:val="nil"/>
            </w:tcBorders>
            <w:shd w:val="clear" w:color="auto" w:fill="E6E6E6"/>
            <w:noWrap/>
            <w:vAlign w:val="bottom"/>
            <w:hideMark/>
          </w:tcPr>
          <w:p w14:paraId="5244C5D4"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115,728</w:t>
            </w:r>
          </w:p>
        </w:tc>
        <w:tc>
          <w:tcPr>
            <w:tcW w:w="585" w:type="pct"/>
            <w:tcBorders>
              <w:top w:val="single" w:sz="4" w:space="0" w:color="000000"/>
              <w:left w:val="nil"/>
              <w:bottom w:val="single" w:sz="4" w:space="0" w:color="000000"/>
              <w:right w:val="nil"/>
            </w:tcBorders>
            <w:shd w:val="clear" w:color="auto" w:fill="auto"/>
            <w:noWrap/>
            <w:vAlign w:val="bottom"/>
            <w:hideMark/>
          </w:tcPr>
          <w:p w14:paraId="33663A58"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112,756</w:t>
            </w:r>
          </w:p>
        </w:tc>
        <w:tc>
          <w:tcPr>
            <w:tcW w:w="585" w:type="pct"/>
            <w:tcBorders>
              <w:top w:val="single" w:sz="4" w:space="0" w:color="000000"/>
              <w:left w:val="nil"/>
              <w:bottom w:val="single" w:sz="4" w:space="0" w:color="000000"/>
              <w:right w:val="nil"/>
            </w:tcBorders>
            <w:shd w:val="clear" w:color="auto" w:fill="auto"/>
            <w:noWrap/>
            <w:vAlign w:val="bottom"/>
            <w:hideMark/>
          </w:tcPr>
          <w:p w14:paraId="73D9241F"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107,972</w:t>
            </w:r>
          </w:p>
        </w:tc>
        <w:tc>
          <w:tcPr>
            <w:tcW w:w="585" w:type="pct"/>
            <w:tcBorders>
              <w:top w:val="single" w:sz="4" w:space="0" w:color="000000"/>
              <w:left w:val="nil"/>
              <w:bottom w:val="single" w:sz="4" w:space="0" w:color="000000"/>
              <w:right w:val="nil"/>
            </w:tcBorders>
            <w:shd w:val="clear" w:color="auto" w:fill="auto"/>
            <w:noWrap/>
            <w:vAlign w:val="bottom"/>
            <w:hideMark/>
          </w:tcPr>
          <w:p w14:paraId="6C4BB783" w14:textId="77777777" w:rsidR="001C0F49" w:rsidRPr="002B4BF3" w:rsidRDefault="001C0F49" w:rsidP="00572266">
            <w:pPr>
              <w:spacing w:after="0" w:line="240" w:lineRule="auto"/>
              <w:jc w:val="right"/>
              <w:rPr>
                <w:rFonts w:ascii="Arial" w:hAnsi="Arial" w:cs="Arial"/>
                <w:b/>
                <w:bCs/>
                <w:iCs/>
                <w:color w:val="000000"/>
                <w:sz w:val="16"/>
                <w:szCs w:val="16"/>
              </w:rPr>
            </w:pPr>
            <w:r w:rsidRPr="002B4BF3">
              <w:rPr>
                <w:rFonts w:ascii="Arial" w:hAnsi="Arial" w:cs="Arial"/>
                <w:b/>
                <w:bCs/>
                <w:iCs/>
                <w:color w:val="000000"/>
                <w:sz w:val="16"/>
                <w:szCs w:val="16"/>
              </w:rPr>
              <w:t>102,170</w:t>
            </w:r>
          </w:p>
        </w:tc>
      </w:tr>
      <w:tr w:rsidR="001C0F49" w:rsidRPr="002B4BF3" w14:paraId="1E3AE69A" w14:textId="77777777" w:rsidTr="00AE2189">
        <w:trPr>
          <w:trHeight w:val="204"/>
        </w:trPr>
        <w:tc>
          <w:tcPr>
            <w:tcW w:w="2029" w:type="pct"/>
            <w:tcBorders>
              <w:top w:val="nil"/>
              <w:left w:val="nil"/>
              <w:bottom w:val="single" w:sz="4" w:space="0" w:color="000000"/>
              <w:right w:val="nil"/>
            </w:tcBorders>
            <w:shd w:val="clear" w:color="auto" w:fill="auto"/>
            <w:noWrap/>
            <w:vAlign w:val="bottom"/>
            <w:hideMark/>
          </w:tcPr>
          <w:p w14:paraId="44DB2519" w14:textId="77777777" w:rsidR="001C0F49" w:rsidRPr="002B4BF3" w:rsidRDefault="001C0F49" w:rsidP="00293BD0">
            <w:pPr>
              <w:spacing w:after="0" w:line="240" w:lineRule="auto"/>
              <w:rPr>
                <w:rFonts w:ascii="Arial" w:hAnsi="Arial" w:cs="Arial"/>
                <w:b/>
                <w:bCs/>
                <w:color w:val="000000"/>
                <w:sz w:val="16"/>
                <w:szCs w:val="16"/>
              </w:rPr>
            </w:pPr>
            <w:r w:rsidRPr="002B4BF3">
              <w:rPr>
                <w:rFonts w:ascii="Arial" w:hAnsi="Arial" w:cs="Arial"/>
                <w:b/>
                <w:bCs/>
                <w:color w:val="000000"/>
                <w:sz w:val="16"/>
                <w:szCs w:val="16"/>
              </w:rPr>
              <w:t>Total equity</w:t>
            </w:r>
          </w:p>
        </w:tc>
        <w:tc>
          <w:tcPr>
            <w:tcW w:w="633" w:type="pct"/>
            <w:tcBorders>
              <w:top w:val="nil"/>
              <w:left w:val="nil"/>
              <w:bottom w:val="single" w:sz="4" w:space="0" w:color="000000"/>
              <w:right w:val="nil"/>
            </w:tcBorders>
            <w:shd w:val="clear" w:color="auto" w:fill="auto"/>
            <w:noWrap/>
            <w:vAlign w:val="bottom"/>
            <w:hideMark/>
          </w:tcPr>
          <w:p w14:paraId="262AF76A" w14:textId="77777777" w:rsidR="001C0F49" w:rsidRPr="002B4BF3" w:rsidRDefault="001C0F49" w:rsidP="00572266">
            <w:pPr>
              <w:spacing w:after="0" w:line="240" w:lineRule="auto"/>
              <w:jc w:val="right"/>
              <w:rPr>
                <w:rFonts w:ascii="Arial" w:hAnsi="Arial" w:cs="Arial"/>
                <w:b/>
                <w:bCs/>
                <w:color w:val="000000"/>
                <w:sz w:val="16"/>
                <w:szCs w:val="16"/>
              </w:rPr>
            </w:pPr>
            <w:r w:rsidRPr="002B4BF3">
              <w:rPr>
                <w:rFonts w:ascii="Arial" w:hAnsi="Arial" w:cs="Arial"/>
                <w:b/>
                <w:bCs/>
                <w:color w:val="000000"/>
                <w:sz w:val="16"/>
                <w:szCs w:val="16"/>
              </w:rPr>
              <w:t>117,158</w:t>
            </w:r>
          </w:p>
        </w:tc>
        <w:tc>
          <w:tcPr>
            <w:tcW w:w="585" w:type="pct"/>
            <w:tcBorders>
              <w:top w:val="nil"/>
              <w:left w:val="nil"/>
              <w:bottom w:val="single" w:sz="4" w:space="0" w:color="000000"/>
              <w:right w:val="nil"/>
            </w:tcBorders>
            <w:shd w:val="clear" w:color="auto" w:fill="E6E6E6"/>
            <w:noWrap/>
            <w:vAlign w:val="bottom"/>
            <w:hideMark/>
          </w:tcPr>
          <w:p w14:paraId="59627459" w14:textId="77777777" w:rsidR="001C0F49" w:rsidRPr="002B4BF3" w:rsidRDefault="001C0F49" w:rsidP="00572266">
            <w:pPr>
              <w:spacing w:after="0" w:line="240" w:lineRule="auto"/>
              <w:jc w:val="right"/>
              <w:rPr>
                <w:rFonts w:ascii="Arial" w:hAnsi="Arial" w:cs="Arial"/>
                <w:b/>
                <w:bCs/>
                <w:color w:val="000000"/>
                <w:sz w:val="16"/>
                <w:szCs w:val="16"/>
              </w:rPr>
            </w:pPr>
            <w:r w:rsidRPr="002B4BF3">
              <w:rPr>
                <w:rFonts w:ascii="Arial" w:hAnsi="Arial" w:cs="Arial"/>
                <w:b/>
                <w:bCs/>
                <w:color w:val="000000"/>
                <w:sz w:val="16"/>
                <w:szCs w:val="16"/>
              </w:rPr>
              <w:t>115,728</w:t>
            </w:r>
          </w:p>
        </w:tc>
        <w:tc>
          <w:tcPr>
            <w:tcW w:w="585" w:type="pct"/>
            <w:tcBorders>
              <w:top w:val="nil"/>
              <w:left w:val="nil"/>
              <w:bottom w:val="single" w:sz="4" w:space="0" w:color="000000"/>
              <w:right w:val="nil"/>
            </w:tcBorders>
            <w:shd w:val="clear" w:color="auto" w:fill="auto"/>
            <w:noWrap/>
            <w:vAlign w:val="bottom"/>
            <w:hideMark/>
          </w:tcPr>
          <w:p w14:paraId="3116682E" w14:textId="77777777" w:rsidR="001C0F49" w:rsidRPr="002B4BF3" w:rsidRDefault="001C0F49" w:rsidP="00572266">
            <w:pPr>
              <w:spacing w:after="0" w:line="240" w:lineRule="auto"/>
              <w:jc w:val="right"/>
              <w:rPr>
                <w:rFonts w:ascii="Arial" w:hAnsi="Arial" w:cs="Arial"/>
                <w:b/>
                <w:bCs/>
                <w:color w:val="000000"/>
                <w:sz w:val="16"/>
                <w:szCs w:val="16"/>
              </w:rPr>
            </w:pPr>
            <w:r w:rsidRPr="002B4BF3">
              <w:rPr>
                <w:rFonts w:ascii="Arial" w:hAnsi="Arial" w:cs="Arial"/>
                <w:b/>
                <w:bCs/>
                <w:color w:val="000000"/>
                <w:sz w:val="16"/>
                <w:szCs w:val="16"/>
              </w:rPr>
              <w:t>112,756</w:t>
            </w:r>
          </w:p>
        </w:tc>
        <w:tc>
          <w:tcPr>
            <w:tcW w:w="585" w:type="pct"/>
            <w:tcBorders>
              <w:top w:val="nil"/>
              <w:left w:val="nil"/>
              <w:bottom w:val="single" w:sz="4" w:space="0" w:color="000000"/>
              <w:right w:val="nil"/>
            </w:tcBorders>
            <w:shd w:val="clear" w:color="auto" w:fill="auto"/>
            <w:noWrap/>
            <w:vAlign w:val="bottom"/>
            <w:hideMark/>
          </w:tcPr>
          <w:p w14:paraId="43A76B20" w14:textId="77777777" w:rsidR="001C0F49" w:rsidRPr="002B4BF3" w:rsidRDefault="001C0F49" w:rsidP="00572266">
            <w:pPr>
              <w:spacing w:after="0" w:line="240" w:lineRule="auto"/>
              <w:jc w:val="right"/>
              <w:rPr>
                <w:rFonts w:ascii="Arial" w:hAnsi="Arial" w:cs="Arial"/>
                <w:b/>
                <w:bCs/>
                <w:color w:val="000000"/>
                <w:sz w:val="16"/>
                <w:szCs w:val="16"/>
              </w:rPr>
            </w:pPr>
            <w:r w:rsidRPr="002B4BF3">
              <w:rPr>
                <w:rFonts w:ascii="Arial" w:hAnsi="Arial" w:cs="Arial"/>
                <w:b/>
                <w:bCs/>
                <w:color w:val="000000"/>
                <w:sz w:val="16"/>
                <w:szCs w:val="16"/>
              </w:rPr>
              <w:t>107,972</w:t>
            </w:r>
          </w:p>
        </w:tc>
        <w:tc>
          <w:tcPr>
            <w:tcW w:w="585" w:type="pct"/>
            <w:tcBorders>
              <w:top w:val="nil"/>
              <w:left w:val="nil"/>
              <w:bottom w:val="single" w:sz="4" w:space="0" w:color="000000"/>
              <w:right w:val="nil"/>
            </w:tcBorders>
            <w:shd w:val="clear" w:color="auto" w:fill="auto"/>
            <w:noWrap/>
            <w:vAlign w:val="bottom"/>
            <w:hideMark/>
          </w:tcPr>
          <w:p w14:paraId="08C5903B" w14:textId="77777777" w:rsidR="001C0F49" w:rsidRPr="002B4BF3" w:rsidRDefault="001C0F49" w:rsidP="00572266">
            <w:pPr>
              <w:spacing w:after="0" w:line="240" w:lineRule="auto"/>
              <w:jc w:val="right"/>
              <w:rPr>
                <w:rFonts w:ascii="Arial" w:hAnsi="Arial" w:cs="Arial"/>
                <w:b/>
                <w:bCs/>
                <w:color w:val="000000"/>
                <w:sz w:val="16"/>
                <w:szCs w:val="16"/>
              </w:rPr>
            </w:pPr>
            <w:r w:rsidRPr="002B4BF3">
              <w:rPr>
                <w:rFonts w:ascii="Arial" w:hAnsi="Arial" w:cs="Arial"/>
                <w:b/>
                <w:bCs/>
                <w:color w:val="000000"/>
                <w:sz w:val="16"/>
                <w:szCs w:val="16"/>
              </w:rPr>
              <w:t>102,170</w:t>
            </w:r>
          </w:p>
        </w:tc>
      </w:tr>
    </w:tbl>
    <w:p w14:paraId="54AD5A24" w14:textId="77777777" w:rsidR="001C0F49" w:rsidRPr="00B16C4D" w:rsidRDefault="001C0F49" w:rsidP="001C0F49">
      <w:pPr>
        <w:pStyle w:val="TableHeadingcontinued"/>
        <w:spacing w:before="60" w:after="0"/>
        <w:rPr>
          <w:rFonts w:ascii="Arial" w:hAnsi="Arial" w:cs="Arial"/>
          <w:b w:val="0"/>
          <w:color w:val="000000"/>
          <w:sz w:val="16"/>
          <w:lang w:val="x-none" w:eastAsia="x-none"/>
        </w:rPr>
      </w:pPr>
      <w:r w:rsidRPr="004E75D8">
        <w:rPr>
          <w:rFonts w:ascii="Arial" w:hAnsi="Arial" w:cs="Arial"/>
          <w:b w:val="0"/>
          <w:color w:val="000000"/>
          <w:sz w:val="16"/>
          <w:lang w:val="x-none" w:eastAsia="x-none"/>
        </w:rPr>
        <w:t>Prepared on Australian Accounting Standards basis.</w:t>
      </w:r>
      <w:r w:rsidRPr="006F05DE">
        <w:br w:type="page"/>
      </w:r>
    </w:p>
    <w:p w14:paraId="1967F9C3" w14:textId="77777777" w:rsidR="001C0F49" w:rsidRDefault="001C0F49" w:rsidP="001C0F49">
      <w:pPr>
        <w:pStyle w:val="TableHeading"/>
      </w:pPr>
      <w:r w:rsidRPr="00AD42E2">
        <w:lastRenderedPageBreak/>
        <w:t>Table 3.3: Departmental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724"/>
        <w:gridCol w:w="919"/>
        <w:gridCol w:w="1072"/>
        <w:gridCol w:w="1119"/>
        <w:gridCol w:w="876"/>
      </w:tblGrid>
      <w:tr w:rsidR="001C0F49" w:rsidRPr="00F84D5D" w14:paraId="4460116C" w14:textId="77777777" w:rsidTr="00572266">
        <w:trPr>
          <w:trHeight w:val="204"/>
        </w:trPr>
        <w:tc>
          <w:tcPr>
            <w:tcW w:w="2415" w:type="pct"/>
            <w:tcBorders>
              <w:top w:val="single" w:sz="4" w:space="0" w:color="auto"/>
              <w:left w:val="nil"/>
              <w:bottom w:val="nil"/>
              <w:right w:val="nil"/>
            </w:tcBorders>
            <w:shd w:val="clear" w:color="auto" w:fill="auto"/>
            <w:noWrap/>
            <w:vAlign w:val="bottom"/>
            <w:hideMark/>
          </w:tcPr>
          <w:p w14:paraId="44E569C8" w14:textId="77777777" w:rsidR="001C0F49" w:rsidRPr="00F84D5D" w:rsidRDefault="001C0F49" w:rsidP="00293BD0">
            <w:pPr>
              <w:spacing w:after="0" w:line="240" w:lineRule="auto"/>
              <w:jc w:val="right"/>
              <w:rPr>
                <w:rFonts w:ascii="Arial" w:hAnsi="Arial" w:cs="Arial"/>
                <w:color w:val="000000"/>
                <w:sz w:val="16"/>
                <w:szCs w:val="16"/>
              </w:rPr>
            </w:pPr>
            <w:r w:rsidRPr="00F84D5D">
              <w:rPr>
                <w:rFonts w:ascii="Arial" w:hAnsi="Arial" w:cs="Arial"/>
                <w:color w:val="000000"/>
                <w:sz w:val="16"/>
                <w:szCs w:val="16"/>
              </w:rPr>
              <w:t> </w:t>
            </w:r>
          </w:p>
        </w:tc>
        <w:tc>
          <w:tcPr>
            <w:tcW w:w="596" w:type="pct"/>
            <w:tcBorders>
              <w:top w:val="single" w:sz="4" w:space="0" w:color="auto"/>
              <w:left w:val="nil"/>
              <w:bottom w:val="single" w:sz="4" w:space="0" w:color="000000"/>
              <w:right w:val="nil"/>
            </w:tcBorders>
            <w:shd w:val="clear" w:color="auto" w:fill="auto"/>
            <w:vAlign w:val="bottom"/>
            <w:hideMark/>
          </w:tcPr>
          <w:p w14:paraId="3018037C" w14:textId="77777777" w:rsidR="001C0F49" w:rsidRPr="00F84D5D" w:rsidRDefault="001C0F49" w:rsidP="00293BD0">
            <w:pPr>
              <w:spacing w:after="0" w:line="240" w:lineRule="auto"/>
              <w:jc w:val="right"/>
              <w:rPr>
                <w:rFonts w:ascii="Arial" w:hAnsi="Arial" w:cs="Arial"/>
                <w:color w:val="000000"/>
                <w:sz w:val="16"/>
                <w:szCs w:val="16"/>
              </w:rPr>
            </w:pPr>
            <w:r w:rsidRPr="00F84D5D">
              <w:rPr>
                <w:rFonts w:ascii="Arial" w:hAnsi="Arial" w:cs="Arial"/>
                <w:color w:val="000000"/>
                <w:sz w:val="16"/>
                <w:szCs w:val="16"/>
              </w:rPr>
              <w:t>Retained</w:t>
            </w:r>
            <w:r w:rsidRPr="00F84D5D">
              <w:rPr>
                <w:rFonts w:ascii="Arial" w:hAnsi="Arial" w:cs="Arial"/>
                <w:color w:val="000000"/>
                <w:sz w:val="16"/>
                <w:szCs w:val="16"/>
              </w:rPr>
              <w:br/>
              <w:t>earnings</w:t>
            </w:r>
            <w:r w:rsidRPr="00F84D5D">
              <w:rPr>
                <w:rFonts w:ascii="Arial" w:hAnsi="Arial" w:cs="Arial"/>
                <w:color w:val="000000"/>
                <w:sz w:val="16"/>
                <w:szCs w:val="16"/>
              </w:rPr>
              <w:br/>
            </w:r>
            <w:r w:rsidRPr="00F84D5D">
              <w:rPr>
                <w:rFonts w:ascii="Arial" w:hAnsi="Arial" w:cs="Arial"/>
                <w:color w:val="000000"/>
                <w:sz w:val="16"/>
                <w:szCs w:val="16"/>
              </w:rPr>
              <w:br/>
              <w:t>$'000</w:t>
            </w:r>
          </w:p>
        </w:tc>
        <w:tc>
          <w:tcPr>
            <w:tcW w:w="695" w:type="pct"/>
            <w:tcBorders>
              <w:top w:val="single" w:sz="4" w:space="0" w:color="auto"/>
              <w:left w:val="nil"/>
              <w:bottom w:val="single" w:sz="4" w:space="0" w:color="000000"/>
              <w:right w:val="nil"/>
            </w:tcBorders>
            <w:shd w:val="clear" w:color="auto" w:fill="auto"/>
            <w:vAlign w:val="bottom"/>
            <w:hideMark/>
          </w:tcPr>
          <w:p w14:paraId="244A801E" w14:textId="77777777" w:rsidR="001C0F49" w:rsidRPr="00F84D5D" w:rsidRDefault="001C0F49" w:rsidP="00293BD0">
            <w:pPr>
              <w:spacing w:after="0" w:line="240" w:lineRule="auto"/>
              <w:jc w:val="right"/>
              <w:rPr>
                <w:rFonts w:ascii="Arial" w:hAnsi="Arial" w:cs="Arial"/>
                <w:color w:val="000000"/>
                <w:sz w:val="16"/>
                <w:szCs w:val="16"/>
              </w:rPr>
            </w:pPr>
            <w:r w:rsidRPr="00F84D5D">
              <w:rPr>
                <w:rFonts w:ascii="Arial" w:hAnsi="Arial" w:cs="Arial"/>
                <w:color w:val="000000"/>
                <w:sz w:val="16"/>
                <w:szCs w:val="16"/>
              </w:rPr>
              <w:t>Asset</w:t>
            </w:r>
            <w:r w:rsidRPr="00F84D5D">
              <w:rPr>
                <w:rFonts w:ascii="Arial" w:hAnsi="Arial" w:cs="Arial"/>
                <w:color w:val="000000"/>
                <w:sz w:val="16"/>
                <w:szCs w:val="16"/>
              </w:rPr>
              <w:br/>
              <w:t>revaluation</w:t>
            </w:r>
            <w:r w:rsidRPr="00F84D5D">
              <w:rPr>
                <w:rFonts w:ascii="Arial" w:hAnsi="Arial" w:cs="Arial"/>
                <w:color w:val="000000"/>
                <w:sz w:val="16"/>
                <w:szCs w:val="16"/>
              </w:rPr>
              <w:br/>
              <w:t>reserve</w:t>
            </w:r>
            <w:r w:rsidRPr="00F84D5D">
              <w:rPr>
                <w:rFonts w:ascii="Arial" w:hAnsi="Arial" w:cs="Arial"/>
                <w:color w:val="000000"/>
                <w:sz w:val="16"/>
                <w:szCs w:val="16"/>
              </w:rPr>
              <w:br/>
              <w:t>$'000</w:t>
            </w:r>
          </w:p>
        </w:tc>
        <w:tc>
          <w:tcPr>
            <w:tcW w:w="726" w:type="pct"/>
            <w:tcBorders>
              <w:top w:val="single" w:sz="4" w:space="0" w:color="auto"/>
              <w:left w:val="nil"/>
              <w:bottom w:val="single" w:sz="4" w:space="0" w:color="000000"/>
              <w:right w:val="nil"/>
            </w:tcBorders>
            <w:shd w:val="clear" w:color="auto" w:fill="auto"/>
            <w:vAlign w:val="bottom"/>
            <w:hideMark/>
          </w:tcPr>
          <w:p w14:paraId="5921D118" w14:textId="77777777" w:rsidR="001C0F49" w:rsidRPr="00F84D5D" w:rsidRDefault="001C0F49" w:rsidP="00293BD0">
            <w:pPr>
              <w:spacing w:after="0" w:line="240" w:lineRule="auto"/>
              <w:jc w:val="right"/>
              <w:rPr>
                <w:rFonts w:ascii="Arial" w:hAnsi="Arial" w:cs="Arial"/>
                <w:color w:val="000000"/>
                <w:sz w:val="16"/>
                <w:szCs w:val="16"/>
              </w:rPr>
            </w:pPr>
            <w:r w:rsidRPr="00F84D5D">
              <w:rPr>
                <w:rFonts w:ascii="Arial" w:hAnsi="Arial" w:cs="Arial"/>
                <w:color w:val="000000"/>
                <w:sz w:val="16"/>
                <w:szCs w:val="16"/>
              </w:rPr>
              <w:t>Contributed</w:t>
            </w:r>
            <w:r w:rsidRPr="00F84D5D">
              <w:rPr>
                <w:rFonts w:ascii="Arial" w:hAnsi="Arial" w:cs="Arial"/>
                <w:color w:val="000000"/>
                <w:sz w:val="16"/>
                <w:szCs w:val="16"/>
              </w:rPr>
              <w:br/>
              <w:t>equity/</w:t>
            </w:r>
            <w:r w:rsidRPr="00F84D5D">
              <w:rPr>
                <w:rFonts w:ascii="Arial" w:hAnsi="Arial" w:cs="Arial"/>
                <w:color w:val="000000"/>
                <w:sz w:val="16"/>
                <w:szCs w:val="16"/>
              </w:rPr>
              <w:br/>
              <w:t>capital</w:t>
            </w:r>
            <w:r w:rsidRPr="00F84D5D">
              <w:rPr>
                <w:rFonts w:ascii="Arial" w:hAnsi="Arial" w:cs="Arial"/>
                <w:color w:val="000000"/>
                <w:sz w:val="16"/>
                <w:szCs w:val="16"/>
              </w:rPr>
              <w:br/>
              <w:t>$'000</w:t>
            </w:r>
          </w:p>
        </w:tc>
        <w:tc>
          <w:tcPr>
            <w:tcW w:w="568" w:type="pct"/>
            <w:tcBorders>
              <w:top w:val="single" w:sz="4" w:space="0" w:color="auto"/>
              <w:left w:val="nil"/>
              <w:bottom w:val="single" w:sz="4" w:space="0" w:color="000000"/>
              <w:right w:val="nil"/>
            </w:tcBorders>
            <w:shd w:val="clear" w:color="auto" w:fill="auto"/>
            <w:vAlign w:val="bottom"/>
            <w:hideMark/>
          </w:tcPr>
          <w:p w14:paraId="015F6987" w14:textId="77777777" w:rsidR="001C0F49" w:rsidRPr="00F84D5D" w:rsidRDefault="001C0F49" w:rsidP="00293BD0">
            <w:pPr>
              <w:spacing w:after="0" w:line="240" w:lineRule="auto"/>
              <w:jc w:val="right"/>
              <w:rPr>
                <w:rFonts w:ascii="Arial" w:hAnsi="Arial" w:cs="Arial"/>
                <w:color w:val="000000"/>
                <w:sz w:val="16"/>
                <w:szCs w:val="16"/>
              </w:rPr>
            </w:pPr>
            <w:r w:rsidRPr="00F84D5D">
              <w:rPr>
                <w:rFonts w:ascii="Arial" w:hAnsi="Arial" w:cs="Arial"/>
                <w:color w:val="000000"/>
                <w:sz w:val="16"/>
                <w:szCs w:val="16"/>
              </w:rPr>
              <w:t>Total</w:t>
            </w:r>
            <w:r w:rsidRPr="00F84D5D">
              <w:rPr>
                <w:rFonts w:ascii="Arial" w:hAnsi="Arial" w:cs="Arial"/>
                <w:color w:val="000000"/>
                <w:sz w:val="16"/>
                <w:szCs w:val="16"/>
              </w:rPr>
              <w:br/>
              <w:t xml:space="preserve">equity </w:t>
            </w:r>
            <w:r w:rsidRPr="00F84D5D">
              <w:rPr>
                <w:rFonts w:ascii="Arial" w:hAnsi="Arial" w:cs="Arial"/>
                <w:color w:val="000000"/>
                <w:sz w:val="16"/>
                <w:szCs w:val="16"/>
              </w:rPr>
              <w:br/>
            </w:r>
            <w:r w:rsidRPr="00F84D5D">
              <w:rPr>
                <w:rFonts w:ascii="Arial" w:hAnsi="Arial" w:cs="Arial"/>
                <w:color w:val="000000"/>
                <w:sz w:val="16"/>
                <w:szCs w:val="16"/>
              </w:rPr>
              <w:br/>
              <w:t>$'000</w:t>
            </w:r>
          </w:p>
        </w:tc>
      </w:tr>
      <w:tr w:rsidR="001C0F49" w:rsidRPr="00F84D5D" w14:paraId="0905B372" w14:textId="77777777" w:rsidTr="00572266">
        <w:trPr>
          <w:trHeight w:val="204"/>
        </w:trPr>
        <w:tc>
          <w:tcPr>
            <w:tcW w:w="2415" w:type="pct"/>
            <w:tcBorders>
              <w:top w:val="nil"/>
              <w:left w:val="nil"/>
              <w:bottom w:val="nil"/>
              <w:right w:val="nil"/>
            </w:tcBorders>
            <w:shd w:val="clear" w:color="auto" w:fill="auto"/>
            <w:vAlign w:val="bottom"/>
            <w:hideMark/>
          </w:tcPr>
          <w:p w14:paraId="34892A9D" w14:textId="77777777" w:rsidR="001C0F49" w:rsidRPr="00F84D5D" w:rsidRDefault="001C0F49" w:rsidP="00293BD0">
            <w:pPr>
              <w:spacing w:after="0" w:line="240" w:lineRule="auto"/>
              <w:rPr>
                <w:rFonts w:ascii="Arial" w:hAnsi="Arial" w:cs="Arial"/>
                <w:b/>
                <w:bCs/>
                <w:color w:val="000000"/>
                <w:sz w:val="16"/>
                <w:szCs w:val="16"/>
              </w:rPr>
            </w:pPr>
            <w:r w:rsidRPr="00F84D5D">
              <w:rPr>
                <w:rFonts w:ascii="Arial" w:hAnsi="Arial" w:cs="Arial"/>
                <w:b/>
                <w:bCs/>
                <w:color w:val="000000"/>
                <w:sz w:val="16"/>
                <w:szCs w:val="16"/>
              </w:rPr>
              <w:t>Opening balance as at 1 July 2022</w:t>
            </w:r>
          </w:p>
        </w:tc>
        <w:tc>
          <w:tcPr>
            <w:tcW w:w="596" w:type="pct"/>
            <w:tcBorders>
              <w:top w:val="nil"/>
              <w:left w:val="nil"/>
              <w:bottom w:val="nil"/>
              <w:right w:val="nil"/>
            </w:tcBorders>
            <w:shd w:val="clear" w:color="auto" w:fill="auto"/>
            <w:noWrap/>
            <w:vAlign w:val="bottom"/>
            <w:hideMark/>
          </w:tcPr>
          <w:p w14:paraId="0D3487D4" w14:textId="77777777" w:rsidR="001C0F49" w:rsidRPr="00F84D5D" w:rsidRDefault="001C0F49" w:rsidP="00572266">
            <w:pPr>
              <w:spacing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334B8BBC" w14:textId="77777777" w:rsidR="001C0F49" w:rsidRPr="00F84D5D" w:rsidRDefault="001C0F49" w:rsidP="00572266">
            <w:pPr>
              <w:spacing w:after="0" w:line="240" w:lineRule="auto"/>
              <w:jc w:val="right"/>
              <w:rPr>
                <w:rFonts w:ascii="Times New Roman" w:hAnsi="Times New Roman"/>
              </w:rPr>
            </w:pPr>
          </w:p>
        </w:tc>
        <w:tc>
          <w:tcPr>
            <w:tcW w:w="726" w:type="pct"/>
            <w:tcBorders>
              <w:top w:val="nil"/>
              <w:left w:val="nil"/>
              <w:bottom w:val="nil"/>
              <w:right w:val="nil"/>
            </w:tcBorders>
            <w:shd w:val="clear" w:color="auto" w:fill="auto"/>
            <w:noWrap/>
            <w:vAlign w:val="bottom"/>
            <w:hideMark/>
          </w:tcPr>
          <w:p w14:paraId="743C7C37" w14:textId="77777777" w:rsidR="001C0F49" w:rsidRPr="00F84D5D" w:rsidRDefault="001C0F49" w:rsidP="0057226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4F7650C7" w14:textId="77777777" w:rsidR="001C0F49" w:rsidRPr="00F84D5D" w:rsidRDefault="001C0F49" w:rsidP="00572266">
            <w:pPr>
              <w:spacing w:after="0" w:line="240" w:lineRule="auto"/>
              <w:jc w:val="right"/>
              <w:rPr>
                <w:rFonts w:ascii="Times New Roman" w:hAnsi="Times New Roman"/>
              </w:rPr>
            </w:pPr>
          </w:p>
        </w:tc>
      </w:tr>
      <w:tr w:rsidR="001C0F49" w:rsidRPr="00F84D5D" w14:paraId="4680F5A6" w14:textId="77777777" w:rsidTr="00572266">
        <w:trPr>
          <w:trHeight w:val="204"/>
        </w:trPr>
        <w:tc>
          <w:tcPr>
            <w:tcW w:w="2415" w:type="pct"/>
            <w:tcBorders>
              <w:top w:val="nil"/>
              <w:left w:val="nil"/>
              <w:bottom w:val="nil"/>
              <w:right w:val="nil"/>
            </w:tcBorders>
            <w:shd w:val="clear" w:color="auto" w:fill="auto"/>
            <w:vAlign w:val="bottom"/>
            <w:hideMark/>
          </w:tcPr>
          <w:p w14:paraId="3AC1C507" w14:textId="77777777" w:rsidR="001C0F49" w:rsidRPr="00F84D5D" w:rsidRDefault="001C0F49" w:rsidP="00293BD0">
            <w:pPr>
              <w:spacing w:after="0" w:line="240" w:lineRule="auto"/>
              <w:ind w:left="113"/>
              <w:rPr>
                <w:rFonts w:ascii="Arial" w:hAnsi="Arial" w:cs="Arial"/>
                <w:color w:val="000000"/>
                <w:sz w:val="16"/>
                <w:szCs w:val="16"/>
              </w:rPr>
            </w:pPr>
            <w:r w:rsidRPr="00F84D5D">
              <w:rPr>
                <w:rFonts w:ascii="Arial" w:hAnsi="Arial" w:cs="Arial"/>
                <w:color w:val="000000"/>
                <w:sz w:val="16"/>
                <w:szCs w:val="16"/>
              </w:rPr>
              <w:t>Balance carried forward from previous period</w:t>
            </w:r>
          </w:p>
        </w:tc>
        <w:tc>
          <w:tcPr>
            <w:tcW w:w="596" w:type="pct"/>
            <w:tcBorders>
              <w:top w:val="nil"/>
              <w:left w:val="nil"/>
              <w:bottom w:val="nil"/>
              <w:right w:val="nil"/>
            </w:tcBorders>
            <w:shd w:val="clear" w:color="auto" w:fill="auto"/>
            <w:noWrap/>
            <w:vAlign w:val="bottom"/>
            <w:hideMark/>
          </w:tcPr>
          <w:p w14:paraId="36B06241"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(46,838)</w:t>
            </w:r>
          </w:p>
        </w:tc>
        <w:tc>
          <w:tcPr>
            <w:tcW w:w="695" w:type="pct"/>
            <w:tcBorders>
              <w:top w:val="nil"/>
              <w:left w:val="nil"/>
              <w:bottom w:val="nil"/>
              <w:right w:val="nil"/>
            </w:tcBorders>
            <w:shd w:val="clear" w:color="auto" w:fill="auto"/>
            <w:noWrap/>
            <w:vAlign w:val="bottom"/>
            <w:hideMark/>
          </w:tcPr>
          <w:p w14:paraId="27B620BF"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50,310</w:t>
            </w:r>
          </w:p>
        </w:tc>
        <w:tc>
          <w:tcPr>
            <w:tcW w:w="726" w:type="pct"/>
            <w:tcBorders>
              <w:top w:val="nil"/>
              <w:left w:val="nil"/>
              <w:bottom w:val="nil"/>
              <w:right w:val="nil"/>
            </w:tcBorders>
            <w:shd w:val="clear" w:color="auto" w:fill="auto"/>
            <w:noWrap/>
            <w:vAlign w:val="bottom"/>
            <w:hideMark/>
          </w:tcPr>
          <w:p w14:paraId="1112FDA8"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70,076</w:t>
            </w:r>
          </w:p>
        </w:tc>
        <w:tc>
          <w:tcPr>
            <w:tcW w:w="568" w:type="pct"/>
            <w:tcBorders>
              <w:top w:val="nil"/>
              <w:left w:val="nil"/>
              <w:bottom w:val="nil"/>
              <w:right w:val="nil"/>
            </w:tcBorders>
            <w:shd w:val="clear" w:color="auto" w:fill="auto"/>
            <w:noWrap/>
            <w:vAlign w:val="bottom"/>
            <w:hideMark/>
          </w:tcPr>
          <w:p w14:paraId="2099C756"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73,548</w:t>
            </w:r>
          </w:p>
        </w:tc>
      </w:tr>
      <w:tr w:rsidR="001C0F49" w:rsidRPr="00F84D5D" w14:paraId="2F533158" w14:textId="77777777" w:rsidTr="00572266">
        <w:trPr>
          <w:trHeight w:val="204"/>
        </w:trPr>
        <w:tc>
          <w:tcPr>
            <w:tcW w:w="2415" w:type="pct"/>
            <w:tcBorders>
              <w:top w:val="nil"/>
              <w:left w:val="nil"/>
              <w:bottom w:val="nil"/>
              <w:right w:val="nil"/>
            </w:tcBorders>
            <w:shd w:val="clear" w:color="auto" w:fill="auto"/>
            <w:vAlign w:val="bottom"/>
            <w:hideMark/>
          </w:tcPr>
          <w:p w14:paraId="5C5CBF1D" w14:textId="77777777" w:rsidR="001C0F49" w:rsidRDefault="001C0F49" w:rsidP="00293BD0">
            <w:pPr>
              <w:spacing w:after="0" w:line="240" w:lineRule="auto"/>
              <w:ind w:left="113" w:firstLineChars="20" w:firstLine="32"/>
              <w:rPr>
                <w:rFonts w:ascii="Arial" w:hAnsi="Arial" w:cs="Arial"/>
                <w:color w:val="000000"/>
                <w:sz w:val="16"/>
                <w:szCs w:val="16"/>
              </w:rPr>
            </w:pPr>
            <w:r w:rsidRPr="00F84D5D">
              <w:rPr>
                <w:rFonts w:ascii="Arial" w:hAnsi="Arial" w:cs="Arial"/>
                <w:color w:val="000000"/>
                <w:sz w:val="16"/>
                <w:szCs w:val="16"/>
              </w:rPr>
              <w:t xml:space="preserve">Adjustment for changes in accounting </w:t>
            </w:r>
            <w:r>
              <w:rPr>
                <w:rFonts w:ascii="Arial" w:hAnsi="Arial" w:cs="Arial"/>
                <w:color w:val="000000"/>
                <w:sz w:val="16"/>
                <w:szCs w:val="16"/>
              </w:rPr>
              <w:t xml:space="preserve">  </w:t>
            </w:r>
          </w:p>
          <w:p w14:paraId="6D1CA542" w14:textId="77777777" w:rsidR="001C0F49" w:rsidRPr="00F84D5D" w:rsidRDefault="001C0F49" w:rsidP="00293BD0">
            <w:pPr>
              <w:spacing w:after="0" w:line="240" w:lineRule="auto"/>
              <w:ind w:left="113" w:firstLineChars="20" w:firstLine="32"/>
              <w:rPr>
                <w:rFonts w:ascii="Arial" w:hAnsi="Arial" w:cs="Arial"/>
                <w:color w:val="000000"/>
                <w:sz w:val="16"/>
                <w:szCs w:val="16"/>
              </w:rPr>
            </w:pPr>
            <w:r w:rsidRPr="00F84D5D">
              <w:rPr>
                <w:rFonts w:ascii="Arial" w:hAnsi="Arial" w:cs="Arial"/>
                <w:color w:val="000000"/>
                <w:sz w:val="16"/>
                <w:szCs w:val="16"/>
              </w:rPr>
              <w:t>policies</w:t>
            </w:r>
          </w:p>
        </w:tc>
        <w:tc>
          <w:tcPr>
            <w:tcW w:w="596" w:type="pct"/>
            <w:tcBorders>
              <w:top w:val="nil"/>
              <w:left w:val="nil"/>
              <w:bottom w:val="nil"/>
              <w:right w:val="nil"/>
            </w:tcBorders>
            <w:shd w:val="clear" w:color="auto" w:fill="auto"/>
            <w:noWrap/>
            <w:vAlign w:val="bottom"/>
            <w:hideMark/>
          </w:tcPr>
          <w:p w14:paraId="7EFCBA20"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43,610</w:t>
            </w:r>
          </w:p>
        </w:tc>
        <w:tc>
          <w:tcPr>
            <w:tcW w:w="695" w:type="pct"/>
            <w:tcBorders>
              <w:top w:val="nil"/>
              <w:left w:val="nil"/>
              <w:bottom w:val="nil"/>
              <w:right w:val="nil"/>
            </w:tcBorders>
            <w:shd w:val="clear" w:color="auto" w:fill="auto"/>
            <w:noWrap/>
            <w:vAlign w:val="bottom"/>
            <w:hideMark/>
          </w:tcPr>
          <w:p w14:paraId="407D6638" w14:textId="77777777" w:rsidR="001C0F49" w:rsidRPr="00F84D5D" w:rsidRDefault="001C0F49" w:rsidP="0057226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26" w:type="pct"/>
            <w:tcBorders>
              <w:top w:val="nil"/>
              <w:left w:val="nil"/>
              <w:bottom w:val="nil"/>
              <w:right w:val="nil"/>
            </w:tcBorders>
            <w:shd w:val="clear" w:color="auto" w:fill="auto"/>
            <w:noWrap/>
            <w:vAlign w:val="bottom"/>
            <w:hideMark/>
          </w:tcPr>
          <w:p w14:paraId="25C75148" w14:textId="77777777" w:rsidR="001C0F49" w:rsidRPr="00F84D5D" w:rsidRDefault="001C0F49" w:rsidP="00572266">
            <w:pPr>
              <w:spacing w:after="0" w:line="240" w:lineRule="auto"/>
              <w:jc w:val="right"/>
              <w:rPr>
                <w:rFonts w:ascii="Times New Roman" w:hAnsi="Times New Roman"/>
              </w:rPr>
            </w:pPr>
            <w:r>
              <w:rPr>
                <w:rFonts w:ascii="Times New Roman" w:hAnsi="Times New Roman"/>
              </w:rPr>
              <w:t>-</w:t>
            </w:r>
          </w:p>
        </w:tc>
        <w:tc>
          <w:tcPr>
            <w:tcW w:w="568" w:type="pct"/>
            <w:tcBorders>
              <w:top w:val="nil"/>
              <w:left w:val="nil"/>
              <w:bottom w:val="nil"/>
              <w:right w:val="nil"/>
            </w:tcBorders>
            <w:shd w:val="clear" w:color="auto" w:fill="auto"/>
            <w:noWrap/>
            <w:vAlign w:val="bottom"/>
            <w:hideMark/>
          </w:tcPr>
          <w:p w14:paraId="6A85EFF3"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43,610</w:t>
            </w:r>
          </w:p>
        </w:tc>
      </w:tr>
      <w:tr w:rsidR="001C0F49" w:rsidRPr="00F84D5D" w14:paraId="5B3A3404" w14:textId="77777777" w:rsidTr="00572266">
        <w:trPr>
          <w:trHeight w:val="204"/>
        </w:trPr>
        <w:tc>
          <w:tcPr>
            <w:tcW w:w="2415" w:type="pct"/>
            <w:tcBorders>
              <w:top w:val="nil"/>
              <w:left w:val="nil"/>
              <w:bottom w:val="nil"/>
              <w:right w:val="nil"/>
            </w:tcBorders>
            <w:shd w:val="clear" w:color="auto" w:fill="auto"/>
            <w:vAlign w:val="bottom"/>
            <w:hideMark/>
          </w:tcPr>
          <w:p w14:paraId="2598BE4F" w14:textId="77777777" w:rsidR="001C0F49" w:rsidRPr="00F84D5D" w:rsidRDefault="001C0F49" w:rsidP="00293BD0">
            <w:pPr>
              <w:spacing w:after="0" w:line="240" w:lineRule="auto"/>
              <w:rPr>
                <w:rFonts w:ascii="Arial" w:hAnsi="Arial" w:cs="Arial"/>
                <w:b/>
                <w:bCs/>
                <w:i/>
                <w:iCs/>
                <w:color w:val="000000"/>
                <w:sz w:val="16"/>
                <w:szCs w:val="16"/>
              </w:rPr>
            </w:pPr>
            <w:r w:rsidRPr="00F84D5D">
              <w:rPr>
                <w:rFonts w:ascii="Arial" w:hAnsi="Arial" w:cs="Arial"/>
                <w:b/>
                <w:bCs/>
                <w:i/>
                <w:iCs/>
                <w:color w:val="000000"/>
                <w:sz w:val="16"/>
                <w:szCs w:val="16"/>
              </w:rPr>
              <w:t>Adjusted opening balance</w:t>
            </w:r>
          </w:p>
        </w:tc>
        <w:tc>
          <w:tcPr>
            <w:tcW w:w="596" w:type="pct"/>
            <w:tcBorders>
              <w:top w:val="single" w:sz="4" w:space="0" w:color="000000"/>
              <w:left w:val="nil"/>
              <w:bottom w:val="single" w:sz="4" w:space="0" w:color="000000"/>
              <w:right w:val="nil"/>
            </w:tcBorders>
            <w:shd w:val="clear" w:color="auto" w:fill="auto"/>
            <w:noWrap/>
            <w:vAlign w:val="bottom"/>
            <w:hideMark/>
          </w:tcPr>
          <w:p w14:paraId="6FC99F28"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(3,228)</w:t>
            </w:r>
          </w:p>
        </w:tc>
        <w:tc>
          <w:tcPr>
            <w:tcW w:w="695" w:type="pct"/>
            <w:tcBorders>
              <w:top w:val="single" w:sz="4" w:space="0" w:color="000000"/>
              <w:left w:val="nil"/>
              <w:bottom w:val="single" w:sz="4" w:space="0" w:color="000000"/>
              <w:right w:val="nil"/>
            </w:tcBorders>
            <w:shd w:val="clear" w:color="auto" w:fill="auto"/>
            <w:noWrap/>
            <w:vAlign w:val="bottom"/>
            <w:hideMark/>
          </w:tcPr>
          <w:p w14:paraId="24EBC628"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50,310</w:t>
            </w:r>
          </w:p>
        </w:tc>
        <w:tc>
          <w:tcPr>
            <w:tcW w:w="726" w:type="pct"/>
            <w:tcBorders>
              <w:top w:val="single" w:sz="4" w:space="0" w:color="000000"/>
              <w:left w:val="nil"/>
              <w:bottom w:val="single" w:sz="4" w:space="0" w:color="000000"/>
              <w:right w:val="nil"/>
            </w:tcBorders>
            <w:shd w:val="clear" w:color="auto" w:fill="auto"/>
            <w:noWrap/>
            <w:vAlign w:val="bottom"/>
            <w:hideMark/>
          </w:tcPr>
          <w:p w14:paraId="041DB37E"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70,076</w:t>
            </w:r>
          </w:p>
        </w:tc>
        <w:tc>
          <w:tcPr>
            <w:tcW w:w="568" w:type="pct"/>
            <w:tcBorders>
              <w:top w:val="single" w:sz="4" w:space="0" w:color="000000"/>
              <w:left w:val="nil"/>
              <w:bottom w:val="single" w:sz="4" w:space="0" w:color="000000"/>
              <w:right w:val="nil"/>
            </w:tcBorders>
            <w:shd w:val="clear" w:color="auto" w:fill="auto"/>
            <w:noWrap/>
            <w:vAlign w:val="bottom"/>
            <w:hideMark/>
          </w:tcPr>
          <w:p w14:paraId="027B9CC7"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117,158</w:t>
            </w:r>
          </w:p>
        </w:tc>
      </w:tr>
      <w:tr w:rsidR="001C0F49" w:rsidRPr="00F84D5D" w14:paraId="139BBF67" w14:textId="77777777" w:rsidTr="00572266">
        <w:trPr>
          <w:trHeight w:val="204"/>
        </w:trPr>
        <w:tc>
          <w:tcPr>
            <w:tcW w:w="2415" w:type="pct"/>
            <w:tcBorders>
              <w:top w:val="nil"/>
              <w:left w:val="nil"/>
              <w:bottom w:val="nil"/>
              <w:right w:val="nil"/>
            </w:tcBorders>
            <w:shd w:val="clear" w:color="auto" w:fill="auto"/>
            <w:noWrap/>
            <w:vAlign w:val="bottom"/>
            <w:hideMark/>
          </w:tcPr>
          <w:p w14:paraId="62EA605C" w14:textId="77777777" w:rsidR="001C0F49" w:rsidRPr="00F84D5D" w:rsidRDefault="001C0F49" w:rsidP="00293BD0">
            <w:pPr>
              <w:spacing w:after="0" w:line="240" w:lineRule="auto"/>
              <w:rPr>
                <w:rFonts w:ascii="Arial" w:hAnsi="Arial" w:cs="Arial"/>
                <w:b/>
                <w:bCs/>
                <w:color w:val="000000"/>
                <w:sz w:val="16"/>
                <w:szCs w:val="16"/>
              </w:rPr>
            </w:pPr>
            <w:r w:rsidRPr="00F84D5D">
              <w:rPr>
                <w:rFonts w:ascii="Arial" w:hAnsi="Arial" w:cs="Arial"/>
                <w:b/>
                <w:bCs/>
                <w:color w:val="000000"/>
                <w:sz w:val="16"/>
                <w:szCs w:val="16"/>
              </w:rPr>
              <w:t>Comprehensive income</w:t>
            </w:r>
          </w:p>
        </w:tc>
        <w:tc>
          <w:tcPr>
            <w:tcW w:w="596" w:type="pct"/>
            <w:tcBorders>
              <w:top w:val="nil"/>
              <w:left w:val="nil"/>
              <w:bottom w:val="nil"/>
              <w:right w:val="nil"/>
            </w:tcBorders>
            <w:shd w:val="clear" w:color="auto" w:fill="auto"/>
            <w:noWrap/>
            <w:vAlign w:val="bottom"/>
            <w:hideMark/>
          </w:tcPr>
          <w:p w14:paraId="547F9146" w14:textId="77777777" w:rsidR="001C0F49" w:rsidRPr="00F84D5D" w:rsidRDefault="001C0F49" w:rsidP="00572266">
            <w:pPr>
              <w:spacing w:after="0" w:line="240" w:lineRule="auto"/>
              <w:jc w:val="right"/>
              <w:rPr>
                <w:rFonts w:ascii="Arial" w:hAnsi="Arial" w:cs="Arial"/>
                <w:b/>
                <w:bCs/>
                <w:color w:val="000000"/>
                <w:sz w:val="16"/>
                <w:szCs w:val="16"/>
              </w:rPr>
            </w:pPr>
          </w:p>
        </w:tc>
        <w:tc>
          <w:tcPr>
            <w:tcW w:w="695" w:type="pct"/>
            <w:tcBorders>
              <w:top w:val="nil"/>
              <w:left w:val="nil"/>
              <w:bottom w:val="nil"/>
              <w:right w:val="nil"/>
            </w:tcBorders>
            <w:shd w:val="clear" w:color="auto" w:fill="auto"/>
            <w:noWrap/>
            <w:vAlign w:val="bottom"/>
            <w:hideMark/>
          </w:tcPr>
          <w:p w14:paraId="3CF4FAD4" w14:textId="77777777" w:rsidR="001C0F49" w:rsidRPr="00F84D5D" w:rsidRDefault="001C0F49" w:rsidP="00572266">
            <w:pPr>
              <w:spacing w:after="0" w:line="240" w:lineRule="auto"/>
              <w:jc w:val="right"/>
              <w:rPr>
                <w:rFonts w:ascii="Times New Roman" w:hAnsi="Times New Roman"/>
              </w:rPr>
            </w:pPr>
          </w:p>
        </w:tc>
        <w:tc>
          <w:tcPr>
            <w:tcW w:w="726" w:type="pct"/>
            <w:tcBorders>
              <w:top w:val="nil"/>
              <w:left w:val="nil"/>
              <w:bottom w:val="nil"/>
              <w:right w:val="nil"/>
            </w:tcBorders>
            <w:shd w:val="clear" w:color="auto" w:fill="auto"/>
            <w:noWrap/>
            <w:vAlign w:val="bottom"/>
            <w:hideMark/>
          </w:tcPr>
          <w:p w14:paraId="1D476D09" w14:textId="77777777" w:rsidR="001C0F49" w:rsidRPr="00F84D5D" w:rsidRDefault="001C0F49" w:rsidP="00572266">
            <w:pPr>
              <w:spacing w:after="0" w:line="240" w:lineRule="auto"/>
              <w:jc w:val="right"/>
              <w:rPr>
                <w:rFonts w:ascii="Times New Roman" w:hAnsi="Times New Roman"/>
              </w:rPr>
            </w:pPr>
          </w:p>
        </w:tc>
        <w:tc>
          <w:tcPr>
            <w:tcW w:w="568" w:type="pct"/>
            <w:tcBorders>
              <w:top w:val="nil"/>
              <w:left w:val="nil"/>
              <w:bottom w:val="nil"/>
              <w:right w:val="nil"/>
            </w:tcBorders>
            <w:shd w:val="clear" w:color="auto" w:fill="auto"/>
            <w:noWrap/>
            <w:vAlign w:val="bottom"/>
            <w:hideMark/>
          </w:tcPr>
          <w:p w14:paraId="582EB9D3" w14:textId="77777777" w:rsidR="001C0F49" w:rsidRPr="00F84D5D" w:rsidRDefault="001C0F49" w:rsidP="00572266">
            <w:pPr>
              <w:spacing w:after="0" w:line="240" w:lineRule="auto"/>
              <w:jc w:val="right"/>
              <w:rPr>
                <w:rFonts w:ascii="Times New Roman" w:hAnsi="Times New Roman"/>
              </w:rPr>
            </w:pPr>
          </w:p>
        </w:tc>
      </w:tr>
      <w:tr w:rsidR="001C0F49" w:rsidRPr="00F84D5D" w14:paraId="05D2BE78" w14:textId="77777777" w:rsidTr="00572266">
        <w:trPr>
          <w:trHeight w:val="204"/>
        </w:trPr>
        <w:tc>
          <w:tcPr>
            <w:tcW w:w="2415" w:type="pct"/>
            <w:tcBorders>
              <w:top w:val="nil"/>
              <w:left w:val="nil"/>
              <w:bottom w:val="nil"/>
              <w:right w:val="nil"/>
            </w:tcBorders>
            <w:shd w:val="clear" w:color="auto" w:fill="auto"/>
            <w:noWrap/>
            <w:vAlign w:val="bottom"/>
            <w:hideMark/>
          </w:tcPr>
          <w:p w14:paraId="590A8D89" w14:textId="77777777" w:rsidR="001C0F49" w:rsidRPr="00F84D5D" w:rsidRDefault="001C0F49" w:rsidP="00293BD0">
            <w:pPr>
              <w:spacing w:after="0" w:line="240" w:lineRule="auto"/>
              <w:ind w:left="113" w:firstLineChars="20" w:firstLine="32"/>
              <w:rPr>
                <w:rFonts w:ascii="Arial" w:hAnsi="Arial" w:cs="Arial"/>
                <w:sz w:val="16"/>
                <w:szCs w:val="16"/>
              </w:rPr>
            </w:pPr>
            <w:r w:rsidRPr="00F84D5D">
              <w:rPr>
                <w:rFonts w:ascii="Arial" w:hAnsi="Arial" w:cs="Arial"/>
                <w:sz w:val="16"/>
                <w:szCs w:val="16"/>
              </w:rPr>
              <w:t>Surplus/(deficit) for the period</w:t>
            </w:r>
          </w:p>
        </w:tc>
        <w:tc>
          <w:tcPr>
            <w:tcW w:w="596" w:type="pct"/>
            <w:tcBorders>
              <w:top w:val="nil"/>
              <w:left w:val="nil"/>
              <w:bottom w:val="single" w:sz="4" w:space="0" w:color="000000"/>
              <w:right w:val="nil"/>
            </w:tcBorders>
            <w:shd w:val="clear" w:color="auto" w:fill="auto"/>
            <w:noWrap/>
            <w:vAlign w:val="bottom"/>
            <w:hideMark/>
          </w:tcPr>
          <w:p w14:paraId="04E4A6AD"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(5,844)</w:t>
            </w:r>
          </w:p>
        </w:tc>
        <w:tc>
          <w:tcPr>
            <w:tcW w:w="695" w:type="pct"/>
            <w:tcBorders>
              <w:top w:val="nil"/>
              <w:left w:val="nil"/>
              <w:bottom w:val="single" w:sz="4" w:space="0" w:color="000000"/>
              <w:right w:val="nil"/>
            </w:tcBorders>
            <w:shd w:val="clear" w:color="auto" w:fill="auto"/>
            <w:noWrap/>
            <w:vAlign w:val="bottom"/>
            <w:hideMark/>
          </w:tcPr>
          <w:p w14:paraId="52DAEF85" w14:textId="77777777" w:rsidR="001C0F49" w:rsidRPr="00F84D5D" w:rsidRDefault="001C0F49" w:rsidP="0057226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26" w:type="pct"/>
            <w:tcBorders>
              <w:top w:val="nil"/>
              <w:left w:val="nil"/>
              <w:bottom w:val="single" w:sz="4" w:space="0" w:color="000000"/>
              <w:right w:val="nil"/>
            </w:tcBorders>
            <w:shd w:val="clear" w:color="auto" w:fill="auto"/>
            <w:noWrap/>
            <w:vAlign w:val="bottom"/>
            <w:hideMark/>
          </w:tcPr>
          <w:p w14:paraId="3423B5C2" w14:textId="77777777" w:rsidR="001C0F49" w:rsidRPr="00F84D5D" w:rsidRDefault="001C0F49" w:rsidP="00572266">
            <w:pPr>
              <w:spacing w:after="0" w:line="240" w:lineRule="auto"/>
              <w:jc w:val="right"/>
              <w:rPr>
                <w:rFonts w:ascii="Times New Roman" w:hAnsi="Times New Roman"/>
              </w:rPr>
            </w:pPr>
            <w:r>
              <w:rPr>
                <w:rFonts w:ascii="Times New Roman" w:hAnsi="Times New Roman"/>
              </w:rPr>
              <w:t>-</w:t>
            </w:r>
          </w:p>
        </w:tc>
        <w:tc>
          <w:tcPr>
            <w:tcW w:w="568" w:type="pct"/>
            <w:tcBorders>
              <w:top w:val="nil"/>
              <w:left w:val="nil"/>
              <w:bottom w:val="single" w:sz="4" w:space="0" w:color="000000"/>
              <w:right w:val="nil"/>
            </w:tcBorders>
            <w:shd w:val="clear" w:color="auto" w:fill="auto"/>
            <w:noWrap/>
            <w:vAlign w:val="bottom"/>
            <w:hideMark/>
          </w:tcPr>
          <w:p w14:paraId="5900914B"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(5,844)</w:t>
            </w:r>
          </w:p>
        </w:tc>
      </w:tr>
      <w:tr w:rsidR="001C0F49" w:rsidRPr="00F84D5D" w14:paraId="19B5DFDD" w14:textId="77777777" w:rsidTr="002864B7">
        <w:trPr>
          <w:trHeight w:val="204"/>
        </w:trPr>
        <w:tc>
          <w:tcPr>
            <w:tcW w:w="2415" w:type="pct"/>
            <w:tcBorders>
              <w:top w:val="nil"/>
              <w:left w:val="nil"/>
              <w:bottom w:val="nil"/>
              <w:right w:val="nil"/>
            </w:tcBorders>
            <w:shd w:val="clear" w:color="auto" w:fill="auto"/>
            <w:vAlign w:val="bottom"/>
            <w:hideMark/>
          </w:tcPr>
          <w:p w14:paraId="00E1BB5E" w14:textId="77777777" w:rsidR="001C0F49" w:rsidRPr="00F84D5D" w:rsidRDefault="001C0F49" w:rsidP="00293BD0">
            <w:pPr>
              <w:spacing w:after="0" w:line="240" w:lineRule="auto"/>
              <w:rPr>
                <w:rFonts w:ascii="Arial" w:hAnsi="Arial" w:cs="Arial"/>
                <w:b/>
                <w:bCs/>
                <w:i/>
                <w:iCs/>
                <w:color w:val="000000"/>
                <w:sz w:val="16"/>
                <w:szCs w:val="16"/>
              </w:rPr>
            </w:pPr>
            <w:r w:rsidRPr="00F84D5D">
              <w:rPr>
                <w:rFonts w:ascii="Arial" w:hAnsi="Arial" w:cs="Arial"/>
                <w:b/>
                <w:bCs/>
                <w:i/>
                <w:iCs/>
                <w:color w:val="000000"/>
                <w:sz w:val="16"/>
                <w:szCs w:val="16"/>
              </w:rPr>
              <w:t>Total comprehensive income</w:t>
            </w:r>
          </w:p>
        </w:tc>
        <w:tc>
          <w:tcPr>
            <w:tcW w:w="596" w:type="pct"/>
            <w:tcBorders>
              <w:top w:val="single" w:sz="4" w:space="0" w:color="000000"/>
              <w:left w:val="nil"/>
              <w:bottom w:val="single" w:sz="4" w:space="0" w:color="auto"/>
              <w:right w:val="nil"/>
            </w:tcBorders>
            <w:shd w:val="clear" w:color="auto" w:fill="auto"/>
            <w:noWrap/>
            <w:vAlign w:val="bottom"/>
            <w:hideMark/>
          </w:tcPr>
          <w:p w14:paraId="6EDDBA58"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(5,844)</w:t>
            </w:r>
          </w:p>
        </w:tc>
        <w:tc>
          <w:tcPr>
            <w:tcW w:w="695" w:type="pct"/>
            <w:tcBorders>
              <w:top w:val="single" w:sz="4" w:space="0" w:color="000000"/>
              <w:left w:val="nil"/>
              <w:bottom w:val="single" w:sz="4" w:space="0" w:color="auto"/>
              <w:right w:val="nil"/>
            </w:tcBorders>
            <w:shd w:val="clear" w:color="auto" w:fill="auto"/>
            <w:noWrap/>
            <w:vAlign w:val="bottom"/>
            <w:hideMark/>
          </w:tcPr>
          <w:p w14:paraId="4B42C0D3"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w:t>
            </w:r>
          </w:p>
        </w:tc>
        <w:tc>
          <w:tcPr>
            <w:tcW w:w="726" w:type="pct"/>
            <w:tcBorders>
              <w:top w:val="single" w:sz="4" w:space="0" w:color="000000"/>
              <w:left w:val="nil"/>
              <w:bottom w:val="single" w:sz="4" w:space="0" w:color="auto"/>
              <w:right w:val="nil"/>
            </w:tcBorders>
            <w:shd w:val="clear" w:color="auto" w:fill="auto"/>
            <w:noWrap/>
            <w:vAlign w:val="bottom"/>
            <w:hideMark/>
          </w:tcPr>
          <w:p w14:paraId="5AEC3199"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w:t>
            </w:r>
          </w:p>
        </w:tc>
        <w:tc>
          <w:tcPr>
            <w:tcW w:w="568" w:type="pct"/>
            <w:tcBorders>
              <w:top w:val="single" w:sz="4" w:space="0" w:color="000000"/>
              <w:left w:val="nil"/>
              <w:bottom w:val="single" w:sz="4" w:space="0" w:color="auto"/>
              <w:right w:val="nil"/>
            </w:tcBorders>
            <w:shd w:val="clear" w:color="auto" w:fill="auto"/>
            <w:noWrap/>
            <w:vAlign w:val="bottom"/>
            <w:hideMark/>
          </w:tcPr>
          <w:p w14:paraId="32379758"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(5,844)</w:t>
            </w:r>
          </w:p>
        </w:tc>
      </w:tr>
      <w:tr w:rsidR="002864B7" w:rsidRPr="00F84D5D" w14:paraId="7D46A90E" w14:textId="77777777" w:rsidTr="002864B7">
        <w:trPr>
          <w:trHeight w:val="204"/>
        </w:trPr>
        <w:tc>
          <w:tcPr>
            <w:tcW w:w="2415" w:type="pct"/>
            <w:tcBorders>
              <w:top w:val="nil"/>
              <w:left w:val="nil"/>
              <w:bottom w:val="nil"/>
              <w:right w:val="nil"/>
            </w:tcBorders>
            <w:shd w:val="clear" w:color="auto" w:fill="auto"/>
            <w:vAlign w:val="bottom"/>
          </w:tcPr>
          <w:p w14:paraId="7C22C569" w14:textId="33E97D1C" w:rsidR="002864B7" w:rsidRPr="00F84D5D" w:rsidRDefault="002864B7" w:rsidP="00293BD0">
            <w:pPr>
              <w:spacing w:after="0" w:line="240" w:lineRule="auto"/>
              <w:ind w:left="113" w:firstLineChars="20" w:firstLine="32"/>
              <w:rPr>
                <w:rFonts w:ascii="Arial" w:hAnsi="Arial" w:cs="Arial"/>
                <w:color w:val="000000"/>
                <w:sz w:val="16"/>
                <w:szCs w:val="16"/>
              </w:rPr>
            </w:pPr>
            <w:r>
              <w:rPr>
                <w:rFonts w:ascii="Arial" w:hAnsi="Arial" w:cs="Arial"/>
                <w:color w:val="000000"/>
                <w:sz w:val="16"/>
                <w:szCs w:val="16"/>
              </w:rPr>
              <w:t>of which:</w:t>
            </w:r>
          </w:p>
        </w:tc>
        <w:tc>
          <w:tcPr>
            <w:tcW w:w="596" w:type="pct"/>
            <w:tcBorders>
              <w:top w:val="single" w:sz="4" w:space="0" w:color="auto"/>
              <w:left w:val="nil"/>
              <w:right w:val="nil"/>
            </w:tcBorders>
            <w:shd w:val="clear" w:color="auto" w:fill="auto"/>
            <w:noWrap/>
            <w:vAlign w:val="bottom"/>
          </w:tcPr>
          <w:p w14:paraId="5CFC4F85" w14:textId="77777777" w:rsidR="002864B7" w:rsidRPr="00F84D5D" w:rsidRDefault="002864B7" w:rsidP="00572266">
            <w:pPr>
              <w:spacing w:after="0" w:line="240" w:lineRule="auto"/>
              <w:jc w:val="right"/>
              <w:rPr>
                <w:rFonts w:ascii="Arial" w:hAnsi="Arial" w:cs="Arial"/>
                <w:color w:val="000000"/>
                <w:sz w:val="16"/>
                <w:szCs w:val="16"/>
              </w:rPr>
            </w:pPr>
          </w:p>
        </w:tc>
        <w:tc>
          <w:tcPr>
            <w:tcW w:w="695" w:type="pct"/>
            <w:tcBorders>
              <w:top w:val="single" w:sz="4" w:space="0" w:color="auto"/>
              <w:left w:val="nil"/>
              <w:right w:val="nil"/>
            </w:tcBorders>
            <w:shd w:val="clear" w:color="auto" w:fill="auto"/>
            <w:noWrap/>
            <w:vAlign w:val="bottom"/>
          </w:tcPr>
          <w:p w14:paraId="56837D41" w14:textId="77777777" w:rsidR="002864B7" w:rsidRDefault="002864B7" w:rsidP="00572266">
            <w:pPr>
              <w:spacing w:after="0" w:line="240" w:lineRule="auto"/>
              <w:jc w:val="right"/>
              <w:rPr>
                <w:rFonts w:ascii="Arial" w:hAnsi="Arial" w:cs="Arial"/>
                <w:color w:val="000000"/>
                <w:sz w:val="16"/>
                <w:szCs w:val="16"/>
              </w:rPr>
            </w:pPr>
          </w:p>
        </w:tc>
        <w:tc>
          <w:tcPr>
            <w:tcW w:w="726" w:type="pct"/>
            <w:tcBorders>
              <w:top w:val="single" w:sz="4" w:space="0" w:color="auto"/>
              <w:left w:val="nil"/>
              <w:right w:val="nil"/>
            </w:tcBorders>
            <w:shd w:val="clear" w:color="auto" w:fill="auto"/>
            <w:noWrap/>
            <w:vAlign w:val="bottom"/>
          </w:tcPr>
          <w:p w14:paraId="0D68FB96" w14:textId="77777777" w:rsidR="002864B7" w:rsidRDefault="002864B7" w:rsidP="00572266">
            <w:pPr>
              <w:spacing w:after="0" w:line="240" w:lineRule="auto"/>
              <w:jc w:val="right"/>
              <w:rPr>
                <w:rFonts w:ascii="Times New Roman" w:hAnsi="Times New Roman"/>
              </w:rPr>
            </w:pPr>
          </w:p>
        </w:tc>
        <w:tc>
          <w:tcPr>
            <w:tcW w:w="568" w:type="pct"/>
            <w:tcBorders>
              <w:top w:val="single" w:sz="4" w:space="0" w:color="auto"/>
              <w:left w:val="nil"/>
              <w:right w:val="nil"/>
            </w:tcBorders>
            <w:shd w:val="clear" w:color="auto" w:fill="auto"/>
            <w:noWrap/>
            <w:vAlign w:val="bottom"/>
          </w:tcPr>
          <w:p w14:paraId="0F885C39" w14:textId="77777777" w:rsidR="002864B7" w:rsidRPr="00F84D5D" w:rsidRDefault="002864B7" w:rsidP="00572266">
            <w:pPr>
              <w:spacing w:after="0" w:line="240" w:lineRule="auto"/>
              <w:jc w:val="right"/>
              <w:rPr>
                <w:rFonts w:ascii="Arial" w:hAnsi="Arial" w:cs="Arial"/>
                <w:color w:val="000000"/>
                <w:sz w:val="16"/>
                <w:szCs w:val="16"/>
              </w:rPr>
            </w:pPr>
          </w:p>
        </w:tc>
      </w:tr>
      <w:tr w:rsidR="001C0F49" w:rsidRPr="00F84D5D" w14:paraId="13FC5679" w14:textId="77777777" w:rsidTr="002864B7">
        <w:trPr>
          <w:trHeight w:val="204"/>
        </w:trPr>
        <w:tc>
          <w:tcPr>
            <w:tcW w:w="2415" w:type="pct"/>
            <w:tcBorders>
              <w:top w:val="nil"/>
              <w:left w:val="nil"/>
              <w:bottom w:val="nil"/>
              <w:right w:val="nil"/>
            </w:tcBorders>
            <w:shd w:val="clear" w:color="auto" w:fill="auto"/>
            <w:vAlign w:val="bottom"/>
            <w:hideMark/>
          </w:tcPr>
          <w:p w14:paraId="7159F367" w14:textId="77777777" w:rsidR="001C0F49" w:rsidRPr="00F84D5D" w:rsidRDefault="001C0F49" w:rsidP="00293BD0">
            <w:pPr>
              <w:spacing w:after="0" w:line="240" w:lineRule="auto"/>
              <w:ind w:left="113" w:firstLineChars="20" w:firstLine="32"/>
              <w:rPr>
                <w:rFonts w:ascii="Arial" w:hAnsi="Arial" w:cs="Arial"/>
                <w:color w:val="000000"/>
                <w:sz w:val="16"/>
                <w:szCs w:val="16"/>
              </w:rPr>
            </w:pPr>
            <w:r w:rsidRPr="00F84D5D">
              <w:rPr>
                <w:rFonts w:ascii="Arial" w:hAnsi="Arial" w:cs="Arial"/>
                <w:color w:val="000000"/>
                <w:sz w:val="16"/>
                <w:szCs w:val="16"/>
              </w:rPr>
              <w:t>Attributable to the Australian Government</w:t>
            </w:r>
          </w:p>
        </w:tc>
        <w:tc>
          <w:tcPr>
            <w:tcW w:w="596" w:type="pct"/>
            <w:tcBorders>
              <w:left w:val="nil"/>
              <w:bottom w:val="single" w:sz="4" w:space="0" w:color="auto"/>
              <w:right w:val="nil"/>
            </w:tcBorders>
            <w:shd w:val="clear" w:color="auto" w:fill="auto"/>
            <w:noWrap/>
            <w:vAlign w:val="bottom"/>
            <w:hideMark/>
          </w:tcPr>
          <w:p w14:paraId="22DBB99F"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(5,844)</w:t>
            </w:r>
          </w:p>
        </w:tc>
        <w:tc>
          <w:tcPr>
            <w:tcW w:w="695" w:type="pct"/>
            <w:tcBorders>
              <w:left w:val="nil"/>
              <w:bottom w:val="single" w:sz="4" w:space="0" w:color="auto"/>
              <w:right w:val="nil"/>
            </w:tcBorders>
            <w:shd w:val="clear" w:color="auto" w:fill="auto"/>
            <w:noWrap/>
            <w:vAlign w:val="bottom"/>
            <w:hideMark/>
          </w:tcPr>
          <w:p w14:paraId="626CBE55" w14:textId="77777777" w:rsidR="001C0F49" w:rsidRPr="00F84D5D" w:rsidRDefault="001C0F49" w:rsidP="00572266">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26" w:type="pct"/>
            <w:tcBorders>
              <w:left w:val="nil"/>
              <w:bottom w:val="single" w:sz="4" w:space="0" w:color="auto"/>
              <w:right w:val="nil"/>
            </w:tcBorders>
            <w:shd w:val="clear" w:color="auto" w:fill="auto"/>
            <w:noWrap/>
            <w:vAlign w:val="bottom"/>
            <w:hideMark/>
          </w:tcPr>
          <w:p w14:paraId="00CEBE37" w14:textId="77777777" w:rsidR="001C0F49" w:rsidRPr="00F84D5D" w:rsidRDefault="001C0F49" w:rsidP="00572266">
            <w:pPr>
              <w:spacing w:after="0" w:line="240" w:lineRule="auto"/>
              <w:jc w:val="right"/>
              <w:rPr>
                <w:rFonts w:ascii="Times New Roman" w:hAnsi="Times New Roman"/>
              </w:rPr>
            </w:pPr>
            <w:r>
              <w:rPr>
                <w:rFonts w:ascii="Times New Roman" w:hAnsi="Times New Roman"/>
              </w:rPr>
              <w:t>-</w:t>
            </w:r>
          </w:p>
        </w:tc>
        <w:tc>
          <w:tcPr>
            <w:tcW w:w="568" w:type="pct"/>
            <w:tcBorders>
              <w:left w:val="nil"/>
              <w:bottom w:val="single" w:sz="4" w:space="0" w:color="auto"/>
              <w:right w:val="nil"/>
            </w:tcBorders>
            <w:shd w:val="clear" w:color="auto" w:fill="auto"/>
            <w:noWrap/>
            <w:vAlign w:val="bottom"/>
            <w:hideMark/>
          </w:tcPr>
          <w:p w14:paraId="1663F6B6"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(5,844)</w:t>
            </w:r>
          </w:p>
        </w:tc>
      </w:tr>
      <w:tr w:rsidR="001C0F49" w:rsidRPr="00F84D5D" w14:paraId="3A0EC9CF" w14:textId="77777777" w:rsidTr="002864B7">
        <w:trPr>
          <w:trHeight w:val="204"/>
        </w:trPr>
        <w:tc>
          <w:tcPr>
            <w:tcW w:w="2415" w:type="pct"/>
            <w:tcBorders>
              <w:top w:val="nil"/>
              <w:left w:val="nil"/>
              <w:bottom w:val="nil"/>
              <w:right w:val="nil"/>
            </w:tcBorders>
            <w:shd w:val="clear" w:color="auto" w:fill="auto"/>
            <w:noWrap/>
            <w:vAlign w:val="bottom"/>
            <w:hideMark/>
          </w:tcPr>
          <w:p w14:paraId="528E2155" w14:textId="77777777" w:rsidR="001C0F49" w:rsidRPr="00F84D5D" w:rsidRDefault="001C0F49" w:rsidP="00293BD0">
            <w:pPr>
              <w:spacing w:after="0" w:line="240" w:lineRule="auto"/>
              <w:rPr>
                <w:rFonts w:ascii="Arial" w:hAnsi="Arial" w:cs="Arial"/>
                <w:b/>
                <w:bCs/>
                <w:color w:val="000000"/>
                <w:sz w:val="16"/>
                <w:szCs w:val="16"/>
              </w:rPr>
            </w:pPr>
            <w:r w:rsidRPr="00F84D5D">
              <w:rPr>
                <w:rFonts w:ascii="Arial" w:hAnsi="Arial" w:cs="Arial"/>
                <w:b/>
                <w:bCs/>
                <w:color w:val="000000"/>
                <w:sz w:val="16"/>
                <w:szCs w:val="16"/>
              </w:rPr>
              <w:t>Transactions with owners</w:t>
            </w:r>
          </w:p>
        </w:tc>
        <w:tc>
          <w:tcPr>
            <w:tcW w:w="596" w:type="pct"/>
            <w:tcBorders>
              <w:top w:val="single" w:sz="4" w:space="0" w:color="auto"/>
              <w:left w:val="nil"/>
              <w:bottom w:val="nil"/>
              <w:right w:val="nil"/>
            </w:tcBorders>
            <w:shd w:val="clear" w:color="auto" w:fill="auto"/>
            <w:noWrap/>
            <w:vAlign w:val="bottom"/>
            <w:hideMark/>
          </w:tcPr>
          <w:p w14:paraId="31A19302" w14:textId="77777777" w:rsidR="001C0F49" w:rsidRPr="00F84D5D" w:rsidRDefault="001C0F49" w:rsidP="00572266">
            <w:pPr>
              <w:spacing w:after="0" w:line="240" w:lineRule="auto"/>
              <w:jc w:val="right"/>
              <w:rPr>
                <w:rFonts w:ascii="Arial" w:hAnsi="Arial" w:cs="Arial"/>
                <w:b/>
                <w:bCs/>
                <w:color w:val="000000"/>
                <w:sz w:val="16"/>
                <w:szCs w:val="16"/>
              </w:rPr>
            </w:pPr>
          </w:p>
        </w:tc>
        <w:tc>
          <w:tcPr>
            <w:tcW w:w="695" w:type="pct"/>
            <w:tcBorders>
              <w:top w:val="single" w:sz="4" w:space="0" w:color="auto"/>
              <w:left w:val="nil"/>
              <w:bottom w:val="nil"/>
              <w:right w:val="nil"/>
            </w:tcBorders>
            <w:shd w:val="clear" w:color="auto" w:fill="auto"/>
            <w:noWrap/>
            <w:vAlign w:val="bottom"/>
            <w:hideMark/>
          </w:tcPr>
          <w:p w14:paraId="1E917CB6" w14:textId="77777777" w:rsidR="001C0F49" w:rsidRPr="00F84D5D" w:rsidRDefault="001C0F49" w:rsidP="00572266">
            <w:pPr>
              <w:spacing w:after="0" w:line="240" w:lineRule="auto"/>
              <w:jc w:val="right"/>
              <w:rPr>
                <w:rFonts w:ascii="Times New Roman" w:hAnsi="Times New Roman"/>
              </w:rPr>
            </w:pPr>
          </w:p>
        </w:tc>
        <w:tc>
          <w:tcPr>
            <w:tcW w:w="726" w:type="pct"/>
            <w:tcBorders>
              <w:top w:val="single" w:sz="4" w:space="0" w:color="auto"/>
              <w:left w:val="nil"/>
              <w:bottom w:val="nil"/>
              <w:right w:val="nil"/>
            </w:tcBorders>
            <w:shd w:val="clear" w:color="auto" w:fill="auto"/>
            <w:noWrap/>
            <w:vAlign w:val="bottom"/>
            <w:hideMark/>
          </w:tcPr>
          <w:p w14:paraId="4E6A0272" w14:textId="77777777" w:rsidR="001C0F49" w:rsidRPr="00F84D5D" w:rsidRDefault="001C0F49" w:rsidP="00572266">
            <w:pPr>
              <w:spacing w:after="0" w:line="240" w:lineRule="auto"/>
              <w:jc w:val="right"/>
              <w:rPr>
                <w:rFonts w:ascii="Times New Roman" w:hAnsi="Times New Roman"/>
              </w:rPr>
            </w:pPr>
          </w:p>
        </w:tc>
        <w:tc>
          <w:tcPr>
            <w:tcW w:w="568" w:type="pct"/>
            <w:tcBorders>
              <w:top w:val="single" w:sz="4" w:space="0" w:color="auto"/>
              <w:left w:val="nil"/>
              <w:bottom w:val="nil"/>
              <w:right w:val="nil"/>
            </w:tcBorders>
            <w:shd w:val="clear" w:color="auto" w:fill="auto"/>
            <w:noWrap/>
            <w:vAlign w:val="bottom"/>
            <w:hideMark/>
          </w:tcPr>
          <w:p w14:paraId="53ECAF52" w14:textId="77777777" w:rsidR="001C0F49" w:rsidRPr="00F84D5D" w:rsidRDefault="001C0F49" w:rsidP="00572266">
            <w:pPr>
              <w:spacing w:after="0" w:line="240" w:lineRule="auto"/>
              <w:jc w:val="right"/>
              <w:rPr>
                <w:rFonts w:ascii="Times New Roman" w:hAnsi="Times New Roman"/>
              </w:rPr>
            </w:pPr>
          </w:p>
        </w:tc>
      </w:tr>
      <w:tr w:rsidR="001C0F49" w:rsidRPr="00F84D5D" w14:paraId="0E0AD583" w14:textId="77777777" w:rsidTr="00572266">
        <w:trPr>
          <w:trHeight w:val="204"/>
        </w:trPr>
        <w:tc>
          <w:tcPr>
            <w:tcW w:w="2415" w:type="pct"/>
            <w:tcBorders>
              <w:top w:val="nil"/>
              <w:left w:val="nil"/>
              <w:bottom w:val="nil"/>
              <w:right w:val="nil"/>
            </w:tcBorders>
            <w:shd w:val="clear" w:color="auto" w:fill="auto"/>
            <w:noWrap/>
            <w:vAlign w:val="bottom"/>
            <w:hideMark/>
          </w:tcPr>
          <w:p w14:paraId="6460EF0D" w14:textId="77777777" w:rsidR="001C0F49" w:rsidRPr="00F84D5D" w:rsidRDefault="001C0F49" w:rsidP="00293BD0">
            <w:pPr>
              <w:spacing w:after="0" w:line="240" w:lineRule="auto"/>
              <w:ind w:left="113" w:firstLineChars="20" w:firstLine="32"/>
              <w:rPr>
                <w:rFonts w:ascii="Arial" w:hAnsi="Arial" w:cs="Arial"/>
                <w:color w:val="000000"/>
                <w:sz w:val="16"/>
                <w:szCs w:val="16"/>
              </w:rPr>
            </w:pPr>
            <w:r w:rsidRPr="00F84D5D">
              <w:rPr>
                <w:rFonts w:ascii="Arial" w:hAnsi="Arial" w:cs="Arial"/>
                <w:color w:val="000000"/>
                <w:sz w:val="16"/>
                <w:szCs w:val="16"/>
              </w:rPr>
              <w:t>Equity injection - Appropriation</w:t>
            </w:r>
          </w:p>
        </w:tc>
        <w:tc>
          <w:tcPr>
            <w:tcW w:w="596" w:type="pct"/>
            <w:tcBorders>
              <w:top w:val="nil"/>
              <w:left w:val="nil"/>
              <w:bottom w:val="nil"/>
              <w:right w:val="nil"/>
            </w:tcBorders>
            <w:shd w:val="clear" w:color="auto" w:fill="auto"/>
            <w:noWrap/>
            <w:vAlign w:val="bottom"/>
            <w:hideMark/>
          </w:tcPr>
          <w:p w14:paraId="75BFB24A" w14:textId="77777777" w:rsidR="001C0F49" w:rsidRPr="00F84D5D" w:rsidRDefault="001C0F49" w:rsidP="00572266">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95" w:type="pct"/>
            <w:tcBorders>
              <w:top w:val="nil"/>
              <w:left w:val="nil"/>
              <w:bottom w:val="nil"/>
              <w:right w:val="nil"/>
            </w:tcBorders>
            <w:shd w:val="clear" w:color="auto" w:fill="auto"/>
            <w:noWrap/>
            <w:vAlign w:val="bottom"/>
            <w:hideMark/>
          </w:tcPr>
          <w:p w14:paraId="5627C8A7" w14:textId="77777777" w:rsidR="001C0F49" w:rsidRPr="00F84D5D" w:rsidRDefault="001C0F49" w:rsidP="00572266">
            <w:pPr>
              <w:spacing w:after="0" w:line="240" w:lineRule="auto"/>
              <w:jc w:val="right"/>
              <w:rPr>
                <w:rFonts w:ascii="Times New Roman" w:hAnsi="Times New Roman"/>
              </w:rPr>
            </w:pPr>
            <w:r>
              <w:rPr>
                <w:rFonts w:ascii="Times New Roman" w:hAnsi="Times New Roman"/>
              </w:rPr>
              <w:t>-</w:t>
            </w:r>
          </w:p>
        </w:tc>
        <w:tc>
          <w:tcPr>
            <w:tcW w:w="726" w:type="pct"/>
            <w:tcBorders>
              <w:top w:val="nil"/>
              <w:left w:val="nil"/>
              <w:bottom w:val="single" w:sz="4" w:space="0" w:color="000000"/>
              <w:right w:val="nil"/>
            </w:tcBorders>
            <w:shd w:val="clear" w:color="auto" w:fill="auto"/>
            <w:noWrap/>
            <w:vAlign w:val="bottom"/>
            <w:hideMark/>
          </w:tcPr>
          <w:p w14:paraId="4F498D9A"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4,414</w:t>
            </w:r>
          </w:p>
        </w:tc>
        <w:tc>
          <w:tcPr>
            <w:tcW w:w="568" w:type="pct"/>
            <w:tcBorders>
              <w:top w:val="nil"/>
              <w:left w:val="nil"/>
              <w:bottom w:val="nil"/>
              <w:right w:val="nil"/>
            </w:tcBorders>
            <w:shd w:val="clear" w:color="auto" w:fill="auto"/>
            <w:noWrap/>
            <w:vAlign w:val="bottom"/>
            <w:hideMark/>
          </w:tcPr>
          <w:p w14:paraId="53CA2C1A" w14:textId="77777777" w:rsidR="001C0F49" w:rsidRPr="00F84D5D" w:rsidRDefault="001C0F49" w:rsidP="00572266">
            <w:pPr>
              <w:spacing w:after="0" w:line="240" w:lineRule="auto"/>
              <w:jc w:val="right"/>
              <w:rPr>
                <w:rFonts w:ascii="Arial" w:hAnsi="Arial" w:cs="Arial"/>
                <w:color w:val="000000"/>
                <w:sz w:val="16"/>
                <w:szCs w:val="16"/>
              </w:rPr>
            </w:pPr>
            <w:r w:rsidRPr="00F84D5D">
              <w:rPr>
                <w:rFonts w:ascii="Arial" w:hAnsi="Arial" w:cs="Arial"/>
                <w:color w:val="000000"/>
                <w:sz w:val="16"/>
                <w:szCs w:val="16"/>
              </w:rPr>
              <w:t>4,414</w:t>
            </w:r>
          </w:p>
        </w:tc>
      </w:tr>
      <w:tr w:rsidR="001C0F49" w:rsidRPr="00F84D5D" w14:paraId="02565870" w14:textId="77777777" w:rsidTr="00572266">
        <w:trPr>
          <w:trHeight w:val="204"/>
        </w:trPr>
        <w:tc>
          <w:tcPr>
            <w:tcW w:w="2415" w:type="pct"/>
            <w:tcBorders>
              <w:top w:val="nil"/>
              <w:left w:val="nil"/>
              <w:bottom w:val="nil"/>
              <w:right w:val="nil"/>
            </w:tcBorders>
            <w:shd w:val="clear" w:color="auto" w:fill="auto"/>
            <w:vAlign w:val="bottom"/>
            <w:hideMark/>
          </w:tcPr>
          <w:p w14:paraId="50ADC3ED" w14:textId="77777777" w:rsidR="001C0F49" w:rsidRPr="00F84D5D" w:rsidRDefault="001C0F49" w:rsidP="00293BD0">
            <w:pPr>
              <w:spacing w:after="0" w:line="240" w:lineRule="auto"/>
              <w:rPr>
                <w:rFonts w:ascii="Arial" w:hAnsi="Arial" w:cs="Arial"/>
                <w:b/>
                <w:bCs/>
                <w:i/>
                <w:iCs/>
                <w:color w:val="000000"/>
                <w:sz w:val="16"/>
                <w:szCs w:val="16"/>
              </w:rPr>
            </w:pPr>
            <w:r w:rsidRPr="00F84D5D">
              <w:rPr>
                <w:rFonts w:ascii="Arial" w:hAnsi="Arial" w:cs="Arial"/>
                <w:b/>
                <w:bCs/>
                <w:i/>
                <w:iCs/>
                <w:color w:val="000000"/>
                <w:sz w:val="16"/>
                <w:szCs w:val="16"/>
              </w:rPr>
              <w:t>Sub-total transactions with owners</w:t>
            </w:r>
          </w:p>
        </w:tc>
        <w:tc>
          <w:tcPr>
            <w:tcW w:w="596" w:type="pct"/>
            <w:tcBorders>
              <w:top w:val="single" w:sz="4" w:space="0" w:color="000000"/>
              <w:left w:val="nil"/>
              <w:bottom w:val="single" w:sz="4" w:space="0" w:color="000000"/>
              <w:right w:val="nil"/>
            </w:tcBorders>
            <w:shd w:val="clear" w:color="auto" w:fill="auto"/>
            <w:noWrap/>
            <w:vAlign w:val="bottom"/>
            <w:hideMark/>
          </w:tcPr>
          <w:p w14:paraId="354243EC"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w:t>
            </w:r>
          </w:p>
        </w:tc>
        <w:tc>
          <w:tcPr>
            <w:tcW w:w="695" w:type="pct"/>
            <w:tcBorders>
              <w:top w:val="single" w:sz="4" w:space="0" w:color="000000"/>
              <w:left w:val="nil"/>
              <w:bottom w:val="single" w:sz="4" w:space="0" w:color="000000"/>
              <w:right w:val="nil"/>
            </w:tcBorders>
            <w:shd w:val="clear" w:color="auto" w:fill="auto"/>
            <w:noWrap/>
            <w:vAlign w:val="bottom"/>
            <w:hideMark/>
          </w:tcPr>
          <w:p w14:paraId="4A3492FE"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w:t>
            </w:r>
          </w:p>
        </w:tc>
        <w:tc>
          <w:tcPr>
            <w:tcW w:w="726" w:type="pct"/>
            <w:tcBorders>
              <w:top w:val="single" w:sz="4" w:space="0" w:color="000000"/>
              <w:left w:val="nil"/>
              <w:bottom w:val="single" w:sz="4" w:space="0" w:color="000000"/>
              <w:right w:val="nil"/>
            </w:tcBorders>
            <w:shd w:val="clear" w:color="auto" w:fill="auto"/>
            <w:noWrap/>
            <w:vAlign w:val="bottom"/>
            <w:hideMark/>
          </w:tcPr>
          <w:p w14:paraId="5DF80771"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4,414</w:t>
            </w:r>
          </w:p>
        </w:tc>
        <w:tc>
          <w:tcPr>
            <w:tcW w:w="568" w:type="pct"/>
            <w:tcBorders>
              <w:top w:val="single" w:sz="4" w:space="0" w:color="000000"/>
              <w:left w:val="nil"/>
              <w:bottom w:val="single" w:sz="4" w:space="0" w:color="000000"/>
              <w:right w:val="nil"/>
            </w:tcBorders>
            <w:shd w:val="clear" w:color="auto" w:fill="auto"/>
            <w:noWrap/>
            <w:vAlign w:val="bottom"/>
            <w:hideMark/>
          </w:tcPr>
          <w:p w14:paraId="0F426CD8" w14:textId="77777777" w:rsidR="001C0F49" w:rsidRPr="00F84D5D" w:rsidRDefault="001C0F49" w:rsidP="00572266">
            <w:pPr>
              <w:spacing w:after="0" w:line="240" w:lineRule="auto"/>
              <w:jc w:val="right"/>
              <w:rPr>
                <w:rFonts w:ascii="Arial" w:hAnsi="Arial" w:cs="Arial"/>
                <w:b/>
                <w:bCs/>
                <w:i/>
                <w:iCs/>
                <w:color w:val="000000"/>
                <w:sz w:val="16"/>
                <w:szCs w:val="16"/>
              </w:rPr>
            </w:pPr>
            <w:r w:rsidRPr="00F84D5D">
              <w:rPr>
                <w:rFonts w:ascii="Arial" w:hAnsi="Arial" w:cs="Arial"/>
                <w:b/>
                <w:bCs/>
                <w:i/>
                <w:iCs/>
                <w:color w:val="000000"/>
                <w:sz w:val="16"/>
                <w:szCs w:val="16"/>
              </w:rPr>
              <w:t>4,414</w:t>
            </w:r>
          </w:p>
        </w:tc>
      </w:tr>
      <w:tr w:rsidR="001C0F49" w:rsidRPr="00F84D5D" w14:paraId="202C88C1" w14:textId="77777777" w:rsidTr="00572266">
        <w:trPr>
          <w:trHeight w:val="204"/>
        </w:trPr>
        <w:tc>
          <w:tcPr>
            <w:tcW w:w="2415" w:type="pct"/>
            <w:tcBorders>
              <w:top w:val="nil"/>
              <w:left w:val="nil"/>
              <w:bottom w:val="nil"/>
              <w:right w:val="nil"/>
            </w:tcBorders>
            <w:shd w:val="clear" w:color="auto" w:fill="auto"/>
            <w:vAlign w:val="bottom"/>
            <w:hideMark/>
          </w:tcPr>
          <w:p w14:paraId="458B7C7B" w14:textId="77777777" w:rsidR="001C0F49" w:rsidRPr="00F84D5D" w:rsidRDefault="001C0F49" w:rsidP="00293BD0">
            <w:pPr>
              <w:spacing w:after="0" w:line="240" w:lineRule="auto"/>
              <w:rPr>
                <w:rFonts w:ascii="Arial" w:hAnsi="Arial" w:cs="Arial"/>
                <w:b/>
                <w:bCs/>
                <w:color w:val="000000"/>
                <w:sz w:val="16"/>
                <w:szCs w:val="16"/>
              </w:rPr>
            </w:pPr>
            <w:r w:rsidRPr="00F84D5D">
              <w:rPr>
                <w:rFonts w:ascii="Arial" w:hAnsi="Arial" w:cs="Arial"/>
                <w:b/>
                <w:bCs/>
                <w:color w:val="000000"/>
                <w:sz w:val="16"/>
                <w:szCs w:val="16"/>
              </w:rPr>
              <w:t xml:space="preserve">Estimated closing balance as at </w:t>
            </w:r>
            <w:r w:rsidRPr="00F84D5D">
              <w:rPr>
                <w:rFonts w:ascii="Arial" w:hAnsi="Arial" w:cs="Arial"/>
                <w:b/>
                <w:bCs/>
                <w:color w:val="000000"/>
                <w:sz w:val="16"/>
                <w:szCs w:val="16"/>
              </w:rPr>
              <w:br/>
              <w:t>30 June 2023</w:t>
            </w:r>
          </w:p>
        </w:tc>
        <w:tc>
          <w:tcPr>
            <w:tcW w:w="596" w:type="pct"/>
            <w:tcBorders>
              <w:top w:val="single" w:sz="4" w:space="0" w:color="auto"/>
              <w:left w:val="nil"/>
              <w:bottom w:val="single" w:sz="4" w:space="0" w:color="auto"/>
              <w:right w:val="nil"/>
            </w:tcBorders>
            <w:shd w:val="clear" w:color="auto" w:fill="auto"/>
            <w:noWrap/>
            <w:vAlign w:val="bottom"/>
            <w:hideMark/>
          </w:tcPr>
          <w:p w14:paraId="13335294"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(9,072)</w:t>
            </w:r>
          </w:p>
        </w:tc>
        <w:tc>
          <w:tcPr>
            <w:tcW w:w="695" w:type="pct"/>
            <w:tcBorders>
              <w:top w:val="single" w:sz="4" w:space="0" w:color="auto"/>
              <w:left w:val="nil"/>
              <w:bottom w:val="single" w:sz="4" w:space="0" w:color="auto"/>
              <w:right w:val="nil"/>
            </w:tcBorders>
            <w:shd w:val="clear" w:color="auto" w:fill="auto"/>
            <w:noWrap/>
            <w:vAlign w:val="bottom"/>
            <w:hideMark/>
          </w:tcPr>
          <w:p w14:paraId="32F3C4B8"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50,310</w:t>
            </w:r>
          </w:p>
        </w:tc>
        <w:tc>
          <w:tcPr>
            <w:tcW w:w="726" w:type="pct"/>
            <w:tcBorders>
              <w:top w:val="single" w:sz="4" w:space="0" w:color="auto"/>
              <w:left w:val="nil"/>
              <w:bottom w:val="single" w:sz="4" w:space="0" w:color="auto"/>
              <w:right w:val="nil"/>
            </w:tcBorders>
            <w:shd w:val="clear" w:color="auto" w:fill="auto"/>
            <w:noWrap/>
            <w:vAlign w:val="bottom"/>
            <w:hideMark/>
          </w:tcPr>
          <w:p w14:paraId="4CCE8F39"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74,490</w:t>
            </w:r>
          </w:p>
        </w:tc>
        <w:tc>
          <w:tcPr>
            <w:tcW w:w="568" w:type="pct"/>
            <w:tcBorders>
              <w:top w:val="single" w:sz="4" w:space="0" w:color="auto"/>
              <w:left w:val="nil"/>
              <w:bottom w:val="single" w:sz="4" w:space="0" w:color="auto"/>
              <w:right w:val="nil"/>
            </w:tcBorders>
            <w:shd w:val="clear" w:color="auto" w:fill="auto"/>
            <w:noWrap/>
            <w:vAlign w:val="bottom"/>
            <w:hideMark/>
          </w:tcPr>
          <w:p w14:paraId="2B596961"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115,728</w:t>
            </w:r>
          </w:p>
        </w:tc>
      </w:tr>
      <w:tr w:rsidR="001C0F49" w:rsidRPr="00F84D5D" w14:paraId="74DB53A9" w14:textId="77777777" w:rsidTr="00572266">
        <w:trPr>
          <w:trHeight w:val="204"/>
        </w:trPr>
        <w:tc>
          <w:tcPr>
            <w:tcW w:w="2415" w:type="pct"/>
            <w:tcBorders>
              <w:top w:val="nil"/>
              <w:left w:val="nil"/>
              <w:bottom w:val="single" w:sz="4" w:space="0" w:color="000000"/>
              <w:right w:val="nil"/>
            </w:tcBorders>
            <w:shd w:val="clear" w:color="auto" w:fill="auto"/>
            <w:vAlign w:val="bottom"/>
            <w:hideMark/>
          </w:tcPr>
          <w:p w14:paraId="678717C5" w14:textId="77777777" w:rsidR="001C0F49" w:rsidRPr="00F84D5D" w:rsidRDefault="001C0F49" w:rsidP="00293BD0">
            <w:pPr>
              <w:spacing w:after="0" w:line="240" w:lineRule="auto"/>
              <w:rPr>
                <w:rFonts w:ascii="Arial" w:hAnsi="Arial" w:cs="Arial"/>
                <w:b/>
                <w:bCs/>
                <w:color w:val="000000"/>
                <w:sz w:val="16"/>
                <w:szCs w:val="16"/>
              </w:rPr>
            </w:pPr>
            <w:r w:rsidRPr="00F84D5D">
              <w:rPr>
                <w:rFonts w:ascii="Arial" w:hAnsi="Arial" w:cs="Arial"/>
                <w:b/>
                <w:bCs/>
                <w:color w:val="000000"/>
                <w:sz w:val="16"/>
                <w:szCs w:val="16"/>
              </w:rPr>
              <w:t>Closing balance attributable to the Australian Government</w:t>
            </w:r>
          </w:p>
        </w:tc>
        <w:tc>
          <w:tcPr>
            <w:tcW w:w="596" w:type="pct"/>
            <w:tcBorders>
              <w:top w:val="nil"/>
              <w:left w:val="nil"/>
              <w:bottom w:val="single" w:sz="4" w:space="0" w:color="auto"/>
              <w:right w:val="nil"/>
            </w:tcBorders>
            <w:shd w:val="clear" w:color="auto" w:fill="auto"/>
            <w:noWrap/>
            <w:vAlign w:val="bottom"/>
            <w:hideMark/>
          </w:tcPr>
          <w:p w14:paraId="44A7E198"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(9,072)</w:t>
            </w:r>
          </w:p>
        </w:tc>
        <w:tc>
          <w:tcPr>
            <w:tcW w:w="695" w:type="pct"/>
            <w:tcBorders>
              <w:top w:val="nil"/>
              <w:left w:val="nil"/>
              <w:bottom w:val="single" w:sz="4" w:space="0" w:color="auto"/>
              <w:right w:val="nil"/>
            </w:tcBorders>
            <w:shd w:val="clear" w:color="auto" w:fill="auto"/>
            <w:noWrap/>
            <w:vAlign w:val="bottom"/>
            <w:hideMark/>
          </w:tcPr>
          <w:p w14:paraId="778655D0"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50,310</w:t>
            </w:r>
          </w:p>
        </w:tc>
        <w:tc>
          <w:tcPr>
            <w:tcW w:w="726" w:type="pct"/>
            <w:tcBorders>
              <w:top w:val="nil"/>
              <w:left w:val="nil"/>
              <w:bottom w:val="single" w:sz="4" w:space="0" w:color="auto"/>
              <w:right w:val="nil"/>
            </w:tcBorders>
            <w:shd w:val="clear" w:color="auto" w:fill="auto"/>
            <w:noWrap/>
            <w:vAlign w:val="bottom"/>
            <w:hideMark/>
          </w:tcPr>
          <w:p w14:paraId="77970558"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74,490</w:t>
            </w:r>
          </w:p>
        </w:tc>
        <w:tc>
          <w:tcPr>
            <w:tcW w:w="568" w:type="pct"/>
            <w:tcBorders>
              <w:top w:val="nil"/>
              <w:left w:val="nil"/>
              <w:bottom w:val="single" w:sz="4" w:space="0" w:color="auto"/>
              <w:right w:val="nil"/>
            </w:tcBorders>
            <w:shd w:val="clear" w:color="auto" w:fill="auto"/>
            <w:noWrap/>
            <w:vAlign w:val="bottom"/>
            <w:hideMark/>
          </w:tcPr>
          <w:p w14:paraId="77B4F9AD" w14:textId="77777777" w:rsidR="001C0F49" w:rsidRPr="00F84D5D" w:rsidRDefault="001C0F49" w:rsidP="00572266">
            <w:pPr>
              <w:spacing w:after="0" w:line="240" w:lineRule="auto"/>
              <w:jc w:val="right"/>
              <w:rPr>
                <w:rFonts w:ascii="Arial" w:hAnsi="Arial" w:cs="Arial"/>
                <w:b/>
                <w:bCs/>
                <w:color w:val="000000"/>
                <w:sz w:val="16"/>
                <w:szCs w:val="16"/>
              </w:rPr>
            </w:pPr>
            <w:r w:rsidRPr="00F84D5D">
              <w:rPr>
                <w:rFonts w:ascii="Arial" w:hAnsi="Arial" w:cs="Arial"/>
                <w:b/>
                <w:bCs/>
                <w:color w:val="000000"/>
                <w:sz w:val="16"/>
                <w:szCs w:val="16"/>
              </w:rPr>
              <w:t>115,728</w:t>
            </w:r>
          </w:p>
        </w:tc>
      </w:tr>
    </w:tbl>
    <w:p w14:paraId="1D25774D" w14:textId="7493CB8B" w:rsidR="001C0F49" w:rsidRPr="00B16C4D" w:rsidRDefault="001C0F49" w:rsidP="00572266">
      <w:pPr>
        <w:pStyle w:val="TableGraphic"/>
        <w:spacing w:before="60"/>
        <w:ind w:right="0"/>
        <w:rPr>
          <w:rStyle w:val="TableHeadingChar"/>
        </w:rPr>
      </w:pPr>
      <w:r w:rsidRPr="00D606C2">
        <w:rPr>
          <w:rFonts w:ascii="Arial" w:hAnsi="Arial" w:cs="Arial"/>
          <w:sz w:val="16"/>
        </w:rPr>
        <w:t>Prepared on Australian Accounting Standards basis</w:t>
      </w:r>
      <w:r w:rsidR="00D718CA">
        <w:rPr>
          <w:rFonts w:ascii="Arial" w:hAnsi="Arial" w:cs="Arial"/>
          <w:sz w:val="16"/>
        </w:rPr>
        <w:t>.</w:t>
      </w:r>
      <w:r>
        <w:br w:type="page"/>
      </w:r>
      <w:r w:rsidRPr="00B16C4D">
        <w:rPr>
          <w:rStyle w:val="TableHeadingChar"/>
        </w:rPr>
        <w:lastRenderedPageBreak/>
        <w:t>Table 3.4: Budgeted departmental statement of cash flows (for the period ended 30 June)</w:t>
      </w:r>
    </w:p>
    <w:tbl>
      <w:tblPr>
        <w:tblW w:w="5000" w:type="pct"/>
        <w:tblLook w:val="04A0" w:firstRow="1" w:lastRow="0" w:firstColumn="1" w:lastColumn="0" w:noHBand="0" w:noVBand="1"/>
      </w:tblPr>
      <w:tblGrid>
        <w:gridCol w:w="3268"/>
        <w:gridCol w:w="930"/>
        <w:gridCol w:w="877"/>
        <w:gridCol w:w="879"/>
        <w:gridCol w:w="879"/>
        <w:gridCol w:w="877"/>
      </w:tblGrid>
      <w:tr w:rsidR="001C0F49" w:rsidRPr="00F626BB" w14:paraId="30BB7A7F" w14:textId="77777777" w:rsidTr="00AE2189">
        <w:trPr>
          <w:trHeight w:val="204"/>
        </w:trPr>
        <w:tc>
          <w:tcPr>
            <w:tcW w:w="2119" w:type="pct"/>
            <w:tcBorders>
              <w:top w:val="single" w:sz="4" w:space="0" w:color="auto"/>
              <w:left w:val="nil"/>
              <w:bottom w:val="nil"/>
              <w:right w:val="nil"/>
            </w:tcBorders>
            <w:shd w:val="clear" w:color="auto" w:fill="auto"/>
            <w:noWrap/>
            <w:vAlign w:val="bottom"/>
            <w:hideMark/>
          </w:tcPr>
          <w:p w14:paraId="415E9705" w14:textId="77777777" w:rsidR="001C0F49" w:rsidRPr="00F626BB" w:rsidRDefault="001C0F49" w:rsidP="00293BD0">
            <w:pPr>
              <w:spacing w:after="0" w:line="240" w:lineRule="auto"/>
              <w:rPr>
                <w:rFonts w:ascii="Arial" w:hAnsi="Arial" w:cs="Arial"/>
                <w:b/>
                <w:bCs/>
                <w:sz w:val="16"/>
                <w:szCs w:val="16"/>
              </w:rPr>
            </w:pPr>
            <w:r w:rsidRPr="00F626BB">
              <w:rPr>
                <w:rFonts w:ascii="Arial" w:hAnsi="Arial" w:cs="Arial"/>
                <w:b/>
                <w:bCs/>
                <w:sz w:val="16"/>
                <w:szCs w:val="16"/>
              </w:rPr>
              <w:t> </w:t>
            </w:r>
          </w:p>
        </w:tc>
        <w:tc>
          <w:tcPr>
            <w:tcW w:w="603" w:type="pct"/>
            <w:tcBorders>
              <w:top w:val="single" w:sz="4" w:space="0" w:color="auto"/>
              <w:left w:val="nil"/>
              <w:bottom w:val="single" w:sz="4" w:space="0" w:color="auto"/>
              <w:right w:val="nil"/>
            </w:tcBorders>
            <w:shd w:val="clear" w:color="auto" w:fill="auto"/>
            <w:vAlign w:val="bottom"/>
            <w:hideMark/>
          </w:tcPr>
          <w:p w14:paraId="64D470AF" w14:textId="77777777" w:rsidR="001C0F49" w:rsidRPr="00F626BB" w:rsidRDefault="001C0F49" w:rsidP="00293BD0">
            <w:pPr>
              <w:spacing w:after="0" w:line="240" w:lineRule="auto"/>
              <w:jc w:val="right"/>
              <w:rPr>
                <w:rFonts w:ascii="Arial" w:hAnsi="Arial" w:cs="Arial"/>
                <w:sz w:val="16"/>
                <w:szCs w:val="16"/>
              </w:rPr>
            </w:pPr>
            <w:r w:rsidRPr="00F626BB">
              <w:rPr>
                <w:rFonts w:ascii="Arial" w:hAnsi="Arial" w:cs="Arial"/>
                <w:sz w:val="16"/>
                <w:szCs w:val="16"/>
              </w:rPr>
              <w:t>2021-22 Estimated actual</w:t>
            </w:r>
            <w:r w:rsidRPr="00F626BB">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E6E6E6"/>
            <w:vAlign w:val="bottom"/>
            <w:hideMark/>
          </w:tcPr>
          <w:p w14:paraId="44F3C98F" w14:textId="77777777" w:rsidR="001C0F49" w:rsidRPr="00F626BB" w:rsidRDefault="001C0F49" w:rsidP="00293BD0">
            <w:pPr>
              <w:spacing w:after="0" w:line="240" w:lineRule="auto"/>
              <w:jc w:val="right"/>
              <w:rPr>
                <w:rFonts w:ascii="Arial" w:hAnsi="Arial" w:cs="Arial"/>
                <w:sz w:val="16"/>
                <w:szCs w:val="16"/>
              </w:rPr>
            </w:pPr>
            <w:r w:rsidRPr="00F626BB">
              <w:rPr>
                <w:rFonts w:ascii="Arial" w:hAnsi="Arial" w:cs="Arial"/>
                <w:sz w:val="16"/>
                <w:szCs w:val="16"/>
              </w:rPr>
              <w:t>2022-23</w:t>
            </w:r>
            <w:r w:rsidRPr="00F626BB">
              <w:rPr>
                <w:rFonts w:ascii="Arial" w:hAnsi="Arial" w:cs="Arial"/>
                <w:sz w:val="16"/>
                <w:szCs w:val="16"/>
              </w:rPr>
              <w:br/>
              <w:t>Budget</w:t>
            </w:r>
            <w:r w:rsidRPr="00F626BB">
              <w:rPr>
                <w:rFonts w:ascii="Arial" w:hAnsi="Arial" w:cs="Arial"/>
                <w:sz w:val="16"/>
                <w:szCs w:val="16"/>
              </w:rPr>
              <w:br/>
            </w:r>
            <w:r w:rsidRPr="00F626BB">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57884093" w14:textId="77777777" w:rsidR="001C0F49" w:rsidRPr="00F626BB" w:rsidRDefault="001C0F49" w:rsidP="00293BD0">
            <w:pPr>
              <w:spacing w:after="0" w:line="240" w:lineRule="auto"/>
              <w:jc w:val="right"/>
              <w:rPr>
                <w:rFonts w:ascii="Arial" w:hAnsi="Arial" w:cs="Arial"/>
                <w:sz w:val="16"/>
                <w:szCs w:val="16"/>
              </w:rPr>
            </w:pPr>
            <w:r w:rsidRPr="00F626BB">
              <w:rPr>
                <w:rFonts w:ascii="Arial" w:hAnsi="Arial" w:cs="Arial"/>
                <w:sz w:val="16"/>
                <w:szCs w:val="16"/>
              </w:rPr>
              <w:t>2023-24 Forward estimate</w:t>
            </w:r>
            <w:r w:rsidRPr="00F626BB">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1222823" w14:textId="77777777" w:rsidR="001C0F49" w:rsidRPr="00F626BB" w:rsidRDefault="001C0F49" w:rsidP="00293BD0">
            <w:pPr>
              <w:spacing w:after="0" w:line="240" w:lineRule="auto"/>
              <w:jc w:val="right"/>
              <w:rPr>
                <w:rFonts w:ascii="Arial" w:hAnsi="Arial" w:cs="Arial"/>
                <w:sz w:val="16"/>
                <w:szCs w:val="16"/>
              </w:rPr>
            </w:pPr>
            <w:r w:rsidRPr="00F626BB">
              <w:rPr>
                <w:rFonts w:ascii="Arial" w:hAnsi="Arial" w:cs="Arial"/>
                <w:sz w:val="16"/>
                <w:szCs w:val="16"/>
              </w:rPr>
              <w:t>2024-25 Forward estimate</w:t>
            </w:r>
            <w:r w:rsidRPr="00F626BB">
              <w:rPr>
                <w:rFonts w:ascii="Arial" w:hAnsi="Arial" w:cs="Arial"/>
                <w:sz w:val="16"/>
                <w:szCs w:val="16"/>
              </w:rPr>
              <w:br/>
              <w:t>$'000</w:t>
            </w:r>
          </w:p>
        </w:tc>
        <w:tc>
          <w:tcPr>
            <w:tcW w:w="569" w:type="pct"/>
            <w:tcBorders>
              <w:top w:val="single" w:sz="4" w:space="0" w:color="auto"/>
              <w:left w:val="nil"/>
              <w:bottom w:val="single" w:sz="4" w:space="0" w:color="auto"/>
              <w:right w:val="nil"/>
            </w:tcBorders>
            <w:shd w:val="clear" w:color="auto" w:fill="auto"/>
            <w:vAlign w:val="bottom"/>
            <w:hideMark/>
          </w:tcPr>
          <w:p w14:paraId="366A8D4C" w14:textId="77777777" w:rsidR="001C0F49" w:rsidRPr="00F626BB" w:rsidRDefault="001C0F49" w:rsidP="00293BD0">
            <w:pPr>
              <w:spacing w:after="0" w:line="240" w:lineRule="auto"/>
              <w:jc w:val="right"/>
              <w:rPr>
                <w:rFonts w:ascii="Arial" w:hAnsi="Arial" w:cs="Arial"/>
                <w:sz w:val="16"/>
                <w:szCs w:val="16"/>
              </w:rPr>
            </w:pPr>
            <w:r w:rsidRPr="00F626BB">
              <w:rPr>
                <w:rFonts w:ascii="Arial" w:hAnsi="Arial" w:cs="Arial"/>
                <w:sz w:val="16"/>
                <w:szCs w:val="16"/>
              </w:rPr>
              <w:t>2025-26</w:t>
            </w:r>
            <w:r w:rsidRPr="00F626BB">
              <w:rPr>
                <w:rFonts w:ascii="Arial" w:hAnsi="Arial" w:cs="Arial"/>
                <w:sz w:val="16"/>
                <w:szCs w:val="16"/>
              </w:rPr>
              <w:br/>
              <w:t>Forward estimate</w:t>
            </w:r>
            <w:r w:rsidRPr="00F626BB">
              <w:rPr>
                <w:rFonts w:ascii="Arial" w:hAnsi="Arial" w:cs="Arial"/>
                <w:sz w:val="16"/>
                <w:szCs w:val="16"/>
              </w:rPr>
              <w:br/>
              <w:t>$'000</w:t>
            </w:r>
          </w:p>
        </w:tc>
      </w:tr>
      <w:tr w:rsidR="001C0F49" w:rsidRPr="00F626BB" w14:paraId="1AF34595" w14:textId="77777777" w:rsidTr="00AE2189">
        <w:trPr>
          <w:trHeight w:val="204"/>
        </w:trPr>
        <w:tc>
          <w:tcPr>
            <w:tcW w:w="2119" w:type="pct"/>
            <w:tcBorders>
              <w:top w:val="nil"/>
              <w:left w:val="nil"/>
              <w:bottom w:val="nil"/>
              <w:right w:val="nil"/>
            </w:tcBorders>
            <w:shd w:val="clear" w:color="auto" w:fill="auto"/>
            <w:noWrap/>
            <w:vAlign w:val="bottom"/>
            <w:hideMark/>
          </w:tcPr>
          <w:p w14:paraId="23572478"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OPERATING ACTIVITIES</w:t>
            </w:r>
          </w:p>
        </w:tc>
        <w:tc>
          <w:tcPr>
            <w:tcW w:w="603" w:type="pct"/>
            <w:tcBorders>
              <w:top w:val="nil"/>
              <w:left w:val="nil"/>
              <w:bottom w:val="nil"/>
              <w:right w:val="nil"/>
            </w:tcBorders>
            <w:shd w:val="clear" w:color="auto" w:fill="auto"/>
            <w:noWrap/>
            <w:vAlign w:val="bottom"/>
            <w:hideMark/>
          </w:tcPr>
          <w:p w14:paraId="611ECA43" w14:textId="77777777" w:rsidR="001C0F49" w:rsidRPr="00F626BB"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5424ECB" w14:textId="77777777" w:rsidR="001C0F49" w:rsidRPr="00F626BB"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BD5B584" w14:textId="77777777" w:rsidR="001C0F49" w:rsidRPr="00F626BB"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0A12E7F" w14:textId="77777777" w:rsidR="001C0F49" w:rsidRPr="00F626BB" w:rsidRDefault="001C0F49" w:rsidP="00572266">
            <w:pPr>
              <w:spacing w:after="0" w:line="240" w:lineRule="auto"/>
              <w:jc w:val="right"/>
              <w:rPr>
                <w:rFonts w:ascii="Times New Roman" w:hAnsi="Times New Roman"/>
              </w:rPr>
            </w:pPr>
          </w:p>
        </w:tc>
        <w:tc>
          <w:tcPr>
            <w:tcW w:w="569" w:type="pct"/>
            <w:tcBorders>
              <w:top w:val="nil"/>
              <w:left w:val="nil"/>
              <w:bottom w:val="nil"/>
              <w:right w:val="nil"/>
            </w:tcBorders>
            <w:shd w:val="clear" w:color="auto" w:fill="auto"/>
            <w:noWrap/>
            <w:vAlign w:val="bottom"/>
            <w:hideMark/>
          </w:tcPr>
          <w:p w14:paraId="628171B0" w14:textId="77777777" w:rsidR="001C0F49" w:rsidRPr="00F626BB" w:rsidRDefault="001C0F49" w:rsidP="00572266">
            <w:pPr>
              <w:spacing w:after="0" w:line="240" w:lineRule="auto"/>
              <w:jc w:val="right"/>
              <w:rPr>
                <w:rFonts w:ascii="Times New Roman" w:hAnsi="Times New Roman"/>
              </w:rPr>
            </w:pPr>
          </w:p>
        </w:tc>
      </w:tr>
      <w:tr w:rsidR="001C0F49" w:rsidRPr="00F626BB" w14:paraId="28C8A415" w14:textId="77777777" w:rsidTr="00AE2189">
        <w:trPr>
          <w:trHeight w:val="204"/>
        </w:trPr>
        <w:tc>
          <w:tcPr>
            <w:tcW w:w="2119" w:type="pct"/>
            <w:tcBorders>
              <w:top w:val="nil"/>
              <w:left w:val="nil"/>
              <w:bottom w:val="nil"/>
              <w:right w:val="nil"/>
            </w:tcBorders>
            <w:shd w:val="clear" w:color="auto" w:fill="auto"/>
            <w:noWrap/>
            <w:vAlign w:val="bottom"/>
            <w:hideMark/>
          </w:tcPr>
          <w:p w14:paraId="01C1140A"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672A6BDE"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6179123E"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CBDC942"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7DEE908"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5D9E9BB7"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2688CD23" w14:textId="77777777" w:rsidTr="00AE2189">
        <w:trPr>
          <w:trHeight w:val="204"/>
        </w:trPr>
        <w:tc>
          <w:tcPr>
            <w:tcW w:w="2119" w:type="pct"/>
            <w:tcBorders>
              <w:top w:val="nil"/>
              <w:left w:val="nil"/>
              <w:bottom w:val="nil"/>
              <w:right w:val="nil"/>
            </w:tcBorders>
            <w:shd w:val="clear" w:color="auto" w:fill="auto"/>
            <w:noWrap/>
            <w:vAlign w:val="bottom"/>
            <w:hideMark/>
          </w:tcPr>
          <w:p w14:paraId="344B82FC" w14:textId="77777777" w:rsidR="001C0F49" w:rsidRPr="00F626BB" w:rsidRDefault="001C0F49" w:rsidP="00293BD0">
            <w:pPr>
              <w:spacing w:after="0" w:line="240" w:lineRule="auto"/>
              <w:ind w:left="113" w:firstLineChars="20" w:firstLine="32"/>
              <w:rPr>
                <w:rFonts w:ascii="Arial" w:hAnsi="Arial" w:cs="Arial"/>
                <w:color w:val="000000"/>
                <w:sz w:val="16"/>
                <w:szCs w:val="16"/>
              </w:rPr>
            </w:pPr>
            <w:r w:rsidRPr="00F626BB">
              <w:rPr>
                <w:rFonts w:ascii="Arial" w:hAnsi="Arial" w:cs="Arial"/>
                <w:color w:val="000000"/>
                <w:sz w:val="16"/>
                <w:szCs w:val="16"/>
              </w:rPr>
              <w:t>Appropriations</w:t>
            </w:r>
          </w:p>
        </w:tc>
        <w:tc>
          <w:tcPr>
            <w:tcW w:w="603" w:type="pct"/>
            <w:tcBorders>
              <w:top w:val="nil"/>
              <w:left w:val="nil"/>
              <w:bottom w:val="nil"/>
              <w:right w:val="nil"/>
            </w:tcBorders>
            <w:shd w:val="clear" w:color="auto" w:fill="auto"/>
            <w:noWrap/>
            <w:vAlign w:val="bottom"/>
            <w:hideMark/>
          </w:tcPr>
          <w:p w14:paraId="4FECD0B7"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13,569</w:t>
            </w:r>
          </w:p>
        </w:tc>
        <w:tc>
          <w:tcPr>
            <w:tcW w:w="569" w:type="pct"/>
            <w:tcBorders>
              <w:top w:val="nil"/>
              <w:left w:val="nil"/>
              <w:bottom w:val="nil"/>
              <w:right w:val="nil"/>
            </w:tcBorders>
            <w:shd w:val="clear" w:color="auto" w:fill="E6E6E6"/>
            <w:noWrap/>
            <w:vAlign w:val="bottom"/>
            <w:hideMark/>
          </w:tcPr>
          <w:p w14:paraId="4B0FEE25"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14,970</w:t>
            </w:r>
          </w:p>
        </w:tc>
        <w:tc>
          <w:tcPr>
            <w:tcW w:w="570" w:type="pct"/>
            <w:tcBorders>
              <w:top w:val="nil"/>
              <w:left w:val="nil"/>
              <w:bottom w:val="nil"/>
              <w:right w:val="nil"/>
            </w:tcBorders>
            <w:shd w:val="clear" w:color="auto" w:fill="auto"/>
            <w:noWrap/>
            <w:vAlign w:val="bottom"/>
            <w:hideMark/>
          </w:tcPr>
          <w:p w14:paraId="3D2FF056"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14,665</w:t>
            </w:r>
          </w:p>
        </w:tc>
        <w:tc>
          <w:tcPr>
            <w:tcW w:w="570" w:type="pct"/>
            <w:tcBorders>
              <w:top w:val="nil"/>
              <w:left w:val="nil"/>
              <w:bottom w:val="nil"/>
              <w:right w:val="nil"/>
            </w:tcBorders>
            <w:shd w:val="clear" w:color="auto" w:fill="auto"/>
            <w:noWrap/>
            <w:vAlign w:val="bottom"/>
            <w:hideMark/>
          </w:tcPr>
          <w:p w14:paraId="7323E67C"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14,711</w:t>
            </w:r>
          </w:p>
        </w:tc>
        <w:tc>
          <w:tcPr>
            <w:tcW w:w="569" w:type="pct"/>
            <w:tcBorders>
              <w:top w:val="nil"/>
              <w:left w:val="nil"/>
              <w:bottom w:val="nil"/>
              <w:right w:val="nil"/>
            </w:tcBorders>
            <w:shd w:val="clear" w:color="auto" w:fill="auto"/>
            <w:noWrap/>
            <w:vAlign w:val="bottom"/>
            <w:hideMark/>
          </w:tcPr>
          <w:p w14:paraId="434E1BAE"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14,722</w:t>
            </w:r>
          </w:p>
        </w:tc>
      </w:tr>
      <w:tr w:rsidR="001C0F49" w:rsidRPr="00F626BB" w14:paraId="18EC09D5" w14:textId="77777777" w:rsidTr="00AE2189">
        <w:trPr>
          <w:trHeight w:val="204"/>
        </w:trPr>
        <w:tc>
          <w:tcPr>
            <w:tcW w:w="2119" w:type="pct"/>
            <w:tcBorders>
              <w:top w:val="nil"/>
              <w:left w:val="nil"/>
              <w:bottom w:val="nil"/>
              <w:right w:val="nil"/>
            </w:tcBorders>
            <w:shd w:val="clear" w:color="auto" w:fill="auto"/>
            <w:vAlign w:val="bottom"/>
            <w:hideMark/>
          </w:tcPr>
          <w:p w14:paraId="693272E8" w14:textId="77777777" w:rsidR="001C0F49" w:rsidRPr="00F626BB" w:rsidRDefault="001C0F49" w:rsidP="00293BD0">
            <w:pPr>
              <w:spacing w:after="0" w:line="240" w:lineRule="auto"/>
              <w:ind w:left="113" w:firstLineChars="20" w:firstLine="32"/>
              <w:rPr>
                <w:rFonts w:ascii="Arial" w:hAnsi="Arial" w:cs="Arial"/>
                <w:color w:val="000000"/>
                <w:sz w:val="16"/>
                <w:szCs w:val="16"/>
              </w:rPr>
            </w:pPr>
            <w:r w:rsidRPr="00F626BB">
              <w:rPr>
                <w:rFonts w:ascii="Arial" w:hAnsi="Arial" w:cs="Arial"/>
                <w:color w:val="000000"/>
                <w:sz w:val="16"/>
                <w:szCs w:val="16"/>
              </w:rPr>
              <w:t>Sale of goods and rendering of services</w:t>
            </w:r>
          </w:p>
        </w:tc>
        <w:tc>
          <w:tcPr>
            <w:tcW w:w="603" w:type="pct"/>
            <w:tcBorders>
              <w:top w:val="nil"/>
              <w:left w:val="nil"/>
              <w:bottom w:val="nil"/>
              <w:right w:val="nil"/>
            </w:tcBorders>
            <w:shd w:val="clear" w:color="auto" w:fill="auto"/>
            <w:noWrap/>
            <w:vAlign w:val="bottom"/>
            <w:hideMark/>
          </w:tcPr>
          <w:p w14:paraId="4F6F1B27"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3,039</w:t>
            </w:r>
          </w:p>
        </w:tc>
        <w:tc>
          <w:tcPr>
            <w:tcW w:w="569" w:type="pct"/>
            <w:tcBorders>
              <w:top w:val="nil"/>
              <w:left w:val="nil"/>
              <w:bottom w:val="nil"/>
              <w:right w:val="nil"/>
            </w:tcBorders>
            <w:shd w:val="clear" w:color="auto" w:fill="E6E6E6"/>
            <w:noWrap/>
            <w:vAlign w:val="bottom"/>
            <w:hideMark/>
          </w:tcPr>
          <w:p w14:paraId="74717E15"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1,961</w:t>
            </w:r>
          </w:p>
        </w:tc>
        <w:tc>
          <w:tcPr>
            <w:tcW w:w="570" w:type="pct"/>
            <w:tcBorders>
              <w:top w:val="nil"/>
              <w:left w:val="nil"/>
              <w:bottom w:val="nil"/>
              <w:right w:val="nil"/>
            </w:tcBorders>
            <w:shd w:val="clear" w:color="auto" w:fill="auto"/>
            <w:noWrap/>
            <w:vAlign w:val="bottom"/>
            <w:hideMark/>
          </w:tcPr>
          <w:p w14:paraId="40FEE071"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2,399</w:t>
            </w:r>
          </w:p>
        </w:tc>
        <w:tc>
          <w:tcPr>
            <w:tcW w:w="570" w:type="pct"/>
            <w:tcBorders>
              <w:top w:val="nil"/>
              <w:left w:val="nil"/>
              <w:bottom w:val="nil"/>
              <w:right w:val="nil"/>
            </w:tcBorders>
            <w:shd w:val="clear" w:color="auto" w:fill="auto"/>
            <w:noWrap/>
            <w:vAlign w:val="bottom"/>
            <w:hideMark/>
          </w:tcPr>
          <w:p w14:paraId="0CF52FC9"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2,520</w:t>
            </w:r>
          </w:p>
        </w:tc>
        <w:tc>
          <w:tcPr>
            <w:tcW w:w="569" w:type="pct"/>
            <w:tcBorders>
              <w:top w:val="nil"/>
              <w:left w:val="nil"/>
              <w:bottom w:val="nil"/>
              <w:right w:val="nil"/>
            </w:tcBorders>
            <w:shd w:val="clear" w:color="auto" w:fill="auto"/>
            <w:noWrap/>
            <w:vAlign w:val="bottom"/>
            <w:hideMark/>
          </w:tcPr>
          <w:p w14:paraId="3536F89A"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2,637</w:t>
            </w:r>
          </w:p>
        </w:tc>
      </w:tr>
      <w:tr w:rsidR="001C0F49" w:rsidRPr="00F626BB" w14:paraId="25E427BF" w14:textId="77777777" w:rsidTr="00AE2189">
        <w:trPr>
          <w:trHeight w:val="204"/>
        </w:trPr>
        <w:tc>
          <w:tcPr>
            <w:tcW w:w="2119" w:type="pct"/>
            <w:tcBorders>
              <w:top w:val="nil"/>
              <w:left w:val="nil"/>
              <w:bottom w:val="nil"/>
              <w:right w:val="nil"/>
            </w:tcBorders>
            <w:shd w:val="clear" w:color="auto" w:fill="auto"/>
            <w:noWrap/>
            <w:vAlign w:val="bottom"/>
            <w:hideMark/>
          </w:tcPr>
          <w:p w14:paraId="3241FAB5" w14:textId="77777777" w:rsidR="001C0F49" w:rsidRPr="00F626BB" w:rsidRDefault="001C0F49" w:rsidP="00293BD0">
            <w:pPr>
              <w:spacing w:after="0" w:line="240" w:lineRule="auto"/>
              <w:rPr>
                <w:rFonts w:ascii="Arial" w:hAnsi="Arial" w:cs="Arial"/>
                <w:b/>
                <w:bCs/>
                <w:i/>
                <w:iCs/>
                <w:color w:val="000000"/>
                <w:sz w:val="16"/>
                <w:szCs w:val="16"/>
              </w:rPr>
            </w:pPr>
            <w:r w:rsidRPr="00F626BB">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283BD2CA"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16,608</w:t>
            </w:r>
          </w:p>
        </w:tc>
        <w:tc>
          <w:tcPr>
            <w:tcW w:w="569" w:type="pct"/>
            <w:tcBorders>
              <w:top w:val="single" w:sz="4" w:space="0" w:color="000000"/>
              <w:left w:val="nil"/>
              <w:bottom w:val="single" w:sz="4" w:space="0" w:color="000000"/>
              <w:right w:val="nil"/>
            </w:tcBorders>
            <w:shd w:val="clear" w:color="auto" w:fill="E6E6E6"/>
            <w:noWrap/>
            <w:vAlign w:val="bottom"/>
            <w:hideMark/>
          </w:tcPr>
          <w:p w14:paraId="1A124B7A"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16,931</w:t>
            </w:r>
          </w:p>
        </w:tc>
        <w:tc>
          <w:tcPr>
            <w:tcW w:w="570" w:type="pct"/>
            <w:tcBorders>
              <w:top w:val="single" w:sz="4" w:space="0" w:color="000000"/>
              <w:left w:val="nil"/>
              <w:bottom w:val="single" w:sz="4" w:space="0" w:color="000000"/>
              <w:right w:val="nil"/>
            </w:tcBorders>
            <w:shd w:val="clear" w:color="auto" w:fill="auto"/>
            <w:noWrap/>
            <w:vAlign w:val="bottom"/>
            <w:hideMark/>
          </w:tcPr>
          <w:p w14:paraId="4AE654B9"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17,064</w:t>
            </w:r>
          </w:p>
        </w:tc>
        <w:tc>
          <w:tcPr>
            <w:tcW w:w="570" w:type="pct"/>
            <w:tcBorders>
              <w:top w:val="single" w:sz="4" w:space="0" w:color="000000"/>
              <w:left w:val="nil"/>
              <w:bottom w:val="single" w:sz="4" w:space="0" w:color="000000"/>
              <w:right w:val="nil"/>
            </w:tcBorders>
            <w:shd w:val="clear" w:color="auto" w:fill="auto"/>
            <w:noWrap/>
            <w:vAlign w:val="bottom"/>
            <w:hideMark/>
          </w:tcPr>
          <w:p w14:paraId="014D090A"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17,231</w:t>
            </w:r>
          </w:p>
        </w:tc>
        <w:tc>
          <w:tcPr>
            <w:tcW w:w="569" w:type="pct"/>
            <w:tcBorders>
              <w:top w:val="single" w:sz="4" w:space="0" w:color="000000"/>
              <w:left w:val="nil"/>
              <w:bottom w:val="single" w:sz="4" w:space="0" w:color="000000"/>
              <w:right w:val="nil"/>
            </w:tcBorders>
            <w:shd w:val="clear" w:color="auto" w:fill="auto"/>
            <w:noWrap/>
            <w:vAlign w:val="bottom"/>
            <w:hideMark/>
          </w:tcPr>
          <w:p w14:paraId="03607138"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17,359</w:t>
            </w:r>
          </w:p>
        </w:tc>
      </w:tr>
      <w:tr w:rsidR="001C0F49" w:rsidRPr="00F626BB" w14:paraId="7BC3AC1A" w14:textId="77777777" w:rsidTr="00AE2189">
        <w:trPr>
          <w:trHeight w:val="204"/>
        </w:trPr>
        <w:tc>
          <w:tcPr>
            <w:tcW w:w="2119" w:type="pct"/>
            <w:tcBorders>
              <w:top w:val="nil"/>
              <w:left w:val="nil"/>
              <w:bottom w:val="nil"/>
              <w:right w:val="nil"/>
            </w:tcBorders>
            <w:shd w:val="clear" w:color="auto" w:fill="auto"/>
            <w:noWrap/>
            <w:vAlign w:val="bottom"/>
            <w:hideMark/>
          </w:tcPr>
          <w:p w14:paraId="3CD5846A"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6645AFA2"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1A6FC933"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D8659DB"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6320678"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382EF040"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7C9ECBA2" w14:textId="77777777" w:rsidTr="00AE2189">
        <w:trPr>
          <w:trHeight w:val="204"/>
        </w:trPr>
        <w:tc>
          <w:tcPr>
            <w:tcW w:w="2119" w:type="pct"/>
            <w:tcBorders>
              <w:top w:val="nil"/>
              <w:left w:val="nil"/>
              <w:bottom w:val="nil"/>
              <w:right w:val="nil"/>
            </w:tcBorders>
            <w:shd w:val="clear" w:color="auto" w:fill="auto"/>
            <w:noWrap/>
            <w:vAlign w:val="bottom"/>
            <w:hideMark/>
          </w:tcPr>
          <w:p w14:paraId="1CAE4E05" w14:textId="77777777" w:rsidR="001C0F49" w:rsidRPr="00F626BB" w:rsidRDefault="001C0F49" w:rsidP="00293BD0">
            <w:pPr>
              <w:spacing w:after="0" w:line="240" w:lineRule="auto"/>
              <w:ind w:left="113" w:firstLineChars="20" w:firstLine="32"/>
              <w:rPr>
                <w:rFonts w:ascii="Arial" w:hAnsi="Arial" w:cs="Arial"/>
                <w:color w:val="000000"/>
                <w:sz w:val="16"/>
                <w:szCs w:val="16"/>
              </w:rPr>
            </w:pPr>
            <w:r w:rsidRPr="00F626BB">
              <w:rPr>
                <w:rFonts w:ascii="Arial" w:hAnsi="Arial" w:cs="Arial"/>
                <w:color w:val="000000"/>
                <w:sz w:val="16"/>
                <w:szCs w:val="16"/>
              </w:rPr>
              <w:t>Employees</w:t>
            </w:r>
          </w:p>
        </w:tc>
        <w:tc>
          <w:tcPr>
            <w:tcW w:w="603" w:type="pct"/>
            <w:tcBorders>
              <w:top w:val="nil"/>
              <w:left w:val="nil"/>
              <w:bottom w:val="nil"/>
              <w:right w:val="nil"/>
            </w:tcBorders>
            <w:shd w:val="clear" w:color="auto" w:fill="auto"/>
            <w:noWrap/>
            <w:vAlign w:val="bottom"/>
            <w:hideMark/>
          </w:tcPr>
          <w:p w14:paraId="65F3D0EF"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8,098</w:t>
            </w:r>
          </w:p>
        </w:tc>
        <w:tc>
          <w:tcPr>
            <w:tcW w:w="569" w:type="pct"/>
            <w:tcBorders>
              <w:top w:val="nil"/>
              <w:left w:val="nil"/>
              <w:bottom w:val="nil"/>
              <w:right w:val="nil"/>
            </w:tcBorders>
            <w:shd w:val="clear" w:color="auto" w:fill="E6E6E6"/>
            <w:noWrap/>
            <w:vAlign w:val="bottom"/>
            <w:hideMark/>
          </w:tcPr>
          <w:p w14:paraId="55A346BA"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8,352</w:t>
            </w:r>
          </w:p>
        </w:tc>
        <w:tc>
          <w:tcPr>
            <w:tcW w:w="570" w:type="pct"/>
            <w:tcBorders>
              <w:top w:val="nil"/>
              <w:left w:val="nil"/>
              <w:bottom w:val="nil"/>
              <w:right w:val="nil"/>
            </w:tcBorders>
            <w:shd w:val="clear" w:color="auto" w:fill="auto"/>
            <w:noWrap/>
            <w:vAlign w:val="bottom"/>
            <w:hideMark/>
          </w:tcPr>
          <w:p w14:paraId="73DD289B"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8,445</w:t>
            </w:r>
          </w:p>
        </w:tc>
        <w:tc>
          <w:tcPr>
            <w:tcW w:w="570" w:type="pct"/>
            <w:tcBorders>
              <w:top w:val="nil"/>
              <w:left w:val="nil"/>
              <w:bottom w:val="nil"/>
              <w:right w:val="nil"/>
            </w:tcBorders>
            <w:shd w:val="clear" w:color="auto" w:fill="auto"/>
            <w:noWrap/>
            <w:vAlign w:val="bottom"/>
            <w:hideMark/>
          </w:tcPr>
          <w:p w14:paraId="066BB6C0"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8,417</w:t>
            </w:r>
          </w:p>
        </w:tc>
        <w:tc>
          <w:tcPr>
            <w:tcW w:w="569" w:type="pct"/>
            <w:tcBorders>
              <w:top w:val="nil"/>
              <w:left w:val="nil"/>
              <w:bottom w:val="nil"/>
              <w:right w:val="nil"/>
            </w:tcBorders>
            <w:shd w:val="clear" w:color="auto" w:fill="auto"/>
            <w:noWrap/>
            <w:vAlign w:val="bottom"/>
            <w:hideMark/>
          </w:tcPr>
          <w:p w14:paraId="6D4EA1B7"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8,581</w:t>
            </w:r>
          </w:p>
        </w:tc>
      </w:tr>
      <w:tr w:rsidR="001C0F49" w:rsidRPr="00F626BB" w14:paraId="09C5E9F7" w14:textId="77777777" w:rsidTr="00AE2189">
        <w:trPr>
          <w:trHeight w:val="204"/>
        </w:trPr>
        <w:tc>
          <w:tcPr>
            <w:tcW w:w="2119" w:type="pct"/>
            <w:tcBorders>
              <w:top w:val="nil"/>
              <w:left w:val="nil"/>
              <w:bottom w:val="nil"/>
              <w:right w:val="nil"/>
            </w:tcBorders>
            <w:shd w:val="clear" w:color="auto" w:fill="auto"/>
            <w:noWrap/>
            <w:vAlign w:val="bottom"/>
            <w:hideMark/>
          </w:tcPr>
          <w:p w14:paraId="72F70441" w14:textId="77777777" w:rsidR="001C0F49" w:rsidRPr="00F626BB" w:rsidRDefault="001C0F49" w:rsidP="00293BD0">
            <w:pPr>
              <w:spacing w:after="0" w:line="240" w:lineRule="auto"/>
              <w:ind w:left="113" w:firstLineChars="20" w:firstLine="32"/>
              <w:rPr>
                <w:rFonts w:ascii="Arial" w:hAnsi="Arial" w:cs="Arial"/>
                <w:color w:val="000000"/>
                <w:sz w:val="16"/>
                <w:szCs w:val="16"/>
              </w:rPr>
            </w:pPr>
            <w:r w:rsidRPr="00F626BB">
              <w:rPr>
                <w:rFonts w:ascii="Arial" w:hAnsi="Arial" w:cs="Arial"/>
                <w:color w:val="000000"/>
                <w:sz w:val="16"/>
                <w:szCs w:val="16"/>
              </w:rPr>
              <w:t>Suppliers</w:t>
            </w:r>
          </w:p>
        </w:tc>
        <w:tc>
          <w:tcPr>
            <w:tcW w:w="603" w:type="pct"/>
            <w:tcBorders>
              <w:top w:val="nil"/>
              <w:left w:val="nil"/>
              <w:bottom w:val="nil"/>
              <w:right w:val="nil"/>
            </w:tcBorders>
            <w:shd w:val="clear" w:color="auto" w:fill="auto"/>
            <w:noWrap/>
            <w:vAlign w:val="bottom"/>
            <w:hideMark/>
          </w:tcPr>
          <w:p w14:paraId="096B1BF1"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8,668</w:t>
            </w:r>
          </w:p>
        </w:tc>
        <w:tc>
          <w:tcPr>
            <w:tcW w:w="569" w:type="pct"/>
            <w:tcBorders>
              <w:top w:val="nil"/>
              <w:left w:val="nil"/>
              <w:bottom w:val="nil"/>
              <w:right w:val="nil"/>
            </w:tcBorders>
            <w:shd w:val="clear" w:color="auto" w:fill="E6E6E6"/>
            <w:noWrap/>
            <w:vAlign w:val="bottom"/>
            <w:hideMark/>
          </w:tcPr>
          <w:p w14:paraId="6D1B966F"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6,995</w:t>
            </w:r>
          </w:p>
        </w:tc>
        <w:tc>
          <w:tcPr>
            <w:tcW w:w="570" w:type="pct"/>
            <w:tcBorders>
              <w:top w:val="nil"/>
              <w:left w:val="nil"/>
              <w:bottom w:val="nil"/>
              <w:right w:val="nil"/>
            </w:tcBorders>
            <w:shd w:val="clear" w:color="auto" w:fill="auto"/>
            <w:noWrap/>
            <w:vAlign w:val="bottom"/>
            <w:hideMark/>
          </w:tcPr>
          <w:p w14:paraId="56670EC4"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7,352</w:t>
            </w:r>
          </w:p>
        </w:tc>
        <w:tc>
          <w:tcPr>
            <w:tcW w:w="570" w:type="pct"/>
            <w:tcBorders>
              <w:top w:val="nil"/>
              <w:left w:val="nil"/>
              <w:bottom w:val="nil"/>
              <w:right w:val="nil"/>
            </w:tcBorders>
            <w:shd w:val="clear" w:color="auto" w:fill="auto"/>
            <w:noWrap/>
            <w:vAlign w:val="bottom"/>
            <w:hideMark/>
          </w:tcPr>
          <w:p w14:paraId="4AAE6B84"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7,536</w:t>
            </w:r>
          </w:p>
        </w:tc>
        <w:tc>
          <w:tcPr>
            <w:tcW w:w="569" w:type="pct"/>
            <w:tcBorders>
              <w:top w:val="nil"/>
              <w:left w:val="nil"/>
              <w:bottom w:val="nil"/>
              <w:right w:val="nil"/>
            </w:tcBorders>
            <w:shd w:val="clear" w:color="auto" w:fill="auto"/>
            <w:noWrap/>
            <w:vAlign w:val="bottom"/>
            <w:hideMark/>
          </w:tcPr>
          <w:p w14:paraId="205F7987"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7,487</w:t>
            </w:r>
          </w:p>
        </w:tc>
      </w:tr>
      <w:tr w:rsidR="001C0F49" w:rsidRPr="00F626BB" w14:paraId="537BABD8" w14:textId="77777777" w:rsidTr="00AE2189">
        <w:trPr>
          <w:trHeight w:val="204"/>
        </w:trPr>
        <w:tc>
          <w:tcPr>
            <w:tcW w:w="2119" w:type="pct"/>
            <w:tcBorders>
              <w:top w:val="nil"/>
              <w:left w:val="nil"/>
              <w:bottom w:val="nil"/>
              <w:right w:val="nil"/>
            </w:tcBorders>
            <w:shd w:val="clear" w:color="auto" w:fill="auto"/>
            <w:noWrap/>
            <w:vAlign w:val="bottom"/>
            <w:hideMark/>
          </w:tcPr>
          <w:p w14:paraId="08AD6BDF" w14:textId="77777777" w:rsidR="001C0F49" w:rsidRPr="00F626BB" w:rsidRDefault="001C0F49" w:rsidP="00293BD0">
            <w:pPr>
              <w:spacing w:after="0" w:line="240" w:lineRule="auto"/>
              <w:rPr>
                <w:rFonts w:ascii="Arial" w:hAnsi="Arial" w:cs="Arial"/>
                <w:b/>
                <w:bCs/>
                <w:i/>
                <w:iCs/>
                <w:color w:val="000000"/>
                <w:sz w:val="16"/>
                <w:szCs w:val="16"/>
              </w:rPr>
            </w:pPr>
            <w:r w:rsidRPr="00F626BB">
              <w:rPr>
                <w:rFonts w:ascii="Arial" w:hAnsi="Arial" w:cs="Arial"/>
                <w:b/>
                <w:bCs/>
                <w:i/>
                <w:iCs/>
                <w:color w:val="000000"/>
                <w:sz w:val="16"/>
                <w:szCs w:val="16"/>
              </w:rPr>
              <w:t>Total cash used</w:t>
            </w:r>
          </w:p>
        </w:tc>
        <w:tc>
          <w:tcPr>
            <w:tcW w:w="603" w:type="pct"/>
            <w:tcBorders>
              <w:top w:val="single" w:sz="4" w:space="0" w:color="000000"/>
              <w:left w:val="nil"/>
              <w:bottom w:val="nil"/>
              <w:right w:val="nil"/>
            </w:tcBorders>
            <w:shd w:val="clear" w:color="auto" w:fill="auto"/>
            <w:noWrap/>
            <w:vAlign w:val="bottom"/>
            <w:hideMark/>
          </w:tcPr>
          <w:p w14:paraId="000FF3E7"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16,766</w:t>
            </w:r>
          </w:p>
        </w:tc>
        <w:tc>
          <w:tcPr>
            <w:tcW w:w="569" w:type="pct"/>
            <w:tcBorders>
              <w:top w:val="single" w:sz="4" w:space="0" w:color="000000"/>
              <w:left w:val="nil"/>
              <w:bottom w:val="nil"/>
              <w:right w:val="nil"/>
            </w:tcBorders>
            <w:shd w:val="clear" w:color="auto" w:fill="E6E6E6"/>
            <w:noWrap/>
            <w:vAlign w:val="bottom"/>
            <w:hideMark/>
          </w:tcPr>
          <w:p w14:paraId="7F0C86A2"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15,347</w:t>
            </w:r>
          </w:p>
        </w:tc>
        <w:tc>
          <w:tcPr>
            <w:tcW w:w="570" w:type="pct"/>
            <w:tcBorders>
              <w:top w:val="single" w:sz="4" w:space="0" w:color="000000"/>
              <w:left w:val="nil"/>
              <w:bottom w:val="nil"/>
              <w:right w:val="nil"/>
            </w:tcBorders>
            <w:shd w:val="clear" w:color="auto" w:fill="auto"/>
            <w:noWrap/>
            <w:vAlign w:val="bottom"/>
            <w:hideMark/>
          </w:tcPr>
          <w:p w14:paraId="1E95EB04"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15,797</w:t>
            </w:r>
          </w:p>
        </w:tc>
        <w:tc>
          <w:tcPr>
            <w:tcW w:w="570" w:type="pct"/>
            <w:tcBorders>
              <w:top w:val="single" w:sz="4" w:space="0" w:color="000000"/>
              <w:left w:val="nil"/>
              <w:bottom w:val="nil"/>
              <w:right w:val="nil"/>
            </w:tcBorders>
            <w:shd w:val="clear" w:color="auto" w:fill="auto"/>
            <w:noWrap/>
            <w:vAlign w:val="bottom"/>
            <w:hideMark/>
          </w:tcPr>
          <w:p w14:paraId="7865CACC"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15,953</w:t>
            </w:r>
          </w:p>
        </w:tc>
        <w:tc>
          <w:tcPr>
            <w:tcW w:w="569" w:type="pct"/>
            <w:tcBorders>
              <w:top w:val="single" w:sz="4" w:space="0" w:color="000000"/>
              <w:left w:val="nil"/>
              <w:bottom w:val="nil"/>
              <w:right w:val="nil"/>
            </w:tcBorders>
            <w:shd w:val="clear" w:color="auto" w:fill="auto"/>
            <w:noWrap/>
            <w:vAlign w:val="bottom"/>
            <w:hideMark/>
          </w:tcPr>
          <w:p w14:paraId="7421E5D9"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16,068</w:t>
            </w:r>
          </w:p>
        </w:tc>
      </w:tr>
      <w:tr w:rsidR="001C0F49" w:rsidRPr="00F626BB" w14:paraId="7083C5C1" w14:textId="77777777" w:rsidTr="00AE2189">
        <w:trPr>
          <w:trHeight w:val="204"/>
        </w:trPr>
        <w:tc>
          <w:tcPr>
            <w:tcW w:w="2119" w:type="pct"/>
            <w:tcBorders>
              <w:top w:val="nil"/>
              <w:left w:val="nil"/>
              <w:bottom w:val="nil"/>
              <w:right w:val="nil"/>
            </w:tcBorders>
            <w:shd w:val="clear" w:color="auto" w:fill="auto"/>
            <w:vAlign w:val="bottom"/>
            <w:hideMark/>
          </w:tcPr>
          <w:p w14:paraId="4A7C5A9B"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Net cash from/(used by) operating activities</w:t>
            </w:r>
          </w:p>
        </w:tc>
        <w:tc>
          <w:tcPr>
            <w:tcW w:w="603" w:type="pct"/>
            <w:tcBorders>
              <w:top w:val="single" w:sz="4" w:space="0" w:color="auto"/>
              <w:left w:val="nil"/>
              <w:bottom w:val="single" w:sz="4" w:space="0" w:color="auto"/>
              <w:right w:val="nil"/>
            </w:tcBorders>
            <w:shd w:val="clear" w:color="auto" w:fill="auto"/>
            <w:noWrap/>
            <w:vAlign w:val="bottom"/>
            <w:hideMark/>
          </w:tcPr>
          <w:p w14:paraId="1FACBDAF"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(158)</w:t>
            </w:r>
          </w:p>
        </w:tc>
        <w:tc>
          <w:tcPr>
            <w:tcW w:w="569" w:type="pct"/>
            <w:tcBorders>
              <w:top w:val="single" w:sz="4" w:space="0" w:color="auto"/>
              <w:left w:val="nil"/>
              <w:bottom w:val="single" w:sz="4" w:space="0" w:color="auto"/>
              <w:right w:val="nil"/>
            </w:tcBorders>
            <w:shd w:val="clear" w:color="auto" w:fill="E6E6E6"/>
            <w:noWrap/>
            <w:vAlign w:val="bottom"/>
            <w:hideMark/>
          </w:tcPr>
          <w:p w14:paraId="40F5A017"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1,584</w:t>
            </w:r>
          </w:p>
        </w:tc>
        <w:tc>
          <w:tcPr>
            <w:tcW w:w="570" w:type="pct"/>
            <w:tcBorders>
              <w:top w:val="single" w:sz="4" w:space="0" w:color="auto"/>
              <w:left w:val="nil"/>
              <w:bottom w:val="single" w:sz="4" w:space="0" w:color="auto"/>
              <w:right w:val="nil"/>
            </w:tcBorders>
            <w:shd w:val="clear" w:color="auto" w:fill="auto"/>
            <w:noWrap/>
            <w:vAlign w:val="bottom"/>
            <w:hideMark/>
          </w:tcPr>
          <w:p w14:paraId="2A0B7111"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1,267</w:t>
            </w:r>
          </w:p>
        </w:tc>
        <w:tc>
          <w:tcPr>
            <w:tcW w:w="570" w:type="pct"/>
            <w:tcBorders>
              <w:top w:val="single" w:sz="4" w:space="0" w:color="auto"/>
              <w:left w:val="nil"/>
              <w:bottom w:val="single" w:sz="4" w:space="0" w:color="auto"/>
              <w:right w:val="nil"/>
            </w:tcBorders>
            <w:shd w:val="clear" w:color="auto" w:fill="auto"/>
            <w:noWrap/>
            <w:vAlign w:val="bottom"/>
            <w:hideMark/>
          </w:tcPr>
          <w:p w14:paraId="13FD636F"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1,278</w:t>
            </w:r>
          </w:p>
        </w:tc>
        <w:tc>
          <w:tcPr>
            <w:tcW w:w="569" w:type="pct"/>
            <w:tcBorders>
              <w:top w:val="single" w:sz="4" w:space="0" w:color="auto"/>
              <w:left w:val="nil"/>
              <w:bottom w:val="single" w:sz="4" w:space="0" w:color="auto"/>
              <w:right w:val="nil"/>
            </w:tcBorders>
            <w:shd w:val="clear" w:color="auto" w:fill="auto"/>
            <w:noWrap/>
            <w:vAlign w:val="bottom"/>
            <w:hideMark/>
          </w:tcPr>
          <w:p w14:paraId="7ADC4D05"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1,291</w:t>
            </w:r>
          </w:p>
        </w:tc>
      </w:tr>
      <w:tr w:rsidR="001C0F49" w:rsidRPr="00F626BB" w14:paraId="26407D8C" w14:textId="77777777" w:rsidTr="00AE2189">
        <w:trPr>
          <w:trHeight w:val="204"/>
        </w:trPr>
        <w:tc>
          <w:tcPr>
            <w:tcW w:w="2119" w:type="pct"/>
            <w:tcBorders>
              <w:top w:val="nil"/>
              <w:left w:val="nil"/>
              <w:bottom w:val="nil"/>
              <w:right w:val="nil"/>
            </w:tcBorders>
            <w:shd w:val="clear" w:color="auto" w:fill="auto"/>
            <w:noWrap/>
            <w:vAlign w:val="bottom"/>
            <w:hideMark/>
          </w:tcPr>
          <w:p w14:paraId="0A467095"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INVESTING ACTIVITIES</w:t>
            </w:r>
          </w:p>
        </w:tc>
        <w:tc>
          <w:tcPr>
            <w:tcW w:w="603" w:type="pct"/>
            <w:tcBorders>
              <w:top w:val="nil"/>
              <w:left w:val="nil"/>
              <w:bottom w:val="nil"/>
              <w:right w:val="nil"/>
            </w:tcBorders>
            <w:shd w:val="clear" w:color="auto" w:fill="auto"/>
            <w:noWrap/>
            <w:vAlign w:val="bottom"/>
            <w:hideMark/>
          </w:tcPr>
          <w:p w14:paraId="4B59B428"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4B614CEE"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ED11D9A"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6769804C"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556BDE6A"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384EC8AA" w14:textId="77777777" w:rsidTr="00AE2189">
        <w:trPr>
          <w:trHeight w:val="204"/>
        </w:trPr>
        <w:tc>
          <w:tcPr>
            <w:tcW w:w="2119" w:type="pct"/>
            <w:tcBorders>
              <w:top w:val="nil"/>
              <w:left w:val="nil"/>
              <w:bottom w:val="nil"/>
              <w:right w:val="nil"/>
            </w:tcBorders>
            <w:shd w:val="clear" w:color="auto" w:fill="auto"/>
            <w:noWrap/>
            <w:vAlign w:val="bottom"/>
            <w:hideMark/>
          </w:tcPr>
          <w:p w14:paraId="131D3310"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623CA010"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4AD568F1"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827CB4D"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9AF3C70"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42AE6B14"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703DE4A0" w14:textId="77777777" w:rsidTr="00AE2189">
        <w:trPr>
          <w:trHeight w:val="204"/>
        </w:trPr>
        <w:tc>
          <w:tcPr>
            <w:tcW w:w="2119" w:type="pct"/>
            <w:tcBorders>
              <w:top w:val="nil"/>
              <w:left w:val="nil"/>
              <w:bottom w:val="nil"/>
              <w:right w:val="nil"/>
            </w:tcBorders>
            <w:shd w:val="clear" w:color="auto" w:fill="auto"/>
            <w:vAlign w:val="bottom"/>
            <w:hideMark/>
          </w:tcPr>
          <w:p w14:paraId="4174F8E6" w14:textId="77777777" w:rsidR="001C0F49" w:rsidRPr="00F626BB" w:rsidRDefault="001C0F49" w:rsidP="00293BD0">
            <w:pPr>
              <w:spacing w:after="0" w:line="240" w:lineRule="auto"/>
              <w:ind w:left="132" w:hanging="19"/>
              <w:rPr>
                <w:rFonts w:ascii="Arial" w:hAnsi="Arial" w:cs="Arial"/>
                <w:color w:val="000000"/>
                <w:sz w:val="16"/>
                <w:szCs w:val="16"/>
              </w:rPr>
            </w:pPr>
            <w:r w:rsidRPr="00F626BB">
              <w:rPr>
                <w:rFonts w:ascii="Arial" w:hAnsi="Arial" w:cs="Arial"/>
                <w:color w:val="000000"/>
                <w:sz w:val="16"/>
                <w:szCs w:val="16"/>
              </w:rPr>
              <w:t>Purchase of property, plant and</w:t>
            </w:r>
            <w:r>
              <w:rPr>
                <w:rFonts w:ascii="Arial" w:hAnsi="Arial" w:cs="Arial"/>
                <w:color w:val="000000"/>
                <w:sz w:val="16"/>
                <w:szCs w:val="16"/>
              </w:rPr>
              <w:t xml:space="preserve"> e</w:t>
            </w:r>
            <w:r w:rsidRPr="00F626BB">
              <w:rPr>
                <w:rFonts w:ascii="Arial" w:hAnsi="Arial" w:cs="Arial"/>
                <w:color w:val="000000"/>
                <w:sz w:val="16"/>
                <w:szCs w:val="16"/>
              </w:rPr>
              <w:t>quipment and intangibles</w:t>
            </w:r>
          </w:p>
        </w:tc>
        <w:tc>
          <w:tcPr>
            <w:tcW w:w="603" w:type="pct"/>
            <w:tcBorders>
              <w:top w:val="nil"/>
              <w:left w:val="nil"/>
              <w:bottom w:val="nil"/>
              <w:right w:val="nil"/>
            </w:tcBorders>
            <w:shd w:val="clear" w:color="auto" w:fill="auto"/>
            <w:noWrap/>
            <w:vAlign w:val="bottom"/>
            <w:hideMark/>
          </w:tcPr>
          <w:p w14:paraId="3F7D72E9"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3,835</w:t>
            </w:r>
          </w:p>
        </w:tc>
        <w:tc>
          <w:tcPr>
            <w:tcW w:w="569" w:type="pct"/>
            <w:tcBorders>
              <w:top w:val="nil"/>
              <w:left w:val="nil"/>
              <w:bottom w:val="nil"/>
              <w:right w:val="nil"/>
            </w:tcBorders>
            <w:shd w:val="clear" w:color="auto" w:fill="E6E6E6"/>
            <w:noWrap/>
            <w:vAlign w:val="bottom"/>
            <w:hideMark/>
          </w:tcPr>
          <w:p w14:paraId="4AAE28F0"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6,514</w:t>
            </w:r>
          </w:p>
        </w:tc>
        <w:tc>
          <w:tcPr>
            <w:tcW w:w="570" w:type="pct"/>
            <w:tcBorders>
              <w:top w:val="nil"/>
              <w:left w:val="nil"/>
              <w:bottom w:val="nil"/>
              <w:right w:val="nil"/>
            </w:tcBorders>
            <w:shd w:val="clear" w:color="auto" w:fill="auto"/>
            <w:noWrap/>
            <w:vAlign w:val="bottom"/>
            <w:hideMark/>
          </w:tcPr>
          <w:p w14:paraId="1665664B"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5,727</w:t>
            </w:r>
          </w:p>
        </w:tc>
        <w:tc>
          <w:tcPr>
            <w:tcW w:w="570" w:type="pct"/>
            <w:tcBorders>
              <w:top w:val="nil"/>
              <w:left w:val="nil"/>
              <w:bottom w:val="nil"/>
              <w:right w:val="nil"/>
            </w:tcBorders>
            <w:shd w:val="clear" w:color="auto" w:fill="auto"/>
            <w:noWrap/>
            <w:vAlign w:val="bottom"/>
            <w:hideMark/>
          </w:tcPr>
          <w:p w14:paraId="4B11FC53"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3,904</w:t>
            </w:r>
          </w:p>
        </w:tc>
        <w:tc>
          <w:tcPr>
            <w:tcW w:w="569" w:type="pct"/>
            <w:tcBorders>
              <w:top w:val="nil"/>
              <w:left w:val="nil"/>
              <w:bottom w:val="nil"/>
              <w:right w:val="nil"/>
            </w:tcBorders>
            <w:shd w:val="clear" w:color="auto" w:fill="auto"/>
            <w:noWrap/>
            <w:vAlign w:val="bottom"/>
            <w:hideMark/>
          </w:tcPr>
          <w:p w14:paraId="0C09D505"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2,290</w:t>
            </w:r>
          </w:p>
        </w:tc>
      </w:tr>
      <w:tr w:rsidR="001C0F49" w:rsidRPr="00F626BB" w14:paraId="375EFDCC" w14:textId="77777777" w:rsidTr="00AE2189">
        <w:trPr>
          <w:trHeight w:val="204"/>
        </w:trPr>
        <w:tc>
          <w:tcPr>
            <w:tcW w:w="2119" w:type="pct"/>
            <w:tcBorders>
              <w:top w:val="nil"/>
              <w:left w:val="nil"/>
              <w:right w:val="nil"/>
            </w:tcBorders>
            <w:shd w:val="clear" w:color="auto" w:fill="auto"/>
            <w:noWrap/>
            <w:vAlign w:val="bottom"/>
            <w:hideMark/>
          </w:tcPr>
          <w:p w14:paraId="1178B6BA" w14:textId="77777777" w:rsidR="001C0F49" w:rsidRPr="00F626BB" w:rsidRDefault="001C0F49" w:rsidP="00293BD0">
            <w:pPr>
              <w:spacing w:after="0" w:line="240" w:lineRule="auto"/>
              <w:rPr>
                <w:rFonts w:ascii="Arial" w:hAnsi="Arial" w:cs="Arial"/>
                <w:b/>
                <w:bCs/>
                <w:i/>
                <w:iCs/>
                <w:color w:val="000000"/>
                <w:sz w:val="16"/>
                <w:szCs w:val="16"/>
              </w:rPr>
            </w:pPr>
            <w:r w:rsidRPr="00F626BB">
              <w:rPr>
                <w:rFonts w:ascii="Arial" w:hAnsi="Arial" w:cs="Arial"/>
                <w:b/>
                <w:bCs/>
                <w:i/>
                <w:iCs/>
                <w:color w:val="000000"/>
                <w:sz w:val="16"/>
                <w:szCs w:val="16"/>
              </w:rPr>
              <w:t>Total cash used</w:t>
            </w:r>
          </w:p>
        </w:tc>
        <w:tc>
          <w:tcPr>
            <w:tcW w:w="603" w:type="pct"/>
            <w:tcBorders>
              <w:top w:val="single" w:sz="4" w:space="0" w:color="000000"/>
              <w:left w:val="nil"/>
              <w:bottom w:val="single" w:sz="4" w:space="0" w:color="000000"/>
              <w:right w:val="nil"/>
            </w:tcBorders>
            <w:shd w:val="clear" w:color="auto" w:fill="auto"/>
            <w:noWrap/>
            <w:vAlign w:val="bottom"/>
            <w:hideMark/>
          </w:tcPr>
          <w:p w14:paraId="5F06C6EC"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3,835</w:t>
            </w:r>
          </w:p>
        </w:tc>
        <w:tc>
          <w:tcPr>
            <w:tcW w:w="569" w:type="pct"/>
            <w:tcBorders>
              <w:top w:val="single" w:sz="4" w:space="0" w:color="000000"/>
              <w:left w:val="nil"/>
              <w:bottom w:val="single" w:sz="4" w:space="0" w:color="000000"/>
              <w:right w:val="nil"/>
            </w:tcBorders>
            <w:shd w:val="clear" w:color="auto" w:fill="E6E6E6"/>
            <w:noWrap/>
            <w:vAlign w:val="bottom"/>
            <w:hideMark/>
          </w:tcPr>
          <w:p w14:paraId="220A4545"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6,514</w:t>
            </w:r>
          </w:p>
        </w:tc>
        <w:tc>
          <w:tcPr>
            <w:tcW w:w="570" w:type="pct"/>
            <w:tcBorders>
              <w:top w:val="single" w:sz="4" w:space="0" w:color="000000"/>
              <w:left w:val="nil"/>
              <w:bottom w:val="single" w:sz="4" w:space="0" w:color="000000"/>
              <w:right w:val="nil"/>
            </w:tcBorders>
            <w:shd w:val="clear" w:color="auto" w:fill="auto"/>
            <w:noWrap/>
            <w:vAlign w:val="bottom"/>
            <w:hideMark/>
          </w:tcPr>
          <w:p w14:paraId="7F10335E"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5,727</w:t>
            </w:r>
          </w:p>
        </w:tc>
        <w:tc>
          <w:tcPr>
            <w:tcW w:w="570" w:type="pct"/>
            <w:tcBorders>
              <w:top w:val="single" w:sz="4" w:space="0" w:color="000000"/>
              <w:left w:val="nil"/>
              <w:bottom w:val="single" w:sz="4" w:space="0" w:color="000000"/>
              <w:right w:val="nil"/>
            </w:tcBorders>
            <w:shd w:val="clear" w:color="auto" w:fill="auto"/>
            <w:noWrap/>
            <w:vAlign w:val="bottom"/>
            <w:hideMark/>
          </w:tcPr>
          <w:p w14:paraId="2B8F8C0B"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3,904</w:t>
            </w:r>
          </w:p>
        </w:tc>
        <w:tc>
          <w:tcPr>
            <w:tcW w:w="569" w:type="pct"/>
            <w:tcBorders>
              <w:top w:val="single" w:sz="4" w:space="0" w:color="000000"/>
              <w:left w:val="nil"/>
              <w:bottom w:val="single" w:sz="4" w:space="0" w:color="000000"/>
              <w:right w:val="nil"/>
            </w:tcBorders>
            <w:shd w:val="clear" w:color="auto" w:fill="auto"/>
            <w:noWrap/>
            <w:vAlign w:val="bottom"/>
            <w:hideMark/>
          </w:tcPr>
          <w:p w14:paraId="3CFC553E"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2,290</w:t>
            </w:r>
          </w:p>
        </w:tc>
      </w:tr>
      <w:tr w:rsidR="001C0F49" w:rsidRPr="00F626BB" w14:paraId="2DB417CE" w14:textId="77777777" w:rsidTr="00AE2189">
        <w:trPr>
          <w:trHeight w:val="204"/>
        </w:trPr>
        <w:tc>
          <w:tcPr>
            <w:tcW w:w="2119" w:type="pct"/>
            <w:tcBorders>
              <w:top w:val="nil"/>
              <w:left w:val="nil"/>
              <w:right w:val="nil"/>
            </w:tcBorders>
            <w:shd w:val="clear" w:color="auto" w:fill="auto"/>
            <w:vAlign w:val="bottom"/>
            <w:hideMark/>
          </w:tcPr>
          <w:p w14:paraId="523B3F85"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Net cash from/(used by) investing activities</w:t>
            </w:r>
          </w:p>
        </w:tc>
        <w:tc>
          <w:tcPr>
            <w:tcW w:w="603" w:type="pct"/>
            <w:tcBorders>
              <w:top w:val="nil"/>
              <w:left w:val="nil"/>
              <w:bottom w:val="single" w:sz="4" w:space="0" w:color="auto"/>
              <w:right w:val="nil"/>
            </w:tcBorders>
            <w:shd w:val="clear" w:color="auto" w:fill="auto"/>
            <w:noWrap/>
            <w:vAlign w:val="bottom"/>
            <w:hideMark/>
          </w:tcPr>
          <w:p w14:paraId="4600A4F0"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(3,835)</w:t>
            </w:r>
          </w:p>
        </w:tc>
        <w:tc>
          <w:tcPr>
            <w:tcW w:w="569" w:type="pct"/>
            <w:tcBorders>
              <w:top w:val="nil"/>
              <w:left w:val="nil"/>
              <w:bottom w:val="single" w:sz="4" w:space="0" w:color="auto"/>
              <w:right w:val="nil"/>
            </w:tcBorders>
            <w:shd w:val="clear" w:color="auto" w:fill="E6E6E6"/>
            <w:noWrap/>
            <w:vAlign w:val="bottom"/>
            <w:hideMark/>
          </w:tcPr>
          <w:p w14:paraId="21C459F0"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(6,514)</w:t>
            </w:r>
          </w:p>
        </w:tc>
        <w:tc>
          <w:tcPr>
            <w:tcW w:w="570" w:type="pct"/>
            <w:tcBorders>
              <w:top w:val="nil"/>
              <w:left w:val="nil"/>
              <w:bottom w:val="single" w:sz="4" w:space="0" w:color="auto"/>
              <w:right w:val="nil"/>
            </w:tcBorders>
            <w:shd w:val="clear" w:color="auto" w:fill="auto"/>
            <w:noWrap/>
            <w:vAlign w:val="bottom"/>
            <w:hideMark/>
          </w:tcPr>
          <w:p w14:paraId="04BB225C"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(5,727)</w:t>
            </w:r>
          </w:p>
        </w:tc>
        <w:tc>
          <w:tcPr>
            <w:tcW w:w="570" w:type="pct"/>
            <w:tcBorders>
              <w:top w:val="nil"/>
              <w:left w:val="nil"/>
              <w:bottom w:val="single" w:sz="4" w:space="0" w:color="auto"/>
              <w:right w:val="nil"/>
            </w:tcBorders>
            <w:shd w:val="clear" w:color="auto" w:fill="auto"/>
            <w:noWrap/>
            <w:vAlign w:val="bottom"/>
            <w:hideMark/>
          </w:tcPr>
          <w:p w14:paraId="1A21D28E"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(3,904)</w:t>
            </w:r>
          </w:p>
        </w:tc>
        <w:tc>
          <w:tcPr>
            <w:tcW w:w="569" w:type="pct"/>
            <w:tcBorders>
              <w:top w:val="nil"/>
              <w:left w:val="nil"/>
              <w:bottom w:val="single" w:sz="4" w:space="0" w:color="auto"/>
              <w:right w:val="nil"/>
            </w:tcBorders>
            <w:shd w:val="clear" w:color="auto" w:fill="auto"/>
            <w:noWrap/>
            <w:vAlign w:val="bottom"/>
            <w:hideMark/>
          </w:tcPr>
          <w:p w14:paraId="1E974EBB"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(2,290)</w:t>
            </w:r>
          </w:p>
        </w:tc>
      </w:tr>
      <w:tr w:rsidR="001C0F49" w:rsidRPr="00F626BB" w14:paraId="7F0610DE" w14:textId="77777777" w:rsidTr="00AE2189">
        <w:trPr>
          <w:trHeight w:val="204"/>
        </w:trPr>
        <w:tc>
          <w:tcPr>
            <w:tcW w:w="2119" w:type="pct"/>
            <w:tcBorders>
              <w:top w:val="nil"/>
              <w:left w:val="nil"/>
              <w:bottom w:val="nil"/>
              <w:right w:val="nil"/>
            </w:tcBorders>
            <w:shd w:val="clear" w:color="auto" w:fill="auto"/>
            <w:noWrap/>
            <w:vAlign w:val="bottom"/>
            <w:hideMark/>
          </w:tcPr>
          <w:p w14:paraId="7101F254"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FINANCING ACTIVITIES</w:t>
            </w:r>
          </w:p>
        </w:tc>
        <w:tc>
          <w:tcPr>
            <w:tcW w:w="603" w:type="pct"/>
            <w:tcBorders>
              <w:top w:val="nil"/>
              <w:left w:val="nil"/>
              <w:bottom w:val="nil"/>
              <w:right w:val="nil"/>
            </w:tcBorders>
            <w:shd w:val="clear" w:color="auto" w:fill="auto"/>
            <w:noWrap/>
            <w:vAlign w:val="bottom"/>
            <w:hideMark/>
          </w:tcPr>
          <w:p w14:paraId="72BA7F11"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7A9A76F"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42893BB2"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5C3E492"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672484C3"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3C7DD955" w14:textId="77777777" w:rsidTr="00AE2189">
        <w:trPr>
          <w:trHeight w:val="204"/>
        </w:trPr>
        <w:tc>
          <w:tcPr>
            <w:tcW w:w="2119" w:type="pct"/>
            <w:tcBorders>
              <w:top w:val="nil"/>
              <w:left w:val="nil"/>
              <w:bottom w:val="nil"/>
              <w:right w:val="nil"/>
            </w:tcBorders>
            <w:shd w:val="clear" w:color="auto" w:fill="auto"/>
            <w:noWrap/>
            <w:vAlign w:val="bottom"/>
            <w:hideMark/>
          </w:tcPr>
          <w:p w14:paraId="26C2014C"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received</w:t>
            </w:r>
          </w:p>
        </w:tc>
        <w:tc>
          <w:tcPr>
            <w:tcW w:w="603" w:type="pct"/>
            <w:tcBorders>
              <w:top w:val="nil"/>
              <w:left w:val="nil"/>
              <w:bottom w:val="nil"/>
              <w:right w:val="nil"/>
            </w:tcBorders>
            <w:shd w:val="clear" w:color="auto" w:fill="auto"/>
            <w:noWrap/>
            <w:vAlign w:val="bottom"/>
            <w:hideMark/>
          </w:tcPr>
          <w:p w14:paraId="7BB882C5"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707DA850"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FAF02DF"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80DD797"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661486A2"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773CAC01" w14:textId="77777777" w:rsidTr="00AE2189">
        <w:trPr>
          <w:trHeight w:val="204"/>
        </w:trPr>
        <w:tc>
          <w:tcPr>
            <w:tcW w:w="2119" w:type="pct"/>
            <w:tcBorders>
              <w:top w:val="nil"/>
              <w:left w:val="nil"/>
              <w:bottom w:val="nil"/>
              <w:right w:val="nil"/>
            </w:tcBorders>
            <w:shd w:val="clear" w:color="auto" w:fill="auto"/>
            <w:noWrap/>
            <w:vAlign w:val="bottom"/>
            <w:hideMark/>
          </w:tcPr>
          <w:p w14:paraId="43075B9C" w14:textId="77777777" w:rsidR="001C0F49" w:rsidRPr="00F626BB" w:rsidRDefault="001C0F49" w:rsidP="00293BD0">
            <w:pPr>
              <w:spacing w:after="0" w:line="240" w:lineRule="auto"/>
              <w:ind w:left="113" w:firstLineChars="20" w:firstLine="32"/>
              <w:rPr>
                <w:rFonts w:ascii="Arial" w:hAnsi="Arial" w:cs="Arial"/>
                <w:color w:val="000000"/>
                <w:sz w:val="16"/>
                <w:szCs w:val="16"/>
              </w:rPr>
            </w:pPr>
            <w:r w:rsidRPr="00F626BB">
              <w:rPr>
                <w:rFonts w:ascii="Arial" w:hAnsi="Arial" w:cs="Arial"/>
                <w:color w:val="000000"/>
                <w:sz w:val="16"/>
                <w:szCs w:val="16"/>
              </w:rPr>
              <w:t>Contributed equity</w:t>
            </w:r>
          </w:p>
        </w:tc>
        <w:tc>
          <w:tcPr>
            <w:tcW w:w="603" w:type="pct"/>
            <w:tcBorders>
              <w:top w:val="nil"/>
              <w:left w:val="nil"/>
              <w:bottom w:val="nil"/>
              <w:right w:val="nil"/>
            </w:tcBorders>
            <w:shd w:val="clear" w:color="auto" w:fill="auto"/>
            <w:noWrap/>
            <w:vAlign w:val="bottom"/>
            <w:hideMark/>
          </w:tcPr>
          <w:p w14:paraId="0C523F53"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5,094</w:t>
            </w:r>
          </w:p>
        </w:tc>
        <w:tc>
          <w:tcPr>
            <w:tcW w:w="569" w:type="pct"/>
            <w:tcBorders>
              <w:top w:val="nil"/>
              <w:left w:val="nil"/>
              <w:bottom w:val="nil"/>
              <w:right w:val="nil"/>
            </w:tcBorders>
            <w:shd w:val="clear" w:color="auto" w:fill="E6E6E6"/>
            <w:noWrap/>
            <w:vAlign w:val="bottom"/>
            <w:hideMark/>
          </w:tcPr>
          <w:p w14:paraId="4A5409DA"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4,414</w:t>
            </w:r>
          </w:p>
        </w:tc>
        <w:tc>
          <w:tcPr>
            <w:tcW w:w="570" w:type="pct"/>
            <w:tcBorders>
              <w:top w:val="nil"/>
              <w:left w:val="nil"/>
              <w:bottom w:val="nil"/>
              <w:right w:val="nil"/>
            </w:tcBorders>
            <w:shd w:val="clear" w:color="auto" w:fill="auto"/>
            <w:noWrap/>
            <w:vAlign w:val="bottom"/>
            <w:hideMark/>
          </w:tcPr>
          <w:p w14:paraId="150ABA9A"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3,069</w:t>
            </w:r>
          </w:p>
        </w:tc>
        <w:tc>
          <w:tcPr>
            <w:tcW w:w="570" w:type="pct"/>
            <w:tcBorders>
              <w:top w:val="nil"/>
              <w:left w:val="nil"/>
              <w:bottom w:val="nil"/>
              <w:right w:val="nil"/>
            </w:tcBorders>
            <w:shd w:val="clear" w:color="auto" w:fill="auto"/>
            <w:noWrap/>
            <w:vAlign w:val="bottom"/>
            <w:hideMark/>
          </w:tcPr>
          <w:p w14:paraId="57A56795"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1,246</w:t>
            </w:r>
          </w:p>
        </w:tc>
        <w:tc>
          <w:tcPr>
            <w:tcW w:w="569" w:type="pct"/>
            <w:tcBorders>
              <w:top w:val="nil"/>
              <w:left w:val="nil"/>
              <w:bottom w:val="nil"/>
              <w:right w:val="nil"/>
            </w:tcBorders>
            <w:shd w:val="clear" w:color="auto" w:fill="auto"/>
            <w:noWrap/>
            <w:vAlign w:val="bottom"/>
            <w:hideMark/>
          </w:tcPr>
          <w:p w14:paraId="7F839D76"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215</w:t>
            </w:r>
          </w:p>
        </w:tc>
      </w:tr>
      <w:tr w:rsidR="001C0F49" w:rsidRPr="00F626BB" w14:paraId="369D6293" w14:textId="77777777" w:rsidTr="00AE2189">
        <w:trPr>
          <w:trHeight w:val="204"/>
        </w:trPr>
        <w:tc>
          <w:tcPr>
            <w:tcW w:w="2119" w:type="pct"/>
            <w:tcBorders>
              <w:top w:val="nil"/>
              <w:left w:val="nil"/>
              <w:bottom w:val="nil"/>
              <w:right w:val="nil"/>
            </w:tcBorders>
            <w:shd w:val="clear" w:color="auto" w:fill="auto"/>
            <w:noWrap/>
            <w:vAlign w:val="bottom"/>
            <w:hideMark/>
          </w:tcPr>
          <w:p w14:paraId="6D9F912E" w14:textId="77777777" w:rsidR="001C0F49" w:rsidRPr="00F626BB" w:rsidRDefault="001C0F49" w:rsidP="00293BD0">
            <w:pPr>
              <w:spacing w:after="0" w:line="240" w:lineRule="auto"/>
              <w:rPr>
                <w:rFonts w:ascii="Arial" w:hAnsi="Arial" w:cs="Arial"/>
                <w:b/>
                <w:bCs/>
                <w:i/>
                <w:iCs/>
                <w:color w:val="000000"/>
                <w:sz w:val="16"/>
                <w:szCs w:val="16"/>
              </w:rPr>
            </w:pPr>
            <w:r w:rsidRPr="00F626BB">
              <w:rPr>
                <w:rFonts w:ascii="Arial" w:hAnsi="Arial" w:cs="Arial"/>
                <w:b/>
                <w:bCs/>
                <w:i/>
                <w:iCs/>
                <w:color w:val="000000"/>
                <w:sz w:val="16"/>
                <w:szCs w:val="16"/>
              </w:rPr>
              <w:t>Total cash received</w:t>
            </w:r>
          </w:p>
        </w:tc>
        <w:tc>
          <w:tcPr>
            <w:tcW w:w="603" w:type="pct"/>
            <w:tcBorders>
              <w:top w:val="single" w:sz="4" w:space="0" w:color="000000"/>
              <w:left w:val="nil"/>
              <w:bottom w:val="single" w:sz="4" w:space="0" w:color="000000"/>
              <w:right w:val="nil"/>
            </w:tcBorders>
            <w:shd w:val="clear" w:color="auto" w:fill="auto"/>
            <w:noWrap/>
            <w:vAlign w:val="bottom"/>
            <w:hideMark/>
          </w:tcPr>
          <w:p w14:paraId="1D91846E"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5,094</w:t>
            </w:r>
          </w:p>
        </w:tc>
        <w:tc>
          <w:tcPr>
            <w:tcW w:w="569" w:type="pct"/>
            <w:tcBorders>
              <w:top w:val="single" w:sz="4" w:space="0" w:color="000000"/>
              <w:left w:val="nil"/>
              <w:bottom w:val="single" w:sz="4" w:space="0" w:color="000000"/>
              <w:right w:val="nil"/>
            </w:tcBorders>
            <w:shd w:val="clear" w:color="auto" w:fill="E6E6E6"/>
            <w:noWrap/>
            <w:vAlign w:val="bottom"/>
            <w:hideMark/>
          </w:tcPr>
          <w:p w14:paraId="72922708"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4,414</w:t>
            </w:r>
          </w:p>
        </w:tc>
        <w:tc>
          <w:tcPr>
            <w:tcW w:w="570" w:type="pct"/>
            <w:tcBorders>
              <w:top w:val="single" w:sz="4" w:space="0" w:color="000000"/>
              <w:left w:val="nil"/>
              <w:bottom w:val="single" w:sz="4" w:space="0" w:color="000000"/>
              <w:right w:val="nil"/>
            </w:tcBorders>
            <w:shd w:val="clear" w:color="auto" w:fill="auto"/>
            <w:noWrap/>
            <w:vAlign w:val="bottom"/>
            <w:hideMark/>
          </w:tcPr>
          <w:p w14:paraId="6BF04B26"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3,069</w:t>
            </w:r>
          </w:p>
        </w:tc>
        <w:tc>
          <w:tcPr>
            <w:tcW w:w="570" w:type="pct"/>
            <w:tcBorders>
              <w:top w:val="single" w:sz="4" w:space="0" w:color="000000"/>
              <w:left w:val="nil"/>
              <w:bottom w:val="single" w:sz="4" w:space="0" w:color="000000"/>
              <w:right w:val="nil"/>
            </w:tcBorders>
            <w:shd w:val="clear" w:color="auto" w:fill="auto"/>
            <w:noWrap/>
            <w:vAlign w:val="bottom"/>
            <w:hideMark/>
          </w:tcPr>
          <w:p w14:paraId="7C7FEAB6"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1,246</w:t>
            </w:r>
          </w:p>
        </w:tc>
        <w:tc>
          <w:tcPr>
            <w:tcW w:w="569" w:type="pct"/>
            <w:tcBorders>
              <w:top w:val="single" w:sz="4" w:space="0" w:color="000000"/>
              <w:left w:val="nil"/>
              <w:bottom w:val="single" w:sz="4" w:space="0" w:color="000000"/>
              <w:right w:val="nil"/>
            </w:tcBorders>
            <w:shd w:val="clear" w:color="auto" w:fill="auto"/>
            <w:noWrap/>
            <w:vAlign w:val="bottom"/>
            <w:hideMark/>
          </w:tcPr>
          <w:p w14:paraId="525C3656"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215</w:t>
            </w:r>
          </w:p>
        </w:tc>
      </w:tr>
      <w:tr w:rsidR="001C0F49" w:rsidRPr="00F626BB" w14:paraId="1D93C470" w14:textId="77777777" w:rsidTr="00AE2189">
        <w:trPr>
          <w:trHeight w:val="204"/>
        </w:trPr>
        <w:tc>
          <w:tcPr>
            <w:tcW w:w="2119" w:type="pct"/>
            <w:tcBorders>
              <w:top w:val="nil"/>
              <w:left w:val="nil"/>
              <w:bottom w:val="nil"/>
              <w:right w:val="nil"/>
            </w:tcBorders>
            <w:shd w:val="clear" w:color="auto" w:fill="auto"/>
            <w:noWrap/>
            <w:vAlign w:val="bottom"/>
            <w:hideMark/>
          </w:tcPr>
          <w:p w14:paraId="4EDB795E"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used</w:t>
            </w:r>
          </w:p>
        </w:tc>
        <w:tc>
          <w:tcPr>
            <w:tcW w:w="603" w:type="pct"/>
            <w:tcBorders>
              <w:top w:val="nil"/>
              <w:left w:val="nil"/>
              <w:bottom w:val="nil"/>
              <w:right w:val="nil"/>
            </w:tcBorders>
            <w:shd w:val="clear" w:color="auto" w:fill="auto"/>
            <w:noWrap/>
            <w:vAlign w:val="bottom"/>
            <w:hideMark/>
          </w:tcPr>
          <w:p w14:paraId="54CBEE6D" w14:textId="77777777" w:rsidR="001C0F49" w:rsidRPr="005D106D" w:rsidRDefault="001C0F49" w:rsidP="00572266">
            <w:pPr>
              <w:spacing w:after="0" w:line="240" w:lineRule="auto"/>
              <w:jc w:val="right"/>
              <w:rPr>
                <w:rFonts w:ascii="Arial" w:hAnsi="Arial" w:cs="Arial"/>
                <w:b/>
                <w:bCs/>
                <w:color w:val="000000"/>
                <w:sz w:val="16"/>
                <w:szCs w:val="16"/>
              </w:rPr>
            </w:pPr>
          </w:p>
        </w:tc>
        <w:tc>
          <w:tcPr>
            <w:tcW w:w="569" w:type="pct"/>
            <w:tcBorders>
              <w:top w:val="nil"/>
              <w:left w:val="nil"/>
              <w:bottom w:val="nil"/>
              <w:right w:val="nil"/>
            </w:tcBorders>
            <w:shd w:val="clear" w:color="auto" w:fill="E6E6E6"/>
            <w:noWrap/>
            <w:vAlign w:val="bottom"/>
            <w:hideMark/>
          </w:tcPr>
          <w:p w14:paraId="2E86BF4A"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2653EBF" w14:textId="77777777" w:rsidR="001C0F49" w:rsidRPr="005D106D" w:rsidRDefault="001C0F49" w:rsidP="00572266">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0124D618" w14:textId="77777777" w:rsidR="001C0F49" w:rsidRPr="005D106D" w:rsidRDefault="001C0F49" w:rsidP="00572266">
            <w:pPr>
              <w:spacing w:after="0" w:line="240" w:lineRule="auto"/>
              <w:jc w:val="right"/>
              <w:rPr>
                <w:rFonts w:ascii="Times New Roman" w:hAnsi="Times New Roman"/>
                <w:sz w:val="16"/>
                <w:szCs w:val="16"/>
              </w:rPr>
            </w:pPr>
          </w:p>
        </w:tc>
        <w:tc>
          <w:tcPr>
            <w:tcW w:w="569" w:type="pct"/>
            <w:tcBorders>
              <w:top w:val="nil"/>
              <w:left w:val="nil"/>
              <w:bottom w:val="nil"/>
              <w:right w:val="nil"/>
            </w:tcBorders>
            <w:shd w:val="clear" w:color="auto" w:fill="auto"/>
            <w:noWrap/>
            <w:vAlign w:val="bottom"/>
            <w:hideMark/>
          </w:tcPr>
          <w:p w14:paraId="7D360CBE" w14:textId="77777777" w:rsidR="001C0F49" w:rsidRPr="005D106D" w:rsidRDefault="001C0F49" w:rsidP="00572266">
            <w:pPr>
              <w:spacing w:after="0" w:line="240" w:lineRule="auto"/>
              <w:jc w:val="right"/>
              <w:rPr>
                <w:rFonts w:ascii="Times New Roman" w:hAnsi="Times New Roman"/>
                <w:sz w:val="16"/>
                <w:szCs w:val="16"/>
              </w:rPr>
            </w:pPr>
          </w:p>
        </w:tc>
      </w:tr>
      <w:tr w:rsidR="001C0F49" w:rsidRPr="00F626BB" w14:paraId="5BFA8BEB" w14:textId="77777777" w:rsidTr="00AE2189">
        <w:trPr>
          <w:trHeight w:val="204"/>
        </w:trPr>
        <w:tc>
          <w:tcPr>
            <w:tcW w:w="2119" w:type="pct"/>
            <w:tcBorders>
              <w:top w:val="nil"/>
              <w:left w:val="nil"/>
              <w:bottom w:val="nil"/>
              <w:right w:val="nil"/>
            </w:tcBorders>
            <w:shd w:val="clear" w:color="auto" w:fill="auto"/>
            <w:noWrap/>
            <w:vAlign w:val="bottom"/>
            <w:hideMark/>
          </w:tcPr>
          <w:p w14:paraId="48E3C73E" w14:textId="77777777" w:rsidR="001C0F49" w:rsidRPr="00F626BB" w:rsidRDefault="001C0F49" w:rsidP="00293BD0">
            <w:pPr>
              <w:spacing w:after="0" w:line="240" w:lineRule="auto"/>
              <w:ind w:left="113" w:firstLineChars="20" w:firstLine="32"/>
              <w:rPr>
                <w:rFonts w:ascii="Arial" w:hAnsi="Arial" w:cs="Arial"/>
                <w:sz w:val="16"/>
                <w:szCs w:val="16"/>
              </w:rPr>
            </w:pPr>
            <w:r w:rsidRPr="00F626BB">
              <w:rPr>
                <w:rFonts w:ascii="Arial" w:hAnsi="Arial" w:cs="Arial"/>
                <w:sz w:val="16"/>
                <w:szCs w:val="16"/>
              </w:rPr>
              <w:t>Principal payments on lease liability</w:t>
            </w:r>
          </w:p>
        </w:tc>
        <w:tc>
          <w:tcPr>
            <w:tcW w:w="603" w:type="pct"/>
            <w:tcBorders>
              <w:top w:val="nil"/>
              <w:left w:val="nil"/>
              <w:bottom w:val="nil"/>
              <w:right w:val="nil"/>
            </w:tcBorders>
            <w:shd w:val="clear" w:color="auto" w:fill="auto"/>
            <w:noWrap/>
            <w:vAlign w:val="bottom"/>
            <w:hideMark/>
          </w:tcPr>
          <w:p w14:paraId="655F6518"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174</w:t>
            </w:r>
          </w:p>
        </w:tc>
        <w:tc>
          <w:tcPr>
            <w:tcW w:w="569" w:type="pct"/>
            <w:tcBorders>
              <w:top w:val="nil"/>
              <w:left w:val="nil"/>
              <w:bottom w:val="nil"/>
              <w:right w:val="nil"/>
            </w:tcBorders>
            <w:shd w:val="clear" w:color="auto" w:fill="E6E6E6"/>
            <w:noWrap/>
            <w:vAlign w:val="bottom"/>
            <w:hideMark/>
          </w:tcPr>
          <w:p w14:paraId="17B6462D"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472</w:t>
            </w:r>
          </w:p>
        </w:tc>
        <w:tc>
          <w:tcPr>
            <w:tcW w:w="570" w:type="pct"/>
            <w:tcBorders>
              <w:top w:val="nil"/>
              <w:left w:val="nil"/>
              <w:bottom w:val="nil"/>
              <w:right w:val="nil"/>
            </w:tcBorders>
            <w:shd w:val="clear" w:color="auto" w:fill="auto"/>
            <w:noWrap/>
            <w:vAlign w:val="bottom"/>
            <w:hideMark/>
          </w:tcPr>
          <w:p w14:paraId="46AEFADF"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228</w:t>
            </w:r>
          </w:p>
        </w:tc>
        <w:tc>
          <w:tcPr>
            <w:tcW w:w="570" w:type="pct"/>
            <w:tcBorders>
              <w:top w:val="nil"/>
              <w:left w:val="nil"/>
              <w:bottom w:val="nil"/>
              <w:right w:val="nil"/>
            </w:tcBorders>
            <w:shd w:val="clear" w:color="auto" w:fill="auto"/>
            <w:noWrap/>
            <w:vAlign w:val="bottom"/>
            <w:hideMark/>
          </w:tcPr>
          <w:p w14:paraId="41DB24A3"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228</w:t>
            </w:r>
          </w:p>
        </w:tc>
        <w:tc>
          <w:tcPr>
            <w:tcW w:w="569" w:type="pct"/>
            <w:tcBorders>
              <w:top w:val="nil"/>
              <w:left w:val="nil"/>
              <w:bottom w:val="nil"/>
              <w:right w:val="nil"/>
            </w:tcBorders>
            <w:shd w:val="clear" w:color="auto" w:fill="auto"/>
            <w:noWrap/>
            <w:vAlign w:val="bottom"/>
            <w:hideMark/>
          </w:tcPr>
          <w:p w14:paraId="0F196313"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228</w:t>
            </w:r>
          </w:p>
        </w:tc>
      </w:tr>
      <w:tr w:rsidR="001C0F49" w:rsidRPr="00F626BB" w14:paraId="5A82E498" w14:textId="77777777" w:rsidTr="00AE2189">
        <w:trPr>
          <w:trHeight w:val="204"/>
        </w:trPr>
        <w:tc>
          <w:tcPr>
            <w:tcW w:w="2119" w:type="pct"/>
            <w:tcBorders>
              <w:top w:val="nil"/>
              <w:left w:val="nil"/>
              <w:bottom w:val="nil"/>
              <w:right w:val="nil"/>
            </w:tcBorders>
            <w:shd w:val="clear" w:color="auto" w:fill="auto"/>
            <w:noWrap/>
            <w:vAlign w:val="bottom"/>
            <w:hideMark/>
          </w:tcPr>
          <w:p w14:paraId="35D6A32B" w14:textId="77777777" w:rsidR="001C0F49" w:rsidRPr="00F626BB" w:rsidRDefault="001C0F49" w:rsidP="00293BD0">
            <w:pPr>
              <w:spacing w:after="0" w:line="240" w:lineRule="auto"/>
              <w:rPr>
                <w:rFonts w:ascii="Arial" w:hAnsi="Arial" w:cs="Arial"/>
                <w:b/>
                <w:bCs/>
                <w:i/>
                <w:iCs/>
                <w:color w:val="000000"/>
                <w:sz w:val="16"/>
                <w:szCs w:val="16"/>
              </w:rPr>
            </w:pPr>
            <w:r w:rsidRPr="00F626BB">
              <w:rPr>
                <w:rFonts w:ascii="Arial" w:hAnsi="Arial" w:cs="Arial"/>
                <w:b/>
                <w:bCs/>
                <w:i/>
                <w:iCs/>
                <w:color w:val="000000"/>
                <w:sz w:val="16"/>
                <w:szCs w:val="16"/>
              </w:rPr>
              <w:t>Total cash used</w:t>
            </w:r>
          </w:p>
        </w:tc>
        <w:tc>
          <w:tcPr>
            <w:tcW w:w="603" w:type="pct"/>
            <w:tcBorders>
              <w:top w:val="single" w:sz="4" w:space="0" w:color="000000"/>
              <w:left w:val="nil"/>
              <w:bottom w:val="single" w:sz="4" w:space="0" w:color="000000"/>
              <w:right w:val="nil"/>
            </w:tcBorders>
            <w:shd w:val="clear" w:color="auto" w:fill="auto"/>
            <w:noWrap/>
            <w:vAlign w:val="bottom"/>
            <w:hideMark/>
          </w:tcPr>
          <w:p w14:paraId="063E7893"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174</w:t>
            </w:r>
          </w:p>
        </w:tc>
        <w:tc>
          <w:tcPr>
            <w:tcW w:w="569" w:type="pct"/>
            <w:tcBorders>
              <w:top w:val="single" w:sz="4" w:space="0" w:color="000000"/>
              <w:left w:val="nil"/>
              <w:bottom w:val="single" w:sz="4" w:space="0" w:color="000000"/>
              <w:right w:val="nil"/>
            </w:tcBorders>
            <w:shd w:val="clear" w:color="auto" w:fill="E6E6E6"/>
            <w:noWrap/>
            <w:vAlign w:val="bottom"/>
            <w:hideMark/>
          </w:tcPr>
          <w:p w14:paraId="25A44B9D"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472</w:t>
            </w:r>
          </w:p>
        </w:tc>
        <w:tc>
          <w:tcPr>
            <w:tcW w:w="570" w:type="pct"/>
            <w:tcBorders>
              <w:top w:val="single" w:sz="4" w:space="0" w:color="000000"/>
              <w:left w:val="nil"/>
              <w:bottom w:val="single" w:sz="4" w:space="0" w:color="000000"/>
              <w:right w:val="nil"/>
            </w:tcBorders>
            <w:shd w:val="clear" w:color="auto" w:fill="auto"/>
            <w:noWrap/>
            <w:vAlign w:val="bottom"/>
            <w:hideMark/>
          </w:tcPr>
          <w:p w14:paraId="2AF57FF5"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228</w:t>
            </w:r>
          </w:p>
        </w:tc>
        <w:tc>
          <w:tcPr>
            <w:tcW w:w="570" w:type="pct"/>
            <w:tcBorders>
              <w:top w:val="single" w:sz="4" w:space="0" w:color="000000"/>
              <w:left w:val="nil"/>
              <w:bottom w:val="single" w:sz="4" w:space="0" w:color="000000"/>
              <w:right w:val="nil"/>
            </w:tcBorders>
            <w:shd w:val="clear" w:color="auto" w:fill="auto"/>
            <w:noWrap/>
            <w:vAlign w:val="bottom"/>
            <w:hideMark/>
          </w:tcPr>
          <w:p w14:paraId="273A9D24"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228</w:t>
            </w:r>
          </w:p>
        </w:tc>
        <w:tc>
          <w:tcPr>
            <w:tcW w:w="569" w:type="pct"/>
            <w:tcBorders>
              <w:top w:val="single" w:sz="4" w:space="0" w:color="000000"/>
              <w:left w:val="nil"/>
              <w:bottom w:val="single" w:sz="4" w:space="0" w:color="000000"/>
              <w:right w:val="nil"/>
            </w:tcBorders>
            <w:shd w:val="clear" w:color="auto" w:fill="auto"/>
            <w:noWrap/>
            <w:vAlign w:val="bottom"/>
            <w:hideMark/>
          </w:tcPr>
          <w:p w14:paraId="0EAB3E54" w14:textId="77777777" w:rsidR="001C0F49" w:rsidRPr="005D106D" w:rsidRDefault="001C0F49" w:rsidP="00572266">
            <w:pPr>
              <w:spacing w:after="0" w:line="240" w:lineRule="auto"/>
              <w:jc w:val="right"/>
              <w:rPr>
                <w:rFonts w:ascii="Arial" w:hAnsi="Arial" w:cs="Arial"/>
                <w:b/>
                <w:bCs/>
                <w:i/>
                <w:iCs/>
                <w:color w:val="000000"/>
                <w:sz w:val="16"/>
                <w:szCs w:val="16"/>
              </w:rPr>
            </w:pPr>
            <w:r w:rsidRPr="005D106D">
              <w:rPr>
                <w:rFonts w:ascii="Arial" w:hAnsi="Arial" w:cs="Arial"/>
                <w:b/>
                <w:bCs/>
                <w:i/>
                <w:iCs/>
                <w:color w:val="000000"/>
                <w:sz w:val="16"/>
                <w:szCs w:val="16"/>
              </w:rPr>
              <w:t>228</w:t>
            </w:r>
          </w:p>
        </w:tc>
      </w:tr>
      <w:tr w:rsidR="001C0F49" w:rsidRPr="00F626BB" w14:paraId="73B16118" w14:textId="77777777" w:rsidTr="00AE2189">
        <w:trPr>
          <w:trHeight w:val="204"/>
        </w:trPr>
        <w:tc>
          <w:tcPr>
            <w:tcW w:w="2119" w:type="pct"/>
            <w:tcBorders>
              <w:top w:val="nil"/>
              <w:left w:val="nil"/>
              <w:bottom w:val="nil"/>
              <w:right w:val="nil"/>
            </w:tcBorders>
            <w:shd w:val="clear" w:color="auto" w:fill="auto"/>
            <w:vAlign w:val="bottom"/>
            <w:hideMark/>
          </w:tcPr>
          <w:p w14:paraId="6A889161"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Net cash from/(used by)</w:t>
            </w:r>
            <w:r>
              <w:rPr>
                <w:rFonts w:ascii="Arial" w:hAnsi="Arial" w:cs="Arial"/>
                <w:b/>
                <w:bCs/>
                <w:color w:val="000000"/>
                <w:sz w:val="16"/>
                <w:szCs w:val="16"/>
              </w:rPr>
              <w:t xml:space="preserve"> </w:t>
            </w:r>
            <w:r w:rsidRPr="00F626BB">
              <w:rPr>
                <w:rFonts w:ascii="Arial" w:hAnsi="Arial" w:cs="Arial"/>
                <w:b/>
                <w:bCs/>
                <w:color w:val="000000"/>
                <w:sz w:val="16"/>
                <w:szCs w:val="16"/>
              </w:rPr>
              <w:t>financing activities</w:t>
            </w:r>
          </w:p>
        </w:tc>
        <w:tc>
          <w:tcPr>
            <w:tcW w:w="603" w:type="pct"/>
            <w:tcBorders>
              <w:top w:val="nil"/>
              <w:left w:val="nil"/>
              <w:bottom w:val="single" w:sz="4" w:space="0" w:color="000000"/>
              <w:right w:val="nil"/>
            </w:tcBorders>
            <w:shd w:val="clear" w:color="auto" w:fill="auto"/>
            <w:noWrap/>
            <w:vAlign w:val="bottom"/>
            <w:hideMark/>
          </w:tcPr>
          <w:p w14:paraId="143E213D"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4,920</w:t>
            </w:r>
          </w:p>
        </w:tc>
        <w:tc>
          <w:tcPr>
            <w:tcW w:w="569" w:type="pct"/>
            <w:tcBorders>
              <w:top w:val="nil"/>
              <w:left w:val="nil"/>
              <w:bottom w:val="single" w:sz="4" w:space="0" w:color="000000"/>
              <w:right w:val="nil"/>
            </w:tcBorders>
            <w:shd w:val="clear" w:color="auto" w:fill="E6E6E6"/>
            <w:noWrap/>
            <w:vAlign w:val="bottom"/>
            <w:hideMark/>
          </w:tcPr>
          <w:p w14:paraId="2E8DE353"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3,942</w:t>
            </w:r>
          </w:p>
        </w:tc>
        <w:tc>
          <w:tcPr>
            <w:tcW w:w="570" w:type="pct"/>
            <w:tcBorders>
              <w:top w:val="nil"/>
              <w:left w:val="nil"/>
              <w:bottom w:val="single" w:sz="4" w:space="0" w:color="000000"/>
              <w:right w:val="nil"/>
            </w:tcBorders>
            <w:shd w:val="clear" w:color="auto" w:fill="auto"/>
            <w:noWrap/>
            <w:vAlign w:val="bottom"/>
            <w:hideMark/>
          </w:tcPr>
          <w:p w14:paraId="1456A98B"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2,841</w:t>
            </w:r>
          </w:p>
        </w:tc>
        <w:tc>
          <w:tcPr>
            <w:tcW w:w="570" w:type="pct"/>
            <w:tcBorders>
              <w:top w:val="nil"/>
              <w:left w:val="nil"/>
              <w:bottom w:val="single" w:sz="4" w:space="0" w:color="000000"/>
              <w:right w:val="nil"/>
            </w:tcBorders>
            <w:shd w:val="clear" w:color="auto" w:fill="auto"/>
            <w:noWrap/>
            <w:vAlign w:val="bottom"/>
            <w:hideMark/>
          </w:tcPr>
          <w:p w14:paraId="5BB2EA6C"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1,018</w:t>
            </w:r>
          </w:p>
        </w:tc>
        <w:tc>
          <w:tcPr>
            <w:tcW w:w="569" w:type="pct"/>
            <w:tcBorders>
              <w:top w:val="nil"/>
              <w:left w:val="nil"/>
              <w:bottom w:val="single" w:sz="4" w:space="0" w:color="000000"/>
              <w:right w:val="nil"/>
            </w:tcBorders>
            <w:shd w:val="clear" w:color="auto" w:fill="auto"/>
            <w:noWrap/>
            <w:vAlign w:val="bottom"/>
            <w:hideMark/>
          </w:tcPr>
          <w:p w14:paraId="79D82286"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(13)</w:t>
            </w:r>
          </w:p>
        </w:tc>
      </w:tr>
      <w:tr w:rsidR="001C0F49" w:rsidRPr="00F626BB" w14:paraId="128D9487" w14:textId="77777777" w:rsidTr="00AE2189">
        <w:trPr>
          <w:trHeight w:val="204"/>
        </w:trPr>
        <w:tc>
          <w:tcPr>
            <w:tcW w:w="2119" w:type="pct"/>
            <w:tcBorders>
              <w:top w:val="nil"/>
              <w:left w:val="nil"/>
              <w:bottom w:val="nil"/>
              <w:right w:val="nil"/>
            </w:tcBorders>
            <w:shd w:val="clear" w:color="auto" w:fill="auto"/>
            <w:vAlign w:val="bottom"/>
            <w:hideMark/>
          </w:tcPr>
          <w:p w14:paraId="76E6BDA4" w14:textId="1A501A36"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Net increase/(decrease) in cash held</w:t>
            </w:r>
          </w:p>
        </w:tc>
        <w:tc>
          <w:tcPr>
            <w:tcW w:w="603" w:type="pct"/>
            <w:tcBorders>
              <w:top w:val="nil"/>
              <w:left w:val="nil"/>
              <w:bottom w:val="single" w:sz="4" w:space="0" w:color="000000"/>
              <w:right w:val="nil"/>
            </w:tcBorders>
            <w:shd w:val="clear" w:color="auto" w:fill="auto"/>
            <w:noWrap/>
            <w:vAlign w:val="bottom"/>
            <w:hideMark/>
          </w:tcPr>
          <w:p w14:paraId="0D063A63"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927</w:t>
            </w:r>
          </w:p>
        </w:tc>
        <w:tc>
          <w:tcPr>
            <w:tcW w:w="569" w:type="pct"/>
            <w:tcBorders>
              <w:top w:val="nil"/>
              <w:left w:val="nil"/>
              <w:bottom w:val="single" w:sz="4" w:space="0" w:color="000000"/>
              <w:right w:val="nil"/>
            </w:tcBorders>
            <w:shd w:val="clear" w:color="auto" w:fill="E6E6E6"/>
            <w:noWrap/>
            <w:vAlign w:val="bottom"/>
            <w:hideMark/>
          </w:tcPr>
          <w:p w14:paraId="42FA9A8B"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(988)</w:t>
            </w:r>
          </w:p>
        </w:tc>
        <w:tc>
          <w:tcPr>
            <w:tcW w:w="570" w:type="pct"/>
            <w:tcBorders>
              <w:top w:val="nil"/>
              <w:left w:val="nil"/>
              <w:bottom w:val="single" w:sz="4" w:space="0" w:color="000000"/>
              <w:right w:val="nil"/>
            </w:tcBorders>
            <w:shd w:val="clear" w:color="auto" w:fill="auto"/>
            <w:noWrap/>
            <w:vAlign w:val="bottom"/>
            <w:hideMark/>
          </w:tcPr>
          <w:p w14:paraId="23079147"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(1,619)</w:t>
            </w:r>
          </w:p>
        </w:tc>
        <w:tc>
          <w:tcPr>
            <w:tcW w:w="570" w:type="pct"/>
            <w:tcBorders>
              <w:top w:val="nil"/>
              <w:left w:val="nil"/>
              <w:bottom w:val="single" w:sz="4" w:space="0" w:color="000000"/>
              <w:right w:val="nil"/>
            </w:tcBorders>
            <w:shd w:val="clear" w:color="auto" w:fill="auto"/>
            <w:noWrap/>
            <w:vAlign w:val="bottom"/>
            <w:hideMark/>
          </w:tcPr>
          <w:p w14:paraId="745D0EE8"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(1,608)</w:t>
            </w:r>
          </w:p>
        </w:tc>
        <w:tc>
          <w:tcPr>
            <w:tcW w:w="569" w:type="pct"/>
            <w:tcBorders>
              <w:top w:val="nil"/>
              <w:left w:val="nil"/>
              <w:bottom w:val="single" w:sz="4" w:space="0" w:color="000000"/>
              <w:right w:val="nil"/>
            </w:tcBorders>
            <w:shd w:val="clear" w:color="auto" w:fill="auto"/>
            <w:noWrap/>
            <w:vAlign w:val="bottom"/>
            <w:hideMark/>
          </w:tcPr>
          <w:p w14:paraId="3111CA60" w14:textId="77777777" w:rsidR="001C0F49" w:rsidRPr="005D106D" w:rsidRDefault="001C0F49" w:rsidP="00572266">
            <w:pPr>
              <w:spacing w:after="0" w:line="240" w:lineRule="auto"/>
              <w:jc w:val="right"/>
              <w:rPr>
                <w:rFonts w:ascii="Arial" w:hAnsi="Arial" w:cs="Arial"/>
                <w:b/>
                <w:bCs/>
                <w:color w:val="000000"/>
                <w:sz w:val="16"/>
                <w:szCs w:val="16"/>
              </w:rPr>
            </w:pPr>
            <w:r w:rsidRPr="005D106D">
              <w:rPr>
                <w:rFonts w:ascii="Arial" w:hAnsi="Arial" w:cs="Arial"/>
                <w:b/>
                <w:bCs/>
                <w:color w:val="000000"/>
                <w:sz w:val="16"/>
                <w:szCs w:val="16"/>
              </w:rPr>
              <w:t>(1,012)</w:t>
            </w:r>
          </w:p>
        </w:tc>
      </w:tr>
      <w:tr w:rsidR="001C0F49" w:rsidRPr="00F626BB" w14:paraId="4BFB37EA" w14:textId="77777777" w:rsidTr="00AE2189">
        <w:trPr>
          <w:trHeight w:val="204"/>
        </w:trPr>
        <w:tc>
          <w:tcPr>
            <w:tcW w:w="2119" w:type="pct"/>
            <w:tcBorders>
              <w:top w:val="nil"/>
              <w:left w:val="nil"/>
              <w:bottom w:val="nil"/>
              <w:right w:val="nil"/>
            </w:tcBorders>
            <w:shd w:val="clear" w:color="auto" w:fill="auto"/>
            <w:vAlign w:val="bottom"/>
            <w:hideMark/>
          </w:tcPr>
          <w:p w14:paraId="5C87B5BD" w14:textId="5444A479" w:rsidR="001C0F49" w:rsidRPr="00F626BB" w:rsidRDefault="001C0F49" w:rsidP="002864B7">
            <w:pPr>
              <w:spacing w:after="0" w:line="240" w:lineRule="auto"/>
              <w:rPr>
                <w:rFonts w:ascii="Arial" w:hAnsi="Arial" w:cs="Arial"/>
                <w:color w:val="000000"/>
                <w:sz w:val="16"/>
                <w:szCs w:val="16"/>
              </w:rPr>
            </w:pPr>
            <w:r w:rsidRPr="00F626BB">
              <w:rPr>
                <w:rFonts w:ascii="Arial" w:hAnsi="Arial" w:cs="Arial"/>
                <w:color w:val="000000"/>
                <w:sz w:val="16"/>
                <w:szCs w:val="16"/>
              </w:rPr>
              <w:t>Cash and cash equivalents at the</w:t>
            </w:r>
            <w:r w:rsidRPr="00F626BB">
              <w:rPr>
                <w:rFonts w:ascii="Arial" w:hAnsi="Arial" w:cs="Arial"/>
                <w:color w:val="000000"/>
                <w:sz w:val="16"/>
                <w:szCs w:val="16"/>
              </w:rPr>
              <w:br/>
              <w:t>beginning of the reporting period</w:t>
            </w:r>
          </w:p>
        </w:tc>
        <w:tc>
          <w:tcPr>
            <w:tcW w:w="603" w:type="pct"/>
            <w:tcBorders>
              <w:top w:val="nil"/>
              <w:left w:val="nil"/>
              <w:bottom w:val="nil"/>
              <w:right w:val="nil"/>
            </w:tcBorders>
            <w:shd w:val="clear" w:color="auto" w:fill="auto"/>
            <w:noWrap/>
            <w:vAlign w:val="bottom"/>
            <w:hideMark/>
          </w:tcPr>
          <w:p w14:paraId="5D54046D"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7,652</w:t>
            </w:r>
          </w:p>
        </w:tc>
        <w:tc>
          <w:tcPr>
            <w:tcW w:w="569" w:type="pct"/>
            <w:tcBorders>
              <w:top w:val="nil"/>
              <w:left w:val="nil"/>
              <w:bottom w:val="nil"/>
              <w:right w:val="nil"/>
            </w:tcBorders>
            <w:shd w:val="clear" w:color="auto" w:fill="E6E6E6"/>
            <w:noWrap/>
            <w:vAlign w:val="bottom"/>
            <w:hideMark/>
          </w:tcPr>
          <w:p w14:paraId="7B3AB198"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8,579</w:t>
            </w:r>
          </w:p>
        </w:tc>
        <w:tc>
          <w:tcPr>
            <w:tcW w:w="570" w:type="pct"/>
            <w:tcBorders>
              <w:top w:val="nil"/>
              <w:left w:val="nil"/>
              <w:bottom w:val="nil"/>
              <w:right w:val="nil"/>
            </w:tcBorders>
            <w:shd w:val="clear" w:color="auto" w:fill="auto"/>
            <w:noWrap/>
            <w:vAlign w:val="bottom"/>
            <w:hideMark/>
          </w:tcPr>
          <w:p w14:paraId="15BC18EB"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7,591</w:t>
            </w:r>
          </w:p>
        </w:tc>
        <w:tc>
          <w:tcPr>
            <w:tcW w:w="570" w:type="pct"/>
            <w:tcBorders>
              <w:top w:val="nil"/>
              <w:left w:val="nil"/>
              <w:bottom w:val="nil"/>
              <w:right w:val="nil"/>
            </w:tcBorders>
            <w:shd w:val="clear" w:color="auto" w:fill="auto"/>
            <w:noWrap/>
            <w:vAlign w:val="bottom"/>
            <w:hideMark/>
          </w:tcPr>
          <w:p w14:paraId="6C14BD38"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5,972</w:t>
            </w:r>
          </w:p>
        </w:tc>
        <w:tc>
          <w:tcPr>
            <w:tcW w:w="569" w:type="pct"/>
            <w:tcBorders>
              <w:top w:val="nil"/>
              <w:left w:val="nil"/>
              <w:bottom w:val="nil"/>
              <w:right w:val="nil"/>
            </w:tcBorders>
            <w:shd w:val="clear" w:color="auto" w:fill="auto"/>
            <w:noWrap/>
            <w:vAlign w:val="bottom"/>
            <w:hideMark/>
          </w:tcPr>
          <w:p w14:paraId="72AC02FA" w14:textId="77777777" w:rsidR="001C0F49" w:rsidRPr="005D106D" w:rsidRDefault="001C0F49" w:rsidP="00572266">
            <w:pPr>
              <w:spacing w:after="0" w:line="240" w:lineRule="auto"/>
              <w:jc w:val="right"/>
              <w:rPr>
                <w:rFonts w:ascii="Arial" w:hAnsi="Arial" w:cs="Arial"/>
                <w:color w:val="000000"/>
                <w:sz w:val="16"/>
                <w:szCs w:val="16"/>
              </w:rPr>
            </w:pPr>
            <w:r w:rsidRPr="005D106D">
              <w:rPr>
                <w:rFonts w:ascii="Arial" w:hAnsi="Arial" w:cs="Arial"/>
                <w:color w:val="000000"/>
                <w:sz w:val="16"/>
                <w:szCs w:val="16"/>
              </w:rPr>
              <w:t>4,364</w:t>
            </w:r>
          </w:p>
        </w:tc>
      </w:tr>
      <w:tr w:rsidR="001C0F49" w:rsidRPr="00F626BB" w14:paraId="14A4A0B8" w14:textId="77777777" w:rsidTr="00AE2189">
        <w:trPr>
          <w:trHeight w:val="204"/>
        </w:trPr>
        <w:tc>
          <w:tcPr>
            <w:tcW w:w="2119" w:type="pct"/>
            <w:tcBorders>
              <w:top w:val="nil"/>
              <w:left w:val="nil"/>
              <w:bottom w:val="single" w:sz="4" w:space="0" w:color="auto"/>
              <w:right w:val="nil"/>
            </w:tcBorders>
            <w:shd w:val="clear" w:color="auto" w:fill="auto"/>
            <w:vAlign w:val="bottom"/>
            <w:hideMark/>
          </w:tcPr>
          <w:p w14:paraId="7F9CF906" w14:textId="77777777" w:rsidR="001C0F49" w:rsidRPr="00F626BB" w:rsidRDefault="001C0F49" w:rsidP="00293BD0">
            <w:pPr>
              <w:spacing w:after="0" w:line="240" w:lineRule="auto"/>
              <w:rPr>
                <w:rFonts w:ascii="Arial" w:hAnsi="Arial" w:cs="Arial"/>
                <w:b/>
                <w:bCs/>
                <w:color w:val="000000"/>
                <w:sz w:val="16"/>
                <w:szCs w:val="16"/>
              </w:rPr>
            </w:pPr>
            <w:r w:rsidRPr="00F626BB">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F626BB">
              <w:rPr>
                <w:rFonts w:ascii="Arial" w:hAnsi="Arial" w:cs="Arial"/>
                <w:b/>
                <w:bCs/>
                <w:color w:val="000000"/>
                <w:sz w:val="16"/>
                <w:szCs w:val="16"/>
              </w:rPr>
              <w:t xml:space="preserve">  the end of the reporting period</w:t>
            </w:r>
          </w:p>
        </w:tc>
        <w:tc>
          <w:tcPr>
            <w:tcW w:w="603" w:type="pct"/>
            <w:tcBorders>
              <w:top w:val="single" w:sz="4" w:space="0" w:color="000000"/>
              <w:left w:val="nil"/>
              <w:bottom w:val="single" w:sz="4" w:space="0" w:color="auto"/>
              <w:right w:val="nil"/>
            </w:tcBorders>
            <w:shd w:val="clear" w:color="auto" w:fill="auto"/>
            <w:noWrap/>
            <w:vAlign w:val="bottom"/>
            <w:hideMark/>
          </w:tcPr>
          <w:p w14:paraId="440A6666" w14:textId="77777777" w:rsidR="001C0F49" w:rsidRPr="005D106D" w:rsidRDefault="001C0F49" w:rsidP="00572266">
            <w:pPr>
              <w:spacing w:after="0" w:line="240" w:lineRule="auto"/>
              <w:jc w:val="right"/>
              <w:rPr>
                <w:rFonts w:ascii="Arial" w:hAnsi="Arial" w:cs="Arial"/>
                <w:b/>
                <w:color w:val="000000"/>
                <w:sz w:val="16"/>
                <w:szCs w:val="16"/>
              </w:rPr>
            </w:pPr>
            <w:r w:rsidRPr="005D106D">
              <w:rPr>
                <w:rFonts w:ascii="Arial" w:hAnsi="Arial" w:cs="Arial"/>
                <w:b/>
                <w:color w:val="000000"/>
                <w:sz w:val="16"/>
                <w:szCs w:val="16"/>
              </w:rPr>
              <w:t>8,579</w:t>
            </w:r>
          </w:p>
        </w:tc>
        <w:tc>
          <w:tcPr>
            <w:tcW w:w="569" w:type="pct"/>
            <w:tcBorders>
              <w:top w:val="single" w:sz="4" w:space="0" w:color="000000"/>
              <w:left w:val="nil"/>
              <w:bottom w:val="single" w:sz="4" w:space="0" w:color="auto"/>
              <w:right w:val="nil"/>
            </w:tcBorders>
            <w:shd w:val="clear" w:color="auto" w:fill="E6E6E6"/>
            <w:noWrap/>
            <w:vAlign w:val="bottom"/>
            <w:hideMark/>
          </w:tcPr>
          <w:p w14:paraId="5E071D69" w14:textId="77777777" w:rsidR="001C0F49" w:rsidRPr="005D106D" w:rsidRDefault="001C0F49" w:rsidP="00572266">
            <w:pPr>
              <w:spacing w:after="0" w:line="240" w:lineRule="auto"/>
              <w:jc w:val="right"/>
              <w:rPr>
                <w:rFonts w:ascii="Arial" w:hAnsi="Arial" w:cs="Arial"/>
                <w:b/>
                <w:color w:val="000000"/>
                <w:sz w:val="16"/>
                <w:szCs w:val="16"/>
              </w:rPr>
            </w:pPr>
            <w:r w:rsidRPr="005D106D">
              <w:rPr>
                <w:rFonts w:ascii="Arial" w:hAnsi="Arial" w:cs="Arial"/>
                <w:b/>
                <w:color w:val="000000"/>
                <w:sz w:val="16"/>
                <w:szCs w:val="16"/>
              </w:rPr>
              <w:t>7,591</w:t>
            </w:r>
          </w:p>
        </w:tc>
        <w:tc>
          <w:tcPr>
            <w:tcW w:w="570" w:type="pct"/>
            <w:tcBorders>
              <w:top w:val="single" w:sz="4" w:space="0" w:color="000000"/>
              <w:left w:val="nil"/>
              <w:bottom w:val="single" w:sz="4" w:space="0" w:color="auto"/>
              <w:right w:val="nil"/>
            </w:tcBorders>
            <w:shd w:val="clear" w:color="auto" w:fill="auto"/>
            <w:noWrap/>
            <w:vAlign w:val="bottom"/>
            <w:hideMark/>
          </w:tcPr>
          <w:p w14:paraId="5200347D" w14:textId="77777777" w:rsidR="001C0F49" w:rsidRPr="005D106D" w:rsidRDefault="001C0F49" w:rsidP="00572266">
            <w:pPr>
              <w:spacing w:after="0" w:line="240" w:lineRule="auto"/>
              <w:jc w:val="right"/>
              <w:rPr>
                <w:rFonts w:ascii="Arial" w:hAnsi="Arial" w:cs="Arial"/>
                <w:b/>
                <w:color w:val="000000"/>
                <w:sz w:val="16"/>
                <w:szCs w:val="16"/>
              </w:rPr>
            </w:pPr>
            <w:r w:rsidRPr="005D106D">
              <w:rPr>
                <w:rFonts w:ascii="Arial" w:hAnsi="Arial" w:cs="Arial"/>
                <w:b/>
                <w:color w:val="000000"/>
                <w:sz w:val="16"/>
                <w:szCs w:val="16"/>
              </w:rPr>
              <w:t>5,972</w:t>
            </w:r>
          </w:p>
        </w:tc>
        <w:tc>
          <w:tcPr>
            <w:tcW w:w="570" w:type="pct"/>
            <w:tcBorders>
              <w:top w:val="single" w:sz="4" w:space="0" w:color="000000"/>
              <w:left w:val="nil"/>
              <w:bottom w:val="single" w:sz="4" w:space="0" w:color="auto"/>
              <w:right w:val="nil"/>
            </w:tcBorders>
            <w:shd w:val="clear" w:color="auto" w:fill="auto"/>
            <w:noWrap/>
            <w:vAlign w:val="bottom"/>
            <w:hideMark/>
          </w:tcPr>
          <w:p w14:paraId="6CEA761A" w14:textId="77777777" w:rsidR="001C0F49" w:rsidRPr="005D106D" w:rsidRDefault="001C0F49" w:rsidP="00572266">
            <w:pPr>
              <w:spacing w:after="0" w:line="240" w:lineRule="auto"/>
              <w:jc w:val="right"/>
              <w:rPr>
                <w:rFonts w:ascii="Arial" w:hAnsi="Arial" w:cs="Arial"/>
                <w:b/>
                <w:color w:val="000000"/>
                <w:sz w:val="16"/>
                <w:szCs w:val="16"/>
              </w:rPr>
            </w:pPr>
            <w:r w:rsidRPr="005D106D">
              <w:rPr>
                <w:rFonts w:ascii="Arial" w:hAnsi="Arial" w:cs="Arial"/>
                <w:b/>
                <w:color w:val="000000"/>
                <w:sz w:val="16"/>
                <w:szCs w:val="16"/>
              </w:rPr>
              <w:t>4,364</w:t>
            </w:r>
          </w:p>
        </w:tc>
        <w:tc>
          <w:tcPr>
            <w:tcW w:w="569" w:type="pct"/>
            <w:tcBorders>
              <w:top w:val="single" w:sz="4" w:space="0" w:color="000000"/>
              <w:left w:val="nil"/>
              <w:bottom w:val="single" w:sz="4" w:space="0" w:color="auto"/>
              <w:right w:val="nil"/>
            </w:tcBorders>
            <w:shd w:val="clear" w:color="auto" w:fill="auto"/>
            <w:noWrap/>
            <w:vAlign w:val="bottom"/>
            <w:hideMark/>
          </w:tcPr>
          <w:p w14:paraId="79C1A35A" w14:textId="77777777" w:rsidR="001C0F49" w:rsidRPr="005D106D" w:rsidRDefault="001C0F49" w:rsidP="00572266">
            <w:pPr>
              <w:spacing w:after="0" w:line="240" w:lineRule="auto"/>
              <w:jc w:val="right"/>
              <w:rPr>
                <w:rFonts w:ascii="Arial" w:hAnsi="Arial" w:cs="Arial"/>
                <w:b/>
                <w:color w:val="000000"/>
                <w:sz w:val="16"/>
                <w:szCs w:val="16"/>
              </w:rPr>
            </w:pPr>
            <w:r w:rsidRPr="005D106D">
              <w:rPr>
                <w:rFonts w:ascii="Arial" w:hAnsi="Arial" w:cs="Arial"/>
                <w:b/>
                <w:color w:val="000000"/>
                <w:sz w:val="16"/>
                <w:szCs w:val="16"/>
              </w:rPr>
              <w:t>3,352</w:t>
            </w:r>
          </w:p>
        </w:tc>
      </w:tr>
    </w:tbl>
    <w:p w14:paraId="0AB6716A" w14:textId="7AA6B156" w:rsidR="001C0F49" w:rsidRDefault="001C0F49" w:rsidP="00572266">
      <w:pPr>
        <w:pStyle w:val="TableGraphic"/>
        <w:spacing w:before="60"/>
        <w:ind w:right="0"/>
      </w:pPr>
      <w:r w:rsidRPr="00D606C2">
        <w:rPr>
          <w:rFonts w:ascii="Arial" w:hAnsi="Arial" w:cs="Arial"/>
          <w:sz w:val="16"/>
        </w:rPr>
        <w:t>Prepared on Australian Accounting Standards basis</w:t>
      </w:r>
      <w:r w:rsidR="00D718CA">
        <w:rPr>
          <w:rFonts w:ascii="Arial" w:hAnsi="Arial" w:cs="Arial"/>
          <w:sz w:val="16"/>
        </w:rPr>
        <w:t>.</w:t>
      </w:r>
      <w:r>
        <w:br w:type="page"/>
      </w:r>
    </w:p>
    <w:p w14:paraId="14299653" w14:textId="77777777" w:rsidR="001C0F49" w:rsidRPr="00A00283" w:rsidRDefault="001C0F49" w:rsidP="001C0F49">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43"/>
        <w:gridCol w:w="973"/>
        <w:gridCol w:w="897"/>
        <w:gridCol w:w="899"/>
        <w:gridCol w:w="899"/>
        <w:gridCol w:w="899"/>
      </w:tblGrid>
      <w:tr w:rsidR="001C0F49" w:rsidRPr="00BB2C77" w14:paraId="275007F2" w14:textId="77777777" w:rsidTr="00AE2189">
        <w:trPr>
          <w:trHeight w:val="204"/>
        </w:trPr>
        <w:tc>
          <w:tcPr>
            <w:tcW w:w="2038" w:type="pct"/>
            <w:tcBorders>
              <w:top w:val="single" w:sz="4" w:space="0" w:color="auto"/>
              <w:left w:val="nil"/>
              <w:bottom w:val="nil"/>
              <w:right w:val="nil"/>
            </w:tcBorders>
            <w:shd w:val="clear" w:color="auto" w:fill="auto"/>
            <w:noWrap/>
            <w:vAlign w:val="bottom"/>
            <w:hideMark/>
          </w:tcPr>
          <w:p w14:paraId="1A78A514" w14:textId="77777777" w:rsidR="001C0F49" w:rsidRPr="00BB2C77" w:rsidRDefault="001C0F49" w:rsidP="00293BD0">
            <w:pPr>
              <w:spacing w:after="0" w:line="240" w:lineRule="auto"/>
              <w:rPr>
                <w:rFonts w:ascii="Arial" w:hAnsi="Arial" w:cs="Arial"/>
                <w:b/>
                <w:bCs/>
                <w:sz w:val="16"/>
                <w:szCs w:val="16"/>
              </w:rPr>
            </w:pPr>
            <w:r w:rsidRPr="00BB2C77">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vAlign w:val="bottom"/>
            <w:hideMark/>
          </w:tcPr>
          <w:p w14:paraId="2161A937" w14:textId="77777777" w:rsidR="001C0F49" w:rsidRPr="00BB2C77" w:rsidRDefault="001C0F49" w:rsidP="00293BD0">
            <w:pPr>
              <w:spacing w:after="0" w:line="240" w:lineRule="auto"/>
              <w:jc w:val="right"/>
              <w:rPr>
                <w:rFonts w:ascii="Arial" w:hAnsi="Arial" w:cs="Arial"/>
                <w:sz w:val="16"/>
                <w:szCs w:val="16"/>
              </w:rPr>
            </w:pPr>
            <w:r w:rsidRPr="00BB2C77">
              <w:rPr>
                <w:rFonts w:ascii="Arial" w:hAnsi="Arial" w:cs="Arial"/>
                <w:sz w:val="16"/>
                <w:szCs w:val="16"/>
              </w:rPr>
              <w:t>2021-22 Estimated actual</w:t>
            </w:r>
            <w:r w:rsidRPr="00BB2C77">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E6E6E6"/>
            <w:vAlign w:val="bottom"/>
            <w:hideMark/>
          </w:tcPr>
          <w:p w14:paraId="3AA55841" w14:textId="77777777" w:rsidR="001C0F49" w:rsidRPr="00BB2C77" w:rsidRDefault="001C0F49" w:rsidP="00293BD0">
            <w:pPr>
              <w:spacing w:after="0" w:line="240" w:lineRule="auto"/>
              <w:jc w:val="right"/>
              <w:rPr>
                <w:rFonts w:ascii="Arial" w:hAnsi="Arial" w:cs="Arial"/>
                <w:sz w:val="16"/>
                <w:szCs w:val="16"/>
              </w:rPr>
            </w:pPr>
            <w:r w:rsidRPr="00BB2C77">
              <w:rPr>
                <w:rFonts w:ascii="Arial" w:hAnsi="Arial" w:cs="Arial"/>
                <w:sz w:val="16"/>
                <w:szCs w:val="16"/>
              </w:rPr>
              <w:t>2022-23</w:t>
            </w:r>
            <w:r w:rsidRPr="00BB2C77">
              <w:rPr>
                <w:rFonts w:ascii="Arial" w:hAnsi="Arial" w:cs="Arial"/>
                <w:sz w:val="16"/>
                <w:szCs w:val="16"/>
              </w:rPr>
              <w:br/>
              <w:t>Budget</w:t>
            </w:r>
            <w:r w:rsidRPr="00BB2C77">
              <w:rPr>
                <w:rFonts w:ascii="Arial" w:hAnsi="Arial" w:cs="Arial"/>
                <w:sz w:val="16"/>
                <w:szCs w:val="16"/>
              </w:rPr>
              <w:br/>
            </w:r>
            <w:r w:rsidRPr="00BB2C7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74379512" w14:textId="77777777" w:rsidR="001C0F49" w:rsidRPr="00BB2C77" w:rsidRDefault="001C0F49" w:rsidP="00293BD0">
            <w:pPr>
              <w:spacing w:after="0" w:line="240" w:lineRule="auto"/>
              <w:jc w:val="right"/>
              <w:rPr>
                <w:rFonts w:ascii="Arial" w:hAnsi="Arial" w:cs="Arial"/>
                <w:sz w:val="16"/>
                <w:szCs w:val="16"/>
              </w:rPr>
            </w:pPr>
            <w:r w:rsidRPr="00BB2C77">
              <w:rPr>
                <w:rFonts w:ascii="Arial" w:hAnsi="Arial" w:cs="Arial"/>
                <w:sz w:val="16"/>
                <w:szCs w:val="16"/>
              </w:rPr>
              <w:t>2023-24 Forward estimate</w:t>
            </w:r>
            <w:r w:rsidRPr="00BB2C7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135EBD1E" w14:textId="77777777" w:rsidR="001C0F49" w:rsidRPr="00BB2C77" w:rsidRDefault="001C0F49" w:rsidP="00293BD0">
            <w:pPr>
              <w:spacing w:after="0" w:line="240" w:lineRule="auto"/>
              <w:jc w:val="right"/>
              <w:rPr>
                <w:rFonts w:ascii="Arial" w:hAnsi="Arial" w:cs="Arial"/>
                <w:sz w:val="16"/>
                <w:szCs w:val="16"/>
              </w:rPr>
            </w:pPr>
            <w:r w:rsidRPr="00BB2C77">
              <w:rPr>
                <w:rFonts w:ascii="Arial" w:hAnsi="Arial" w:cs="Arial"/>
                <w:sz w:val="16"/>
                <w:szCs w:val="16"/>
              </w:rPr>
              <w:t>2024-25 Forward estimate</w:t>
            </w:r>
            <w:r w:rsidRPr="00BB2C77">
              <w:rPr>
                <w:rFonts w:ascii="Arial" w:hAnsi="Arial" w:cs="Arial"/>
                <w:sz w:val="16"/>
                <w:szCs w:val="16"/>
              </w:rPr>
              <w:br/>
              <w:t>$'000</w:t>
            </w:r>
          </w:p>
        </w:tc>
        <w:tc>
          <w:tcPr>
            <w:tcW w:w="583" w:type="pct"/>
            <w:tcBorders>
              <w:top w:val="single" w:sz="4" w:space="0" w:color="auto"/>
              <w:left w:val="nil"/>
              <w:bottom w:val="single" w:sz="4" w:space="0" w:color="auto"/>
              <w:right w:val="nil"/>
            </w:tcBorders>
            <w:shd w:val="clear" w:color="auto" w:fill="auto"/>
            <w:vAlign w:val="bottom"/>
            <w:hideMark/>
          </w:tcPr>
          <w:p w14:paraId="3489D8D4" w14:textId="77777777" w:rsidR="001C0F49" w:rsidRPr="00BB2C77" w:rsidRDefault="001C0F49" w:rsidP="00293BD0">
            <w:pPr>
              <w:spacing w:after="0" w:line="240" w:lineRule="auto"/>
              <w:jc w:val="right"/>
              <w:rPr>
                <w:rFonts w:ascii="Arial" w:hAnsi="Arial" w:cs="Arial"/>
                <w:sz w:val="16"/>
                <w:szCs w:val="16"/>
              </w:rPr>
            </w:pPr>
            <w:r w:rsidRPr="00BB2C77">
              <w:rPr>
                <w:rFonts w:ascii="Arial" w:hAnsi="Arial" w:cs="Arial"/>
                <w:sz w:val="16"/>
                <w:szCs w:val="16"/>
              </w:rPr>
              <w:t>2025-26</w:t>
            </w:r>
            <w:r w:rsidRPr="00BB2C77">
              <w:rPr>
                <w:rFonts w:ascii="Arial" w:hAnsi="Arial" w:cs="Arial"/>
                <w:sz w:val="16"/>
                <w:szCs w:val="16"/>
              </w:rPr>
              <w:br/>
              <w:t>Forward estimate</w:t>
            </w:r>
            <w:r w:rsidRPr="00BB2C77">
              <w:rPr>
                <w:rFonts w:ascii="Arial" w:hAnsi="Arial" w:cs="Arial"/>
                <w:sz w:val="16"/>
                <w:szCs w:val="16"/>
              </w:rPr>
              <w:br/>
              <w:t>$'000</w:t>
            </w:r>
          </w:p>
        </w:tc>
      </w:tr>
      <w:tr w:rsidR="001C0F49" w:rsidRPr="00BB2C77" w14:paraId="752C86F3" w14:textId="77777777" w:rsidTr="00AE2189">
        <w:trPr>
          <w:trHeight w:val="204"/>
        </w:trPr>
        <w:tc>
          <w:tcPr>
            <w:tcW w:w="2038" w:type="pct"/>
            <w:tcBorders>
              <w:top w:val="nil"/>
              <w:left w:val="nil"/>
              <w:bottom w:val="nil"/>
              <w:right w:val="nil"/>
            </w:tcBorders>
            <w:shd w:val="clear" w:color="auto" w:fill="auto"/>
            <w:noWrap/>
            <w:vAlign w:val="bottom"/>
            <w:hideMark/>
          </w:tcPr>
          <w:p w14:paraId="444D9AF7" w14:textId="77777777" w:rsidR="001C0F49" w:rsidRPr="00BB2C77" w:rsidRDefault="001C0F49" w:rsidP="00293BD0">
            <w:pPr>
              <w:spacing w:after="0" w:line="240" w:lineRule="auto"/>
              <w:rPr>
                <w:rFonts w:ascii="Arial" w:hAnsi="Arial" w:cs="Arial"/>
                <w:b/>
                <w:bCs/>
                <w:sz w:val="16"/>
                <w:szCs w:val="16"/>
              </w:rPr>
            </w:pPr>
            <w:r w:rsidRPr="00BB2C77">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bottom"/>
            <w:hideMark/>
          </w:tcPr>
          <w:p w14:paraId="703EDD94" w14:textId="77777777" w:rsidR="001C0F49" w:rsidRPr="00BB2C77" w:rsidRDefault="001C0F49" w:rsidP="00293BD0">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noWrap/>
            <w:vAlign w:val="bottom"/>
            <w:hideMark/>
          </w:tcPr>
          <w:p w14:paraId="36C76D87" w14:textId="77777777" w:rsidR="001C0F49" w:rsidRPr="00BB2C77" w:rsidRDefault="001C0F49" w:rsidP="00293BD0">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1BC1AA23" w14:textId="77777777" w:rsidR="001C0F49" w:rsidRPr="00BB2C77" w:rsidRDefault="001C0F49" w:rsidP="00293BD0">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noWrap/>
            <w:vAlign w:val="bottom"/>
            <w:hideMark/>
          </w:tcPr>
          <w:p w14:paraId="6FA8CF3D" w14:textId="77777777" w:rsidR="001C0F49" w:rsidRPr="00BB2C77" w:rsidRDefault="001C0F49" w:rsidP="00293BD0">
            <w:pPr>
              <w:spacing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hideMark/>
          </w:tcPr>
          <w:p w14:paraId="3A233EC9" w14:textId="77777777" w:rsidR="001C0F49" w:rsidRPr="00BB2C77" w:rsidRDefault="001C0F49" w:rsidP="00293BD0">
            <w:pPr>
              <w:spacing w:after="0" w:line="240" w:lineRule="auto"/>
              <w:jc w:val="right"/>
              <w:rPr>
                <w:rFonts w:ascii="Times New Roman" w:hAnsi="Times New Roman"/>
              </w:rPr>
            </w:pPr>
          </w:p>
        </w:tc>
      </w:tr>
      <w:tr w:rsidR="001C0F49" w:rsidRPr="00BB2C77" w14:paraId="1725F2F7" w14:textId="77777777" w:rsidTr="00AE2189">
        <w:trPr>
          <w:trHeight w:val="204"/>
        </w:trPr>
        <w:tc>
          <w:tcPr>
            <w:tcW w:w="2038" w:type="pct"/>
            <w:tcBorders>
              <w:top w:val="nil"/>
              <w:left w:val="nil"/>
              <w:bottom w:val="nil"/>
              <w:right w:val="nil"/>
            </w:tcBorders>
            <w:shd w:val="clear" w:color="auto" w:fill="auto"/>
            <w:noWrap/>
            <w:vAlign w:val="bottom"/>
            <w:hideMark/>
          </w:tcPr>
          <w:p w14:paraId="484201A0" w14:textId="77777777" w:rsidR="001C0F49" w:rsidRPr="00BB2C77" w:rsidRDefault="001C0F49" w:rsidP="00293BD0">
            <w:pPr>
              <w:spacing w:after="0" w:line="240" w:lineRule="auto"/>
              <w:ind w:left="113"/>
              <w:rPr>
                <w:rFonts w:ascii="Arial" w:hAnsi="Arial" w:cs="Arial"/>
                <w:sz w:val="16"/>
                <w:szCs w:val="16"/>
              </w:rPr>
            </w:pPr>
            <w:r w:rsidRPr="00BB2C77">
              <w:rPr>
                <w:rFonts w:ascii="Arial" w:hAnsi="Arial" w:cs="Arial"/>
                <w:sz w:val="16"/>
                <w:szCs w:val="16"/>
              </w:rPr>
              <w:t>Equity injections - Bill 2</w:t>
            </w:r>
          </w:p>
        </w:tc>
        <w:tc>
          <w:tcPr>
            <w:tcW w:w="631" w:type="pct"/>
            <w:tcBorders>
              <w:top w:val="nil"/>
              <w:left w:val="nil"/>
              <w:bottom w:val="nil"/>
              <w:right w:val="nil"/>
            </w:tcBorders>
            <w:shd w:val="clear" w:color="auto" w:fill="auto"/>
            <w:noWrap/>
            <w:vAlign w:val="bottom"/>
            <w:hideMark/>
          </w:tcPr>
          <w:p w14:paraId="27453FF4"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5,094</w:t>
            </w:r>
          </w:p>
        </w:tc>
        <w:tc>
          <w:tcPr>
            <w:tcW w:w="582" w:type="pct"/>
            <w:tcBorders>
              <w:top w:val="nil"/>
              <w:left w:val="nil"/>
              <w:bottom w:val="nil"/>
              <w:right w:val="nil"/>
            </w:tcBorders>
            <w:shd w:val="clear" w:color="auto" w:fill="E6E6E6"/>
            <w:noWrap/>
            <w:vAlign w:val="bottom"/>
            <w:hideMark/>
          </w:tcPr>
          <w:p w14:paraId="26B32B8A"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4,414</w:t>
            </w:r>
          </w:p>
        </w:tc>
        <w:tc>
          <w:tcPr>
            <w:tcW w:w="583" w:type="pct"/>
            <w:tcBorders>
              <w:top w:val="nil"/>
              <w:left w:val="nil"/>
              <w:bottom w:val="nil"/>
              <w:right w:val="nil"/>
            </w:tcBorders>
            <w:shd w:val="clear" w:color="auto" w:fill="auto"/>
            <w:noWrap/>
            <w:vAlign w:val="bottom"/>
            <w:hideMark/>
          </w:tcPr>
          <w:p w14:paraId="429A13F1"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3,069</w:t>
            </w:r>
          </w:p>
        </w:tc>
        <w:tc>
          <w:tcPr>
            <w:tcW w:w="583" w:type="pct"/>
            <w:tcBorders>
              <w:top w:val="nil"/>
              <w:left w:val="nil"/>
              <w:bottom w:val="nil"/>
              <w:right w:val="nil"/>
            </w:tcBorders>
            <w:shd w:val="clear" w:color="auto" w:fill="auto"/>
            <w:noWrap/>
            <w:vAlign w:val="bottom"/>
            <w:hideMark/>
          </w:tcPr>
          <w:p w14:paraId="2BFBD0FB"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1,246</w:t>
            </w:r>
          </w:p>
        </w:tc>
        <w:tc>
          <w:tcPr>
            <w:tcW w:w="583" w:type="pct"/>
            <w:tcBorders>
              <w:top w:val="nil"/>
              <w:left w:val="nil"/>
              <w:bottom w:val="nil"/>
              <w:right w:val="nil"/>
            </w:tcBorders>
            <w:shd w:val="clear" w:color="auto" w:fill="auto"/>
            <w:noWrap/>
            <w:vAlign w:val="bottom"/>
            <w:hideMark/>
          </w:tcPr>
          <w:p w14:paraId="768CEB25"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215</w:t>
            </w:r>
          </w:p>
        </w:tc>
      </w:tr>
      <w:tr w:rsidR="001C0F49" w:rsidRPr="00BB2C77" w14:paraId="34EAD2DD" w14:textId="77777777" w:rsidTr="00AE2189">
        <w:trPr>
          <w:trHeight w:val="204"/>
        </w:trPr>
        <w:tc>
          <w:tcPr>
            <w:tcW w:w="2038" w:type="pct"/>
            <w:tcBorders>
              <w:top w:val="nil"/>
              <w:left w:val="nil"/>
              <w:bottom w:val="nil"/>
              <w:right w:val="nil"/>
            </w:tcBorders>
            <w:shd w:val="clear" w:color="auto" w:fill="auto"/>
            <w:noWrap/>
            <w:vAlign w:val="bottom"/>
            <w:hideMark/>
          </w:tcPr>
          <w:p w14:paraId="25E69F69" w14:textId="77777777" w:rsidR="001C0F49" w:rsidRPr="00BB2C77" w:rsidRDefault="001C0F49" w:rsidP="00293BD0">
            <w:pPr>
              <w:spacing w:after="0" w:line="240" w:lineRule="auto"/>
              <w:rPr>
                <w:rFonts w:ascii="Arial" w:hAnsi="Arial" w:cs="Arial"/>
                <w:b/>
                <w:bCs/>
                <w:sz w:val="16"/>
                <w:szCs w:val="16"/>
              </w:rPr>
            </w:pPr>
            <w:r w:rsidRPr="00BB2C77">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bottom"/>
            <w:hideMark/>
          </w:tcPr>
          <w:p w14:paraId="1B7E4308"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5,094</w:t>
            </w:r>
          </w:p>
        </w:tc>
        <w:tc>
          <w:tcPr>
            <w:tcW w:w="582" w:type="pct"/>
            <w:tcBorders>
              <w:top w:val="single" w:sz="4" w:space="0" w:color="auto"/>
              <w:left w:val="nil"/>
              <w:bottom w:val="single" w:sz="4" w:space="0" w:color="auto"/>
              <w:right w:val="nil"/>
            </w:tcBorders>
            <w:shd w:val="clear" w:color="auto" w:fill="E6E6E6"/>
            <w:noWrap/>
            <w:vAlign w:val="bottom"/>
            <w:hideMark/>
          </w:tcPr>
          <w:p w14:paraId="55DE531C"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4,414</w:t>
            </w:r>
          </w:p>
        </w:tc>
        <w:tc>
          <w:tcPr>
            <w:tcW w:w="583" w:type="pct"/>
            <w:tcBorders>
              <w:top w:val="single" w:sz="4" w:space="0" w:color="auto"/>
              <w:left w:val="nil"/>
              <w:bottom w:val="single" w:sz="4" w:space="0" w:color="auto"/>
              <w:right w:val="nil"/>
            </w:tcBorders>
            <w:shd w:val="clear" w:color="auto" w:fill="auto"/>
            <w:noWrap/>
            <w:vAlign w:val="bottom"/>
            <w:hideMark/>
          </w:tcPr>
          <w:p w14:paraId="4D2744C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3,069</w:t>
            </w:r>
          </w:p>
        </w:tc>
        <w:tc>
          <w:tcPr>
            <w:tcW w:w="583" w:type="pct"/>
            <w:tcBorders>
              <w:top w:val="single" w:sz="4" w:space="0" w:color="auto"/>
              <w:left w:val="nil"/>
              <w:bottom w:val="single" w:sz="4" w:space="0" w:color="auto"/>
              <w:right w:val="nil"/>
            </w:tcBorders>
            <w:shd w:val="clear" w:color="auto" w:fill="auto"/>
            <w:noWrap/>
            <w:vAlign w:val="bottom"/>
            <w:hideMark/>
          </w:tcPr>
          <w:p w14:paraId="76860D1C"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1,246</w:t>
            </w:r>
          </w:p>
        </w:tc>
        <w:tc>
          <w:tcPr>
            <w:tcW w:w="583" w:type="pct"/>
            <w:tcBorders>
              <w:top w:val="single" w:sz="4" w:space="0" w:color="auto"/>
              <w:left w:val="nil"/>
              <w:bottom w:val="single" w:sz="4" w:space="0" w:color="auto"/>
              <w:right w:val="nil"/>
            </w:tcBorders>
            <w:shd w:val="clear" w:color="auto" w:fill="auto"/>
            <w:noWrap/>
            <w:vAlign w:val="bottom"/>
            <w:hideMark/>
          </w:tcPr>
          <w:p w14:paraId="0FB1D952"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215</w:t>
            </w:r>
          </w:p>
        </w:tc>
      </w:tr>
      <w:tr w:rsidR="001C0F49" w:rsidRPr="00BB2C77" w14:paraId="74DA3A42" w14:textId="77777777" w:rsidTr="00AE2189">
        <w:trPr>
          <w:trHeight w:val="204"/>
        </w:trPr>
        <w:tc>
          <w:tcPr>
            <w:tcW w:w="2038" w:type="pct"/>
            <w:tcBorders>
              <w:top w:val="nil"/>
              <w:left w:val="nil"/>
              <w:bottom w:val="nil"/>
              <w:right w:val="nil"/>
            </w:tcBorders>
            <w:shd w:val="clear" w:color="auto" w:fill="auto"/>
            <w:noWrap/>
            <w:vAlign w:val="bottom"/>
            <w:hideMark/>
          </w:tcPr>
          <w:p w14:paraId="2FA84B57" w14:textId="77777777" w:rsidR="001C0F49" w:rsidRPr="00AE2189" w:rsidRDefault="001C0F49" w:rsidP="00293BD0">
            <w:pPr>
              <w:spacing w:after="0" w:line="240" w:lineRule="auto"/>
              <w:rPr>
                <w:rFonts w:ascii="Arial" w:hAnsi="Arial" w:cs="Arial"/>
                <w:b/>
                <w:bCs/>
                <w:iCs/>
                <w:sz w:val="16"/>
                <w:szCs w:val="16"/>
              </w:rPr>
            </w:pPr>
            <w:r w:rsidRPr="00AE2189">
              <w:rPr>
                <w:rFonts w:ascii="Arial" w:hAnsi="Arial" w:cs="Arial"/>
                <w:b/>
                <w:bCs/>
                <w:iCs/>
                <w:sz w:val="16"/>
                <w:szCs w:val="16"/>
              </w:rPr>
              <w:t>Provided for:</w:t>
            </w:r>
          </w:p>
        </w:tc>
        <w:tc>
          <w:tcPr>
            <w:tcW w:w="631" w:type="pct"/>
            <w:tcBorders>
              <w:top w:val="nil"/>
              <w:left w:val="nil"/>
              <w:bottom w:val="nil"/>
              <w:right w:val="nil"/>
            </w:tcBorders>
            <w:shd w:val="clear" w:color="auto" w:fill="auto"/>
            <w:noWrap/>
            <w:vAlign w:val="bottom"/>
            <w:hideMark/>
          </w:tcPr>
          <w:p w14:paraId="665F2763" w14:textId="77777777" w:rsidR="001C0F49" w:rsidRPr="005D106D" w:rsidRDefault="001C0F49" w:rsidP="00293BD0">
            <w:pPr>
              <w:spacing w:after="0" w:line="240" w:lineRule="auto"/>
              <w:jc w:val="right"/>
              <w:rPr>
                <w:rFonts w:ascii="Arial" w:hAnsi="Arial" w:cs="Arial"/>
                <w:b/>
                <w:bCs/>
                <w:i/>
                <w:iCs/>
                <w:sz w:val="16"/>
                <w:szCs w:val="16"/>
              </w:rPr>
            </w:pPr>
          </w:p>
        </w:tc>
        <w:tc>
          <w:tcPr>
            <w:tcW w:w="582" w:type="pct"/>
            <w:tcBorders>
              <w:top w:val="nil"/>
              <w:left w:val="nil"/>
              <w:bottom w:val="nil"/>
              <w:right w:val="nil"/>
            </w:tcBorders>
            <w:shd w:val="clear" w:color="auto" w:fill="E6E6E6"/>
            <w:noWrap/>
            <w:vAlign w:val="bottom"/>
            <w:hideMark/>
          </w:tcPr>
          <w:p w14:paraId="6B76F88C" w14:textId="77777777" w:rsidR="001C0F49" w:rsidRPr="005D106D" w:rsidRDefault="001C0F49" w:rsidP="00293BD0">
            <w:pPr>
              <w:spacing w:after="0" w:line="240" w:lineRule="auto"/>
              <w:jc w:val="right"/>
              <w:rPr>
                <w:rFonts w:ascii="Arial" w:hAnsi="Arial" w:cs="Arial"/>
                <w:i/>
                <w:iCs/>
                <w:sz w:val="16"/>
                <w:szCs w:val="16"/>
              </w:rPr>
            </w:pPr>
          </w:p>
        </w:tc>
        <w:tc>
          <w:tcPr>
            <w:tcW w:w="583" w:type="pct"/>
            <w:tcBorders>
              <w:top w:val="nil"/>
              <w:left w:val="nil"/>
              <w:bottom w:val="nil"/>
              <w:right w:val="nil"/>
            </w:tcBorders>
            <w:shd w:val="clear" w:color="auto" w:fill="auto"/>
            <w:noWrap/>
            <w:vAlign w:val="bottom"/>
            <w:hideMark/>
          </w:tcPr>
          <w:p w14:paraId="4E2A0F2A" w14:textId="77777777" w:rsidR="001C0F49" w:rsidRPr="005D106D" w:rsidRDefault="001C0F49" w:rsidP="00293BD0">
            <w:pPr>
              <w:spacing w:after="0" w:line="240" w:lineRule="auto"/>
              <w:jc w:val="right"/>
              <w:rPr>
                <w:rFonts w:ascii="Arial" w:hAnsi="Arial" w:cs="Arial"/>
                <w:i/>
                <w:iCs/>
                <w:sz w:val="16"/>
                <w:szCs w:val="16"/>
              </w:rPr>
            </w:pPr>
          </w:p>
        </w:tc>
        <w:tc>
          <w:tcPr>
            <w:tcW w:w="583" w:type="pct"/>
            <w:tcBorders>
              <w:top w:val="nil"/>
              <w:left w:val="nil"/>
              <w:bottom w:val="nil"/>
              <w:right w:val="nil"/>
            </w:tcBorders>
            <w:shd w:val="clear" w:color="auto" w:fill="auto"/>
            <w:noWrap/>
            <w:vAlign w:val="bottom"/>
            <w:hideMark/>
          </w:tcPr>
          <w:p w14:paraId="3E94A549" w14:textId="77777777" w:rsidR="001C0F49" w:rsidRPr="005D106D" w:rsidRDefault="001C0F49" w:rsidP="00293BD0">
            <w:pPr>
              <w:spacing w:after="0" w:line="240" w:lineRule="auto"/>
              <w:jc w:val="right"/>
              <w:rPr>
                <w:rFonts w:ascii="Times New Roman" w:hAnsi="Times New Roman"/>
                <w:sz w:val="16"/>
                <w:szCs w:val="16"/>
              </w:rPr>
            </w:pPr>
          </w:p>
        </w:tc>
        <w:tc>
          <w:tcPr>
            <w:tcW w:w="583" w:type="pct"/>
            <w:tcBorders>
              <w:top w:val="nil"/>
              <w:left w:val="nil"/>
              <w:bottom w:val="nil"/>
              <w:right w:val="nil"/>
            </w:tcBorders>
            <w:shd w:val="clear" w:color="auto" w:fill="auto"/>
            <w:noWrap/>
            <w:vAlign w:val="bottom"/>
            <w:hideMark/>
          </w:tcPr>
          <w:p w14:paraId="6795B1FE" w14:textId="77777777" w:rsidR="001C0F49" w:rsidRPr="005D106D" w:rsidRDefault="001C0F49" w:rsidP="00293BD0">
            <w:pPr>
              <w:spacing w:after="0" w:line="240" w:lineRule="auto"/>
              <w:jc w:val="right"/>
              <w:rPr>
                <w:rFonts w:ascii="Times New Roman" w:hAnsi="Times New Roman"/>
                <w:sz w:val="16"/>
                <w:szCs w:val="16"/>
              </w:rPr>
            </w:pPr>
          </w:p>
        </w:tc>
      </w:tr>
      <w:tr w:rsidR="001C0F49" w:rsidRPr="00BB2C77" w14:paraId="431E962B" w14:textId="77777777" w:rsidTr="00AE2189">
        <w:trPr>
          <w:trHeight w:val="204"/>
        </w:trPr>
        <w:tc>
          <w:tcPr>
            <w:tcW w:w="2038" w:type="pct"/>
            <w:tcBorders>
              <w:top w:val="nil"/>
              <w:left w:val="nil"/>
              <w:bottom w:val="nil"/>
              <w:right w:val="nil"/>
            </w:tcBorders>
            <w:shd w:val="clear" w:color="auto" w:fill="auto"/>
            <w:noWrap/>
            <w:vAlign w:val="bottom"/>
            <w:hideMark/>
          </w:tcPr>
          <w:p w14:paraId="72F9DFC6" w14:textId="77777777" w:rsidR="001C0F49" w:rsidRPr="002864B7" w:rsidRDefault="001C0F49" w:rsidP="00293BD0">
            <w:pPr>
              <w:spacing w:after="0" w:line="240" w:lineRule="auto"/>
              <w:ind w:left="113"/>
              <w:rPr>
                <w:rFonts w:ascii="Arial" w:hAnsi="Arial" w:cs="Arial"/>
                <w:iCs/>
                <w:sz w:val="16"/>
                <w:szCs w:val="16"/>
              </w:rPr>
            </w:pPr>
            <w:r w:rsidRPr="002864B7">
              <w:rPr>
                <w:rFonts w:ascii="Arial" w:hAnsi="Arial" w:cs="Arial"/>
                <w:iCs/>
                <w:sz w:val="16"/>
                <w:szCs w:val="16"/>
              </w:rPr>
              <w:t>Purchase of non-financial assets</w:t>
            </w:r>
          </w:p>
        </w:tc>
        <w:tc>
          <w:tcPr>
            <w:tcW w:w="631" w:type="pct"/>
            <w:tcBorders>
              <w:top w:val="nil"/>
              <w:left w:val="nil"/>
              <w:bottom w:val="nil"/>
              <w:right w:val="nil"/>
            </w:tcBorders>
            <w:shd w:val="clear" w:color="auto" w:fill="auto"/>
            <w:noWrap/>
            <w:vAlign w:val="bottom"/>
            <w:hideMark/>
          </w:tcPr>
          <w:p w14:paraId="770A9B0C" w14:textId="77777777" w:rsidR="001C0F49" w:rsidRPr="002864B7" w:rsidRDefault="001C0F49" w:rsidP="00293BD0">
            <w:pPr>
              <w:spacing w:after="0" w:line="240" w:lineRule="auto"/>
              <w:jc w:val="right"/>
              <w:rPr>
                <w:rFonts w:ascii="Arial" w:hAnsi="Arial" w:cs="Arial"/>
                <w:iCs/>
                <w:sz w:val="16"/>
                <w:szCs w:val="16"/>
              </w:rPr>
            </w:pPr>
            <w:r w:rsidRPr="002864B7">
              <w:rPr>
                <w:rFonts w:ascii="Arial" w:hAnsi="Arial" w:cs="Arial"/>
                <w:iCs/>
                <w:sz w:val="16"/>
                <w:szCs w:val="16"/>
              </w:rPr>
              <w:t>3,835</w:t>
            </w:r>
          </w:p>
        </w:tc>
        <w:tc>
          <w:tcPr>
            <w:tcW w:w="582" w:type="pct"/>
            <w:tcBorders>
              <w:top w:val="nil"/>
              <w:left w:val="nil"/>
              <w:bottom w:val="nil"/>
              <w:right w:val="nil"/>
            </w:tcBorders>
            <w:shd w:val="clear" w:color="auto" w:fill="E6E6E6"/>
            <w:noWrap/>
            <w:vAlign w:val="bottom"/>
            <w:hideMark/>
          </w:tcPr>
          <w:p w14:paraId="6CEB1FC1" w14:textId="77777777" w:rsidR="001C0F49" w:rsidRPr="002864B7" w:rsidRDefault="001C0F49" w:rsidP="00293BD0">
            <w:pPr>
              <w:spacing w:after="0" w:line="240" w:lineRule="auto"/>
              <w:jc w:val="right"/>
              <w:rPr>
                <w:rFonts w:ascii="Arial" w:hAnsi="Arial" w:cs="Arial"/>
                <w:iCs/>
                <w:sz w:val="16"/>
                <w:szCs w:val="16"/>
              </w:rPr>
            </w:pPr>
            <w:r w:rsidRPr="002864B7">
              <w:rPr>
                <w:rFonts w:ascii="Arial" w:hAnsi="Arial" w:cs="Arial"/>
                <w:iCs/>
                <w:sz w:val="16"/>
                <w:szCs w:val="16"/>
              </w:rPr>
              <w:t>4,414</w:t>
            </w:r>
          </w:p>
        </w:tc>
        <w:tc>
          <w:tcPr>
            <w:tcW w:w="583" w:type="pct"/>
            <w:tcBorders>
              <w:top w:val="nil"/>
              <w:left w:val="nil"/>
              <w:bottom w:val="nil"/>
              <w:right w:val="nil"/>
            </w:tcBorders>
            <w:shd w:val="clear" w:color="auto" w:fill="auto"/>
            <w:noWrap/>
            <w:vAlign w:val="bottom"/>
            <w:hideMark/>
          </w:tcPr>
          <w:p w14:paraId="132E2DD2" w14:textId="77777777" w:rsidR="001C0F49" w:rsidRPr="002864B7" w:rsidRDefault="001C0F49" w:rsidP="00293BD0">
            <w:pPr>
              <w:spacing w:after="0" w:line="240" w:lineRule="auto"/>
              <w:jc w:val="right"/>
              <w:rPr>
                <w:rFonts w:ascii="Arial" w:hAnsi="Arial" w:cs="Arial"/>
                <w:iCs/>
                <w:sz w:val="16"/>
                <w:szCs w:val="16"/>
              </w:rPr>
            </w:pPr>
            <w:r w:rsidRPr="002864B7">
              <w:rPr>
                <w:rFonts w:ascii="Arial" w:hAnsi="Arial" w:cs="Arial"/>
                <w:iCs/>
                <w:sz w:val="16"/>
                <w:szCs w:val="16"/>
              </w:rPr>
              <w:t>3,069</w:t>
            </w:r>
          </w:p>
        </w:tc>
        <w:tc>
          <w:tcPr>
            <w:tcW w:w="583" w:type="pct"/>
            <w:tcBorders>
              <w:top w:val="nil"/>
              <w:left w:val="nil"/>
              <w:bottom w:val="nil"/>
              <w:right w:val="nil"/>
            </w:tcBorders>
            <w:shd w:val="clear" w:color="auto" w:fill="auto"/>
            <w:noWrap/>
            <w:vAlign w:val="bottom"/>
            <w:hideMark/>
          </w:tcPr>
          <w:p w14:paraId="6DA08AC2" w14:textId="77777777" w:rsidR="001C0F49" w:rsidRPr="002864B7" w:rsidRDefault="001C0F49" w:rsidP="00293BD0">
            <w:pPr>
              <w:spacing w:after="0" w:line="240" w:lineRule="auto"/>
              <w:jc w:val="right"/>
              <w:rPr>
                <w:rFonts w:ascii="Arial" w:hAnsi="Arial" w:cs="Arial"/>
                <w:iCs/>
                <w:sz w:val="16"/>
                <w:szCs w:val="16"/>
              </w:rPr>
            </w:pPr>
            <w:r w:rsidRPr="002864B7">
              <w:rPr>
                <w:rFonts w:ascii="Arial" w:hAnsi="Arial" w:cs="Arial"/>
                <w:iCs/>
                <w:sz w:val="16"/>
                <w:szCs w:val="16"/>
              </w:rPr>
              <w:t>1,246</w:t>
            </w:r>
          </w:p>
        </w:tc>
        <w:tc>
          <w:tcPr>
            <w:tcW w:w="583" w:type="pct"/>
            <w:tcBorders>
              <w:top w:val="nil"/>
              <w:left w:val="nil"/>
              <w:bottom w:val="nil"/>
              <w:right w:val="nil"/>
            </w:tcBorders>
            <w:shd w:val="clear" w:color="auto" w:fill="auto"/>
            <w:noWrap/>
            <w:vAlign w:val="bottom"/>
            <w:hideMark/>
          </w:tcPr>
          <w:p w14:paraId="42F81A87" w14:textId="77777777" w:rsidR="001C0F49" w:rsidRPr="002864B7" w:rsidRDefault="001C0F49" w:rsidP="00293BD0">
            <w:pPr>
              <w:spacing w:after="0" w:line="240" w:lineRule="auto"/>
              <w:jc w:val="right"/>
              <w:rPr>
                <w:rFonts w:ascii="Arial" w:hAnsi="Arial" w:cs="Arial"/>
                <w:iCs/>
                <w:sz w:val="16"/>
                <w:szCs w:val="16"/>
              </w:rPr>
            </w:pPr>
            <w:r w:rsidRPr="002864B7">
              <w:rPr>
                <w:rFonts w:ascii="Arial" w:hAnsi="Arial" w:cs="Arial"/>
                <w:iCs/>
                <w:sz w:val="16"/>
                <w:szCs w:val="16"/>
              </w:rPr>
              <w:t>215</w:t>
            </w:r>
          </w:p>
        </w:tc>
      </w:tr>
      <w:tr w:rsidR="001C0F49" w:rsidRPr="00BB2C77" w14:paraId="3A948800" w14:textId="77777777" w:rsidTr="00AE2189">
        <w:trPr>
          <w:trHeight w:val="204"/>
        </w:trPr>
        <w:tc>
          <w:tcPr>
            <w:tcW w:w="2038" w:type="pct"/>
            <w:tcBorders>
              <w:top w:val="nil"/>
              <w:left w:val="nil"/>
              <w:bottom w:val="nil"/>
              <w:right w:val="nil"/>
            </w:tcBorders>
            <w:shd w:val="clear" w:color="auto" w:fill="auto"/>
            <w:noWrap/>
            <w:vAlign w:val="bottom"/>
            <w:hideMark/>
          </w:tcPr>
          <w:p w14:paraId="0773C365" w14:textId="77777777" w:rsidR="001C0F49" w:rsidRPr="002864B7" w:rsidRDefault="001C0F49" w:rsidP="00293BD0">
            <w:pPr>
              <w:spacing w:after="0" w:line="240" w:lineRule="auto"/>
              <w:rPr>
                <w:rFonts w:ascii="Arial" w:hAnsi="Arial" w:cs="Arial"/>
                <w:b/>
                <w:bCs/>
                <w:iCs/>
                <w:sz w:val="16"/>
                <w:szCs w:val="16"/>
              </w:rPr>
            </w:pPr>
            <w:r w:rsidRPr="002864B7">
              <w:rPr>
                <w:rFonts w:ascii="Arial" w:hAnsi="Arial" w:cs="Arial"/>
                <w:b/>
                <w:bCs/>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bottom"/>
            <w:hideMark/>
          </w:tcPr>
          <w:p w14:paraId="7F1BB003" w14:textId="77777777" w:rsidR="001C0F49" w:rsidRPr="002864B7" w:rsidRDefault="001C0F49" w:rsidP="00293BD0">
            <w:pPr>
              <w:spacing w:after="0" w:line="240" w:lineRule="auto"/>
              <w:jc w:val="right"/>
              <w:rPr>
                <w:rFonts w:ascii="Arial" w:hAnsi="Arial" w:cs="Arial"/>
                <w:b/>
                <w:bCs/>
                <w:iCs/>
                <w:sz w:val="16"/>
                <w:szCs w:val="16"/>
              </w:rPr>
            </w:pPr>
            <w:r w:rsidRPr="002864B7">
              <w:rPr>
                <w:rFonts w:ascii="Arial" w:hAnsi="Arial" w:cs="Arial"/>
                <w:b/>
                <w:bCs/>
                <w:iCs/>
                <w:sz w:val="16"/>
                <w:szCs w:val="16"/>
              </w:rPr>
              <w:t>3,835</w:t>
            </w:r>
          </w:p>
        </w:tc>
        <w:tc>
          <w:tcPr>
            <w:tcW w:w="582" w:type="pct"/>
            <w:tcBorders>
              <w:top w:val="single" w:sz="4" w:space="0" w:color="auto"/>
              <w:left w:val="nil"/>
              <w:bottom w:val="single" w:sz="4" w:space="0" w:color="auto"/>
              <w:right w:val="nil"/>
            </w:tcBorders>
            <w:shd w:val="clear" w:color="auto" w:fill="E6E6E6"/>
            <w:noWrap/>
            <w:vAlign w:val="bottom"/>
            <w:hideMark/>
          </w:tcPr>
          <w:p w14:paraId="643C5760" w14:textId="77777777" w:rsidR="001C0F49" w:rsidRPr="002864B7" w:rsidRDefault="001C0F49" w:rsidP="00293BD0">
            <w:pPr>
              <w:spacing w:after="0" w:line="240" w:lineRule="auto"/>
              <w:jc w:val="right"/>
              <w:rPr>
                <w:rFonts w:ascii="Arial" w:hAnsi="Arial" w:cs="Arial"/>
                <w:b/>
                <w:bCs/>
                <w:iCs/>
                <w:sz w:val="16"/>
                <w:szCs w:val="16"/>
              </w:rPr>
            </w:pPr>
            <w:r w:rsidRPr="002864B7">
              <w:rPr>
                <w:rFonts w:ascii="Arial" w:hAnsi="Arial" w:cs="Arial"/>
                <w:b/>
                <w:bCs/>
                <w:iCs/>
                <w:sz w:val="16"/>
                <w:szCs w:val="16"/>
              </w:rPr>
              <w:t>4,414</w:t>
            </w:r>
          </w:p>
        </w:tc>
        <w:tc>
          <w:tcPr>
            <w:tcW w:w="583" w:type="pct"/>
            <w:tcBorders>
              <w:top w:val="single" w:sz="4" w:space="0" w:color="auto"/>
              <w:left w:val="nil"/>
              <w:bottom w:val="single" w:sz="4" w:space="0" w:color="auto"/>
              <w:right w:val="nil"/>
            </w:tcBorders>
            <w:shd w:val="clear" w:color="auto" w:fill="auto"/>
            <w:noWrap/>
            <w:vAlign w:val="bottom"/>
            <w:hideMark/>
          </w:tcPr>
          <w:p w14:paraId="79F0FA7A" w14:textId="77777777" w:rsidR="001C0F49" w:rsidRPr="002864B7" w:rsidRDefault="001C0F49" w:rsidP="00293BD0">
            <w:pPr>
              <w:spacing w:after="0" w:line="240" w:lineRule="auto"/>
              <w:jc w:val="right"/>
              <w:rPr>
                <w:rFonts w:ascii="Arial" w:hAnsi="Arial" w:cs="Arial"/>
                <w:b/>
                <w:bCs/>
                <w:iCs/>
                <w:sz w:val="16"/>
                <w:szCs w:val="16"/>
              </w:rPr>
            </w:pPr>
            <w:r w:rsidRPr="002864B7">
              <w:rPr>
                <w:rFonts w:ascii="Arial" w:hAnsi="Arial" w:cs="Arial"/>
                <w:b/>
                <w:bCs/>
                <w:iCs/>
                <w:sz w:val="16"/>
                <w:szCs w:val="16"/>
              </w:rPr>
              <w:t>3,069</w:t>
            </w:r>
          </w:p>
        </w:tc>
        <w:tc>
          <w:tcPr>
            <w:tcW w:w="583" w:type="pct"/>
            <w:tcBorders>
              <w:top w:val="single" w:sz="4" w:space="0" w:color="auto"/>
              <w:left w:val="nil"/>
              <w:bottom w:val="single" w:sz="4" w:space="0" w:color="auto"/>
              <w:right w:val="nil"/>
            </w:tcBorders>
            <w:shd w:val="clear" w:color="auto" w:fill="auto"/>
            <w:noWrap/>
            <w:vAlign w:val="bottom"/>
            <w:hideMark/>
          </w:tcPr>
          <w:p w14:paraId="2CC61D26" w14:textId="77777777" w:rsidR="001C0F49" w:rsidRPr="002864B7" w:rsidRDefault="001C0F49" w:rsidP="00293BD0">
            <w:pPr>
              <w:spacing w:after="0" w:line="240" w:lineRule="auto"/>
              <w:jc w:val="right"/>
              <w:rPr>
                <w:rFonts w:ascii="Arial" w:hAnsi="Arial" w:cs="Arial"/>
                <w:b/>
                <w:bCs/>
                <w:iCs/>
                <w:sz w:val="16"/>
                <w:szCs w:val="16"/>
              </w:rPr>
            </w:pPr>
            <w:r w:rsidRPr="002864B7">
              <w:rPr>
                <w:rFonts w:ascii="Arial" w:hAnsi="Arial" w:cs="Arial"/>
                <w:b/>
                <w:bCs/>
                <w:iCs/>
                <w:sz w:val="16"/>
                <w:szCs w:val="16"/>
              </w:rPr>
              <w:t>1,246</w:t>
            </w:r>
          </w:p>
        </w:tc>
        <w:tc>
          <w:tcPr>
            <w:tcW w:w="583" w:type="pct"/>
            <w:tcBorders>
              <w:top w:val="single" w:sz="4" w:space="0" w:color="auto"/>
              <w:left w:val="nil"/>
              <w:bottom w:val="single" w:sz="4" w:space="0" w:color="auto"/>
              <w:right w:val="nil"/>
            </w:tcBorders>
            <w:shd w:val="clear" w:color="auto" w:fill="auto"/>
            <w:noWrap/>
            <w:vAlign w:val="bottom"/>
            <w:hideMark/>
          </w:tcPr>
          <w:p w14:paraId="4758F3FA" w14:textId="77777777" w:rsidR="001C0F49" w:rsidRPr="002864B7" w:rsidRDefault="001C0F49" w:rsidP="00293BD0">
            <w:pPr>
              <w:spacing w:after="0" w:line="240" w:lineRule="auto"/>
              <w:jc w:val="right"/>
              <w:rPr>
                <w:rFonts w:ascii="Arial" w:hAnsi="Arial" w:cs="Arial"/>
                <w:b/>
                <w:bCs/>
                <w:iCs/>
                <w:sz w:val="16"/>
                <w:szCs w:val="16"/>
              </w:rPr>
            </w:pPr>
            <w:r w:rsidRPr="002864B7">
              <w:rPr>
                <w:rFonts w:ascii="Arial" w:hAnsi="Arial" w:cs="Arial"/>
                <w:b/>
                <w:bCs/>
                <w:iCs/>
                <w:sz w:val="16"/>
                <w:szCs w:val="16"/>
              </w:rPr>
              <w:t>215</w:t>
            </w:r>
          </w:p>
        </w:tc>
      </w:tr>
      <w:tr w:rsidR="001C0F49" w:rsidRPr="00BB2C77" w14:paraId="23F3A849" w14:textId="77777777" w:rsidTr="00AE2189">
        <w:trPr>
          <w:trHeight w:val="204"/>
        </w:trPr>
        <w:tc>
          <w:tcPr>
            <w:tcW w:w="2038" w:type="pct"/>
            <w:tcBorders>
              <w:top w:val="nil"/>
              <w:left w:val="nil"/>
              <w:bottom w:val="nil"/>
              <w:right w:val="nil"/>
            </w:tcBorders>
            <w:shd w:val="clear" w:color="auto" w:fill="auto"/>
            <w:vAlign w:val="bottom"/>
            <w:hideMark/>
          </w:tcPr>
          <w:p w14:paraId="6F323B18" w14:textId="77777777" w:rsidR="001C0F49" w:rsidRPr="00BB2C77" w:rsidRDefault="001C0F49" w:rsidP="00293BD0">
            <w:pPr>
              <w:spacing w:after="0" w:line="240" w:lineRule="auto"/>
              <w:rPr>
                <w:rFonts w:ascii="Arial" w:hAnsi="Arial" w:cs="Arial"/>
                <w:b/>
                <w:bCs/>
                <w:sz w:val="16"/>
                <w:szCs w:val="16"/>
              </w:rPr>
            </w:pPr>
            <w:r w:rsidRPr="00BB2C77">
              <w:rPr>
                <w:rFonts w:ascii="Arial" w:hAnsi="Arial" w:cs="Arial"/>
                <w:b/>
                <w:bCs/>
                <w:sz w:val="16"/>
                <w:szCs w:val="16"/>
              </w:rPr>
              <w:t>PURCHASE OF NON-FINANCIAL ASSETS</w:t>
            </w:r>
          </w:p>
        </w:tc>
        <w:tc>
          <w:tcPr>
            <w:tcW w:w="631" w:type="pct"/>
            <w:tcBorders>
              <w:top w:val="nil"/>
              <w:left w:val="nil"/>
              <w:bottom w:val="nil"/>
              <w:right w:val="nil"/>
            </w:tcBorders>
            <w:shd w:val="clear" w:color="auto" w:fill="auto"/>
            <w:vAlign w:val="bottom"/>
            <w:hideMark/>
          </w:tcPr>
          <w:p w14:paraId="7511F26A" w14:textId="77777777" w:rsidR="001C0F49" w:rsidRPr="005D106D" w:rsidRDefault="001C0F49" w:rsidP="00293BD0">
            <w:pPr>
              <w:spacing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E6E6E6"/>
            <w:vAlign w:val="bottom"/>
            <w:hideMark/>
          </w:tcPr>
          <w:p w14:paraId="4C8DBF86" w14:textId="77777777" w:rsidR="001C0F49" w:rsidRPr="005D106D" w:rsidRDefault="001C0F49" w:rsidP="00293BD0">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74F94A9F" w14:textId="77777777" w:rsidR="001C0F49" w:rsidRPr="005D106D" w:rsidRDefault="001C0F49" w:rsidP="00293BD0">
            <w:pPr>
              <w:spacing w:after="0" w:line="240" w:lineRule="auto"/>
              <w:jc w:val="right"/>
              <w:rPr>
                <w:rFonts w:ascii="Arial" w:hAnsi="Arial" w:cs="Arial"/>
                <w:sz w:val="16"/>
                <w:szCs w:val="16"/>
              </w:rPr>
            </w:pPr>
          </w:p>
        </w:tc>
        <w:tc>
          <w:tcPr>
            <w:tcW w:w="583" w:type="pct"/>
            <w:tcBorders>
              <w:top w:val="nil"/>
              <w:left w:val="nil"/>
              <w:bottom w:val="nil"/>
              <w:right w:val="nil"/>
            </w:tcBorders>
            <w:shd w:val="clear" w:color="auto" w:fill="auto"/>
            <w:vAlign w:val="bottom"/>
            <w:hideMark/>
          </w:tcPr>
          <w:p w14:paraId="1AB0B8E4" w14:textId="77777777" w:rsidR="001C0F49" w:rsidRPr="005D106D" w:rsidRDefault="001C0F49" w:rsidP="00293BD0">
            <w:pPr>
              <w:spacing w:after="0" w:line="240" w:lineRule="auto"/>
              <w:jc w:val="right"/>
              <w:rPr>
                <w:rFonts w:ascii="Times New Roman" w:hAnsi="Times New Roman"/>
                <w:sz w:val="16"/>
                <w:szCs w:val="16"/>
              </w:rPr>
            </w:pPr>
          </w:p>
        </w:tc>
        <w:tc>
          <w:tcPr>
            <w:tcW w:w="583" w:type="pct"/>
            <w:tcBorders>
              <w:top w:val="nil"/>
              <w:left w:val="nil"/>
              <w:bottom w:val="nil"/>
              <w:right w:val="nil"/>
            </w:tcBorders>
            <w:shd w:val="clear" w:color="auto" w:fill="auto"/>
            <w:vAlign w:val="bottom"/>
            <w:hideMark/>
          </w:tcPr>
          <w:p w14:paraId="08B1B183" w14:textId="77777777" w:rsidR="001C0F49" w:rsidRPr="005D106D" w:rsidRDefault="001C0F49" w:rsidP="00293BD0">
            <w:pPr>
              <w:spacing w:after="0" w:line="240" w:lineRule="auto"/>
              <w:jc w:val="right"/>
              <w:rPr>
                <w:rFonts w:ascii="Times New Roman" w:hAnsi="Times New Roman"/>
                <w:sz w:val="16"/>
                <w:szCs w:val="16"/>
              </w:rPr>
            </w:pPr>
          </w:p>
        </w:tc>
      </w:tr>
      <w:tr w:rsidR="001C0F49" w:rsidRPr="00B16C4D" w14:paraId="16D118A0" w14:textId="77777777" w:rsidTr="00AE2189">
        <w:trPr>
          <w:trHeight w:val="204"/>
        </w:trPr>
        <w:tc>
          <w:tcPr>
            <w:tcW w:w="2038" w:type="pct"/>
            <w:tcBorders>
              <w:top w:val="nil"/>
              <w:left w:val="nil"/>
              <w:bottom w:val="nil"/>
              <w:right w:val="nil"/>
            </w:tcBorders>
            <w:shd w:val="clear" w:color="auto" w:fill="auto"/>
            <w:noWrap/>
            <w:vAlign w:val="bottom"/>
            <w:hideMark/>
          </w:tcPr>
          <w:p w14:paraId="558BCD1D" w14:textId="77777777" w:rsidR="001C0F49" w:rsidRPr="00B16C4D" w:rsidRDefault="001C0F49" w:rsidP="00293BD0">
            <w:pPr>
              <w:spacing w:after="0" w:line="240" w:lineRule="auto"/>
              <w:ind w:left="113"/>
              <w:rPr>
                <w:rFonts w:ascii="Arial" w:hAnsi="Arial" w:cs="Arial"/>
                <w:sz w:val="16"/>
                <w:szCs w:val="16"/>
              </w:rPr>
            </w:pPr>
            <w:r w:rsidRPr="00B16C4D">
              <w:rPr>
                <w:rFonts w:ascii="Arial" w:hAnsi="Arial" w:cs="Arial"/>
                <w:sz w:val="16"/>
                <w:szCs w:val="16"/>
              </w:rPr>
              <w:t>Funded by capital appropriations</w:t>
            </w:r>
            <w:r w:rsidRPr="00B16C4D">
              <w:rPr>
                <w:rFonts w:ascii="Arial" w:hAnsi="Arial" w:cs="Arial"/>
                <w:sz w:val="16"/>
                <w:szCs w:val="16"/>
                <w:vertAlign w:val="superscript"/>
              </w:rPr>
              <w:t xml:space="preserve"> (a)</w:t>
            </w:r>
          </w:p>
        </w:tc>
        <w:tc>
          <w:tcPr>
            <w:tcW w:w="631" w:type="pct"/>
            <w:tcBorders>
              <w:top w:val="nil"/>
              <w:left w:val="nil"/>
              <w:bottom w:val="nil"/>
              <w:right w:val="nil"/>
            </w:tcBorders>
            <w:shd w:val="clear" w:color="auto" w:fill="auto"/>
            <w:noWrap/>
            <w:vAlign w:val="bottom"/>
            <w:hideMark/>
          </w:tcPr>
          <w:p w14:paraId="6F48AE25" w14:textId="77777777" w:rsidR="001C0F49" w:rsidRPr="00B16C4D" w:rsidRDefault="001C0F49" w:rsidP="00293BD0">
            <w:pPr>
              <w:spacing w:after="0" w:line="240" w:lineRule="auto"/>
              <w:jc w:val="right"/>
              <w:rPr>
                <w:rFonts w:ascii="Arial" w:hAnsi="Arial" w:cs="Arial"/>
                <w:sz w:val="16"/>
                <w:szCs w:val="16"/>
              </w:rPr>
            </w:pPr>
            <w:r w:rsidRPr="00B16C4D">
              <w:rPr>
                <w:rFonts w:ascii="Arial" w:hAnsi="Arial" w:cs="Arial"/>
                <w:sz w:val="16"/>
                <w:szCs w:val="16"/>
              </w:rPr>
              <w:t>3,835</w:t>
            </w:r>
          </w:p>
        </w:tc>
        <w:tc>
          <w:tcPr>
            <w:tcW w:w="582" w:type="pct"/>
            <w:tcBorders>
              <w:top w:val="nil"/>
              <w:left w:val="nil"/>
              <w:bottom w:val="nil"/>
              <w:right w:val="nil"/>
            </w:tcBorders>
            <w:shd w:val="clear" w:color="auto" w:fill="E6E6E6"/>
            <w:noWrap/>
            <w:vAlign w:val="bottom"/>
            <w:hideMark/>
          </w:tcPr>
          <w:p w14:paraId="524DAEC3" w14:textId="77777777" w:rsidR="001C0F49" w:rsidRPr="00B16C4D" w:rsidRDefault="001C0F49" w:rsidP="00293BD0">
            <w:pPr>
              <w:spacing w:after="0" w:line="240" w:lineRule="auto"/>
              <w:jc w:val="right"/>
              <w:rPr>
                <w:rFonts w:ascii="Arial" w:hAnsi="Arial" w:cs="Arial"/>
                <w:iCs/>
                <w:sz w:val="16"/>
                <w:szCs w:val="16"/>
              </w:rPr>
            </w:pPr>
            <w:r w:rsidRPr="00B16C4D">
              <w:rPr>
                <w:rFonts w:ascii="Arial" w:hAnsi="Arial" w:cs="Arial"/>
                <w:iCs/>
                <w:sz w:val="16"/>
                <w:szCs w:val="16"/>
              </w:rPr>
              <w:t>4,414</w:t>
            </w:r>
          </w:p>
        </w:tc>
        <w:tc>
          <w:tcPr>
            <w:tcW w:w="583" w:type="pct"/>
            <w:tcBorders>
              <w:top w:val="nil"/>
              <w:left w:val="nil"/>
              <w:bottom w:val="nil"/>
              <w:right w:val="nil"/>
            </w:tcBorders>
            <w:shd w:val="clear" w:color="auto" w:fill="auto"/>
            <w:noWrap/>
            <w:vAlign w:val="bottom"/>
            <w:hideMark/>
          </w:tcPr>
          <w:p w14:paraId="09364948" w14:textId="77777777" w:rsidR="001C0F49" w:rsidRPr="00B16C4D" w:rsidRDefault="001C0F49" w:rsidP="00293BD0">
            <w:pPr>
              <w:spacing w:after="0" w:line="240" w:lineRule="auto"/>
              <w:jc w:val="right"/>
              <w:rPr>
                <w:rFonts w:ascii="Arial" w:hAnsi="Arial" w:cs="Arial"/>
                <w:sz w:val="16"/>
                <w:szCs w:val="16"/>
              </w:rPr>
            </w:pPr>
            <w:r w:rsidRPr="00B16C4D">
              <w:rPr>
                <w:rFonts w:ascii="Arial" w:hAnsi="Arial" w:cs="Arial"/>
                <w:sz w:val="16"/>
                <w:szCs w:val="16"/>
              </w:rPr>
              <w:t>3,069</w:t>
            </w:r>
          </w:p>
        </w:tc>
        <w:tc>
          <w:tcPr>
            <w:tcW w:w="583" w:type="pct"/>
            <w:tcBorders>
              <w:top w:val="nil"/>
              <w:left w:val="nil"/>
              <w:bottom w:val="nil"/>
              <w:right w:val="nil"/>
            </w:tcBorders>
            <w:shd w:val="clear" w:color="auto" w:fill="auto"/>
            <w:noWrap/>
            <w:vAlign w:val="bottom"/>
            <w:hideMark/>
          </w:tcPr>
          <w:p w14:paraId="02A60BDA" w14:textId="77777777" w:rsidR="001C0F49" w:rsidRPr="00B16C4D" w:rsidRDefault="001C0F49" w:rsidP="00293BD0">
            <w:pPr>
              <w:spacing w:after="0" w:line="240" w:lineRule="auto"/>
              <w:jc w:val="right"/>
              <w:rPr>
                <w:rFonts w:ascii="Arial" w:hAnsi="Arial" w:cs="Arial"/>
                <w:sz w:val="16"/>
                <w:szCs w:val="16"/>
              </w:rPr>
            </w:pPr>
            <w:r w:rsidRPr="00B16C4D">
              <w:rPr>
                <w:rFonts w:ascii="Arial" w:hAnsi="Arial" w:cs="Arial"/>
                <w:sz w:val="16"/>
                <w:szCs w:val="16"/>
              </w:rPr>
              <w:t>1,246</w:t>
            </w:r>
          </w:p>
        </w:tc>
        <w:tc>
          <w:tcPr>
            <w:tcW w:w="583" w:type="pct"/>
            <w:tcBorders>
              <w:top w:val="nil"/>
              <w:left w:val="nil"/>
              <w:bottom w:val="nil"/>
              <w:right w:val="nil"/>
            </w:tcBorders>
            <w:shd w:val="clear" w:color="auto" w:fill="auto"/>
            <w:noWrap/>
            <w:vAlign w:val="bottom"/>
            <w:hideMark/>
          </w:tcPr>
          <w:p w14:paraId="3721629E" w14:textId="77777777" w:rsidR="001C0F49" w:rsidRPr="00B16C4D" w:rsidRDefault="001C0F49" w:rsidP="00293BD0">
            <w:pPr>
              <w:spacing w:after="0" w:line="240" w:lineRule="auto"/>
              <w:jc w:val="right"/>
              <w:rPr>
                <w:rFonts w:ascii="Arial" w:hAnsi="Arial" w:cs="Arial"/>
                <w:sz w:val="16"/>
                <w:szCs w:val="16"/>
              </w:rPr>
            </w:pPr>
            <w:r w:rsidRPr="00B16C4D">
              <w:rPr>
                <w:rFonts w:ascii="Arial" w:hAnsi="Arial" w:cs="Arial"/>
                <w:sz w:val="16"/>
                <w:szCs w:val="16"/>
              </w:rPr>
              <w:t>215</w:t>
            </w:r>
          </w:p>
        </w:tc>
      </w:tr>
      <w:tr w:rsidR="001C0F49" w:rsidRPr="00BB2C77" w14:paraId="0E52530B" w14:textId="77777777" w:rsidTr="00AE2189">
        <w:trPr>
          <w:trHeight w:val="204"/>
        </w:trPr>
        <w:tc>
          <w:tcPr>
            <w:tcW w:w="2038" w:type="pct"/>
            <w:tcBorders>
              <w:top w:val="nil"/>
              <w:left w:val="nil"/>
              <w:bottom w:val="nil"/>
              <w:right w:val="nil"/>
            </w:tcBorders>
            <w:shd w:val="clear" w:color="auto" w:fill="auto"/>
            <w:vAlign w:val="bottom"/>
            <w:hideMark/>
          </w:tcPr>
          <w:p w14:paraId="6EAA78B4" w14:textId="77777777" w:rsidR="001C0F49" w:rsidRPr="00BB2C77" w:rsidRDefault="001C0F49" w:rsidP="00293BD0">
            <w:pPr>
              <w:spacing w:after="0" w:line="240" w:lineRule="auto"/>
              <w:ind w:left="113"/>
              <w:rPr>
                <w:rFonts w:ascii="Arial" w:hAnsi="Arial" w:cs="Arial"/>
                <w:sz w:val="16"/>
                <w:szCs w:val="16"/>
              </w:rPr>
            </w:pPr>
            <w:r w:rsidRPr="00BB2C77">
              <w:rPr>
                <w:rFonts w:ascii="Arial" w:hAnsi="Arial" w:cs="Arial"/>
                <w:sz w:val="16"/>
                <w:szCs w:val="16"/>
              </w:rPr>
              <w:t xml:space="preserve">Funded internally from departmental resources </w:t>
            </w:r>
            <w:r w:rsidRPr="00BB2C77">
              <w:rPr>
                <w:rFonts w:ascii="Arial" w:hAnsi="Arial" w:cs="Arial"/>
                <w:sz w:val="16"/>
                <w:szCs w:val="16"/>
                <w:vertAlign w:val="superscript"/>
              </w:rPr>
              <w:t>(</w:t>
            </w:r>
            <w:r>
              <w:rPr>
                <w:rFonts w:ascii="Arial" w:hAnsi="Arial" w:cs="Arial"/>
                <w:sz w:val="16"/>
                <w:szCs w:val="16"/>
                <w:vertAlign w:val="superscript"/>
              </w:rPr>
              <w:t>b</w:t>
            </w:r>
            <w:r w:rsidRPr="00BB2C77">
              <w:rPr>
                <w:rFonts w:ascii="Arial" w:hAnsi="Arial" w:cs="Arial"/>
                <w:sz w:val="16"/>
                <w:szCs w:val="16"/>
                <w:vertAlign w:val="superscript"/>
              </w:rPr>
              <w:t>)</w:t>
            </w:r>
          </w:p>
        </w:tc>
        <w:tc>
          <w:tcPr>
            <w:tcW w:w="631" w:type="pct"/>
            <w:tcBorders>
              <w:top w:val="nil"/>
              <w:left w:val="nil"/>
              <w:bottom w:val="nil"/>
              <w:right w:val="nil"/>
            </w:tcBorders>
            <w:shd w:val="clear" w:color="auto" w:fill="auto"/>
            <w:noWrap/>
            <w:vAlign w:val="bottom"/>
            <w:hideMark/>
          </w:tcPr>
          <w:p w14:paraId="1CE595A4"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82" w:type="pct"/>
            <w:tcBorders>
              <w:top w:val="nil"/>
              <w:left w:val="nil"/>
              <w:bottom w:val="nil"/>
              <w:right w:val="nil"/>
            </w:tcBorders>
            <w:shd w:val="clear" w:color="auto" w:fill="E6E6E6"/>
            <w:noWrap/>
            <w:vAlign w:val="bottom"/>
            <w:hideMark/>
          </w:tcPr>
          <w:p w14:paraId="2EAA7EFC"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2,100</w:t>
            </w:r>
          </w:p>
        </w:tc>
        <w:tc>
          <w:tcPr>
            <w:tcW w:w="583" w:type="pct"/>
            <w:tcBorders>
              <w:top w:val="nil"/>
              <w:left w:val="nil"/>
              <w:bottom w:val="nil"/>
              <w:right w:val="nil"/>
            </w:tcBorders>
            <w:shd w:val="clear" w:color="auto" w:fill="auto"/>
            <w:noWrap/>
            <w:vAlign w:val="bottom"/>
            <w:hideMark/>
          </w:tcPr>
          <w:p w14:paraId="5DD64B2F"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2,658</w:t>
            </w:r>
          </w:p>
        </w:tc>
        <w:tc>
          <w:tcPr>
            <w:tcW w:w="583" w:type="pct"/>
            <w:tcBorders>
              <w:top w:val="nil"/>
              <w:left w:val="nil"/>
              <w:bottom w:val="nil"/>
              <w:right w:val="nil"/>
            </w:tcBorders>
            <w:shd w:val="clear" w:color="auto" w:fill="auto"/>
            <w:noWrap/>
            <w:vAlign w:val="bottom"/>
            <w:hideMark/>
          </w:tcPr>
          <w:p w14:paraId="010F286A"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2,658</w:t>
            </w:r>
          </w:p>
        </w:tc>
        <w:tc>
          <w:tcPr>
            <w:tcW w:w="583" w:type="pct"/>
            <w:tcBorders>
              <w:top w:val="nil"/>
              <w:left w:val="nil"/>
              <w:bottom w:val="nil"/>
              <w:right w:val="nil"/>
            </w:tcBorders>
            <w:shd w:val="clear" w:color="auto" w:fill="auto"/>
            <w:noWrap/>
            <w:vAlign w:val="bottom"/>
            <w:hideMark/>
          </w:tcPr>
          <w:p w14:paraId="3D8E11EC"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2,075</w:t>
            </w:r>
          </w:p>
        </w:tc>
      </w:tr>
      <w:tr w:rsidR="001C0F49" w:rsidRPr="00BB2C77" w14:paraId="3B4E9217" w14:textId="77777777" w:rsidTr="00AE2189">
        <w:trPr>
          <w:trHeight w:val="204"/>
        </w:trPr>
        <w:tc>
          <w:tcPr>
            <w:tcW w:w="2038" w:type="pct"/>
            <w:tcBorders>
              <w:top w:val="nil"/>
              <w:left w:val="nil"/>
              <w:bottom w:val="single" w:sz="4" w:space="0" w:color="auto"/>
              <w:right w:val="nil"/>
            </w:tcBorders>
            <w:shd w:val="clear" w:color="auto" w:fill="auto"/>
            <w:noWrap/>
            <w:vAlign w:val="bottom"/>
            <w:hideMark/>
          </w:tcPr>
          <w:p w14:paraId="074896CE" w14:textId="77777777" w:rsidR="001C0F49" w:rsidRPr="00BB2C77" w:rsidRDefault="001C0F49" w:rsidP="00293BD0">
            <w:pPr>
              <w:spacing w:after="0" w:line="240" w:lineRule="auto"/>
              <w:rPr>
                <w:rFonts w:ascii="Arial" w:hAnsi="Arial" w:cs="Arial"/>
                <w:b/>
                <w:bCs/>
                <w:sz w:val="16"/>
                <w:szCs w:val="16"/>
              </w:rPr>
            </w:pPr>
            <w:r w:rsidRPr="00BB2C77">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14:paraId="06CE0D18"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3,835</w:t>
            </w:r>
          </w:p>
        </w:tc>
        <w:tc>
          <w:tcPr>
            <w:tcW w:w="582" w:type="pct"/>
            <w:tcBorders>
              <w:top w:val="single" w:sz="4" w:space="0" w:color="auto"/>
              <w:left w:val="nil"/>
              <w:bottom w:val="single" w:sz="4" w:space="0" w:color="auto"/>
              <w:right w:val="nil"/>
            </w:tcBorders>
            <w:shd w:val="clear" w:color="auto" w:fill="E6E6E6"/>
            <w:noWrap/>
            <w:vAlign w:val="bottom"/>
            <w:hideMark/>
          </w:tcPr>
          <w:p w14:paraId="29D9044C"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6,514</w:t>
            </w:r>
          </w:p>
        </w:tc>
        <w:tc>
          <w:tcPr>
            <w:tcW w:w="583" w:type="pct"/>
            <w:tcBorders>
              <w:top w:val="single" w:sz="4" w:space="0" w:color="auto"/>
              <w:left w:val="nil"/>
              <w:bottom w:val="single" w:sz="4" w:space="0" w:color="auto"/>
              <w:right w:val="nil"/>
            </w:tcBorders>
            <w:shd w:val="clear" w:color="auto" w:fill="auto"/>
            <w:noWrap/>
            <w:vAlign w:val="bottom"/>
            <w:hideMark/>
          </w:tcPr>
          <w:p w14:paraId="0586A264"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5,727</w:t>
            </w:r>
          </w:p>
        </w:tc>
        <w:tc>
          <w:tcPr>
            <w:tcW w:w="583" w:type="pct"/>
            <w:tcBorders>
              <w:top w:val="single" w:sz="4" w:space="0" w:color="auto"/>
              <w:left w:val="nil"/>
              <w:bottom w:val="single" w:sz="4" w:space="0" w:color="auto"/>
              <w:right w:val="nil"/>
            </w:tcBorders>
            <w:shd w:val="clear" w:color="auto" w:fill="auto"/>
            <w:noWrap/>
            <w:vAlign w:val="bottom"/>
            <w:hideMark/>
          </w:tcPr>
          <w:p w14:paraId="19109472"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3,904</w:t>
            </w:r>
          </w:p>
        </w:tc>
        <w:tc>
          <w:tcPr>
            <w:tcW w:w="583" w:type="pct"/>
            <w:tcBorders>
              <w:top w:val="single" w:sz="4" w:space="0" w:color="auto"/>
              <w:left w:val="nil"/>
              <w:bottom w:val="single" w:sz="4" w:space="0" w:color="auto"/>
              <w:right w:val="nil"/>
            </w:tcBorders>
            <w:shd w:val="clear" w:color="auto" w:fill="auto"/>
            <w:noWrap/>
            <w:vAlign w:val="bottom"/>
            <w:hideMark/>
          </w:tcPr>
          <w:p w14:paraId="2C1BA32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2,290</w:t>
            </w:r>
          </w:p>
        </w:tc>
      </w:tr>
    </w:tbl>
    <w:p w14:paraId="5047596A" w14:textId="77777777" w:rsidR="001C0F49" w:rsidRPr="00132F9E" w:rsidRDefault="001C0F49" w:rsidP="00572266">
      <w:pPr>
        <w:pStyle w:val="TableGraphic"/>
        <w:spacing w:before="60"/>
        <w:ind w:left="426" w:right="0" w:hanging="426"/>
        <w:rPr>
          <w:rFonts w:ascii="Arial" w:hAnsi="Arial" w:cs="Arial"/>
          <w:sz w:val="16"/>
          <w:szCs w:val="16"/>
        </w:rPr>
      </w:pPr>
      <w:r w:rsidRPr="00132F9E">
        <w:rPr>
          <w:rFonts w:ascii="Arial" w:hAnsi="Arial" w:cs="Arial"/>
          <w:sz w:val="16"/>
          <w:szCs w:val="16"/>
        </w:rPr>
        <w:t>Prepared on Australian Accounting Standards basis.</w:t>
      </w:r>
    </w:p>
    <w:p w14:paraId="5C3E2846" w14:textId="77777777" w:rsidR="001C0F49" w:rsidRPr="002B4BF3" w:rsidRDefault="001C0F49" w:rsidP="008D0F63">
      <w:pPr>
        <w:pStyle w:val="ChartandTableFootnoteAlpha"/>
        <w:numPr>
          <w:ilvl w:val="0"/>
          <w:numId w:val="87"/>
        </w:numPr>
        <w:tabs>
          <w:tab w:val="clear" w:pos="284"/>
          <w:tab w:val="num" w:pos="426"/>
        </w:tabs>
        <w:ind w:left="426" w:hanging="426"/>
        <w:rPr>
          <w:rFonts w:cs="Arial"/>
          <w:szCs w:val="16"/>
        </w:rPr>
      </w:pPr>
      <w:r w:rsidRPr="002B4BF3">
        <w:rPr>
          <w:rFonts w:cs="Arial"/>
          <w:szCs w:val="16"/>
        </w:rPr>
        <w:t>Includes both current Bill 2 and prior Act 2/4/6 appropriations.</w:t>
      </w:r>
    </w:p>
    <w:p w14:paraId="579BED6E" w14:textId="77777777" w:rsidR="001C0F49" w:rsidRPr="000F37E6" w:rsidRDefault="001C0F49" w:rsidP="00572266">
      <w:pPr>
        <w:pStyle w:val="ChartandTableFootnoteAlpha"/>
        <w:numPr>
          <w:ilvl w:val="0"/>
          <w:numId w:val="8"/>
        </w:numPr>
        <w:tabs>
          <w:tab w:val="clear" w:pos="284"/>
          <w:tab w:val="num" w:pos="426"/>
        </w:tabs>
        <w:spacing w:after="20"/>
        <w:ind w:left="426" w:hanging="426"/>
      </w:pPr>
      <w:r>
        <w:t>Includes the following s74 external</w:t>
      </w:r>
      <w:r w:rsidDel="005013B5">
        <w:t xml:space="preserve"> </w:t>
      </w:r>
      <w:r>
        <w:t>receipts: sponsorship, subsidy, gifts or similar contribution;</w:t>
      </w:r>
      <w:r w:rsidRPr="000F37E6">
        <w:t xml:space="preserve"> internally developed assets;</w:t>
      </w:r>
      <w:r>
        <w:t xml:space="preserve"> and proceeds from the sale of assets. </w:t>
      </w:r>
    </w:p>
    <w:p w14:paraId="13F0734C" w14:textId="77777777" w:rsidR="001C0F49" w:rsidRDefault="001C0F49" w:rsidP="001C0F49">
      <w:pPr>
        <w:spacing w:after="0" w:line="240" w:lineRule="auto"/>
        <w:rPr>
          <w:rFonts w:ascii="Arial" w:hAnsi="Arial"/>
          <w:b/>
          <w:color w:val="000000"/>
          <w:lang w:val="x-none" w:eastAsia="x-none"/>
        </w:rPr>
      </w:pPr>
      <w:r>
        <w:br w:type="page"/>
      </w:r>
    </w:p>
    <w:p w14:paraId="0A83F863" w14:textId="77777777" w:rsidR="001C0F49" w:rsidRDefault="001C0F49" w:rsidP="001C0F49">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5000" w:type="pct"/>
        <w:tblLook w:val="04A0" w:firstRow="1" w:lastRow="0" w:firstColumn="1" w:lastColumn="0" w:noHBand="0" w:noVBand="1"/>
      </w:tblPr>
      <w:tblGrid>
        <w:gridCol w:w="3131"/>
        <w:gridCol w:w="881"/>
        <w:gridCol w:w="970"/>
        <w:gridCol w:w="823"/>
        <w:gridCol w:w="1025"/>
        <w:gridCol w:w="880"/>
      </w:tblGrid>
      <w:tr w:rsidR="001C0F49" w:rsidRPr="008D110A" w14:paraId="63C84738" w14:textId="77777777" w:rsidTr="00293BD0">
        <w:trPr>
          <w:trHeight w:val="204"/>
        </w:trPr>
        <w:tc>
          <w:tcPr>
            <w:tcW w:w="2030" w:type="pct"/>
            <w:tcBorders>
              <w:top w:val="single" w:sz="4" w:space="0" w:color="auto"/>
              <w:left w:val="nil"/>
              <w:bottom w:val="nil"/>
              <w:right w:val="nil"/>
            </w:tcBorders>
            <w:shd w:val="clear" w:color="auto" w:fill="auto"/>
            <w:noWrap/>
            <w:vAlign w:val="bottom"/>
            <w:hideMark/>
          </w:tcPr>
          <w:p w14:paraId="03DCB646" w14:textId="77777777" w:rsidR="001C0F49" w:rsidRPr="008D110A" w:rsidRDefault="001C0F49" w:rsidP="00293BD0">
            <w:pPr>
              <w:spacing w:after="0" w:line="240" w:lineRule="auto"/>
              <w:rPr>
                <w:rFonts w:ascii="Arial" w:hAnsi="Arial" w:cs="Arial"/>
                <w:sz w:val="16"/>
                <w:szCs w:val="16"/>
              </w:rPr>
            </w:pPr>
            <w:r w:rsidRPr="008D110A">
              <w:rPr>
                <w:rFonts w:ascii="Arial" w:hAnsi="Arial" w:cs="Arial"/>
                <w:sz w:val="16"/>
                <w:szCs w:val="16"/>
              </w:rPr>
              <w:t> </w:t>
            </w:r>
          </w:p>
        </w:tc>
        <w:tc>
          <w:tcPr>
            <w:tcW w:w="571" w:type="pct"/>
            <w:tcBorders>
              <w:top w:val="single" w:sz="4" w:space="0" w:color="auto"/>
              <w:left w:val="nil"/>
              <w:bottom w:val="single" w:sz="4" w:space="0" w:color="auto"/>
              <w:right w:val="nil"/>
            </w:tcBorders>
            <w:shd w:val="clear" w:color="auto" w:fill="auto"/>
            <w:vAlign w:val="bottom"/>
            <w:hideMark/>
          </w:tcPr>
          <w:p w14:paraId="454959C5" w14:textId="77777777" w:rsidR="001C0F49" w:rsidRPr="008D110A" w:rsidRDefault="001C0F49" w:rsidP="00293BD0">
            <w:pPr>
              <w:spacing w:after="0" w:line="240" w:lineRule="auto"/>
              <w:jc w:val="right"/>
              <w:rPr>
                <w:rFonts w:ascii="Arial" w:hAnsi="Arial" w:cs="Arial"/>
                <w:sz w:val="16"/>
                <w:szCs w:val="16"/>
              </w:rPr>
            </w:pPr>
            <w:r w:rsidRPr="008D110A">
              <w:rPr>
                <w:rFonts w:ascii="Arial" w:hAnsi="Arial" w:cs="Arial"/>
                <w:sz w:val="16"/>
                <w:szCs w:val="16"/>
              </w:rPr>
              <w:t>Buildings</w:t>
            </w:r>
            <w:r w:rsidRPr="008D110A">
              <w:rPr>
                <w:rFonts w:ascii="Arial" w:hAnsi="Arial" w:cs="Arial"/>
                <w:sz w:val="16"/>
                <w:szCs w:val="16"/>
              </w:rPr>
              <w:br/>
            </w:r>
            <w:r w:rsidRPr="008D110A">
              <w:rPr>
                <w:rFonts w:ascii="Arial" w:hAnsi="Arial" w:cs="Arial"/>
                <w:sz w:val="16"/>
                <w:szCs w:val="16"/>
              </w:rPr>
              <w:br/>
            </w:r>
            <w:r w:rsidRPr="008D110A">
              <w:rPr>
                <w:rFonts w:ascii="Arial" w:hAnsi="Arial" w:cs="Arial"/>
                <w:sz w:val="16"/>
                <w:szCs w:val="16"/>
              </w:rPr>
              <w:br/>
            </w:r>
            <w:r w:rsidRPr="008D110A">
              <w:rPr>
                <w:rFonts w:ascii="Arial" w:hAnsi="Arial" w:cs="Arial"/>
                <w:sz w:val="16"/>
                <w:szCs w:val="16"/>
              </w:rPr>
              <w:br/>
              <w:t>$'000</w:t>
            </w:r>
          </w:p>
        </w:tc>
        <w:tc>
          <w:tcPr>
            <w:tcW w:w="629" w:type="pct"/>
            <w:tcBorders>
              <w:top w:val="single" w:sz="4" w:space="0" w:color="auto"/>
              <w:left w:val="nil"/>
              <w:bottom w:val="single" w:sz="4" w:space="0" w:color="auto"/>
              <w:right w:val="nil"/>
            </w:tcBorders>
            <w:shd w:val="clear" w:color="auto" w:fill="auto"/>
            <w:vAlign w:val="bottom"/>
            <w:hideMark/>
          </w:tcPr>
          <w:p w14:paraId="2A05B934" w14:textId="77777777" w:rsidR="001C0F49" w:rsidRPr="008D110A" w:rsidRDefault="001C0F49" w:rsidP="00293BD0">
            <w:pPr>
              <w:spacing w:after="0" w:line="240" w:lineRule="auto"/>
              <w:jc w:val="right"/>
              <w:rPr>
                <w:rFonts w:ascii="Arial" w:hAnsi="Arial" w:cs="Arial"/>
                <w:sz w:val="16"/>
                <w:szCs w:val="16"/>
              </w:rPr>
            </w:pPr>
            <w:r w:rsidRPr="008D110A">
              <w:rPr>
                <w:rFonts w:ascii="Arial" w:hAnsi="Arial" w:cs="Arial"/>
                <w:sz w:val="16"/>
                <w:szCs w:val="16"/>
              </w:rPr>
              <w:t>Other</w:t>
            </w:r>
            <w:r w:rsidRPr="008D110A">
              <w:rPr>
                <w:rFonts w:ascii="Arial" w:hAnsi="Arial" w:cs="Arial"/>
                <w:sz w:val="16"/>
                <w:szCs w:val="16"/>
              </w:rPr>
              <w:br/>
              <w:t>property,</w:t>
            </w:r>
            <w:r w:rsidRPr="008D110A">
              <w:rPr>
                <w:rFonts w:ascii="Arial" w:hAnsi="Arial" w:cs="Arial"/>
                <w:sz w:val="16"/>
                <w:szCs w:val="16"/>
              </w:rPr>
              <w:br/>
              <w:t>plant and</w:t>
            </w:r>
            <w:r w:rsidRPr="008D110A">
              <w:rPr>
                <w:rFonts w:ascii="Arial" w:hAnsi="Arial" w:cs="Arial"/>
                <w:sz w:val="16"/>
                <w:szCs w:val="16"/>
              </w:rPr>
              <w:br/>
              <w:t>equipment</w:t>
            </w:r>
            <w:r w:rsidRPr="008D110A">
              <w:rPr>
                <w:rFonts w:ascii="Arial" w:hAnsi="Arial" w:cs="Arial"/>
                <w:sz w:val="16"/>
                <w:szCs w:val="16"/>
              </w:rPr>
              <w:br/>
              <w:t>$'000</w:t>
            </w:r>
          </w:p>
        </w:tc>
        <w:tc>
          <w:tcPr>
            <w:tcW w:w="534" w:type="pct"/>
            <w:tcBorders>
              <w:top w:val="single" w:sz="4" w:space="0" w:color="auto"/>
              <w:left w:val="nil"/>
              <w:bottom w:val="single" w:sz="4" w:space="0" w:color="auto"/>
              <w:right w:val="nil"/>
            </w:tcBorders>
            <w:shd w:val="clear" w:color="auto" w:fill="auto"/>
            <w:vAlign w:val="bottom"/>
            <w:hideMark/>
          </w:tcPr>
          <w:p w14:paraId="389EC32D" w14:textId="77777777" w:rsidR="001C0F49" w:rsidRPr="008D110A" w:rsidRDefault="001C0F49" w:rsidP="00293BD0">
            <w:pPr>
              <w:spacing w:after="0" w:line="240" w:lineRule="auto"/>
              <w:jc w:val="right"/>
              <w:rPr>
                <w:rFonts w:ascii="Arial" w:hAnsi="Arial" w:cs="Arial"/>
                <w:sz w:val="16"/>
                <w:szCs w:val="16"/>
              </w:rPr>
            </w:pPr>
            <w:r w:rsidRPr="008D110A">
              <w:rPr>
                <w:rFonts w:ascii="Arial" w:hAnsi="Arial" w:cs="Arial"/>
                <w:sz w:val="16"/>
                <w:szCs w:val="16"/>
              </w:rPr>
              <w:t>Heritage</w:t>
            </w:r>
            <w:r w:rsidRPr="008D110A">
              <w:rPr>
                <w:rFonts w:ascii="Arial" w:hAnsi="Arial" w:cs="Arial"/>
                <w:sz w:val="16"/>
                <w:szCs w:val="16"/>
              </w:rPr>
              <w:br/>
              <w:t>and</w:t>
            </w:r>
            <w:r w:rsidRPr="008D110A">
              <w:rPr>
                <w:rFonts w:ascii="Arial" w:hAnsi="Arial" w:cs="Arial"/>
                <w:sz w:val="16"/>
                <w:szCs w:val="16"/>
              </w:rPr>
              <w:br/>
              <w:t>cultural</w:t>
            </w:r>
            <w:r w:rsidRPr="008D110A">
              <w:rPr>
                <w:rFonts w:ascii="Arial" w:hAnsi="Arial" w:cs="Arial"/>
                <w:sz w:val="16"/>
                <w:szCs w:val="16"/>
              </w:rPr>
              <w:br/>
            </w:r>
            <w:r w:rsidRPr="008D110A">
              <w:rPr>
                <w:rFonts w:ascii="Arial" w:hAnsi="Arial" w:cs="Arial"/>
                <w:sz w:val="16"/>
                <w:szCs w:val="16"/>
              </w:rPr>
              <w:br/>
              <w:t>$'000</w:t>
            </w:r>
          </w:p>
        </w:tc>
        <w:tc>
          <w:tcPr>
            <w:tcW w:w="665" w:type="pct"/>
            <w:tcBorders>
              <w:top w:val="single" w:sz="4" w:space="0" w:color="auto"/>
              <w:left w:val="nil"/>
              <w:bottom w:val="single" w:sz="4" w:space="0" w:color="auto"/>
              <w:right w:val="nil"/>
            </w:tcBorders>
            <w:shd w:val="clear" w:color="auto" w:fill="auto"/>
            <w:vAlign w:val="bottom"/>
            <w:hideMark/>
          </w:tcPr>
          <w:p w14:paraId="3DB27388" w14:textId="77777777" w:rsidR="001C0F49" w:rsidRPr="008D110A" w:rsidRDefault="001C0F49" w:rsidP="00293BD0">
            <w:pPr>
              <w:spacing w:after="0" w:line="240" w:lineRule="auto"/>
              <w:jc w:val="right"/>
              <w:rPr>
                <w:rFonts w:ascii="Arial" w:hAnsi="Arial" w:cs="Arial"/>
                <w:sz w:val="16"/>
                <w:szCs w:val="16"/>
              </w:rPr>
            </w:pPr>
            <w:r w:rsidRPr="008D110A">
              <w:rPr>
                <w:rFonts w:ascii="Arial" w:hAnsi="Arial" w:cs="Arial"/>
                <w:sz w:val="16"/>
                <w:szCs w:val="16"/>
              </w:rPr>
              <w:t>Computer</w:t>
            </w:r>
            <w:r w:rsidRPr="008D110A">
              <w:rPr>
                <w:rFonts w:ascii="Arial" w:hAnsi="Arial" w:cs="Arial"/>
                <w:sz w:val="16"/>
                <w:szCs w:val="16"/>
              </w:rPr>
              <w:br/>
              <w:t>software and</w:t>
            </w:r>
            <w:r w:rsidRPr="008D110A">
              <w:rPr>
                <w:rFonts w:ascii="Arial" w:hAnsi="Arial" w:cs="Arial"/>
                <w:sz w:val="16"/>
                <w:szCs w:val="16"/>
              </w:rPr>
              <w:br/>
              <w:t>intangibles</w:t>
            </w:r>
            <w:r w:rsidRPr="008D110A">
              <w:rPr>
                <w:rFonts w:ascii="Arial" w:hAnsi="Arial" w:cs="Arial"/>
                <w:sz w:val="16"/>
                <w:szCs w:val="16"/>
              </w:rPr>
              <w:br/>
            </w:r>
            <w:r>
              <w:rPr>
                <w:rFonts w:ascii="Arial" w:hAnsi="Arial" w:cs="Arial"/>
                <w:sz w:val="16"/>
                <w:szCs w:val="16"/>
              </w:rPr>
              <w:t>$’000</w:t>
            </w:r>
          </w:p>
        </w:tc>
        <w:tc>
          <w:tcPr>
            <w:tcW w:w="571" w:type="pct"/>
            <w:tcBorders>
              <w:top w:val="single" w:sz="4" w:space="0" w:color="auto"/>
              <w:left w:val="nil"/>
              <w:bottom w:val="single" w:sz="4" w:space="0" w:color="auto"/>
              <w:right w:val="nil"/>
            </w:tcBorders>
            <w:shd w:val="clear" w:color="auto" w:fill="auto"/>
            <w:vAlign w:val="bottom"/>
            <w:hideMark/>
          </w:tcPr>
          <w:p w14:paraId="02070E9D" w14:textId="77777777" w:rsidR="001C0F49" w:rsidRPr="008D110A" w:rsidRDefault="001C0F49" w:rsidP="00293BD0">
            <w:pPr>
              <w:spacing w:after="0" w:line="240" w:lineRule="auto"/>
              <w:jc w:val="right"/>
              <w:rPr>
                <w:rFonts w:ascii="Arial" w:hAnsi="Arial" w:cs="Arial"/>
                <w:sz w:val="16"/>
                <w:szCs w:val="16"/>
              </w:rPr>
            </w:pPr>
            <w:r w:rsidRPr="008D110A">
              <w:rPr>
                <w:rFonts w:ascii="Arial" w:hAnsi="Arial" w:cs="Arial"/>
                <w:sz w:val="16"/>
                <w:szCs w:val="16"/>
              </w:rPr>
              <w:t>Total</w:t>
            </w:r>
            <w:r w:rsidRPr="008D110A">
              <w:rPr>
                <w:rFonts w:ascii="Arial" w:hAnsi="Arial" w:cs="Arial"/>
                <w:sz w:val="16"/>
                <w:szCs w:val="16"/>
              </w:rPr>
              <w:br/>
            </w:r>
            <w:r w:rsidRPr="008D110A">
              <w:rPr>
                <w:rFonts w:ascii="Arial" w:hAnsi="Arial" w:cs="Arial"/>
                <w:sz w:val="16"/>
                <w:szCs w:val="16"/>
              </w:rPr>
              <w:br/>
            </w:r>
            <w:r w:rsidRPr="008D110A">
              <w:rPr>
                <w:rFonts w:ascii="Arial" w:hAnsi="Arial" w:cs="Arial"/>
                <w:sz w:val="16"/>
                <w:szCs w:val="16"/>
              </w:rPr>
              <w:br/>
            </w:r>
            <w:r w:rsidRPr="008D110A">
              <w:rPr>
                <w:rFonts w:ascii="Arial" w:hAnsi="Arial" w:cs="Arial"/>
                <w:sz w:val="16"/>
                <w:szCs w:val="16"/>
              </w:rPr>
              <w:br/>
              <w:t>$'000</w:t>
            </w:r>
          </w:p>
        </w:tc>
      </w:tr>
      <w:tr w:rsidR="001C0F49" w:rsidRPr="008D110A" w14:paraId="0DC1AEF8" w14:textId="77777777" w:rsidTr="00293BD0">
        <w:trPr>
          <w:trHeight w:val="204"/>
        </w:trPr>
        <w:tc>
          <w:tcPr>
            <w:tcW w:w="2030" w:type="pct"/>
            <w:tcBorders>
              <w:top w:val="nil"/>
              <w:left w:val="nil"/>
              <w:bottom w:val="nil"/>
              <w:right w:val="nil"/>
            </w:tcBorders>
            <w:shd w:val="clear" w:color="auto" w:fill="auto"/>
            <w:vAlign w:val="bottom"/>
            <w:hideMark/>
          </w:tcPr>
          <w:p w14:paraId="1561134E" w14:textId="77777777" w:rsidR="001C0F49" w:rsidRPr="008D110A" w:rsidRDefault="001C0F49" w:rsidP="00293BD0">
            <w:pPr>
              <w:spacing w:after="0" w:line="240" w:lineRule="auto"/>
              <w:rPr>
                <w:rFonts w:ascii="Arial" w:hAnsi="Arial" w:cs="Arial"/>
                <w:b/>
                <w:bCs/>
                <w:sz w:val="16"/>
                <w:szCs w:val="16"/>
              </w:rPr>
            </w:pPr>
            <w:r w:rsidRPr="008D110A">
              <w:rPr>
                <w:rFonts w:ascii="Arial" w:hAnsi="Arial" w:cs="Arial"/>
                <w:b/>
                <w:bCs/>
                <w:sz w:val="16"/>
                <w:szCs w:val="16"/>
              </w:rPr>
              <w:t>As at 1 July 2022</w:t>
            </w:r>
          </w:p>
        </w:tc>
        <w:tc>
          <w:tcPr>
            <w:tcW w:w="571" w:type="pct"/>
            <w:tcBorders>
              <w:top w:val="nil"/>
              <w:left w:val="nil"/>
              <w:bottom w:val="nil"/>
              <w:right w:val="nil"/>
            </w:tcBorders>
            <w:shd w:val="clear" w:color="auto" w:fill="auto"/>
            <w:noWrap/>
            <w:vAlign w:val="bottom"/>
            <w:hideMark/>
          </w:tcPr>
          <w:p w14:paraId="482E474A" w14:textId="77777777" w:rsidR="001C0F49" w:rsidRPr="008D110A" w:rsidRDefault="001C0F49" w:rsidP="00293BD0">
            <w:pPr>
              <w:spacing w:after="0" w:line="240" w:lineRule="auto"/>
              <w:jc w:val="righ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3271C550" w14:textId="77777777" w:rsidR="001C0F49" w:rsidRPr="008D110A" w:rsidRDefault="001C0F49" w:rsidP="00293BD0">
            <w:pPr>
              <w:spacing w:after="0" w:line="240" w:lineRule="auto"/>
              <w:jc w:val="right"/>
              <w:rPr>
                <w:rFonts w:ascii="Times New Roman" w:hAnsi="Times New Roman"/>
              </w:rPr>
            </w:pPr>
          </w:p>
        </w:tc>
        <w:tc>
          <w:tcPr>
            <w:tcW w:w="534" w:type="pct"/>
            <w:tcBorders>
              <w:top w:val="nil"/>
              <w:left w:val="nil"/>
              <w:bottom w:val="nil"/>
              <w:right w:val="nil"/>
            </w:tcBorders>
            <w:shd w:val="clear" w:color="auto" w:fill="auto"/>
            <w:noWrap/>
            <w:vAlign w:val="bottom"/>
            <w:hideMark/>
          </w:tcPr>
          <w:p w14:paraId="51AB6953" w14:textId="77777777" w:rsidR="001C0F49" w:rsidRPr="008D110A" w:rsidRDefault="001C0F49" w:rsidP="00293BD0">
            <w:pPr>
              <w:spacing w:after="0" w:line="240" w:lineRule="auto"/>
              <w:jc w:val="right"/>
              <w:rPr>
                <w:rFonts w:ascii="Times New Roman" w:hAnsi="Times New Roman"/>
              </w:rPr>
            </w:pPr>
          </w:p>
        </w:tc>
        <w:tc>
          <w:tcPr>
            <w:tcW w:w="665" w:type="pct"/>
            <w:tcBorders>
              <w:top w:val="nil"/>
              <w:left w:val="nil"/>
              <w:bottom w:val="nil"/>
              <w:right w:val="nil"/>
            </w:tcBorders>
            <w:shd w:val="clear" w:color="auto" w:fill="auto"/>
            <w:noWrap/>
            <w:vAlign w:val="bottom"/>
            <w:hideMark/>
          </w:tcPr>
          <w:p w14:paraId="37F47822" w14:textId="77777777" w:rsidR="001C0F49" w:rsidRPr="008D110A" w:rsidRDefault="001C0F49" w:rsidP="00293BD0">
            <w:pPr>
              <w:spacing w:after="0" w:line="240" w:lineRule="auto"/>
              <w:jc w:val="right"/>
              <w:rPr>
                <w:rFonts w:ascii="Times New Roman" w:hAnsi="Times New Roman"/>
              </w:rPr>
            </w:pPr>
          </w:p>
        </w:tc>
        <w:tc>
          <w:tcPr>
            <w:tcW w:w="571" w:type="pct"/>
            <w:tcBorders>
              <w:top w:val="nil"/>
              <w:left w:val="nil"/>
              <w:bottom w:val="nil"/>
              <w:right w:val="nil"/>
            </w:tcBorders>
            <w:shd w:val="clear" w:color="auto" w:fill="auto"/>
            <w:noWrap/>
            <w:vAlign w:val="bottom"/>
            <w:hideMark/>
          </w:tcPr>
          <w:p w14:paraId="38B1882B" w14:textId="77777777" w:rsidR="001C0F49" w:rsidRPr="008D110A" w:rsidRDefault="001C0F49" w:rsidP="00293BD0">
            <w:pPr>
              <w:spacing w:after="0" w:line="240" w:lineRule="auto"/>
              <w:jc w:val="right"/>
              <w:rPr>
                <w:rFonts w:ascii="Times New Roman" w:hAnsi="Times New Roman"/>
              </w:rPr>
            </w:pPr>
          </w:p>
        </w:tc>
      </w:tr>
      <w:tr w:rsidR="001C0F49" w:rsidRPr="008D110A" w14:paraId="4A8E8871" w14:textId="77777777" w:rsidTr="00293BD0">
        <w:trPr>
          <w:trHeight w:val="204"/>
        </w:trPr>
        <w:tc>
          <w:tcPr>
            <w:tcW w:w="2030" w:type="pct"/>
            <w:tcBorders>
              <w:top w:val="nil"/>
              <w:left w:val="nil"/>
              <w:bottom w:val="nil"/>
              <w:right w:val="nil"/>
            </w:tcBorders>
            <w:shd w:val="clear" w:color="auto" w:fill="auto"/>
            <w:vAlign w:val="bottom"/>
            <w:hideMark/>
          </w:tcPr>
          <w:p w14:paraId="5A620F4C" w14:textId="77777777" w:rsidR="001C0F49" w:rsidRPr="008D110A" w:rsidRDefault="001C0F49" w:rsidP="00293BD0">
            <w:pPr>
              <w:spacing w:after="0" w:line="240" w:lineRule="auto"/>
              <w:ind w:left="193" w:hanging="80"/>
              <w:rPr>
                <w:rFonts w:ascii="Arial" w:hAnsi="Arial" w:cs="Arial"/>
                <w:sz w:val="16"/>
                <w:szCs w:val="16"/>
              </w:rPr>
            </w:pPr>
            <w:r w:rsidRPr="008D110A">
              <w:rPr>
                <w:rFonts w:ascii="Arial" w:hAnsi="Arial" w:cs="Arial"/>
                <w:sz w:val="16"/>
                <w:szCs w:val="16"/>
              </w:rPr>
              <w:t xml:space="preserve">Gross book value </w:t>
            </w:r>
          </w:p>
        </w:tc>
        <w:tc>
          <w:tcPr>
            <w:tcW w:w="571" w:type="pct"/>
            <w:tcBorders>
              <w:top w:val="nil"/>
              <w:left w:val="nil"/>
              <w:bottom w:val="nil"/>
              <w:right w:val="nil"/>
            </w:tcBorders>
            <w:shd w:val="clear" w:color="auto" w:fill="auto"/>
            <w:noWrap/>
            <w:vAlign w:val="bottom"/>
            <w:hideMark/>
          </w:tcPr>
          <w:p w14:paraId="7EF1C114" w14:textId="77777777" w:rsidR="001C0F49" w:rsidRPr="005D106D" w:rsidRDefault="001C0F49" w:rsidP="00293BD0">
            <w:pPr>
              <w:spacing w:after="0" w:line="240" w:lineRule="auto"/>
              <w:ind w:firstLineChars="100" w:firstLine="160"/>
              <w:jc w:val="right"/>
              <w:rPr>
                <w:rFonts w:ascii="Arial" w:hAnsi="Arial" w:cs="Arial"/>
                <w:sz w:val="16"/>
                <w:szCs w:val="16"/>
              </w:rPr>
            </w:pPr>
            <w:r w:rsidRPr="005D106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1B8920BE"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8,151</w:t>
            </w:r>
          </w:p>
        </w:tc>
        <w:tc>
          <w:tcPr>
            <w:tcW w:w="534" w:type="pct"/>
            <w:tcBorders>
              <w:top w:val="nil"/>
              <w:left w:val="nil"/>
              <w:bottom w:val="nil"/>
              <w:right w:val="nil"/>
            </w:tcBorders>
            <w:shd w:val="clear" w:color="auto" w:fill="auto"/>
            <w:noWrap/>
            <w:vAlign w:val="bottom"/>
            <w:hideMark/>
          </w:tcPr>
          <w:p w14:paraId="76B9D1E4"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139,730</w:t>
            </w:r>
          </w:p>
        </w:tc>
        <w:tc>
          <w:tcPr>
            <w:tcW w:w="665" w:type="pct"/>
            <w:tcBorders>
              <w:top w:val="nil"/>
              <w:left w:val="nil"/>
              <w:bottom w:val="nil"/>
              <w:right w:val="nil"/>
            </w:tcBorders>
            <w:shd w:val="clear" w:color="auto" w:fill="auto"/>
            <w:noWrap/>
            <w:vAlign w:val="bottom"/>
            <w:hideMark/>
          </w:tcPr>
          <w:p w14:paraId="51B612DC"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557</w:t>
            </w:r>
          </w:p>
        </w:tc>
        <w:tc>
          <w:tcPr>
            <w:tcW w:w="571" w:type="pct"/>
            <w:tcBorders>
              <w:top w:val="nil"/>
              <w:left w:val="nil"/>
              <w:bottom w:val="nil"/>
              <w:right w:val="nil"/>
            </w:tcBorders>
            <w:shd w:val="clear" w:color="auto" w:fill="auto"/>
            <w:noWrap/>
            <w:vAlign w:val="bottom"/>
            <w:hideMark/>
          </w:tcPr>
          <w:p w14:paraId="50FE65A7"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148,438</w:t>
            </w:r>
          </w:p>
        </w:tc>
      </w:tr>
      <w:tr w:rsidR="001C0F49" w:rsidRPr="008D110A" w14:paraId="0F207F61" w14:textId="77777777" w:rsidTr="00293BD0">
        <w:trPr>
          <w:trHeight w:val="204"/>
        </w:trPr>
        <w:tc>
          <w:tcPr>
            <w:tcW w:w="2030" w:type="pct"/>
            <w:tcBorders>
              <w:top w:val="nil"/>
              <w:left w:val="nil"/>
              <w:bottom w:val="nil"/>
              <w:right w:val="nil"/>
            </w:tcBorders>
            <w:shd w:val="clear" w:color="auto" w:fill="auto"/>
            <w:noWrap/>
            <w:vAlign w:val="bottom"/>
            <w:hideMark/>
          </w:tcPr>
          <w:p w14:paraId="5915298C" w14:textId="77777777" w:rsidR="001C0F49" w:rsidRPr="008D110A" w:rsidRDefault="001C0F49" w:rsidP="00293BD0">
            <w:pPr>
              <w:spacing w:after="0" w:line="240" w:lineRule="auto"/>
              <w:ind w:left="193" w:hanging="80"/>
              <w:rPr>
                <w:rFonts w:ascii="Arial" w:hAnsi="Arial" w:cs="Arial"/>
                <w:sz w:val="16"/>
                <w:szCs w:val="16"/>
              </w:rPr>
            </w:pPr>
            <w:r w:rsidRPr="008D110A">
              <w:rPr>
                <w:rFonts w:ascii="Arial" w:hAnsi="Arial" w:cs="Arial"/>
                <w:sz w:val="16"/>
                <w:szCs w:val="16"/>
              </w:rPr>
              <w:t>Gross book value - ROU assets</w:t>
            </w:r>
          </w:p>
        </w:tc>
        <w:tc>
          <w:tcPr>
            <w:tcW w:w="571" w:type="pct"/>
            <w:tcBorders>
              <w:top w:val="nil"/>
              <w:left w:val="nil"/>
              <w:bottom w:val="nil"/>
              <w:right w:val="nil"/>
            </w:tcBorders>
            <w:shd w:val="clear" w:color="auto" w:fill="auto"/>
            <w:noWrap/>
            <w:vAlign w:val="bottom"/>
            <w:hideMark/>
          </w:tcPr>
          <w:p w14:paraId="1BE7B92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1,768</w:t>
            </w:r>
          </w:p>
        </w:tc>
        <w:tc>
          <w:tcPr>
            <w:tcW w:w="629" w:type="pct"/>
            <w:tcBorders>
              <w:top w:val="nil"/>
              <w:left w:val="nil"/>
              <w:bottom w:val="nil"/>
              <w:right w:val="nil"/>
            </w:tcBorders>
            <w:shd w:val="clear" w:color="auto" w:fill="auto"/>
            <w:noWrap/>
            <w:vAlign w:val="bottom"/>
            <w:hideMark/>
          </w:tcPr>
          <w:p w14:paraId="23B7BA9B" w14:textId="77777777" w:rsidR="001C0F49" w:rsidRPr="005D106D" w:rsidRDefault="001C0F49" w:rsidP="00293BD0">
            <w:pPr>
              <w:spacing w:after="0" w:line="240" w:lineRule="auto"/>
              <w:jc w:val="right"/>
              <w:rPr>
                <w:rFonts w:ascii="Arial" w:hAnsi="Arial" w:cs="Arial"/>
                <w:sz w:val="16"/>
                <w:szCs w:val="16"/>
              </w:rPr>
            </w:pPr>
          </w:p>
        </w:tc>
        <w:tc>
          <w:tcPr>
            <w:tcW w:w="534" w:type="pct"/>
            <w:tcBorders>
              <w:top w:val="nil"/>
              <w:left w:val="nil"/>
              <w:bottom w:val="nil"/>
              <w:right w:val="nil"/>
            </w:tcBorders>
            <w:shd w:val="clear" w:color="auto" w:fill="auto"/>
            <w:noWrap/>
            <w:vAlign w:val="bottom"/>
            <w:hideMark/>
          </w:tcPr>
          <w:p w14:paraId="5A7E9C2E" w14:textId="77777777" w:rsidR="001C0F49" w:rsidRPr="005D106D" w:rsidRDefault="001C0F49" w:rsidP="00293BD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463A82AD" w14:textId="77777777" w:rsidR="001C0F49" w:rsidRPr="005D106D"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4DB40B40"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1,768</w:t>
            </w:r>
          </w:p>
        </w:tc>
      </w:tr>
      <w:tr w:rsidR="001C0F49" w:rsidRPr="008D110A" w14:paraId="43710C8E" w14:textId="77777777" w:rsidTr="00293BD0">
        <w:trPr>
          <w:trHeight w:val="204"/>
        </w:trPr>
        <w:tc>
          <w:tcPr>
            <w:tcW w:w="2030" w:type="pct"/>
            <w:tcBorders>
              <w:top w:val="nil"/>
              <w:left w:val="nil"/>
              <w:bottom w:val="nil"/>
              <w:right w:val="nil"/>
            </w:tcBorders>
            <w:shd w:val="clear" w:color="auto" w:fill="auto"/>
            <w:vAlign w:val="bottom"/>
            <w:hideMark/>
          </w:tcPr>
          <w:p w14:paraId="6CC359A4" w14:textId="77777777" w:rsidR="001C0F49" w:rsidRDefault="001C0F49" w:rsidP="00293BD0">
            <w:pPr>
              <w:spacing w:after="0" w:line="240" w:lineRule="auto"/>
              <w:ind w:left="287" w:hanging="174"/>
              <w:rPr>
                <w:rFonts w:ascii="Arial" w:hAnsi="Arial" w:cs="Arial"/>
                <w:sz w:val="16"/>
                <w:szCs w:val="16"/>
              </w:rPr>
            </w:pPr>
            <w:r w:rsidRPr="008D110A">
              <w:rPr>
                <w:rFonts w:ascii="Arial" w:hAnsi="Arial" w:cs="Arial"/>
                <w:sz w:val="16"/>
                <w:szCs w:val="16"/>
              </w:rPr>
              <w:t xml:space="preserve">Accumulated depreciation/amortisation </w:t>
            </w:r>
          </w:p>
          <w:p w14:paraId="1D52EBA1" w14:textId="77777777" w:rsidR="001C0F49" w:rsidRPr="008D110A" w:rsidRDefault="001C0F49" w:rsidP="00293BD0">
            <w:pPr>
              <w:spacing w:after="0" w:line="240" w:lineRule="auto"/>
              <w:ind w:left="287" w:hanging="174"/>
              <w:rPr>
                <w:rFonts w:ascii="Arial" w:hAnsi="Arial" w:cs="Arial"/>
                <w:sz w:val="16"/>
                <w:szCs w:val="16"/>
              </w:rPr>
            </w:pPr>
            <w:r w:rsidRPr="008D110A">
              <w:rPr>
                <w:rFonts w:ascii="Arial" w:hAnsi="Arial" w:cs="Arial"/>
                <w:sz w:val="16"/>
                <w:szCs w:val="16"/>
              </w:rPr>
              <w:t>and impairment</w:t>
            </w:r>
          </w:p>
        </w:tc>
        <w:tc>
          <w:tcPr>
            <w:tcW w:w="571" w:type="pct"/>
            <w:tcBorders>
              <w:top w:val="nil"/>
              <w:left w:val="nil"/>
              <w:bottom w:val="nil"/>
              <w:right w:val="nil"/>
            </w:tcBorders>
            <w:shd w:val="clear" w:color="auto" w:fill="auto"/>
            <w:noWrap/>
            <w:vAlign w:val="bottom"/>
            <w:hideMark/>
          </w:tcPr>
          <w:p w14:paraId="11264D7E" w14:textId="77777777" w:rsidR="001C0F49" w:rsidRPr="005D106D" w:rsidRDefault="001C0F49" w:rsidP="00293BD0">
            <w:pPr>
              <w:spacing w:after="0" w:line="240" w:lineRule="auto"/>
              <w:ind w:firstLineChars="100" w:firstLine="160"/>
              <w:jc w:val="right"/>
              <w:rPr>
                <w:rFonts w:ascii="Arial" w:hAnsi="Arial" w:cs="Arial"/>
                <w:sz w:val="16"/>
                <w:szCs w:val="16"/>
              </w:rPr>
            </w:pPr>
            <w:r w:rsidRPr="005D106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057791A0"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(3,494)</w:t>
            </w:r>
          </w:p>
        </w:tc>
        <w:tc>
          <w:tcPr>
            <w:tcW w:w="534" w:type="pct"/>
            <w:tcBorders>
              <w:top w:val="nil"/>
              <w:left w:val="nil"/>
              <w:bottom w:val="nil"/>
              <w:right w:val="nil"/>
            </w:tcBorders>
            <w:shd w:val="clear" w:color="auto" w:fill="auto"/>
            <w:noWrap/>
            <w:vAlign w:val="bottom"/>
            <w:hideMark/>
          </w:tcPr>
          <w:p w14:paraId="571A591A"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(32,587)</w:t>
            </w:r>
          </w:p>
        </w:tc>
        <w:tc>
          <w:tcPr>
            <w:tcW w:w="665" w:type="pct"/>
            <w:tcBorders>
              <w:top w:val="nil"/>
              <w:left w:val="nil"/>
              <w:bottom w:val="nil"/>
              <w:right w:val="nil"/>
            </w:tcBorders>
            <w:shd w:val="clear" w:color="auto" w:fill="auto"/>
            <w:noWrap/>
            <w:vAlign w:val="bottom"/>
            <w:hideMark/>
          </w:tcPr>
          <w:p w14:paraId="28D91A35"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(336)</w:t>
            </w:r>
          </w:p>
        </w:tc>
        <w:tc>
          <w:tcPr>
            <w:tcW w:w="571" w:type="pct"/>
            <w:tcBorders>
              <w:top w:val="nil"/>
              <w:left w:val="nil"/>
              <w:bottom w:val="nil"/>
              <w:right w:val="nil"/>
            </w:tcBorders>
            <w:shd w:val="clear" w:color="auto" w:fill="auto"/>
            <w:noWrap/>
            <w:vAlign w:val="bottom"/>
            <w:hideMark/>
          </w:tcPr>
          <w:p w14:paraId="2BCF1BFA"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(36,417)</w:t>
            </w:r>
          </w:p>
        </w:tc>
      </w:tr>
      <w:tr w:rsidR="001C0F49" w:rsidRPr="008D110A" w14:paraId="7F1E5F42" w14:textId="77777777" w:rsidTr="00293BD0">
        <w:trPr>
          <w:trHeight w:val="204"/>
        </w:trPr>
        <w:tc>
          <w:tcPr>
            <w:tcW w:w="2030" w:type="pct"/>
            <w:tcBorders>
              <w:top w:val="nil"/>
              <w:left w:val="nil"/>
              <w:bottom w:val="nil"/>
              <w:right w:val="nil"/>
            </w:tcBorders>
            <w:shd w:val="clear" w:color="auto" w:fill="auto"/>
            <w:vAlign w:val="bottom"/>
            <w:hideMark/>
          </w:tcPr>
          <w:p w14:paraId="62FB690B" w14:textId="77777777" w:rsidR="001C0F49" w:rsidRDefault="001C0F49" w:rsidP="00293BD0">
            <w:pPr>
              <w:spacing w:after="0" w:line="240" w:lineRule="auto"/>
              <w:ind w:left="193" w:hanging="80"/>
              <w:rPr>
                <w:rFonts w:ascii="Arial" w:hAnsi="Arial" w:cs="Arial"/>
                <w:sz w:val="16"/>
                <w:szCs w:val="16"/>
              </w:rPr>
            </w:pPr>
            <w:r w:rsidRPr="008D110A">
              <w:rPr>
                <w:rFonts w:ascii="Arial" w:hAnsi="Arial" w:cs="Arial"/>
                <w:sz w:val="16"/>
                <w:szCs w:val="16"/>
              </w:rPr>
              <w:t>Accumulated depreciation/amor</w:t>
            </w:r>
            <w:r>
              <w:rPr>
                <w:rFonts w:ascii="Arial" w:hAnsi="Arial" w:cs="Arial"/>
                <w:sz w:val="16"/>
                <w:szCs w:val="16"/>
              </w:rPr>
              <w:t>t</w:t>
            </w:r>
            <w:r w:rsidRPr="008D110A">
              <w:rPr>
                <w:rFonts w:ascii="Arial" w:hAnsi="Arial" w:cs="Arial"/>
                <w:sz w:val="16"/>
                <w:szCs w:val="16"/>
              </w:rPr>
              <w:t xml:space="preserve">isation </w:t>
            </w:r>
          </w:p>
          <w:p w14:paraId="61F9B372" w14:textId="77777777" w:rsidR="001C0F49" w:rsidRPr="008D110A" w:rsidRDefault="001C0F49" w:rsidP="00293BD0">
            <w:pPr>
              <w:spacing w:after="0" w:line="240" w:lineRule="auto"/>
              <w:ind w:left="193" w:hanging="80"/>
              <w:rPr>
                <w:rFonts w:ascii="Arial" w:hAnsi="Arial" w:cs="Arial"/>
                <w:sz w:val="16"/>
                <w:szCs w:val="16"/>
              </w:rPr>
            </w:pPr>
            <w:r w:rsidRPr="008D110A">
              <w:rPr>
                <w:rFonts w:ascii="Arial" w:hAnsi="Arial" w:cs="Arial"/>
                <w:sz w:val="16"/>
                <w:szCs w:val="16"/>
              </w:rPr>
              <w:t>and impairment - ROU assets</w:t>
            </w:r>
          </w:p>
        </w:tc>
        <w:tc>
          <w:tcPr>
            <w:tcW w:w="571" w:type="pct"/>
            <w:tcBorders>
              <w:top w:val="nil"/>
              <w:left w:val="nil"/>
              <w:bottom w:val="nil"/>
              <w:right w:val="nil"/>
            </w:tcBorders>
            <w:shd w:val="clear" w:color="auto" w:fill="auto"/>
            <w:noWrap/>
            <w:vAlign w:val="bottom"/>
            <w:hideMark/>
          </w:tcPr>
          <w:p w14:paraId="4365FE32"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(717)</w:t>
            </w:r>
          </w:p>
        </w:tc>
        <w:tc>
          <w:tcPr>
            <w:tcW w:w="629" w:type="pct"/>
            <w:tcBorders>
              <w:top w:val="nil"/>
              <w:left w:val="nil"/>
              <w:bottom w:val="nil"/>
              <w:right w:val="nil"/>
            </w:tcBorders>
            <w:shd w:val="clear" w:color="auto" w:fill="auto"/>
            <w:noWrap/>
            <w:vAlign w:val="bottom"/>
            <w:hideMark/>
          </w:tcPr>
          <w:p w14:paraId="3AD59F94"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34" w:type="pct"/>
            <w:tcBorders>
              <w:top w:val="nil"/>
              <w:left w:val="nil"/>
              <w:bottom w:val="nil"/>
              <w:right w:val="nil"/>
            </w:tcBorders>
            <w:shd w:val="clear" w:color="auto" w:fill="auto"/>
            <w:noWrap/>
            <w:vAlign w:val="bottom"/>
            <w:hideMark/>
          </w:tcPr>
          <w:p w14:paraId="3057BB52" w14:textId="77777777" w:rsidR="001C0F49" w:rsidRPr="005D106D" w:rsidRDefault="001C0F49" w:rsidP="00293BD0">
            <w:pPr>
              <w:spacing w:after="0" w:line="240" w:lineRule="auto"/>
              <w:jc w:val="right"/>
              <w:rPr>
                <w:rFonts w:ascii="Times New Roman" w:hAnsi="Times New Roman"/>
                <w:sz w:val="16"/>
                <w:szCs w:val="16"/>
              </w:rPr>
            </w:pPr>
            <w:r w:rsidRPr="005D106D">
              <w:rPr>
                <w:rFonts w:ascii="Times New Roman" w:hAnsi="Times New Roman"/>
                <w:sz w:val="16"/>
                <w:szCs w:val="16"/>
              </w:rPr>
              <w:t>-</w:t>
            </w:r>
          </w:p>
        </w:tc>
        <w:tc>
          <w:tcPr>
            <w:tcW w:w="665" w:type="pct"/>
            <w:tcBorders>
              <w:top w:val="nil"/>
              <w:left w:val="nil"/>
              <w:bottom w:val="nil"/>
              <w:right w:val="nil"/>
            </w:tcBorders>
            <w:shd w:val="clear" w:color="auto" w:fill="auto"/>
            <w:noWrap/>
            <w:vAlign w:val="bottom"/>
            <w:hideMark/>
          </w:tcPr>
          <w:p w14:paraId="30BA085D" w14:textId="77777777" w:rsidR="001C0F49" w:rsidRPr="005D106D" w:rsidRDefault="001C0F49" w:rsidP="00293BD0">
            <w:pPr>
              <w:spacing w:after="0" w:line="240" w:lineRule="auto"/>
              <w:jc w:val="right"/>
              <w:rPr>
                <w:rFonts w:ascii="Times New Roman" w:hAnsi="Times New Roman"/>
                <w:sz w:val="16"/>
                <w:szCs w:val="16"/>
              </w:rPr>
            </w:pPr>
            <w:r w:rsidRPr="005D106D">
              <w:rPr>
                <w:rFonts w:ascii="Times New Roman" w:hAnsi="Times New Roman"/>
                <w:sz w:val="16"/>
                <w:szCs w:val="16"/>
              </w:rPr>
              <w:t>-</w:t>
            </w:r>
          </w:p>
        </w:tc>
        <w:tc>
          <w:tcPr>
            <w:tcW w:w="571" w:type="pct"/>
            <w:tcBorders>
              <w:top w:val="nil"/>
              <w:left w:val="nil"/>
              <w:bottom w:val="nil"/>
              <w:right w:val="nil"/>
            </w:tcBorders>
            <w:shd w:val="clear" w:color="auto" w:fill="auto"/>
            <w:noWrap/>
            <w:vAlign w:val="bottom"/>
            <w:hideMark/>
          </w:tcPr>
          <w:p w14:paraId="6BDFADE0"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(717)</w:t>
            </w:r>
          </w:p>
        </w:tc>
      </w:tr>
      <w:tr w:rsidR="001C0F49" w:rsidRPr="008D110A" w14:paraId="1F58E55D" w14:textId="77777777" w:rsidTr="00293BD0">
        <w:trPr>
          <w:trHeight w:val="204"/>
        </w:trPr>
        <w:tc>
          <w:tcPr>
            <w:tcW w:w="2030" w:type="pct"/>
            <w:tcBorders>
              <w:top w:val="nil"/>
              <w:left w:val="nil"/>
              <w:bottom w:val="nil"/>
              <w:right w:val="nil"/>
            </w:tcBorders>
            <w:shd w:val="clear" w:color="auto" w:fill="auto"/>
            <w:vAlign w:val="bottom"/>
            <w:hideMark/>
          </w:tcPr>
          <w:p w14:paraId="4B3974F7" w14:textId="77777777" w:rsidR="001C0F49" w:rsidRPr="008D110A" w:rsidRDefault="001C0F49" w:rsidP="00293BD0">
            <w:pPr>
              <w:spacing w:after="0" w:line="240" w:lineRule="auto"/>
              <w:rPr>
                <w:rFonts w:ascii="Arial" w:hAnsi="Arial" w:cs="Arial"/>
                <w:b/>
                <w:bCs/>
                <w:sz w:val="16"/>
                <w:szCs w:val="16"/>
              </w:rPr>
            </w:pPr>
            <w:r w:rsidRPr="008D110A">
              <w:rPr>
                <w:rFonts w:ascii="Arial" w:hAnsi="Arial" w:cs="Arial"/>
                <w:b/>
                <w:bCs/>
                <w:sz w:val="16"/>
                <w:szCs w:val="16"/>
              </w:rPr>
              <w:t>Opening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14:paraId="764909A9"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1,051</w:t>
            </w:r>
          </w:p>
        </w:tc>
        <w:tc>
          <w:tcPr>
            <w:tcW w:w="629" w:type="pct"/>
            <w:tcBorders>
              <w:top w:val="single" w:sz="4" w:space="0" w:color="auto"/>
              <w:left w:val="nil"/>
              <w:bottom w:val="single" w:sz="4" w:space="0" w:color="auto"/>
              <w:right w:val="nil"/>
            </w:tcBorders>
            <w:shd w:val="clear" w:color="auto" w:fill="auto"/>
            <w:noWrap/>
            <w:vAlign w:val="bottom"/>
            <w:hideMark/>
          </w:tcPr>
          <w:p w14:paraId="6B0481BE"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4,657</w:t>
            </w:r>
          </w:p>
        </w:tc>
        <w:tc>
          <w:tcPr>
            <w:tcW w:w="534" w:type="pct"/>
            <w:tcBorders>
              <w:top w:val="single" w:sz="4" w:space="0" w:color="auto"/>
              <w:left w:val="nil"/>
              <w:bottom w:val="single" w:sz="4" w:space="0" w:color="auto"/>
              <w:right w:val="nil"/>
            </w:tcBorders>
            <w:shd w:val="clear" w:color="auto" w:fill="auto"/>
            <w:noWrap/>
            <w:vAlign w:val="bottom"/>
            <w:hideMark/>
          </w:tcPr>
          <w:p w14:paraId="26F23EDA"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107,143</w:t>
            </w:r>
          </w:p>
        </w:tc>
        <w:tc>
          <w:tcPr>
            <w:tcW w:w="665" w:type="pct"/>
            <w:tcBorders>
              <w:top w:val="single" w:sz="4" w:space="0" w:color="auto"/>
              <w:left w:val="nil"/>
              <w:bottom w:val="single" w:sz="4" w:space="0" w:color="auto"/>
              <w:right w:val="nil"/>
            </w:tcBorders>
            <w:shd w:val="clear" w:color="auto" w:fill="auto"/>
            <w:noWrap/>
            <w:vAlign w:val="bottom"/>
            <w:hideMark/>
          </w:tcPr>
          <w:p w14:paraId="3661E92B"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221</w:t>
            </w:r>
          </w:p>
        </w:tc>
        <w:tc>
          <w:tcPr>
            <w:tcW w:w="571" w:type="pct"/>
            <w:tcBorders>
              <w:top w:val="single" w:sz="4" w:space="0" w:color="auto"/>
              <w:left w:val="nil"/>
              <w:bottom w:val="single" w:sz="4" w:space="0" w:color="auto"/>
              <w:right w:val="nil"/>
            </w:tcBorders>
            <w:shd w:val="clear" w:color="auto" w:fill="auto"/>
            <w:noWrap/>
            <w:vAlign w:val="bottom"/>
            <w:hideMark/>
          </w:tcPr>
          <w:p w14:paraId="653AE46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113,072</w:t>
            </w:r>
          </w:p>
        </w:tc>
      </w:tr>
      <w:tr w:rsidR="001C0F49" w:rsidRPr="008D110A" w14:paraId="220A05C5" w14:textId="77777777" w:rsidTr="00293BD0">
        <w:trPr>
          <w:trHeight w:val="204"/>
        </w:trPr>
        <w:tc>
          <w:tcPr>
            <w:tcW w:w="2030" w:type="pct"/>
            <w:tcBorders>
              <w:top w:val="nil"/>
              <w:left w:val="nil"/>
              <w:bottom w:val="nil"/>
              <w:right w:val="nil"/>
            </w:tcBorders>
            <w:shd w:val="clear" w:color="auto" w:fill="auto"/>
            <w:vAlign w:val="bottom"/>
            <w:hideMark/>
          </w:tcPr>
          <w:p w14:paraId="3063DF20" w14:textId="77777777" w:rsidR="001C0F49" w:rsidRPr="008D110A" w:rsidRDefault="001C0F49" w:rsidP="00293BD0">
            <w:pPr>
              <w:spacing w:after="0" w:line="240" w:lineRule="auto"/>
              <w:rPr>
                <w:rFonts w:ascii="Arial" w:hAnsi="Arial" w:cs="Arial"/>
                <w:b/>
                <w:bCs/>
                <w:sz w:val="16"/>
                <w:szCs w:val="16"/>
              </w:rPr>
            </w:pPr>
            <w:r w:rsidRPr="008D110A">
              <w:rPr>
                <w:rFonts w:ascii="Arial" w:hAnsi="Arial" w:cs="Arial"/>
                <w:b/>
                <w:bCs/>
                <w:sz w:val="16"/>
                <w:szCs w:val="16"/>
              </w:rPr>
              <w:t>Capital asset additions</w:t>
            </w:r>
          </w:p>
        </w:tc>
        <w:tc>
          <w:tcPr>
            <w:tcW w:w="571" w:type="pct"/>
            <w:tcBorders>
              <w:top w:val="nil"/>
              <w:left w:val="nil"/>
              <w:bottom w:val="nil"/>
              <w:right w:val="nil"/>
            </w:tcBorders>
            <w:shd w:val="clear" w:color="auto" w:fill="auto"/>
            <w:noWrap/>
            <w:vAlign w:val="bottom"/>
            <w:hideMark/>
          </w:tcPr>
          <w:p w14:paraId="0273AD43" w14:textId="77777777" w:rsidR="001C0F49" w:rsidRPr="005D106D" w:rsidRDefault="001C0F49" w:rsidP="00293BD0">
            <w:pPr>
              <w:spacing w:after="0" w:line="240" w:lineRule="auto"/>
              <w:jc w:val="righ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2ACAA6A1" w14:textId="77777777" w:rsidR="001C0F49" w:rsidRPr="005D106D" w:rsidRDefault="001C0F49" w:rsidP="00293BD0">
            <w:pPr>
              <w:spacing w:after="0" w:line="240" w:lineRule="auto"/>
              <w:jc w:val="right"/>
              <w:rPr>
                <w:rFonts w:ascii="Times New Roman" w:hAnsi="Times New Roman"/>
                <w:sz w:val="16"/>
                <w:szCs w:val="16"/>
              </w:rPr>
            </w:pPr>
          </w:p>
        </w:tc>
        <w:tc>
          <w:tcPr>
            <w:tcW w:w="534" w:type="pct"/>
            <w:tcBorders>
              <w:top w:val="nil"/>
              <w:left w:val="nil"/>
              <w:bottom w:val="nil"/>
              <w:right w:val="nil"/>
            </w:tcBorders>
            <w:shd w:val="clear" w:color="auto" w:fill="auto"/>
            <w:noWrap/>
            <w:vAlign w:val="bottom"/>
            <w:hideMark/>
          </w:tcPr>
          <w:p w14:paraId="3B672650" w14:textId="77777777" w:rsidR="001C0F49" w:rsidRPr="005D106D" w:rsidRDefault="001C0F49" w:rsidP="00293BD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7F35A1E7" w14:textId="77777777" w:rsidR="001C0F49" w:rsidRPr="005D106D"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479108C3" w14:textId="77777777" w:rsidR="001C0F49" w:rsidRPr="005D106D" w:rsidRDefault="001C0F49" w:rsidP="00293BD0">
            <w:pPr>
              <w:spacing w:after="0" w:line="240" w:lineRule="auto"/>
              <w:jc w:val="right"/>
              <w:rPr>
                <w:rFonts w:ascii="Times New Roman" w:hAnsi="Times New Roman"/>
                <w:sz w:val="16"/>
                <w:szCs w:val="16"/>
              </w:rPr>
            </w:pPr>
          </w:p>
        </w:tc>
      </w:tr>
      <w:tr w:rsidR="001C0F49" w:rsidRPr="008D110A" w14:paraId="59CE3FAB" w14:textId="77777777" w:rsidTr="00293BD0">
        <w:trPr>
          <w:trHeight w:val="204"/>
        </w:trPr>
        <w:tc>
          <w:tcPr>
            <w:tcW w:w="2030" w:type="pct"/>
            <w:tcBorders>
              <w:top w:val="nil"/>
              <w:left w:val="nil"/>
              <w:bottom w:val="nil"/>
              <w:right w:val="nil"/>
            </w:tcBorders>
            <w:shd w:val="clear" w:color="auto" w:fill="auto"/>
            <w:vAlign w:val="bottom"/>
            <w:hideMark/>
          </w:tcPr>
          <w:p w14:paraId="758C23BD" w14:textId="77777777" w:rsidR="001C0F49" w:rsidRPr="008D110A" w:rsidRDefault="001C0F49" w:rsidP="00293BD0">
            <w:pPr>
              <w:spacing w:after="0" w:line="240" w:lineRule="auto"/>
              <w:ind w:left="113"/>
              <w:rPr>
                <w:rFonts w:ascii="Arial" w:hAnsi="Arial" w:cs="Arial"/>
                <w:b/>
                <w:bCs/>
                <w:sz w:val="16"/>
                <w:szCs w:val="16"/>
              </w:rPr>
            </w:pPr>
            <w:r w:rsidRPr="008D110A">
              <w:rPr>
                <w:rFonts w:ascii="Arial" w:hAnsi="Arial" w:cs="Arial"/>
                <w:b/>
                <w:bCs/>
                <w:sz w:val="16"/>
                <w:szCs w:val="16"/>
              </w:rPr>
              <w:t>Estimated expenditure on new or replacement assets</w:t>
            </w:r>
          </w:p>
        </w:tc>
        <w:tc>
          <w:tcPr>
            <w:tcW w:w="571" w:type="pct"/>
            <w:tcBorders>
              <w:top w:val="nil"/>
              <w:left w:val="nil"/>
              <w:bottom w:val="nil"/>
              <w:right w:val="nil"/>
            </w:tcBorders>
            <w:shd w:val="clear" w:color="auto" w:fill="auto"/>
            <w:noWrap/>
            <w:vAlign w:val="bottom"/>
            <w:hideMark/>
          </w:tcPr>
          <w:p w14:paraId="1C440D50" w14:textId="77777777" w:rsidR="001C0F49" w:rsidRPr="005D106D" w:rsidRDefault="001C0F49" w:rsidP="00293BD0">
            <w:pPr>
              <w:spacing w:after="0" w:line="240" w:lineRule="auto"/>
              <w:ind w:firstLineChars="100" w:firstLine="161"/>
              <w:jc w:val="righ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79BF6F14" w14:textId="77777777" w:rsidR="001C0F49" w:rsidRPr="005D106D" w:rsidRDefault="001C0F49" w:rsidP="00293BD0">
            <w:pPr>
              <w:spacing w:after="0" w:line="240" w:lineRule="auto"/>
              <w:jc w:val="right"/>
              <w:rPr>
                <w:rFonts w:ascii="Times New Roman" w:hAnsi="Times New Roman"/>
                <w:sz w:val="16"/>
                <w:szCs w:val="16"/>
              </w:rPr>
            </w:pPr>
          </w:p>
        </w:tc>
        <w:tc>
          <w:tcPr>
            <w:tcW w:w="534" w:type="pct"/>
            <w:tcBorders>
              <w:top w:val="nil"/>
              <w:left w:val="nil"/>
              <w:bottom w:val="nil"/>
              <w:right w:val="nil"/>
            </w:tcBorders>
            <w:shd w:val="clear" w:color="auto" w:fill="auto"/>
            <w:noWrap/>
            <w:vAlign w:val="bottom"/>
            <w:hideMark/>
          </w:tcPr>
          <w:p w14:paraId="40155B3C" w14:textId="77777777" w:rsidR="001C0F49" w:rsidRPr="005D106D" w:rsidRDefault="001C0F49" w:rsidP="00293BD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0E59E823" w14:textId="77777777" w:rsidR="001C0F49" w:rsidRPr="005D106D"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2A2B4A4D" w14:textId="77777777" w:rsidR="001C0F49" w:rsidRPr="005D106D" w:rsidRDefault="001C0F49" w:rsidP="00293BD0">
            <w:pPr>
              <w:spacing w:after="0" w:line="240" w:lineRule="auto"/>
              <w:jc w:val="right"/>
              <w:rPr>
                <w:rFonts w:ascii="Times New Roman" w:hAnsi="Times New Roman"/>
                <w:sz w:val="16"/>
                <w:szCs w:val="16"/>
              </w:rPr>
            </w:pPr>
          </w:p>
        </w:tc>
      </w:tr>
      <w:tr w:rsidR="001C0F49" w:rsidRPr="008D110A" w14:paraId="01439DF2" w14:textId="77777777" w:rsidTr="00293BD0">
        <w:trPr>
          <w:trHeight w:val="204"/>
        </w:trPr>
        <w:tc>
          <w:tcPr>
            <w:tcW w:w="2030" w:type="pct"/>
            <w:tcBorders>
              <w:top w:val="nil"/>
              <w:left w:val="nil"/>
              <w:bottom w:val="nil"/>
              <w:right w:val="nil"/>
            </w:tcBorders>
            <w:shd w:val="clear" w:color="auto" w:fill="auto"/>
            <w:vAlign w:val="bottom"/>
            <w:hideMark/>
          </w:tcPr>
          <w:p w14:paraId="586D58D7" w14:textId="77777777" w:rsidR="001C0F49" w:rsidRPr="008D110A" w:rsidRDefault="001C0F49" w:rsidP="002864B7">
            <w:pPr>
              <w:spacing w:after="0" w:line="240" w:lineRule="auto"/>
              <w:ind w:left="114" w:hanging="1"/>
              <w:rPr>
                <w:rFonts w:ascii="Arial" w:hAnsi="Arial" w:cs="Arial"/>
                <w:sz w:val="16"/>
                <w:szCs w:val="16"/>
              </w:rPr>
            </w:pPr>
            <w:r w:rsidRPr="008D110A">
              <w:rPr>
                <w:rFonts w:ascii="Arial" w:hAnsi="Arial" w:cs="Arial"/>
                <w:sz w:val="16"/>
                <w:szCs w:val="16"/>
              </w:rPr>
              <w:t>By purchase - appropriation equity</w:t>
            </w:r>
            <w:r w:rsidRPr="008D110A">
              <w:rPr>
                <w:rFonts w:ascii="Arial" w:hAnsi="Arial" w:cs="Arial"/>
                <w:sz w:val="16"/>
                <w:szCs w:val="16"/>
                <w:vertAlign w:val="superscript"/>
              </w:rPr>
              <w:t xml:space="preserve"> (a)</w:t>
            </w:r>
          </w:p>
        </w:tc>
        <w:tc>
          <w:tcPr>
            <w:tcW w:w="571" w:type="pct"/>
            <w:tcBorders>
              <w:top w:val="nil"/>
              <w:left w:val="nil"/>
              <w:bottom w:val="nil"/>
              <w:right w:val="nil"/>
            </w:tcBorders>
            <w:shd w:val="clear" w:color="auto" w:fill="auto"/>
            <w:noWrap/>
            <w:vAlign w:val="bottom"/>
            <w:hideMark/>
          </w:tcPr>
          <w:p w14:paraId="75F60226" w14:textId="77777777" w:rsidR="001C0F49" w:rsidRPr="005D106D" w:rsidRDefault="001C0F49" w:rsidP="00293BD0">
            <w:pPr>
              <w:spacing w:after="0" w:line="240" w:lineRule="auto"/>
              <w:ind w:firstLineChars="100" w:firstLine="160"/>
              <w:jc w:val="right"/>
              <w:rPr>
                <w:rFonts w:ascii="Arial" w:hAnsi="Arial" w:cs="Arial"/>
                <w:sz w:val="16"/>
                <w:szCs w:val="16"/>
              </w:rPr>
            </w:pPr>
            <w:r w:rsidRPr="005D106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79BD6808"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450</w:t>
            </w:r>
          </w:p>
        </w:tc>
        <w:tc>
          <w:tcPr>
            <w:tcW w:w="534" w:type="pct"/>
            <w:tcBorders>
              <w:top w:val="nil"/>
              <w:left w:val="nil"/>
              <w:bottom w:val="nil"/>
              <w:right w:val="nil"/>
            </w:tcBorders>
            <w:shd w:val="clear" w:color="auto" w:fill="auto"/>
            <w:noWrap/>
            <w:vAlign w:val="bottom"/>
            <w:hideMark/>
          </w:tcPr>
          <w:p w14:paraId="724D0166"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6,003</w:t>
            </w:r>
          </w:p>
        </w:tc>
        <w:tc>
          <w:tcPr>
            <w:tcW w:w="665" w:type="pct"/>
            <w:tcBorders>
              <w:top w:val="nil"/>
              <w:left w:val="nil"/>
              <w:bottom w:val="nil"/>
              <w:right w:val="nil"/>
            </w:tcBorders>
            <w:shd w:val="clear" w:color="auto" w:fill="auto"/>
            <w:noWrap/>
            <w:vAlign w:val="bottom"/>
            <w:hideMark/>
          </w:tcPr>
          <w:p w14:paraId="0F3BA80F"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90</w:t>
            </w:r>
          </w:p>
        </w:tc>
        <w:tc>
          <w:tcPr>
            <w:tcW w:w="571" w:type="pct"/>
            <w:tcBorders>
              <w:top w:val="nil"/>
              <w:left w:val="nil"/>
              <w:bottom w:val="nil"/>
              <w:right w:val="nil"/>
            </w:tcBorders>
            <w:shd w:val="clear" w:color="auto" w:fill="auto"/>
            <w:noWrap/>
            <w:vAlign w:val="bottom"/>
            <w:hideMark/>
          </w:tcPr>
          <w:p w14:paraId="7EAB009E"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6,543</w:t>
            </w:r>
          </w:p>
        </w:tc>
      </w:tr>
      <w:tr w:rsidR="001C0F49" w:rsidRPr="008D110A" w14:paraId="37876F88" w14:textId="77777777" w:rsidTr="002864B7">
        <w:trPr>
          <w:trHeight w:val="204"/>
        </w:trPr>
        <w:tc>
          <w:tcPr>
            <w:tcW w:w="2030" w:type="pct"/>
            <w:tcBorders>
              <w:top w:val="nil"/>
              <w:left w:val="nil"/>
              <w:bottom w:val="nil"/>
              <w:right w:val="nil"/>
            </w:tcBorders>
            <w:shd w:val="clear" w:color="auto" w:fill="auto"/>
            <w:vAlign w:val="bottom"/>
            <w:hideMark/>
          </w:tcPr>
          <w:p w14:paraId="1A0EF9CC" w14:textId="77777777" w:rsidR="001C0F49" w:rsidRPr="008D110A" w:rsidRDefault="001C0F49" w:rsidP="002864B7">
            <w:pPr>
              <w:spacing w:after="0" w:line="240" w:lineRule="auto"/>
              <w:ind w:left="114" w:hanging="1"/>
              <w:rPr>
                <w:rFonts w:ascii="Arial" w:hAnsi="Arial" w:cs="Arial"/>
                <w:sz w:val="16"/>
                <w:szCs w:val="16"/>
              </w:rPr>
            </w:pPr>
            <w:r w:rsidRPr="008D110A">
              <w:rPr>
                <w:rFonts w:ascii="Arial" w:hAnsi="Arial" w:cs="Arial"/>
                <w:sz w:val="16"/>
                <w:szCs w:val="16"/>
              </w:rPr>
              <w:t>By purchase - appropriation equity - ROU assets</w:t>
            </w:r>
          </w:p>
        </w:tc>
        <w:tc>
          <w:tcPr>
            <w:tcW w:w="571" w:type="pct"/>
            <w:tcBorders>
              <w:top w:val="nil"/>
              <w:left w:val="nil"/>
              <w:bottom w:val="nil"/>
              <w:right w:val="nil"/>
            </w:tcBorders>
            <w:shd w:val="clear" w:color="auto" w:fill="auto"/>
            <w:noWrap/>
            <w:vAlign w:val="bottom"/>
            <w:hideMark/>
          </w:tcPr>
          <w:p w14:paraId="4B91D962"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280</w:t>
            </w:r>
          </w:p>
        </w:tc>
        <w:tc>
          <w:tcPr>
            <w:tcW w:w="629" w:type="pct"/>
            <w:tcBorders>
              <w:top w:val="nil"/>
              <w:left w:val="nil"/>
              <w:bottom w:val="nil"/>
              <w:right w:val="nil"/>
            </w:tcBorders>
            <w:shd w:val="clear" w:color="auto" w:fill="auto"/>
            <w:noWrap/>
            <w:vAlign w:val="bottom"/>
          </w:tcPr>
          <w:p w14:paraId="354D5483" w14:textId="147A6883" w:rsidR="001C0F49" w:rsidRPr="002864B7" w:rsidRDefault="002864B7" w:rsidP="002864B7">
            <w:pPr>
              <w:spacing w:after="0" w:line="240" w:lineRule="auto"/>
              <w:ind w:left="580"/>
              <w:jc w:val="right"/>
              <w:rPr>
                <w:rFonts w:ascii="Arial" w:hAnsi="Arial" w:cs="Arial"/>
                <w:sz w:val="16"/>
                <w:szCs w:val="16"/>
              </w:rPr>
            </w:pPr>
            <w:r>
              <w:rPr>
                <w:rFonts w:ascii="Arial" w:hAnsi="Arial" w:cs="Arial"/>
                <w:sz w:val="16"/>
                <w:szCs w:val="16"/>
              </w:rPr>
              <w:t>-</w:t>
            </w:r>
          </w:p>
        </w:tc>
        <w:tc>
          <w:tcPr>
            <w:tcW w:w="534" w:type="pct"/>
            <w:tcBorders>
              <w:top w:val="nil"/>
              <w:left w:val="nil"/>
              <w:bottom w:val="nil"/>
              <w:right w:val="nil"/>
            </w:tcBorders>
            <w:shd w:val="clear" w:color="auto" w:fill="auto"/>
            <w:noWrap/>
            <w:vAlign w:val="bottom"/>
            <w:hideMark/>
          </w:tcPr>
          <w:p w14:paraId="72B007E5" w14:textId="77777777" w:rsidR="001C0F49" w:rsidRPr="005D106D" w:rsidRDefault="001C0F49" w:rsidP="00293BD0">
            <w:pPr>
              <w:spacing w:after="0" w:line="240" w:lineRule="auto"/>
              <w:jc w:val="right"/>
              <w:rPr>
                <w:rFonts w:ascii="Times New Roman" w:hAnsi="Times New Roman"/>
                <w:sz w:val="16"/>
                <w:szCs w:val="16"/>
              </w:rPr>
            </w:pPr>
            <w:r w:rsidRPr="005D106D">
              <w:rPr>
                <w:rFonts w:ascii="Times New Roman" w:hAnsi="Times New Roman"/>
                <w:sz w:val="16"/>
                <w:szCs w:val="16"/>
              </w:rPr>
              <w:t>-</w:t>
            </w:r>
          </w:p>
        </w:tc>
        <w:tc>
          <w:tcPr>
            <w:tcW w:w="665" w:type="pct"/>
            <w:tcBorders>
              <w:top w:val="nil"/>
              <w:left w:val="nil"/>
              <w:bottom w:val="nil"/>
              <w:right w:val="nil"/>
            </w:tcBorders>
            <w:shd w:val="clear" w:color="auto" w:fill="auto"/>
            <w:noWrap/>
            <w:vAlign w:val="bottom"/>
            <w:hideMark/>
          </w:tcPr>
          <w:p w14:paraId="662BC204" w14:textId="77777777" w:rsidR="001C0F49" w:rsidRPr="005D106D" w:rsidRDefault="001C0F49" w:rsidP="00293BD0">
            <w:pPr>
              <w:spacing w:after="0" w:line="240" w:lineRule="auto"/>
              <w:jc w:val="right"/>
              <w:rPr>
                <w:rFonts w:ascii="Times New Roman" w:hAnsi="Times New Roman"/>
                <w:sz w:val="16"/>
                <w:szCs w:val="16"/>
              </w:rPr>
            </w:pPr>
            <w:r w:rsidRPr="005D106D">
              <w:rPr>
                <w:rFonts w:ascii="Times New Roman" w:hAnsi="Times New Roman"/>
                <w:sz w:val="16"/>
                <w:szCs w:val="16"/>
              </w:rPr>
              <w:t>-</w:t>
            </w:r>
          </w:p>
        </w:tc>
        <w:tc>
          <w:tcPr>
            <w:tcW w:w="571" w:type="pct"/>
            <w:tcBorders>
              <w:top w:val="nil"/>
              <w:left w:val="nil"/>
              <w:bottom w:val="nil"/>
              <w:right w:val="nil"/>
            </w:tcBorders>
            <w:shd w:val="clear" w:color="auto" w:fill="auto"/>
            <w:noWrap/>
            <w:vAlign w:val="bottom"/>
            <w:hideMark/>
          </w:tcPr>
          <w:p w14:paraId="37BF0DF6"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280</w:t>
            </w:r>
          </w:p>
        </w:tc>
      </w:tr>
      <w:tr w:rsidR="001C0F49" w:rsidRPr="008D110A" w14:paraId="279FA873" w14:textId="77777777" w:rsidTr="00293BD0">
        <w:trPr>
          <w:trHeight w:val="204"/>
        </w:trPr>
        <w:tc>
          <w:tcPr>
            <w:tcW w:w="2030" w:type="pct"/>
            <w:tcBorders>
              <w:top w:val="nil"/>
              <w:left w:val="nil"/>
              <w:bottom w:val="nil"/>
              <w:right w:val="nil"/>
            </w:tcBorders>
            <w:shd w:val="clear" w:color="auto" w:fill="auto"/>
            <w:vAlign w:val="bottom"/>
            <w:hideMark/>
          </w:tcPr>
          <w:p w14:paraId="61CE9417" w14:textId="77777777" w:rsidR="001C0F49" w:rsidRPr="008D110A" w:rsidRDefault="001C0F49" w:rsidP="00293BD0">
            <w:pPr>
              <w:spacing w:after="0" w:line="240" w:lineRule="auto"/>
              <w:ind w:left="113" w:firstLineChars="19" w:firstLine="31"/>
              <w:rPr>
                <w:rFonts w:ascii="Arial" w:hAnsi="Arial" w:cs="Arial"/>
                <w:b/>
                <w:bCs/>
                <w:sz w:val="16"/>
                <w:szCs w:val="16"/>
              </w:rPr>
            </w:pPr>
            <w:r w:rsidRPr="008D110A">
              <w:rPr>
                <w:rFonts w:ascii="Arial" w:hAnsi="Arial" w:cs="Arial"/>
                <w:b/>
                <w:bCs/>
                <w:sz w:val="16"/>
                <w:szCs w:val="16"/>
              </w:rPr>
              <w:t>Total additions</w:t>
            </w:r>
          </w:p>
        </w:tc>
        <w:tc>
          <w:tcPr>
            <w:tcW w:w="571" w:type="pct"/>
            <w:tcBorders>
              <w:top w:val="single" w:sz="4" w:space="0" w:color="auto"/>
              <w:left w:val="nil"/>
              <w:bottom w:val="nil"/>
              <w:right w:val="nil"/>
            </w:tcBorders>
            <w:shd w:val="clear" w:color="auto" w:fill="auto"/>
            <w:noWrap/>
            <w:vAlign w:val="bottom"/>
            <w:hideMark/>
          </w:tcPr>
          <w:p w14:paraId="4D140E78"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280</w:t>
            </w:r>
          </w:p>
        </w:tc>
        <w:tc>
          <w:tcPr>
            <w:tcW w:w="629" w:type="pct"/>
            <w:tcBorders>
              <w:top w:val="single" w:sz="4" w:space="0" w:color="auto"/>
              <w:left w:val="nil"/>
              <w:bottom w:val="nil"/>
              <w:right w:val="nil"/>
            </w:tcBorders>
            <w:shd w:val="clear" w:color="auto" w:fill="auto"/>
            <w:noWrap/>
            <w:vAlign w:val="bottom"/>
            <w:hideMark/>
          </w:tcPr>
          <w:p w14:paraId="157C02D0"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450</w:t>
            </w:r>
          </w:p>
        </w:tc>
        <w:tc>
          <w:tcPr>
            <w:tcW w:w="534" w:type="pct"/>
            <w:tcBorders>
              <w:top w:val="single" w:sz="4" w:space="0" w:color="auto"/>
              <w:left w:val="nil"/>
              <w:bottom w:val="nil"/>
              <w:right w:val="nil"/>
            </w:tcBorders>
            <w:shd w:val="clear" w:color="auto" w:fill="auto"/>
            <w:noWrap/>
            <w:vAlign w:val="bottom"/>
            <w:hideMark/>
          </w:tcPr>
          <w:p w14:paraId="5184AAA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6,003</w:t>
            </w:r>
          </w:p>
        </w:tc>
        <w:tc>
          <w:tcPr>
            <w:tcW w:w="665" w:type="pct"/>
            <w:tcBorders>
              <w:top w:val="single" w:sz="4" w:space="0" w:color="auto"/>
              <w:left w:val="nil"/>
              <w:bottom w:val="nil"/>
              <w:right w:val="nil"/>
            </w:tcBorders>
            <w:shd w:val="clear" w:color="auto" w:fill="auto"/>
            <w:noWrap/>
            <w:vAlign w:val="bottom"/>
            <w:hideMark/>
          </w:tcPr>
          <w:p w14:paraId="699367E9"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90</w:t>
            </w:r>
          </w:p>
        </w:tc>
        <w:tc>
          <w:tcPr>
            <w:tcW w:w="571" w:type="pct"/>
            <w:tcBorders>
              <w:top w:val="single" w:sz="4" w:space="0" w:color="auto"/>
              <w:left w:val="nil"/>
              <w:bottom w:val="nil"/>
              <w:right w:val="nil"/>
            </w:tcBorders>
            <w:shd w:val="clear" w:color="auto" w:fill="auto"/>
            <w:noWrap/>
            <w:vAlign w:val="bottom"/>
            <w:hideMark/>
          </w:tcPr>
          <w:p w14:paraId="57064C08"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6,823</w:t>
            </w:r>
          </w:p>
        </w:tc>
      </w:tr>
      <w:tr w:rsidR="001C0F49" w:rsidRPr="008D110A" w14:paraId="29630220" w14:textId="77777777" w:rsidTr="00293BD0">
        <w:trPr>
          <w:trHeight w:val="204"/>
        </w:trPr>
        <w:tc>
          <w:tcPr>
            <w:tcW w:w="2030" w:type="pct"/>
            <w:tcBorders>
              <w:top w:val="nil"/>
              <w:left w:val="nil"/>
              <w:bottom w:val="nil"/>
              <w:right w:val="nil"/>
            </w:tcBorders>
            <w:shd w:val="clear" w:color="auto" w:fill="auto"/>
            <w:vAlign w:val="bottom"/>
            <w:hideMark/>
          </w:tcPr>
          <w:p w14:paraId="330DF994" w14:textId="77777777" w:rsidR="001C0F49" w:rsidRPr="008D110A" w:rsidRDefault="001C0F49" w:rsidP="00293BD0">
            <w:pPr>
              <w:spacing w:after="0" w:line="240" w:lineRule="auto"/>
              <w:ind w:left="113" w:firstLineChars="19" w:firstLine="31"/>
              <w:rPr>
                <w:rFonts w:ascii="Arial" w:hAnsi="Arial" w:cs="Arial"/>
                <w:b/>
                <w:bCs/>
                <w:sz w:val="16"/>
                <w:szCs w:val="16"/>
              </w:rPr>
            </w:pPr>
            <w:r w:rsidRPr="008D110A">
              <w:rPr>
                <w:rFonts w:ascii="Arial" w:hAnsi="Arial" w:cs="Arial"/>
                <w:b/>
                <w:bCs/>
                <w:sz w:val="16"/>
                <w:szCs w:val="16"/>
              </w:rPr>
              <w:t>Other movements</w:t>
            </w:r>
          </w:p>
        </w:tc>
        <w:tc>
          <w:tcPr>
            <w:tcW w:w="571" w:type="pct"/>
            <w:tcBorders>
              <w:top w:val="single" w:sz="4" w:space="0" w:color="auto"/>
              <w:left w:val="nil"/>
              <w:bottom w:val="nil"/>
              <w:right w:val="nil"/>
            </w:tcBorders>
            <w:shd w:val="clear" w:color="auto" w:fill="auto"/>
            <w:noWrap/>
            <w:vAlign w:val="bottom"/>
            <w:hideMark/>
          </w:tcPr>
          <w:p w14:paraId="3A2C6647" w14:textId="77777777" w:rsidR="001C0F49" w:rsidRPr="005D106D" w:rsidRDefault="001C0F49" w:rsidP="00293BD0">
            <w:pPr>
              <w:spacing w:after="0" w:line="240" w:lineRule="auto"/>
              <w:jc w:val="right"/>
              <w:rPr>
                <w:rFonts w:ascii="Arial" w:hAnsi="Arial" w:cs="Arial"/>
                <w:b/>
                <w:bCs/>
                <w:sz w:val="16"/>
                <w:szCs w:val="16"/>
              </w:rPr>
            </w:pPr>
          </w:p>
        </w:tc>
        <w:tc>
          <w:tcPr>
            <w:tcW w:w="629" w:type="pct"/>
            <w:tcBorders>
              <w:top w:val="single" w:sz="4" w:space="0" w:color="auto"/>
              <w:left w:val="nil"/>
              <w:bottom w:val="nil"/>
              <w:right w:val="nil"/>
            </w:tcBorders>
            <w:shd w:val="clear" w:color="auto" w:fill="auto"/>
            <w:noWrap/>
            <w:vAlign w:val="bottom"/>
            <w:hideMark/>
          </w:tcPr>
          <w:p w14:paraId="545C7E85" w14:textId="77777777" w:rsidR="001C0F49" w:rsidRPr="005D106D" w:rsidRDefault="001C0F49" w:rsidP="00293BD0">
            <w:pPr>
              <w:spacing w:after="0" w:line="240" w:lineRule="auto"/>
              <w:jc w:val="right"/>
              <w:rPr>
                <w:rFonts w:ascii="Arial" w:hAnsi="Arial" w:cs="Arial"/>
                <w:b/>
                <w:bCs/>
                <w:sz w:val="16"/>
                <w:szCs w:val="16"/>
              </w:rPr>
            </w:pPr>
          </w:p>
        </w:tc>
        <w:tc>
          <w:tcPr>
            <w:tcW w:w="534" w:type="pct"/>
            <w:tcBorders>
              <w:top w:val="single" w:sz="4" w:space="0" w:color="auto"/>
              <w:left w:val="nil"/>
              <w:bottom w:val="nil"/>
              <w:right w:val="nil"/>
            </w:tcBorders>
            <w:shd w:val="clear" w:color="auto" w:fill="auto"/>
            <w:noWrap/>
            <w:vAlign w:val="bottom"/>
            <w:hideMark/>
          </w:tcPr>
          <w:p w14:paraId="7B6E8E27" w14:textId="77777777" w:rsidR="001C0F49" w:rsidRPr="005D106D" w:rsidRDefault="001C0F49" w:rsidP="00293BD0">
            <w:pPr>
              <w:spacing w:after="0" w:line="240" w:lineRule="auto"/>
              <w:jc w:val="right"/>
              <w:rPr>
                <w:rFonts w:ascii="Arial" w:hAnsi="Arial" w:cs="Arial"/>
                <w:b/>
                <w:bCs/>
                <w:sz w:val="16"/>
                <w:szCs w:val="16"/>
              </w:rPr>
            </w:pPr>
          </w:p>
        </w:tc>
        <w:tc>
          <w:tcPr>
            <w:tcW w:w="665" w:type="pct"/>
            <w:tcBorders>
              <w:top w:val="single" w:sz="4" w:space="0" w:color="auto"/>
              <w:left w:val="nil"/>
              <w:bottom w:val="nil"/>
              <w:right w:val="nil"/>
            </w:tcBorders>
            <w:shd w:val="clear" w:color="auto" w:fill="auto"/>
            <w:noWrap/>
            <w:vAlign w:val="bottom"/>
            <w:hideMark/>
          </w:tcPr>
          <w:p w14:paraId="5B506634" w14:textId="77777777" w:rsidR="001C0F49" w:rsidRPr="005D106D" w:rsidRDefault="001C0F49" w:rsidP="00293BD0">
            <w:pPr>
              <w:spacing w:after="0" w:line="240" w:lineRule="auto"/>
              <w:jc w:val="right"/>
              <w:rPr>
                <w:rFonts w:ascii="Arial" w:hAnsi="Arial" w:cs="Arial"/>
                <w:b/>
                <w:bCs/>
                <w:sz w:val="16"/>
                <w:szCs w:val="16"/>
              </w:rPr>
            </w:pPr>
          </w:p>
        </w:tc>
        <w:tc>
          <w:tcPr>
            <w:tcW w:w="571" w:type="pct"/>
            <w:tcBorders>
              <w:top w:val="single" w:sz="4" w:space="0" w:color="auto"/>
              <w:left w:val="nil"/>
              <w:bottom w:val="nil"/>
              <w:right w:val="nil"/>
            </w:tcBorders>
            <w:shd w:val="clear" w:color="auto" w:fill="auto"/>
            <w:noWrap/>
            <w:vAlign w:val="bottom"/>
            <w:hideMark/>
          </w:tcPr>
          <w:p w14:paraId="366DB26E" w14:textId="77777777" w:rsidR="001C0F49" w:rsidRPr="005D106D" w:rsidRDefault="001C0F49" w:rsidP="00293BD0">
            <w:pPr>
              <w:spacing w:after="0" w:line="240" w:lineRule="auto"/>
              <w:jc w:val="right"/>
              <w:rPr>
                <w:rFonts w:ascii="Arial" w:hAnsi="Arial" w:cs="Arial"/>
                <w:b/>
                <w:bCs/>
                <w:sz w:val="16"/>
                <w:szCs w:val="16"/>
              </w:rPr>
            </w:pPr>
          </w:p>
        </w:tc>
      </w:tr>
      <w:tr w:rsidR="001C0F49" w:rsidRPr="008D110A" w14:paraId="1E655CD7" w14:textId="77777777" w:rsidTr="00293BD0">
        <w:trPr>
          <w:trHeight w:val="204"/>
        </w:trPr>
        <w:tc>
          <w:tcPr>
            <w:tcW w:w="2030" w:type="pct"/>
            <w:tcBorders>
              <w:top w:val="nil"/>
              <w:left w:val="nil"/>
              <w:bottom w:val="nil"/>
              <w:right w:val="nil"/>
            </w:tcBorders>
            <w:shd w:val="clear" w:color="auto" w:fill="auto"/>
            <w:vAlign w:val="bottom"/>
            <w:hideMark/>
          </w:tcPr>
          <w:p w14:paraId="56554922" w14:textId="77777777" w:rsidR="001C0F49" w:rsidRPr="008D110A" w:rsidRDefault="001C0F49" w:rsidP="002864B7">
            <w:pPr>
              <w:spacing w:after="0" w:line="240" w:lineRule="auto"/>
              <w:ind w:left="113" w:firstLineChars="20" w:firstLine="32"/>
              <w:rPr>
                <w:rFonts w:ascii="Arial" w:hAnsi="Arial" w:cs="Arial"/>
                <w:sz w:val="16"/>
                <w:szCs w:val="16"/>
              </w:rPr>
            </w:pPr>
            <w:r w:rsidRPr="008D110A">
              <w:rPr>
                <w:rFonts w:ascii="Arial" w:hAnsi="Arial" w:cs="Arial"/>
                <w:sz w:val="16"/>
                <w:szCs w:val="16"/>
              </w:rPr>
              <w:t>Depreciation/amortisation expense</w:t>
            </w:r>
          </w:p>
        </w:tc>
        <w:tc>
          <w:tcPr>
            <w:tcW w:w="571" w:type="pct"/>
            <w:tcBorders>
              <w:top w:val="nil"/>
              <w:left w:val="nil"/>
              <w:bottom w:val="nil"/>
              <w:right w:val="nil"/>
            </w:tcBorders>
            <w:shd w:val="clear" w:color="auto" w:fill="auto"/>
            <w:noWrap/>
            <w:vAlign w:val="bottom"/>
            <w:hideMark/>
          </w:tcPr>
          <w:p w14:paraId="20E39072" w14:textId="77777777" w:rsidR="001C0F49" w:rsidRPr="005D106D" w:rsidRDefault="001C0F49" w:rsidP="00293BD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552918E4"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(302)</w:t>
            </w:r>
          </w:p>
        </w:tc>
        <w:tc>
          <w:tcPr>
            <w:tcW w:w="534" w:type="pct"/>
            <w:tcBorders>
              <w:top w:val="nil"/>
              <w:left w:val="nil"/>
              <w:bottom w:val="nil"/>
              <w:right w:val="nil"/>
            </w:tcBorders>
            <w:shd w:val="clear" w:color="auto" w:fill="auto"/>
            <w:noWrap/>
            <w:vAlign w:val="bottom"/>
            <w:hideMark/>
          </w:tcPr>
          <w:p w14:paraId="24ACB481"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(6,800)</w:t>
            </w:r>
          </w:p>
        </w:tc>
        <w:tc>
          <w:tcPr>
            <w:tcW w:w="665" w:type="pct"/>
            <w:tcBorders>
              <w:top w:val="nil"/>
              <w:left w:val="nil"/>
              <w:bottom w:val="nil"/>
              <w:right w:val="nil"/>
            </w:tcBorders>
            <w:shd w:val="clear" w:color="auto" w:fill="auto"/>
            <w:noWrap/>
            <w:vAlign w:val="bottom"/>
            <w:hideMark/>
          </w:tcPr>
          <w:p w14:paraId="10956BE5"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(85)</w:t>
            </w:r>
          </w:p>
        </w:tc>
        <w:tc>
          <w:tcPr>
            <w:tcW w:w="571" w:type="pct"/>
            <w:tcBorders>
              <w:top w:val="nil"/>
              <w:left w:val="nil"/>
              <w:bottom w:val="nil"/>
              <w:right w:val="nil"/>
            </w:tcBorders>
            <w:shd w:val="clear" w:color="auto" w:fill="auto"/>
            <w:noWrap/>
            <w:vAlign w:val="bottom"/>
            <w:hideMark/>
          </w:tcPr>
          <w:p w14:paraId="4F58D80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(7,187)</w:t>
            </w:r>
          </w:p>
        </w:tc>
      </w:tr>
      <w:tr w:rsidR="001C0F49" w:rsidRPr="008D110A" w14:paraId="5E876210" w14:textId="77777777" w:rsidTr="00293BD0">
        <w:trPr>
          <w:trHeight w:val="204"/>
        </w:trPr>
        <w:tc>
          <w:tcPr>
            <w:tcW w:w="2030" w:type="pct"/>
            <w:tcBorders>
              <w:top w:val="nil"/>
              <w:left w:val="nil"/>
              <w:right w:val="nil"/>
            </w:tcBorders>
            <w:shd w:val="clear" w:color="auto" w:fill="auto"/>
            <w:vAlign w:val="bottom"/>
            <w:hideMark/>
          </w:tcPr>
          <w:p w14:paraId="31A77015" w14:textId="77777777" w:rsidR="001C0F49" w:rsidRPr="008D110A" w:rsidRDefault="001C0F49" w:rsidP="002864B7">
            <w:pPr>
              <w:spacing w:after="0" w:line="240" w:lineRule="auto"/>
              <w:ind w:left="113" w:firstLineChars="20" w:firstLine="32"/>
              <w:rPr>
                <w:rFonts w:ascii="Arial" w:hAnsi="Arial" w:cs="Arial"/>
                <w:sz w:val="16"/>
                <w:szCs w:val="16"/>
              </w:rPr>
            </w:pPr>
            <w:r w:rsidRPr="008D110A">
              <w:rPr>
                <w:rFonts w:ascii="Arial" w:hAnsi="Arial" w:cs="Arial"/>
                <w:sz w:val="16"/>
                <w:szCs w:val="16"/>
              </w:rPr>
              <w:t>Depreciation/amortisation on ROU assets</w:t>
            </w:r>
          </w:p>
        </w:tc>
        <w:tc>
          <w:tcPr>
            <w:tcW w:w="571" w:type="pct"/>
            <w:tcBorders>
              <w:top w:val="nil"/>
              <w:left w:val="nil"/>
              <w:bottom w:val="nil"/>
              <w:right w:val="nil"/>
            </w:tcBorders>
            <w:shd w:val="clear" w:color="auto" w:fill="auto"/>
            <w:noWrap/>
            <w:vAlign w:val="bottom"/>
            <w:hideMark/>
          </w:tcPr>
          <w:p w14:paraId="7F83B682"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(241)</w:t>
            </w:r>
          </w:p>
        </w:tc>
        <w:tc>
          <w:tcPr>
            <w:tcW w:w="629" w:type="pct"/>
            <w:tcBorders>
              <w:top w:val="nil"/>
              <w:left w:val="nil"/>
              <w:bottom w:val="nil"/>
              <w:right w:val="nil"/>
            </w:tcBorders>
            <w:shd w:val="clear" w:color="auto" w:fill="auto"/>
            <w:noWrap/>
            <w:vAlign w:val="bottom"/>
            <w:hideMark/>
          </w:tcPr>
          <w:p w14:paraId="7AFD941B" w14:textId="77777777" w:rsidR="001C0F49" w:rsidRPr="005D106D"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534" w:type="pct"/>
            <w:tcBorders>
              <w:top w:val="nil"/>
              <w:left w:val="nil"/>
              <w:bottom w:val="nil"/>
              <w:right w:val="nil"/>
            </w:tcBorders>
            <w:shd w:val="clear" w:color="auto" w:fill="auto"/>
            <w:noWrap/>
            <w:vAlign w:val="bottom"/>
            <w:hideMark/>
          </w:tcPr>
          <w:p w14:paraId="6D27CBD0" w14:textId="77777777" w:rsidR="001C0F49" w:rsidRPr="005D106D"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c>
          <w:tcPr>
            <w:tcW w:w="665" w:type="pct"/>
            <w:tcBorders>
              <w:top w:val="nil"/>
              <w:left w:val="nil"/>
              <w:bottom w:val="nil"/>
              <w:right w:val="nil"/>
            </w:tcBorders>
            <w:shd w:val="clear" w:color="auto" w:fill="auto"/>
            <w:noWrap/>
            <w:vAlign w:val="bottom"/>
            <w:hideMark/>
          </w:tcPr>
          <w:p w14:paraId="2AC2DC15" w14:textId="77777777" w:rsidR="001C0F49" w:rsidRPr="005D106D"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c>
          <w:tcPr>
            <w:tcW w:w="571" w:type="pct"/>
            <w:tcBorders>
              <w:top w:val="nil"/>
              <w:left w:val="nil"/>
              <w:bottom w:val="nil"/>
              <w:right w:val="nil"/>
            </w:tcBorders>
            <w:shd w:val="clear" w:color="auto" w:fill="auto"/>
            <w:noWrap/>
            <w:vAlign w:val="bottom"/>
            <w:hideMark/>
          </w:tcPr>
          <w:p w14:paraId="1081CC4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(241)</w:t>
            </w:r>
          </w:p>
        </w:tc>
      </w:tr>
      <w:tr w:rsidR="001C0F49" w:rsidRPr="008D110A" w14:paraId="54878C6D" w14:textId="77777777" w:rsidTr="00293BD0">
        <w:trPr>
          <w:trHeight w:val="204"/>
        </w:trPr>
        <w:tc>
          <w:tcPr>
            <w:tcW w:w="2030" w:type="pct"/>
            <w:tcBorders>
              <w:top w:val="nil"/>
              <w:left w:val="nil"/>
              <w:right w:val="nil"/>
            </w:tcBorders>
            <w:shd w:val="clear" w:color="auto" w:fill="auto"/>
            <w:vAlign w:val="bottom"/>
            <w:hideMark/>
          </w:tcPr>
          <w:p w14:paraId="0AC9F395" w14:textId="77777777" w:rsidR="001C0F49" w:rsidRPr="008D110A" w:rsidRDefault="001C0F49" w:rsidP="00293BD0">
            <w:pPr>
              <w:spacing w:after="0" w:line="240" w:lineRule="auto"/>
              <w:ind w:firstLineChars="100" w:firstLine="161"/>
              <w:rPr>
                <w:rFonts w:ascii="Arial" w:hAnsi="Arial" w:cs="Arial"/>
                <w:b/>
                <w:bCs/>
                <w:sz w:val="16"/>
                <w:szCs w:val="16"/>
              </w:rPr>
            </w:pPr>
            <w:r w:rsidRPr="008D110A">
              <w:rPr>
                <w:rFonts w:ascii="Arial" w:hAnsi="Arial" w:cs="Arial"/>
                <w:b/>
                <w:bCs/>
                <w:sz w:val="16"/>
                <w:szCs w:val="16"/>
              </w:rPr>
              <w:t>Total other movements</w:t>
            </w:r>
          </w:p>
        </w:tc>
        <w:tc>
          <w:tcPr>
            <w:tcW w:w="571" w:type="pct"/>
            <w:tcBorders>
              <w:top w:val="single" w:sz="4" w:space="0" w:color="auto"/>
              <w:left w:val="nil"/>
              <w:bottom w:val="single" w:sz="4" w:space="0" w:color="auto"/>
              <w:right w:val="nil"/>
            </w:tcBorders>
            <w:shd w:val="clear" w:color="auto" w:fill="auto"/>
            <w:noWrap/>
            <w:vAlign w:val="bottom"/>
            <w:hideMark/>
          </w:tcPr>
          <w:p w14:paraId="00924099"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(241)</w:t>
            </w:r>
          </w:p>
        </w:tc>
        <w:tc>
          <w:tcPr>
            <w:tcW w:w="629" w:type="pct"/>
            <w:tcBorders>
              <w:top w:val="single" w:sz="4" w:space="0" w:color="auto"/>
              <w:left w:val="nil"/>
              <w:bottom w:val="single" w:sz="4" w:space="0" w:color="auto"/>
              <w:right w:val="nil"/>
            </w:tcBorders>
            <w:shd w:val="clear" w:color="auto" w:fill="auto"/>
            <w:noWrap/>
            <w:vAlign w:val="bottom"/>
            <w:hideMark/>
          </w:tcPr>
          <w:p w14:paraId="05C4DA2B"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(302)</w:t>
            </w:r>
          </w:p>
        </w:tc>
        <w:tc>
          <w:tcPr>
            <w:tcW w:w="534" w:type="pct"/>
            <w:tcBorders>
              <w:top w:val="single" w:sz="4" w:space="0" w:color="auto"/>
              <w:left w:val="nil"/>
              <w:bottom w:val="single" w:sz="4" w:space="0" w:color="auto"/>
              <w:right w:val="nil"/>
            </w:tcBorders>
            <w:shd w:val="clear" w:color="auto" w:fill="auto"/>
            <w:noWrap/>
            <w:vAlign w:val="bottom"/>
            <w:hideMark/>
          </w:tcPr>
          <w:p w14:paraId="6BF25A0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(6,800)</w:t>
            </w:r>
          </w:p>
        </w:tc>
        <w:tc>
          <w:tcPr>
            <w:tcW w:w="665" w:type="pct"/>
            <w:tcBorders>
              <w:top w:val="single" w:sz="4" w:space="0" w:color="auto"/>
              <w:left w:val="nil"/>
              <w:bottom w:val="single" w:sz="4" w:space="0" w:color="auto"/>
              <w:right w:val="nil"/>
            </w:tcBorders>
            <w:shd w:val="clear" w:color="auto" w:fill="auto"/>
            <w:noWrap/>
            <w:vAlign w:val="bottom"/>
            <w:hideMark/>
          </w:tcPr>
          <w:p w14:paraId="4B745235"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(85)</w:t>
            </w:r>
          </w:p>
        </w:tc>
        <w:tc>
          <w:tcPr>
            <w:tcW w:w="571" w:type="pct"/>
            <w:tcBorders>
              <w:top w:val="single" w:sz="4" w:space="0" w:color="auto"/>
              <w:left w:val="nil"/>
              <w:bottom w:val="single" w:sz="4" w:space="0" w:color="auto"/>
              <w:right w:val="nil"/>
            </w:tcBorders>
            <w:shd w:val="clear" w:color="auto" w:fill="auto"/>
            <w:noWrap/>
            <w:vAlign w:val="bottom"/>
            <w:hideMark/>
          </w:tcPr>
          <w:p w14:paraId="4882947E"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(7,428)</w:t>
            </w:r>
          </w:p>
        </w:tc>
      </w:tr>
      <w:tr w:rsidR="001C0F49" w:rsidRPr="008D110A" w14:paraId="30679A23" w14:textId="77777777" w:rsidTr="00293BD0">
        <w:trPr>
          <w:trHeight w:val="204"/>
        </w:trPr>
        <w:tc>
          <w:tcPr>
            <w:tcW w:w="2030" w:type="pct"/>
            <w:tcBorders>
              <w:top w:val="nil"/>
              <w:left w:val="nil"/>
              <w:bottom w:val="nil"/>
              <w:right w:val="nil"/>
            </w:tcBorders>
            <w:shd w:val="clear" w:color="auto" w:fill="auto"/>
            <w:vAlign w:val="bottom"/>
            <w:hideMark/>
          </w:tcPr>
          <w:p w14:paraId="6F230597" w14:textId="77777777" w:rsidR="001C0F49" w:rsidRPr="008D110A" w:rsidRDefault="001C0F49" w:rsidP="00293BD0">
            <w:pPr>
              <w:spacing w:after="0" w:line="240" w:lineRule="auto"/>
              <w:rPr>
                <w:rFonts w:ascii="Arial" w:hAnsi="Arial" w:cs="Arial"/>
                <w:b/>
                <w:bCs/>
                <w:sz w:val="16"/>
                <w:szCs w:val="16"/>
              </w:rPr>
            </w:pPr>
            <w:r w:rsidRPr="008D110A">
              <w:rPr>
                <w:rFonts w:ascii="Arial" w:hAnsi="Arial" w:cs="Arial"/>
                <w:b/>
                <w:bCs/>
                <w:sz w:val="16"/>
                <w:szCs w:val="16"/>
              </w:rPr>
              <w:t>As at 30 June 2023</w:t>
            </w:r>
          </w:p>
        </w:tc>
        <w:tc>
          <w:tcPr>
            <w:tcW w:w="571" w:type="pct"/>
            <w:tcBorders>
              <w:top w:val="nil"/>
              <w:left w:val="nil"/>
              <w:bottom w:val="nil"/>
              <w:right w:val="nil"/>
            </w:tcBorders>
            <w:shd w:val="clear" w:color="auto" w:fill="auto"/>
            <w:noWrap/>
            <w:vAlign w:val="bottom"/>
            <w:hideMark/>
          </w:tcPr>
          <w:p w14:paraId="2D9A6373" w14:textId="77777777" w:rsidR="001C0F49" w:rsidRPr="005D106D" w:rsidRDefault="001C0F49" w:rsidP="00293BD0">
            <w:pPr>
              <w:spacing w:after="0" w:line="240" w:lineRule="auto"/>
              <w:jc w:val="right"/>
              <w:rPr>
                <w:rFonts w:ascii="Arial" w:hAnsi="Arial" w:cs="Arial"/>
                <w:b/>
                <w:bCs/>
                <w:sz w:val="16"/>
                <w:szCs w:val="16"/>
              </w:rPr>
            </w:pPr>
          </w:p>
        </w:tc>
        <w:tc>
          <w:tcPr>
            <w:tcW w:w="629" w:type="pct"/>
            <w:tcBorders>
              <w:top w:val="nil"/>
              <w:left w:val="nil"/>
              <w:bottom w:val="nil"/>
              <w:right w:val="nil"/>
            </w:tcBorders>
            <w:shd w:val="clear" w:color="auto" w:fill="auto"/>
            <w:noWrap/>
            <w:vAlign w:val="bottom"/>
            <w:hideMark/>
          </w:tcPr>
          <w:p w14:paraId="16E5F458" w14:textId="77777777" w:rsidR="001C0F49" w:rsidRPr="005D106D" w:rsidRDefault="001C0F49" w:rsidP="00293BD0">
            <w:pPr>
              <w:spacing w:after="0" w:line="240" w:lineRule="auto"/>
              <w:jc w:val="right"/>
              <w:rPr>
                <w:rFonts w:ascii="Times New Roman" w:hAnsi="Times New Roman"/>
                <w:sz w:val="16"/>
                <w:szCs w:val="16"/>
              </w:rPr>
            </w:pPr>
          </w:p>
        </w:tc>
        <w:tc>
          <w:tcPr>
            <w:tcW w:w="534" w:type="pct"/>
            <w:tcBorders>
              <w:top w:val="nil"/>
              <w:left w:val="nil"/>
              <w:bottom w:val="nil"/>
              <w:right w:val="nil"/>
            </w:tcBorders>
            <w:shd w:val="clear" w:color="auto" w:fill="auto"/>
            <w:noWrap/>
            <w:vAlign w:val="bottom"/>
            <w:hideMark/>
          </w:tcPr>
          <w:p w14:paraId="0EDB84FA" w14:textId="77777777" w:rsidR="001C0F49" w:rsidRPr="005D106D" w:rsidRDefault="001C0F49" w:rsidP="00293BD0">
            <w:pPr>
              <w:spacing w:after="0" w:line="240" w:lineRule="auto"/>
              <w:jc w:val="right"/>
              <w:rPr>
                <w:rFonts w:ascii="Times New Roman" w:hAnsi="Times New Roman"/>
                <w:sz w:val="16"/>
                <w:szCs w:val="16"/>
              </w:rPr>
            </w:pPr>
          </w:p>
        </w:tc>
        <w:tc>
          <w:tcPr>
            <w:tcW w:w="665" w:type="pct"/>
            <w:tcBorders>
              <w:top w:val="nil"/>
              <w:left w:val="nil"/>
              <w:bottom w:val="nil"/>
              <w:right w:val="nil"/>
            </w:tcBorders>
            <w:shd w:val="clear" w:color="auto" w:fill="auto"/>
            <w:noWrap/>
            <w:vAlign w:val="bottom"/>
            <w:hideMark/>
          </w:tcPr>
          <w:p w14:paraId="1689165B" w14:textId="77777777" w:rsidR="001C0F49" w:rsidRPr="005D106D"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242B68FE" w14:textId="77777777" w:rsidR="001C0F49" w:rsidRPr="005D106D" w:rsidRDefault="001C0F49" w:rsidP="00293BD0">
            <w:pPr>
              <w:spacing w:after="0" w:line="240" w:lineRule="auto"/>
              <w:jc w:val="right"/>
              <w:rPr>
                <w:rFonts w:ascii="Times New Roman" w:hAnsi="Times New Roman"/>
                <w:sz w:val="16"/>
                <w:szCs w:val="16"/>
              </w:rPr>
            </w:pPr>
          </w:p>
        </w:tc>
      </w:tr>
      <w:tr w:rsidR="001C0F49" w:rsidRPr="008D110A" w14:paraId="70C191D3" w14:textId="77777777" w:rsidTr="00293BD0">
        <w:trPr>
          <w:trHeight w:val="204"/>
        </w:trPr>
        <w:tc>
          <w:tcPr>
            <w:tcW w:w="2030" w:type="pct"/>
            <w:tcBorders>
              <w:top w:val="nil"/>
              <w:left w:val="nil"/>
              <w:bottom w:val="nil"/>
              <w:right w:val="nil"/>
            </w:tcBorders>
            <w:shd w:val="clear" w:color="auto" w:fill="auto"/>
            <w:vAlign w:val="bottom"/>
            <w:hideMark/>
          </w:tcPr>
          <w:p w14:paraId="1190FD98" w14:textId="77777777" w:rsidR="001C0F49" w:rsidRPr="008D110A" w:rsidRDefault="001C0F49" w:rsidP="002864B7">
            <w:pPr>
              <w:spacing w:after="0" w:line="240" w:lineRule="auto"/>
              <w:ind w:left="113" w:firstLineChars="19" w:firstLine="30"/>
              <w:rPr>
                <w:rFonts w:ascii="Arial" w:hAnsi="Arial" w:cs="Arial"/>
                <w:sz w:val="16"/>
                <w:szCs w:val="16"/>
              </w:rPr>
            </w:pPr>
            <w:r w:rsidRPr="008D110A">
              <w:rPr>
                <w:rFonts w:ascii="Arial" w:hAnsi="Arial" w:cs="Arial"/>
                <w:sz w:val="16"/>
                <w:szCs w:val="16"/>
              </w:rPr>
              <w:t>Gross book value</w:t>
            </w:r>
          </w:p>
        </w:tc>
        <w:tc>
          <w:tcPr>
            <w:tcW w:w="571" w:type="pct"/>
            <w:tcBorders>
              <w:top w:val="nil"/>
              <w:left w:val="nil"/>
              <w:bottom w:val="nil"/>
              <w:right w:val="nil"/>
            </w:tcBorders>
            <w:shd w:val="clear" w:color="auto" w:fill="auto"/>
            <w:noWrap/>
            <w:vAlign w:val="bottom"/>
            <w:hideMark/>
          </w:tcPr>
          <w:p w14:paraId="025D71A3"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55DD1D48"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8,601</w:t>
            </w:r>
          </w:p>
        </w:tc>
        <w:tc>
          <w:tcPr>
            <w:tcW w:w="534" w:type="pct"/>
            <w:tcBorders>
              <w:top w:val="nil"/>
              <w:left w:val="nil"/>
              <w:bottom w:val="nil"/>
              <w:right w:val="nil"/>
            </w:tcBorders>
            <w:shd w:val="clear" w:color="auto" w:fill="auto"/>
            <w:noWrap/>
            <w:vAlign w:val="bottom"/>
            <w:hideMark/>
          </w:tcPr>
          <w:p w14:paraId="1EB92D4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145,733</w:t>
            </w:r>
          </w:p>
        </w:tc>
        <w:tc>
          <w:tcPr>
            <w:tcW w:w="665" w:type="pct"/>
            <w:tcBorders>
              <w:top w:val="nil"/>
              <w:left w:val="nil"/>
              <w:bottom w:val="nil"/>
              <w:right w:val="nil"/>
            </w:tcBorders>
            <w:shd w:val="clear" w:color="auto" w:fill="auto"/>
            <w:noWrap/>
            <w:vAlign w:val="bottom"/>
            <w:hideMark/>
          </w:tcPr>
          <w:p w14:paraId="410B9ACB"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647</w:t>
            </w:r>
          </w:p>
        </w:tc>
        <w:tc>
          <w:tcPr>
            <w:tcW w:w="571" w:type="pct"/>
            <w:tcBorders>
              <w:top w:val="nil"/>
              <w:left w:val="nil"/>
              <w:bottom w:val="nil"/>
              <w:right w:val="nil"/>
            </w:tcBorders>
            <w:shd w:val="clear" w:color="auto" w:fill="auto"/>
            <w:noWrap/>
            <w:vAlign w:val="bottom"/>
            <w:hideMark/>
          </w:tcPr>
          <w:p w14:paraId="753E43F2"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154,981</w:t>
            </w:r>
          </w:p>
        </w:tc>
      </w:tr>
      <w:tr w:rsidR="001C0F49" w:rsidRPr="008D110A" w14:paraId="1D93698A" w14:textId="77777777" w:rsidTr="00293BD0">
        <w:trPr>
          <w:trHeight w:val="204"/>
        </w:trPr>
        <w:tc>
          <w:tcPr>
            <w:tcW w:w="2030" w:type="pct"/>
            <w:tcBorders>
              <w:top w:val="nil"/>
              <w:left w:val="nil"/>
              <w:bottom w:val="nil"/>
              <w:right w:val="nil"/>
            </w:tcBorders>
            <w:shd w:val="clear" w:color="auto" w:fill="auto"/>
            <w:vAlign w:val="bottom"/>
            <w:hideMark/>
          </w:tcPr>
          <w:p w14:paraId="4D042FAE" w14:textId="77777777" w:rsidR="001C0F49" w:rsidRPr="008D110A" w:rsidRDefault="001C0F49" w:rsidP="002864B7">
            <w:pPr>
              <w:spacing w:after="0" w:line="240" w:lineRule="auto"/>
              <w:ind w:left="113" w:firstLineChars="19" w:firstLine="30"/>
              <w:rPr>
                <w:rFonts w:ascii="Arial" w:hAnsi="Arial" w:cs="Arial"/>
                <w:sz w:val="16"/>
                <w:szCs w:val="16"/>
              </w:rPr>
            </w:pPr>
            <w:r w:rsidRPr="008D110A">
              <w:rPr>
                <w:rFonts w:ascii="Arial" w:hAnsi="Arial" w:cs="Arial"/>
                <w:sz w:val="16"/>
                <w:szCs w:val="16"/>
              </w:rPr>
              <w:t>Gross book value - ROU assets</w:t>
            </w:r>
          </w:p>
        </w:tc>
        <w:tc>
          <w:tcPr>
            <w:tcW w:w="571" w:type="pct"/>
            <w:tcBorders>
              <w:top w:val="nil"/>
              <w:left w:val="nil"/>
              <w:bottom w:val="nil"/>
              <w:right w:val="nil"/>
            </w:tcBorders>
            <w:shd w:val="clear" w:color="auto" w:fill="auto"/>
            <w:noWrap/>
            <w:vAlign w:val="bottom"/>
            <w:hideMark/>
          </w:tcPr>
          <w:p w14:paraId="34A612EF"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2,048</w:t>
            </w:r>
          </w:p>
        </w:tc>
        <w:tc>
          <w:tcPr>
            <w:tcW w:w="629" w:type="pct"/>
            <w:tcBorders>
              <w:top w:val="nil"/>
              <w:left w:val="nil"/>
              <w:bottom w:val="nil"/>
              <w:right w:val="nil"/>
            </w:tcBorders>
            <w:shd w:val="clear" w:color="auto" w:fill="auto"/>
            <w:noWrap/>
            <w:vAlign w:val="bottom"/>
            <w:hideMark/>
          </w:tcPr>
          <w:p w14:paraId="623123C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34" w:type="pct"/>
            <w:tcBorders>
              <w:top w:val="nil"/>
              <w:left w:val="nil"/>
              <w:bottom w:val="nil"/>
              <w:right w:val="nil"/>
            </w:tcBorders>
            <w:shd w:val="clear" w:color="auto" w:fill="auto"/>
            <w:noWrap/>
            <w:vAlign w:val="bottom"/>
            <w:hideMark/>
          </w:tcPr>
          <w:p w14:paraId="12376C88"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734B56F3"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14:paraId="2C53954D"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2,048</w:t>
            </w:r>
          </w:p>
        </w:tc>
      </w:tr>
      <w:tr w:rsidR="001C0F49" w:rsidRPr="008D110A" w14:paraId="4ABC6275" w14:textId="77777777" w:rsidTr="00293BD0">
        <w:trPr>
          <w:trHeight w:val="204"/>
        </w:trPr>
        <w:tc>
          <w:tcPr>
            <w:tcW w:w="2030" w:type="pct"/>
            <w:tcBorders>
              <w:top w:val="nil"/>
              <w:left w:val="nil"/>
              <w:bottom w:val="nil"/>
              <w:right w:val="nil"/>
            </w:tcBorders>
            <w:shd w:val="clear" w:color="auto" w:fill="auto"/>
            <w:vAlign w:val="bottom"/>
            <w:hideMark/>
          </w:tcPr>
          <w:p w14:paraId="3B44A04F" w14:textId="1D2DBE9E" w:rsidR="001C0F49" w:rsidRPr="008D110A" w:rsidRDefault="001C0F49" w:rsidP="002864B7">
            <w:pPr>
              <w:spacing w:after="0" w:line="240" w:lineRule="auto"/>
              <w:ind w:left="113" w:firstLineChars="19" w:firstLine="30"/>
              <w:rPr>
                <w:rFonts w:ascii="Arial" w:hAnsi="Arial" w:cs="Arial"/>
                <w:sz w:val="16"/>
                <w:szCs w:val="16"/>
              </w:rPr>
            </w:pPr>
            <w:r w:rsidRPr="008D110A">
              <w:rPr>
                <w:rFonts w:ascii="Arial" w:hAnsi="Arial" w:cs="Arial"/>
                <w:sz w:val="16"/>
                <w:szCs w:val="16"/>
              </w:rPr>
              <w:t>Accumulated depreciation/amortisation and impairment</w:t>
            </w:r>
          </w:p>
        </w:tc>
        <w:tc>
          <w:tcPr>
            <w:tcW w:w="571" w:type="pct"/>
            <w:tcBorders>
              <w:top w:val="nil"/>
              <w:left w:val="nil"/>
              <w:bottom w:val="nil"/>
              <w:right w:val="nil"/>
            </w:tcBorders>
            <w:shd w:val="clear" w:color="auto" w:fill="auto"/>
            <w:noWrap/>
            <w:vAlign w:val="bottom"/>
            <w:hideMark/>
          </w:tcPr>
          <w:p w14:paraId="52C6D3FC"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629" w:type="pct"/>
            <w:tcBorders>
              <w:top w:val="nil"/>
              <w:left w:val="nil"/>
              <w:bottom w:val="nil"/>
              <w:right w:val="nil"/>
            </w:tcBorders>
            <w:shd w:val="clear" w:color="auto" w:fill="auto"/>
            <w:noWrap/>
            <w:vAlign w:val="bottom"/>
            <w:hideMark/>
          </w:tcPr>
          <w:p w14:paraId="30BF49DB"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(3,796)</w:t>
            </w:r>
          </w:p>
        </w:tc>
        <w:tc>
          <w:tcPr>
            <w:tcW w:w="534" w:type="pct"/>
            <w:tcBorders>
              <w:top w:val="nil"/>
              <w:left w:val="nil"/>
              <w:bottom w:val="nil"/>
              <w:right w:val="nil"/>
            </w:tcBorders>
            <w:shd w:val="clear" w:color="auto" w:fill="auto"/>
            <w:noWrap/>
            <w:vAlign w:val="bottom"/>
            <w:hideMark/>
          </w:tcPr>
          <w:p w14:paraId="35813232"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(39,387)</w:t>
            </w:r>
          </w:p>
        </w:tc>
        <w:tc>
          <w:tcPr>
            <w:tcW w:w="665" w:type="pct"/>
            <w:tcBorders>
              <w:top w:val="nil"/>
              <w:left w:val="nil"/>
              <w:bottom w:val="nil"/>
              <w:right w:val="nil"/>
            </w:tcBorders>
            <w:shd w:val="clear" w:color="auto" w:fill="auto"/>
            <w:noWrap/>
            <w:vAlign w:val="bottom"/>
            <w:hideMark/>
          </w:tcPr>
          <w:p w14:paraId="386F87A0"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(421)</w:t>
            </w:r>
          </w:p>
        </w:tc>
        <w:tc>
          <w:tcPr>
            <w:tcW w:w="571" w:type="pct"/>
            <w:tcBorders>
              <w:top w:val="nil"/>
              <w:left w:val="nil"/>
              <w:bottom w:val="nil"/>
              <w:right w:val="nil"/>
            </w:tcBorders>
            <w:shd w:val="clear" w:color="auto" w:fill="auto"/>
            <w:noWrap/>
            <w:vAlign w:val="bottom"/>
            <w:hideMark/>
          </w:tcPr>
          <w:p w14:paraId="29B2C856"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(43,604)</w:t>
            </w:r>
          </w:p>
        </w:tc>
      </w:tr>
      <w:tr w:rsidR="001C0F49" w:rsidRPr="008D110A" w14:paraId="42F14ED2" w14:textId="77777777" w:rsidTr="00293BD0">
        <w:trPr>
          <w:trHeight w:val="204"/>
        </w:trPr>
        <w:tc>
          <w:tcPr>
            <w:tcW w:w="2030" w:type="pct"/>
            <w:tcBorders>
              <w:top w:val="nil"/>
              <w:left w:val="nil"/>
              <w:bottom w:val="nil"/>
              <w:right w:val="nil"/>
            </w:tcBorders>
            <w:shd w:val="clear" w:color="auto" w:fill="auto"/>
            <w:vAlign w:val="bottom"/>
            <w:hideMark/>
          </w:tcPr>
          <w:p w14:paraId="381A0CD4" w14:textId="77777777" w:rsidR="001C0F49" w:rsidRPr="008D110A" w:rsidRDefault="001C0F49" w:rsidP="002864B7">
            <w:pPr>
              <w:spacing w:after="0" w:line="240" w:lineRule="auto"/>
              <w:ind w:left="113" w:firstLineChars="19" w:firstLine="30"/>
              <w:rPr>
                <w:rFonts w:ascii="Arial" w:hAnsi="Arial" w:cs="Arial"/>
                <w:sz w:val="16"/>
                <w:szCs w:val="16"/>
              </w:rPr>
            </w:pPr>
            <w:r w:rsidRPr="008D110A">
              <w:rPr>
                <w:rFonts w:ascii="Arial" w:hAnsi="Arial" w:cs="Arial"/>
                <w:sz w:val="16"/>
                <w:szCs w:val="16"/>
              </w:rPr>
              <w:t>Accumulated depreciation/amortisation and impairment - ROU assets</w:t>
            </w:r>
          </w:p>
        </w:tc>
        <w:tc>
          <w:tcPr>
            <w:tcW w:w="571" w:type="pct"/>
            <w:tcBorders>
              <w:top w:val="nil"/>
              <w:left w:val="nil"/>
              <w:bottom w:val="nil"/>
              <w:right w:val="nil"/>
            </w:tcBorders>
            <w:shd w:val="clear" w:color="auto" w:fill="auto"/>
            <w:noWrap/>
            <w:vAlign w:val="bottom"/>
            <w:hideMark/>
          </w:tcPr>
          <w:p w14:paraId="5A6AF130"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(958)</w:t>
            </w:r>
          </w:p>
        </w:tc>
        <w:tc>
          <w:tcPr>
            <w:tcW w:w="629" w:type="pct"/>
            <w:tcBorders>
              <w:top w:val="nil"/>
              <w:left w:val="nil"/>
              <w:bottom w:val="nil"/>
              <w:right w:val="nil"/>
            </w:tcBorders>
            <w:shd w:val="clear" w:color="auto" w:fill="auto"/>
            <w:noWrap/>
            <w:vAlign w:val="bottom"/>
            <w:hideMark/>
          </w:tcPr>
          <w:p w14:paraId="53B3A5EA"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34" w:type="pct"/>
            <w:tcBorders>
              <w:top w:val="nil"/>
              <w:left w:val="nil"/>
              <w:bottom w:val="nil"/>
              <w:right w:val="nil"/>
            </w:tcBorders>
            <w:shd w:val="clear" w:color="auto" w:fill="auto"/>
            <w:noWrap/>
            <w:vAlign w:val="bottom"/>
            <w:hideMark/>
          </w:tcPr>
          <w:p w14:paraId="2DF0D5EE"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665" w:type="pct"/>
            <w:tcBorders>
              <w:top w:val="nil"/>
              <w:left w:val="nil"/>
              <w:bottom w:val="nil"/>
              <w:right w:val="nil"/>
            </w:tcBorders>
            <w:shd w:val="clear" w:color="auto" w:fill="auto"/>
            <w:noWrap/>
            <w:vAlign w:val="bottom"/>
            <w:hideMark/>
          </w:tcPr>
          <w:p w14:paraId="0B4BCFB9"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w:t>
            </w:r>
          </w:p>
        </w:tc>
        <w:tc>
          <w:tcPr>
            <w:tcW w:w="571" w:type="pct"/>
            <w:tcBorders>
              <w:top w:val="nil"/>
              <w:left w:val="nil"/>
              <w:bottom w:val="nil"/>
              <w:right w:val="nil"/>
            </w:tcBorders>
            <w:shd w:val="clear" w:color="auto" w:fill="auto"/>
            <w:noWrap/>
            <w:vAlign w:val="bottom"/>
            <w:hideMark/>
          </w:tcPr>
          <w:p w14:paraId="766CB1E3" w14:textId="77777777" w:rsidR="001C0F49" w:rsidRPr="005D106D" w:rsidRDefault="001C0F49" w:rsidP="00293BD0">
            <w:pPr>
              <w:spacing w:after="0" w:line="240" w:lineRule="auto"/>
              <w:jc w:val="right"/>
              <w:rPr>
                <w:rFonts w:ascii="Arial" w:hAnsi="Arial" w:cs="Arial"/>
                <w:sz w:val="16"/>
                <w:szCs w:val="16"/>
              </w:rPr>
            </w:pPr>
            <w:r w:rsidRPr="005D106D">
              <w:rPr>
                <w:rFonts w:ascii="Arial" w:hAnsi="Arial" w:cs="Arial"/>
                <w:sz w:val="16"/>
                <w:szCs w:val="16"/>
              </w:rPr>
              <w:t>(958)</w:t>
            </w:r>
          </w:p>
        </w:tc>
      </w:tr>
      <w:tr w:rsidR="001C0F49" w:rsidRPr="008D110A" w14:paraId="50C65479" w14:textId="77777777" w:rsidTr="00293BD0">
        <w:trPr>
          <w:trHeight w:val="204"/>
        </w:trPr>
        <w:tc>
          <w:tcPr>
            <w:tcW w:w="2030" w:type="pct"/>
            <w:tcBorders>
              <w:top w:val="nil"/>
              <w:left w:val="nil"/>
              <w:bottom w:val="single" w:sz="4" w:space="0" w:color="auto"/>
              <w:right w:val="nil"/>
            </w:tcBorders>
            <w:shd w:val="clear" w:color="auto" w:fill="auto"/>
            <w:noWrap/>
            <w:vAlign w:val="bottom"/>
            <w:hideMark/>
          </w:tcPr>
          <w:p w14:paraId="3E69A3C8" w14:textId="77777777" w:rsidR="001C0F49" w:rsidRPr="008D110A" w:rsidRDefault="001C0F49" w:rsidP="00293BD0">
            <w:pPr>
              <w:spacing w:after="0" w:line="240" w:lineRule="auto"/>
              <w:rPr>
                <w:rFonts w:ascii="Arial" w:hAnsi="Arial" w:cs="Arial"/>
                <w:b/>
                <w:bCs/>
                <w:sz w:val="16"/>
                <w:szCs w:val="16"/>
              </w:rPr>
            </w:pPr>
            <w:r w:rsidRPr="008D110A">
              <w:rPr>
                <w:rFonts w:ascii="Arial" w:hAnsi="Arial" w:cs="Arial"/>
                <w:b/>
                <w:bCs/>
                <w:sz w:val="16"/>
                <w:szCs w:val="16"/>
              </w:rPr>
              <w:t>Closing net book balance</w:t>
            </w:r>
          </w:p>
        </w:tc>
        <w:tc>
          <w:tcPr>
            <w:tcW w:w="571" w:type="pct"/>
            <w:tcBorders>
              <w:top w:val="single" w:sz="4" w:space="0" w:color="auto"/>
              <w:left w:val="nil"/>
              <w:bottom w:val="single" w:sz="4" w:space="0" w:color="auto"/>
              <w:right w:val="nil"/>
            </w:tcBorders>
            <w:shd w:val="clear" w:color="auto" w:fill="auto"/>
            <w:noWrap/>
            <w:vAlign w:val="bottom"/>
            <w:hideMark/>
          </w:tcPr>
          <w:p w14:paraId="75BD1328"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1,090</w:t>
            </w:r>
          </w:p>
        </w:tc>
        <w:tc>
          <w:tcPr>
            <w:tcW w:w="629" w:type="pct"/>
            <w:tcBorders>
              <w:top w:val="single" w:sz="4" w:space="0" w:color="auto"/>
              <w:left w:val="nil"/>
              <w:bottom w:val="single" w:sz="4" w:space="0" w:color="auto"/>
              <w:right w:val="nil"/>
            </w:tcBorders>
            <w:shd w:val="clear" w:color="auto" w:fill="auto"/>
            <w:noWrap/>
            <w:vAlign w:val="bottom"/>
            <w:hideMark/>
          </w:tcPr>
          <w:p w14:paraId="7194EE1F"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4,805</w:t>
            </w:r>
          </w:p>
        </w:tc>
        <w:tc>
          <w:tcPr>
            <w:tcW w:w="534" w:type="pct"/>
            <w:tcBorders>
              <w:top w:val="single" w:sz="4" w:space="0" w:color="auto"/>
              <w:left w:val="nil"/>
              <w:bottom w:val="single" w:sz="4" w:space="0" w:color="auto"/>
              <w:right w:val="nil"/>
            </w:tcBorders>
            <w:shd w:val="clear" w:color="auto" w:fill="auto"/>
            <w:noWrap/>
            <w:vAlign w:val="bottom"/>
            <w:hideMark/>
          </w:tcPr>
          <w:p w14:paraId="7980208E"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106,346</w:t>
            </w:r>
          </w:p>
        </w:tc>
        <w:tc>
          <w:tcPr>
            <w:tcW w:w="665" w:type="pct"/>
            <w:tcBorders>
              <w:top w:val="single" w:sz="4" w:space="0" w:color="auto"/>
              <w:left w:val="nil"/>
              <w:bottom w:val="single" w:sz="4" w:space="0" w:color="auto"/>
              <w:right w:val="nil"/>
            </w:tcBorders>
            <w:shd w:val="clear" w:color="auto" w:fill="auto"/>
            <w:noWrap/>
            <w:vAlign w:val="bottom"/>
            <w:hideMark/>
          </w:tcPr>
          <w:p w14:paraId="436DED2F"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226</w:t>
            </w:r>
          </w:p>
        </w:tc>
        <w:tc>
          <w:tcPr>
            <w:tcW w:w="571" w:type="pct"/>
            <w:tcBorders>
              <w:top w:val="single" w:sz="4" w:space="0" w:color="auto"/>
              <w:left w:val="nil"/>
              <w:bottom w:val="single" w:sz="4" w:space="0" w:color="auto"/>
              <w:right w:val="nil"/>
            </w:tcBorders>
            <w:shd w:val="clear" w:color="auto" w:fill="auto"/>
            <w:noWrap/>
            <w:vAlign w:val="bottom"/>
            <w:hideMark/>
          </w:tcPr>
          <w:p w14:paraId="6B30F8D1" w14:textId="77777777" w:rsidR="001C0F49" w:rsidRPr="005D106D" w:rsidRDefault="001C0F49" w:rsidP="00293BD0">
            <w:pPr>
              <w:spacing w:after="0" w:line="240" w:lineRule="auto"/>
              <w:jc w:val="right"/>
              <w:rPr>
                <w:rFonts w:ascii="Arial" w:hAnsi="Arial" w:cs="Arial"/>
                <w:b/>
                <w:bCs/>
                <w:sz w:val="16"/>
                <w:szCs w:val="16"/>
              </w:rPr>
            </w:pPr>
            <w:r w:rsidRPr="005D106D">
              <w:rPr>
                <w:rFonts w:ascii="Arial" w:hAnsi="Arial" w:cs="Arial"/>
                <w:b/>
                <w:bCs/>
                <w:sz w:val="16"/>
                <w:szCs w:val="16"/>
              </w:rPr>
              <w:t>112,467</w:t>
            </w:r>
          </w:p>
        </w:tc>
      </w:tr>
    </w:tbl>
    <w:p w14:paraId="63A38B2F" w14:textId="77777777" w:rsidR="001C0F49" w:rsidRPr="005D106D" w:rsidRDefault="001C0F49" w:rsidP="001C0F49">
      <w:pPr>
        <w:spacing w:before="60" w:after="0" w:line="240" w:lineRule="auto"/>
        <w:rPr>
          <w:rFonts w:ascii="Arial" w:hAnsi="Arial" w:cs="Arial"/>
          <w:b/>
          <w:color w:val="000000"/>
          <w:sz w:val="16"/>
          <w:szCs w:val="16"/>
          <w:lang w:val="x-none" w:eastAsia="x-none"/>
        </w:rPr>
      </w:pPr>
      <w:r w:rsidRPr="005D106D">
        <w:rPr>
          <w:rFonts w:ascii="Arial" w:hAnsi="Arial" w:cs="Arial"/>
          <w:sz w:val="16"/>
          <w:szCs w:val="16"/>
        </w:rPr>
        <w:t>Prepared on Australian Accounting Standards basis.</w:t>
      </w:r>
    </w:p>
    <w:p w14:paraId="5D2B1469" w14:textId="377336E8" w:rsidR="001C0F49" w:rsidRDefault="001C0F49" w:rsidP="00CB6C5A">
      <w:pPr>
        <w:pStyle w:val="ListParagraph"/>
        <w:numPr>
          <w:ilvl w:val="0"/>
          <w:numId w:val="266"/>
        </w:numPr>
        <w:spacing w:after="0"/>
        <w:rPr>
          <w:rFonts w:ascii="Arial" w:hAnsi="Arial" w:cs="Arial"/>
          <w:sz w:val="16"/>
          <w:szCs w:val="16"/>
        </w:rPr>
      </w:pPr>
      <w:r w:rsidRPr="00FC62B9">
        <w:rPr>
          <w:rFonts w:ascii="Arial" w:hAnsi="Arial" w:cs="Arial"/>
          <w:sz w:val="16"/>
          <w:szCs w:val="16"/>
        </w:rPr>
        <w:t>Appropriation equity refers to equity injections appropriations provided through Appropriation Bill (No.</w:t>
      </w:r>
      <w:r>
        <w:rPr>
          <w:rFonts w:ascii="Arial" w:hAnsi="Arial" w:cs="Arial"/>
          <w:sz w:val="16"/>
          <w:szCs w:val="16"/>
        </w:rPr>
        <w:t> </w:t>
      </w:r>
      <w:r w:rsidRPr="00FC62B9">
        <w:rPr>
          <w:rFonts w:ascii="Arial" w:hAnsi="Arial" w:cs="Arial"/>
          <w:sz w:val="16"/>
          <w:szCs w:val="16"/>
        </w:rPr>
        <w:t>2) 2022-23, including CDABs.</w:t>
      </w:r>
    </w:p>
    <w:p w14:paraId="141F7320" w14:textId="688C8CE8" w:rsidR="00CB6C5A" w:rsidRPr="00CB6C5A" w:rsidRDefault="00CB6C5A" w:rsidP="00CB6C5A">
      <w:pPr>
        <w:spacing w:after="0"/>
        <w:rPr>
          <w:rFonts w:ascii="Arial" w:hAnsi="Arial" w:cs="Arial"/>
          <w:sz w:val="16"/>
          <w:szCs w:val="16"/>
        </w:rPr>
        <w:sectPr w:rsidR="00CB6C5A" w:rsidRPr="00CB6C5A" w:rsidSect="00F945E2">
          <w:headerReference w:type="even" r:id="rId19"/>
          <w:headerReference w:type="default" r:id="rId20"/>
          <w:headerReference w:type="first" r:id="rId21"/>
          <w:footerReference w:type="first" r:id="rId22"/>
          <w:type w:val="oddPage"/>
          <w:pgSz w:w="11906" w:h="16838" w:code="9"/>
          <w:pgMar w:top="2438" w:right="2098" w:bottom="2438" w:left="2098" w:header="1814" w:footer="1814" w:gutter="0"/>
          <w:pgNumType w:start="495"/>
          <w:cols w:space="708"/>
          <w:titlePg/>
          <w:docGrid w:linePitch="360"/>
        </w:sectPr>
      </w:pPr>
    </w:p>
    <w:p w14:paraId="2AD73E73" w14:textId="77777777" w:rsidR="001C0F49" w:rsidRPr="003E5D1C" w:rsidRDefault="001C0F49" w:rsidP="00F945E2">
      <w:pPr>
        <w:pStyle w:val="Heading1"/>
        <w:jc w:val="left"/>
        <w:rPr>
          <w:rFonts w:ascii="Arial" w:hAnsi="Arial" w:cs="Arial"/>
          <w:sz w:val="16"/>
          <w:szCs w:val="16"/>
        </w:rPr>
      </w:pPr>
      <w:bookmarkStart w:id="12" w:name="_GoBack"/>
      <w:bookmarkEnd w:id="12"/>
    </w:p>
    <w:sectPr w:rsidR="001C0F49" w:rsidRPr="003E5D1C" w:rsidSect="00F945E2">
      <w:headerReference w:type="even" r:id="rId23"/>
      <w:headerReference w:type="default" r:id="rId24"/>
      <w:footerReference w:type="even" r:id="rId25"/>
      <w:footerReference w:type="default" r:id="rId26"/>
      <w:headerReference w:type="first" r:id="rId27"/>
      <w:type w:val="oddPage"/>
      <w:pgSz w:w="11906" w:h="16838" w:code="9"/>
      <w:pgMar w:top="2438" w:right="2098" w:bottom="2438" w:left="2098" w:header="1531"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059D7" w14:textId="65315680" w:rsidR="005C752E" w:rsidRDefault="005C752E" w:rsidP="00293BD0">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3131" w14:textId="41B702D0" w:rsidR="005C752E" w:rsidRDefault="005C752E" w:rsidP="00D718CA">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Pr>
        <w:rStyle w:val="PageNumber"/>
        <w:rFonts w:cs="Times New Roman"/>
        <w:noProof/>
        <w:sz w:val="18"/>
      </w:rPr>
      <w:t>Northern Australia Infrastructure Facility</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B98F" w14:textId="3AFA9081" w:rsidR="005C752E" w:rsidRDefault="005C752E" w:rsidP="00293BD0">
    <w:pPr>
      <w:pStyle w:val="FooterEven"/>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Pr>
        <w:rStyle w:val="PageNumber"/>
        <w:rFonts w:cs="Times New Roman"/>
        <w:b/>
        <w:bCs w:val="0"/>
        <w:noProof/>
        <w:sz w:val="18"/>
      </w:rPr>
      <w:t>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91AF3">
      <w:rPr>
        <w:rStyle w:val="PageNumber"/>
        <w:rFonts w:cs="Times New Roman"/>
        <w:noProof/>
        <w:sz w:val="18"/>
      </w:rPr>
      <w:t>Old Parliament House</w:t>
    </w:r>
    <w:r>
      <w:rPr>
        <w:rStyle w:val="PageNumber"/>
        <w:rFonts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5E9E" w14:textId="27D52B4A" w:rsidR="005C752E" w:rsidRDefault="005C752E" w:rsidP="00D718CA">
    <w:pPr>
      <w:pStyle w:val="FooterOdd"/>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591AF3">
      <w:rPr>
        <w:rStyle w:val="PageNumber"/>
        <w:rFonts w:cs="Times New Roman"/>
        <w:noProof/>
        <w:sz w:val="18"/>
      </w:rPr>
      <w:t>Old Parliament House</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noProof/>
        <w:sz w:val="18"/>
      </w:rPr>
      <w:t>7</w:t>
    </w:r>
    <w:r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8B3B" w14:textId="77777777" w:rsidR="005C752E" w:rsidRPr="001808A4" w:rsidRDefault="005C752E" w:rsidP="0049200C">
    <w:pPr>
      <w:pStyle w:val="FooterBas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42F8" w14:textId="398669DF" w:rsidR="005C752E" w:rsidRPr="00B628E8" w:rsidRDefault="00F945E2" w:rsidP="004014B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end"/>
    </w:r>
    <w:r w:rsidR="005C752E" w:rsidRPr="00B628E8">
      <w:rPr>
        <w:rStyle w:val="PageNumber"/>
        <w:rFonts w:cs="Times New Roman"/>
        <w:sz w:val="18"/>
      </w:rPr>
      <w:t xml:space="preserve"> </w:t>
    </w:r>
    <w:r w:rsidR="005C752E">
      <w:rPr>
        <w:rStyle w:val="PageNumber"/>
        <w:rFonts w:cs="Times New Roman"/>
        <w:sz w:val="18"/>
        <w:lang w:val="en-AU"/>
      </w:rPr>
      <w:t xml:space="preserve"> </w:t>
    </w:r>
    <w:r w:rsidR="005C752E" w:rsidRPr="00B628E8">
      <w:rPr>
        <w:rStyle w:val="PageNumber"/>
        <w:rFonts w:cs="Times New Roman"/>
        <w:sz w:val="18"/>
      </w:rPr>
      <w:t>|</w:t>
    </w:r>
    <w:r w:rsidR="005C752E">
      <w:rPr>
        <w:rStyle w:val="PageNumber"/>
        <w:rFonts w:cs="Times New Roman"/>
        <w:sz w:val="18"/>
        <w:lang w:val="en-AU"/>
      </w:rPr>
      <w:t xml:space="preserve"> </w:t>
    </w:r>
    <w:r w:rsidR="005C752E" w:rsidRPr="00B628E8">
      <w:rPr>
        <w:rStyle w:val="PageNumber"/>
        <w:rFonts w:cs="Times New Roman"/>
        <w:sz w:val="18"/>
      </w:rPr>
      <w:t xml:space="preserve"> </w:t>
    </w:r>
    <w:r w:rsidR="005C752E" w:rsidRPr="00B628E8">
      <w:rPr>
        <w:rStyle w:val="PageNumber"/>
        <w:rFonts w:cs="Times New Roman"/>
        <w:b/>
        <w:bCs/>
        <w:sz w:val="18"/>
      </w:rPr>
      <w:t xml:space="preserve">Page </w:t>
    </w:r>
    <w:r w:rsidR="005C752E" w:rsidRPr="00B628E8">
      <w:rPr>
        <w:rStyle w:val="PageNumber"/>
        <w:rFonts w:cs="Times New Roman"/>
        <w:b/>
        <w:bCs/>
        <w:sz w:val="18"/>
      </w:rPr>
      <w:fldChar w:fldCharType="begin"/>
    </w:r>
    <w:r w:rsidR="005C752E" w:rsidRPr="00B628E8">
      <w:rPr>
        <w:rStyle w:val="PageNumber"/>
        <w:rFonts w:cs="Times New Roman"/>
        <w:b/>
        <w:bCs/>
        <w:sz w:val="18"/>
      </w:rPr>
      <w:instrText xml:space="preserve"> PAGE  \* Arabic </w:instrText>
    </w:r>
    <w:r w:rsidR="005C752E" w:rsidRPr="00B628E8">
      <w:rPr>
        <w:rStyle w:val="PageNumber"/>
        <w:rFonts w:cs="Times New Roman"/>
        <w:b/>
        <w:bCs/>
        <w:sz w:val="18"/>
      </w:rPr>
      <w:fldChar w:fldCharType="separate"/>
    </w:r>
    <w:r w:rsidR="005C752E">
      <w:rPr>
        <w:rStyle w:val="PageNumber"/>
        <w:rFonts w:cs="Times New Roman"/>
        <w:b/>
        <w:bCs/>
        <w:noProof/>
        <w:sz w:val="18"/>
      </w:rPr>
      <w:t>9</w:t>
    </w:r>
    <w:r w:rsidR="005C752E"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5B1D0" w14:textId="77777777" w:rsidR="005C752E" w:rsidRDefault="005C752E" w:rsidP="00D82A89">
    <w:pPr>
      <w:pStyle w:val="HeaderEven"/>
      <w:spacing w:after="60"/>
      <w:ind w:left="-113"/>
    </w:pPr>
    <w:r w:rsidRPr="00D47C6E">
      <w:rPr>
        <w:noProof/>
        <w:position w:val="-6"/>
      </w:rPr>
      <w:drawing>
        <wp:inline distT="0" distB="0" distL="0" distR="0" wp14:anchorId="5F92345B" wp14:editId="06EF6A31">
          <wp:extent cx="1350000" cy="169200"/>
          <wp:effectExtent l="0" t="0" r="3175" b="2540"/>
          <wp:docPr id="2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r>
      <w:t xml:space="preserve">  </w:t>
    </w:r>
    <w:r w:rsidRPr="00213592">
      <w:rPr>
        <w:position w:val="-2"/>
      </w:rPr>
      <w:t>|  Portfolio Budget Statements</w:t>
    </w:r>
  </w:p>
  <w:p w14:paraId="46F34D4E" w14:textId="77777777" w:rsidR="005C752E" w:rsidRPr="00667652" w:rsidRDefault="005C752E" w:rsidP="00293BD0">
    <w:pPr>
      <w:pStyle w:val="Head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B385" w14:textId="77777777" w:rsidR="005C752E" w:rsidRDefault="005C752E" w:rsidP="00293BD0">
    <w:pPr>
      <w:pStyle w:val="HeaderOdd"/>
    </w:pPr>
    <w:r w:rsidRPr="00213592">
      <w:rPr>
        <w:position w:val="-2"/>
      </w:rPr>
      <w:t>Portfolio Budget Statements  |</w:t>
    </w:r>
    <w:r>
      <w:t xml:space="preserve">  </w:t>
    </w:r>
    <w:r w:rsidRPr="00D47C6E">
      <w:rPr>
        <w:noProof/>
        <w:position w:val="-6"/>
      </w:rPr>
      <w:drawing>
        <wp:inline distT="0" distB="0" distL="0" distR="0" wp14:anchorId="29C99931" wp14:editId="3606B9E7">
          <wp:extent cx="1350000" cy="169200"/>
          <wp:effectExtent l="0" t="0" r="3175" b="2540"/>
          <wp:docPr id="2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p w14:paraId="2FEE01E6" w14:textId="77777777" w:rsidR="005C752E" w:rsidRPr="00667652" w:rsidRDefault="005C752E" w:rsidP="00293BD0">
    <w:pPr>
      <w:pStyle w:val="Header"/>
      <w:rPr>
        <w:rFonts w:ascii="Arial" w:hAnsi="Arial" w:cs="Arial"/>
        <w:i w:val="0"/>
        <w:sz w:val="18"/>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0480" w14:textId="77777777" w:rsidR="005C752E" w:rsidRDefault="005C752E" w:rsidP="00293BD0">
    <w:pPr>
      <w:pStyle w:val="HeaderOdd"/>
      <w:ind w:left="567" w:hanging="567"/>
    </w:pPr>
    <w:r w:rsidRPr="00213592">
      <w:rPr>
        <w:position w:val="-2"/>
      </w:rPr>
      <w:t>Portfolio Budget Statements  |</w:t>
    </w:r>
    <w:r>
      <w:t xml:space="preserve">  </w:t>
    </w:r>
    <w:r w:rsidRPr="00D47C6E">
      <w:rPr>
        <w:noProof/>
        <w:position w:val="-6"/>
      </w:rPr>
      <w:drawing>
        <wp:inline distT="0" distB="0" distL="0" distR="0" wp14:anchorId="3B16A93C" wp14:editId="6F674639">
          <wp:extent cx="1350000" cy="169200"/>
          <wp:effectExtent l="0" t="0" r="3175" b="2540"/>
          <wp:docPr id="2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p w14:paraId="0A163D95" w14:textId="77777777" w:rsidR="005C752E" w:rsidRPr="004014B1" w:rsidRDefault="005C752E" w:rsidP="00401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0C8"/>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218"/>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1AF3"/>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C4B"/>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B2F"/>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5E2"/>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http://schemas.microsoft.com/sharepoint/v3"/>
    <ds:schemaRef ds:uri="82ff9d9b-d3fc-4aad-bc42-9949ee83b815"/>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D25CF735-F7E9-436D-9306-627CF3B7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3705</Words>
  <Characters>23024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2022-10-24T00:51:00Z</dcterms:created>
  <dcterms:modified xsi:type="dcterms:W3CDTF">2022-10-24T01:17:00Z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