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54D70" w14:textId="77777777" w:rsidR="001C0F49" w:rsidRPr="005A7C0B" w:rsidRDefault="001C0F49" w:rsidP="007A31D3">
      <w:pPr>
        <w:pStyle w:val="PartHeading-TOC"/>
      </w:pPr>
      <w:bookmarkStart w:id="1" w:name="_Toc117345166"/>
      <w:r>
        <w:t>National Museum of Australia</w:t>
      </w:r>
      <w:bookmarkEnd w:id="1"/>
    </w:p>
    <w:p w14:paraId="31B88DE4" w14:textId="77777777" w:rsidR="001C0F49" w:rsidRDefault="001C0F49" w:rsidP="001C0F49">
      <w:pPr>
        <w:pStyle w:val="PartHeading"/>
      </w:pPr>
    </w:p>
    <w:p w14:paraId="10283341" w14:textId="77777777" w:rsidR="001C0F49" w:rsidRDefault="001C0F49" w:rsidP="001C0F49">
      <w:pPr>
        <w:pStyle w:val="PartHeading"/>
      </w:pPr>
    </w:p>
    <w:p w14:paraId="71430CC4" w14:textId="77777777" w:rsidR="001C0F49" w:rsidRPr="007A31D3" w:rsidRDefault="001C0F49" w:rsidP="007A31D3">
      <w:pPr>
        <w:pStyle w:val="PartHeading"/>
      </w:pPr>
      <w:r w:rsidRPr="007A31D3">
        <w:t>Entity resources and planned performance</w:t>
      </w:r>
    </w:p>
    <w:p w14:paraId="344DB856" w14:textId="77777777" w:rsidR="001C0F49" w:rsidRDefault="001C0F49" w:rsidP="001C0F49">
      <w:pPr>
        <w:pStyle w:val="PartHeading"/>
        <w:sectPr w:rsidR="001C0F49" w:rsidSect="00BA273A">
          <w:headerReference w:type="even" r:id="rId14"/>
          <w:headerReference w:type="default" r:id="rId15"/>
          <w:footerReference w:type="even" r:id="rId16"/>
          <w:footerReference w:type="default" r:id="rId17"/>
          <w:headerReference w:type="first" r:id="rId18"/>
          <w:footerReference w:type="first" r:id="rId19"/>
          <w:type w:val="oddPage"/>
          <w:pgSz w:w="11906" w:h="16838" w:code="9"/>
          <w:pgMar w:top="2438" w:right="2098" w:bottom="2438" w:left="2098" w:header="1814" w:footer="1814" w:gutter="0"/>
          <w:cols w:space="708"/>
          <w:vAlign w:val="center"/>
          <w:titlePg/>
          <w:docGrid w:linePitch="360"/>
        </w:sectPr>
      </w:pPr>
    </w:p>
    <w:p w14:paraId="24A57BE8" w14:textId="77777777" w:rsidR="001C0F49" w:rsidRPr="002A32FD" w:rsidRDefault="001C0F49" w:rsidP="001C0F49">
      <w:pPr>
        <w:pStyle w:val="ContentsHeading"/>
      </w:pPr>
      <w:r>
        <w:lastRenderedPageBreak/>
        <w:t>National Museum of Australia</w:t>
      </w:r>
    </w:p>
    <w:p w14:paraId="7B8F43C0" w14:textId="4F3CBCD6" w:rsidR="001C0F49" w:rsidRDefault="001C0F49" w:rsidP="001C0F49">
      <w:pPr>
        <w:pStyle w:val="TOC1"/>
        <w:rPr>
          <w:rFonts w:asciiTheme="minorHAnsi" w:eastAsiaTheme="minorEastAsia" w:hAnsiTheme="minorHAnsi" w:cstheme="minorBidi"/>
          <w:b w:val="0"/>
          <w:caps w:val="0"/>
          <w:noProof/>
          <w:sz w:val="22"/>
          <w:szCs w:val="22"/>
        </w:rPr>
      </w:pPr>
      <w:r>
        <w:fldChar w:fldCharType="begin"/>
      </w:r>
      <w:r>
        <w:instrText xml:space="preserve"> TOC \h \z \t "Heading 3 - NMA,2,Heading 2 - NMA,1" </w:instrText>
      </w:r>
      <w:r>
        <w:fldChar w:fldCharType="separate"/>
      </w:r>
      <w:hyperlink w:anchor="_Toc115778486" w:history="1">
        <w:r w:rsidRPr="00EF7981">
          <w:rPr>
            <w:rStyle w:val="Hyperlink"/>
            <w:noProof/>
          </w:rPr>
          <w:t>Section 1: Entity overview and resources</w:t>
        </w:r>
        <w:r>
          <w:rPr>
            <w:noProof/>
            <w:webHidden/>
          </w:rPr>
          <w:tab/>
        </w:r>
        <w:r>
          <w:rPr>
            <w:noProof/>
            <w:webHidden/>
          </w:rPr>
          <w:fldChar w:fldCharType="begin"/>
        </w:r>
        <w:r>
          <w:rPr>
            <w:noProof/>
            <w:webHidden/>
          </w:rPr>
          <w:instrText xml:space="preserve"> PAGEREF _Toc115778486 \h </w:instrText>
        </w:r>
        <w:r>
          <w:rPr>
            <w:noProof/>
            <w:webHidden/>
          </w:rPr>
        </w:r>
        <w:r>
          <w:rPr>
            <w:noProof/>
            <w:webHidden/>
          </w:rPr>
          <w:fldChar w:fldCharType="separate"/>
        </w:r>
        <w:r w:rsidR="005C752E">
          <w:rPr>
            <w:noProof/>
            <w:webHidden/>
          </w:rPr>
          <w:t>421</w:t>
        </w:r>
        <w:r>
          <w:rPr>
            <w:noProof/>
            <w:webHidden/>
          </w:rPr>
          <w:fldChar w:fldCharType="end"/>
        </w:r>
      </w:hyperlink>
    </w:p>
    <w:p w14:paraId="42272019" w14:textId="6DCBD5DB"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87" w:history="1">
        <w:r w:rsidR="001C0F49" w:rsidRPr="00EF7981">
          <w:rPr>
            <w:rStyle w:val="Hyperlink"/>
            <w:noProof/>
          </w:rPr>
          <w:t>1.1</w:t>
        </w:r>
        <w:r w:rsidR="001C0F49">
          <w:rPr>
            <w:rFonts w:asciiTheme="minorHAnsi" w:eastAsiaTheme="minorEastAsia" w:hAnsiTheme="minorHAnsi" w:cstheme="minorBidi"/>
            <w:noProof/>
            <w:sz w:val="22"/>
            <w:szCs w:val="22"/>
          </w:rPr>
          <w:tab/>
        </w:r>
        <w:r w:rsidR="001C0F49" w:rsidRPr="00EF7981">
          <w:rPr>
            <w:rStyle w:val="Hyperlink"/>
            <w:noProof/>
          </w:rPr>
          <w:t>Strategic direction statement</w:t>
        </w:r>
        <w:r w:rsidR="001C0F49">
          <w:rPr>
            <w:noProof/>
            <w:webHidden/>
          </w:rPr>
          <w:tab/>
        </w:r>
        <w:r w:rsidR="001C0F49">
          <w:rPr>
            <w:noProof/>
            <w:webHidden/>
          </w:rPr>
          <w:fldChar w:fldCharType="begin"/>
        </w:r>
        <w:r w:rsidR="001C0F49">
          <w:rPr>
            <w:noProof/>
            <w:webHidden/>
          </w:rPr>
          <w:instrText xml:space="preserve"> PAGEREF _Toc115778487 \h </w:instrText>
        </w:r>
        <w:r w:rsidR="001C0F49">
          <w:rPr>
            <w:noProof/>
            <w:webHidden/>
          </w:rPr>
        </w:r>
        <w:r w:rsidR="001C0F49">
          <w:rPr>
            <w:noProof/>
            <w:webHidden/>
          </w:rPr>
          <w:fldChar w:fldCharType="separate"/>
        </w:r>
        <w:r w:rsidR="005C752E">
          <w:rPr>
            <w:noProof/>
            <w:webHidden/>
          </w:rPr>
          <w:t>421</w:t>
        </w:r>
        <w:r w:rsidR="001C0F49">
          <w:rPr>
            <w:noProof/>
            <w:webHidden/>
          </w:rPr>
          <w:fldChar w:fldCharType="end"/>
        </w:r>
      </w:hyperlink>
    </w:p>
    <w:p w14:paraId="720748F4" w14:textId="2D25FDB9"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88" w:history="1">
        <w:r w:rsidR="001C0F49" w:rsidRPr="00EF7981">
          <w:rPr>
            <w:rStyle w:val="Hyperlink"/>
            <w:noProof/>
          </w:rPr>
          <w:t>1.2</w:t>
        </w:r>
        <w:r w:rsidR="001C0F49">
          <w:rPr>
            <w:rFonts w:asciiTheme="minorHAnsi" w:eastAsiaTheme="minorEastAsia" w:hAnsiTheme="minorHAnsi" w:cstheme="minorBidi"/>
            <w:noProof/>
            <w:sz w:val="22"/>
            <w:szCs w:val="22"/>
          </w:rPr>
          <w:tab/>
        </w:r>
        <w:r w:rsidR="001C0F49" w:rsidRPr="00EF7981">
          <w:rPr>
            <w:rStyle w:val="Hyperlink"/>
            <w:noProof/>
          </w:rPr>
          <w:t>Entity resource statement</w:t>
        </w:r>
        <w:r w:rsidR="001C0F49">
          <w:rPr>
            <w:noProof/>
            <w:webHidden/>
          </w:rPr>
          <w:tab/>
        </w:r>
        <w:r w:rsidR="001C0F49">
          <w:rPr>
            <w:noProof/>
            <w:webHidden/>
          </w:rPr>
          <w:fldChar w:fldCharType="begin"/>
        </w:r>
        <w:r w:rsidR="001C0F49">
          <w:rPr>
            <w:noProof/>
            <w:webHidden/>
          </w:rPr>
          <w:instrText xml:space="preserve"> PAGEREF _Toc115778488 \h </w:instrText>
        </w:r>
        <w:r w:rsidR="001C0F49">
          <w:rPr>
            <w:noProof/>
            <w:webHidden/>
          </w:rPr>
        </w:r>
        <w:r w:rsidR="001C0F49">
          <w:rPr>
            <w:noProof/>
            <w:webHidden/>
          </w:rPr>
          <w:fldChar w:fldCharType="separate"/>
        </w:r>
        <w:r w:rsidR="005C752E">
          <w:rPr>
            <w:noProof/>
            <w:webHidden/>
          </w:rPr>
          <w:t>422</w:t>
        </w:r>
        <w:r w:rsidR="001C0F49">
          <w:rPr>
            <w:noProof/>
            <w:webHidden/>
          </w:rPr>
          <w:fldChar w:fldCharType="end"/>
        </w:r>
      </w:hyperlink>
    </w:p>
    <w:p w14:paraId="1C86ABBC" w14:textId="51A173A0"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89" w:history="1">
        <w:r w:rsidR="001C0F49" w:rsidRPr="00EF7981">
          <w:rPr>
            <w:rStyle w:val="Hyperlink"/>
            <w:noProof/>
          </w:rPr>
          <w:t>1.3</w:t>
        </w:r>
        <w:r w:rsidR="001C0F49">
          <w:rPr>
            <w:rFonts w:asciiTheme="minorHAnsi" w:eastAsiaTheme="minorEastAsia" w:hAnsiTheme="minorHAnsi" w:cstheme="minorBidi"/>
            <w:noProof/>
            <w:sz w:val="22"/>
            <w:szCs w:val="22"/>
          </w:rPr>
          <w:tab/>
        </w:r>
        <w:r w:rsidR="001C0F49" w:rsidRPr="00EF7981">
          <w:rPr>
            <w:rStyle w:val="Hyperlink"/>
            <w:noProof/>
          </w:rPr>
          <w:t>Budget measures</w:t>
        </w:r>
        <w:r w:rsidR="001C0F49">
          <w:rPr>
            <w:noProof/>
            <w:webHidden/>
          </w:rPr>
          <w:tab/>
        </w:r>
        <w:r w:rsidR="001C0F49">
          <w:rPr>
            <w:noProof/>
            <w:webHidden/>
          </w:rPr>
          <w:fldChar w:fldCharType="begin"/>
        </w:r>
        <w:r w:rsidR="001C0F49">
          <w:rPr>
            <w:noProof/>
            <w:webHidden/>
          </w:rPr>
          <w:instrText xml:space="preserve"> PAGEREF _Toc115778489 \h </w:instrText>
        </w:r>
        <w:r w:rsidR="001C0F49">
          <w:rPr>
            <w:noProof/>
            <w:webHidden/>
          </w:rPr>
        </w:r>
        <w:r w:rsidR="001C0F49">
          <w:rPr>
            <w:noProof/>
            <w:webHidden/>
          </w:rPr>
          <w:fldChar w:fldCharType="separate"/>
        </w:r>
        <w:r w:rsidR="005C752E">
          <w:rPr>
            <w:noProof/>
            <w:webHidden/>
          </w:rPr>
          <w:t>422</w:t>
        </w:r>
        <w:r w:rsidR="001C0F49">
          <w:rPr>
            <w:noProof/>
            <w:webHidden/>
          </w:rPr>
          <w:fldChar w:fldCharType="end"/>
        </w:r>
      </w:hyperlink>
    </w:p>
    <w:p w14:paraId="7576FEC5" w14:textId="1C57D17B" w:rsidR="001C0F49" w:rsidRDefault="009B6DC4" w:rsidP="001C0F49">
      <w:pPr>
        <w:pStyle w:val="TOC1"/>
        <w:rPr>
          <w:rFonts w:asciiTheme="minorHAnsi" w:eastAsiaTheme="minorEastAsia" w:hAnsiTheme="minorHAnsi" w:cstheme="minorBidi"/>
          <w:b w:val="0"/>
          <w:caps w:val="0"/>
          <w:noProof/>
          <w:sz w:val="22"/>
          <w:szCs w:val="22"/>
        </w:rPr>
      </w:pPr>
      <w:hyperlink w:anchor="_Toc115778490" w:history="1">
        <w:r w:rsidR="001C0F49" w:rsidRPr="00EF7981">
          <w:rPr>
            <w:rStyle w:val="Hyperlink"/>
            <w:noProof/>
          </w:rPr>
          <w:t>Section 2: Outcomes and planned performance</w:t>
        </w:r>
        <w:r w:rsidR="001C0F49">
          <w:rPr>
            <w:noProof/>
            <w:webHidden/>
          </w:rPr>
          <w:tab/>
        </w:r>
        <w:r w:rsidR="001C0F49">
          <w:rPr>
            <w:noProof/>
            <w:webHidden/>
          </w:rPr>
          <w:fldChar w:fldCharType="begin"/>
        </w:r>
        <w:r w:rsidR="001C0F49">
          <w:rPr>
            <w:noProof/>
            <w:webHidden/>
          </w:rPr>
          <w:instrText xml:space="preserve"> PAGEREF _Toc115778490 \h </w:instrText>
        </w:r>
        <w:r w:rsidR="001C0F49">
          <w:rPr>
            <w:noProof/>
            <w:webHidden/>
          </w:rPr>
        </w:r>
        <w:r w:rsidR="001C0F49">
          <w:rPr>
            <w:noProof/>
            <w:webHidden/>
          </w:rPr>
          <w:fldChar w:fldCharType="separate"/>
        </w:r>
        <w:r w:rsidR="005C752E">
          <w:rPr>
            <w:noProof/>
            <w:webHidden/>
          </w:rPr>
          <w:t>423</w:t>
        </w:r>
        <w:r w:rsidR="001C0F49">
          <w:rPr>
            <w:noProof/>
            <w:webHidden/>
          </w:rPr>
          <w:fldChar w:fldCharType="end"/>
        </w:r>
      </w:hyperlink>
    </w:p>
    <w:p w14:paraId="7118C399" w14:textId="1166988C"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91" w:history="1">
        <w:r w:rsidR="001C0F49" w:rsidRPr="00EF7981">
          <w:rPr>
            <w:rStyle w:val="Hyperlink"/>
            <w:noProof/>
          </w:rPr>
          <w:t xml:space="preserve">2.1 </w:t>
        </w:r>
        <w:r w:rsidR="001C0F49">
          <w:rPr>
            <w:rFonts w:asciiTheme="minorHAnsi" w:eastAsiaTheme="minorEastAsia" w:hAnsiTheme="minorHAnsi" w:cstheme="minorBidi"/>
            <w:noProof/>
            <w:sz w:val="22"/>
            <w:szCs w:val="22"/>
          </w:rPr>
          <w:tab/>
        </w:r>
        <w:r w:rsidR="001C0F49" w:rsidRPr="00EF7981">
          <w:rPr>
            <w:rStyle w:val="Hyperlink"/>
            <w:noProof/>
          </w:rPr>
          <w:t>Budgeted expenses and performance for Outcome 1</w:t>
        </w:r>
        <w:r w:rsidR="001C0F49">
          <w:rPr>
            <w:noProof/>
            <w:webHidden/>
          </w:rPr>
          <w:tab/>
        </w:r>
        <w:r w:rsidR="001C0F49">
          <w:rPr>
            <w:noProof/>
            <w:webHidden/>
          </w:rPr>
          <w:fldChar w:fldCharType="begin"/>
        </w:r>
        <w:r w:rsidR="001C0F49">
          <w:rPr>
            <w:noProof/>
            <w:webHidden/>
          </w:rPr>
          <w:instrText xml:space="preserve"> PAGEREF _Toc115778491 \h </w:instrText>
        </w:r>
        <w:r w:rsidR="001C0F49">
          <w:rPr>
            <w:noProof/>
            <w:webHidden/>
          </w:rPr>
        </w:r>
        <w:r w:rsidR="001C0F49">
          <w:rPr>
            <w:noProof/>
            <w:webHidden/>
          </w:rPr>
          <w:fldChar w:fldCharType="separate"/>
        </w:r>
        <w:r w:rsidR="005C752E">
          <w:rPr>
            <w:noProof/>
            <w:webHidden/>
          </w:rPr>
          <w:t>424</w:t>
        </w:r>
        <w:r w:rsidR="001C0F49">
          <w:rPr>
            <w:noProof/>
            <w:webHidden/>
          </w:rPr>
          <w:fldChar w:fldCharType="end"/>
        </w:r>
      </w:hyperlink>
    </w:p>
    <w:p w14:paraId="5E14C47C" w14:textId="65B7F390" w:rsidR="001C0F49" w:rsidRDefault="009B6DC4" w:rsidP="001C0F49">
      <w:pPr>
        <w:pStyle w:val="TOC1"/>
        <w:rPr>
          <w:rFonts w:asciiTheme="minorHAnsi" w:eastAsiaTheme="minorEastAsia" w:hAnsiTheme="minorHAnsi" w:cstheme="minorBidi"/>
          <w:b w:val="0"/>
          <w:caps w:val="0"/>
          <w:noProof/>
          <w:sz w:val="22"/>
          <w:szCs w:val="22"/>
        </w:rPr>
      </w:pPr>
      <w:hyperlink w:anchor="_Toc115778492" w:history="1">
        <w:r w:rsidR="001C0F49" w:rsidRPr="00EF7981">
          <w:rPr>
            <w:rStyle w:val="Hyperlink"/>
            <w:noProof/>
          </w:rPr>
          <w:t>Section 3: Budgeted financial statements</w:t>
        </w:r>
        <w:r w:rsidR="001C0F49">
          <w:rPr>
            <w:noProof/>
            <w:webHidden/>
          </w:rPr>
          <w:tab/>
        </w:r>
        <w:r w:rsidR="001C0F49">
          <w:rPr>
            <w:noProof/>
            <w:webHidden/>
          </w:rPr>
          <w:fldChar w:fldCharType="begin"/>
        </w:r>
        <w:r w:rsidR="001C0F49">
          <w:rPr>
            <w:noProof/>
            <w:webHidden/>
          </w:rPr>
          <w:instrText xml:space="preserve"> PAGEREF _Toc115778492 \h </w:instrText>
        </w:r>
        <w:r w:rsidR="001C0F49">
          <w:rPr>
            <w:noProof/>
            <w:webHidden/>
          </w:rPr>
        </w:r>
        <w:r w:rsidR="001C0F49">
          <w:rPr>
            <w:noProof/>
            <w:webHidden/>
          </w:rPr>
          <w:fldChar w:fldCharType="separate"/>
        </w:r>
        <w:r w:rsidR="005C752E">
          <w:rPr>
            <w:noProof/>
            <w:webHidden/>
          </w:rPr>
          <w:t>427</w:t>
        </w:r>
        <w:r w:rsidR="001C0F49">
          <w:rPr>
            <w:noProof/>
            <w:webHidden/>
          </w:rPr>
          <w:fldChar w:fldCharType="end"/>
        </w:r>
      </w:hyperlink>
    </w:p>
    <w:p w14:paraId="5DC2A548" w14:textId="2BD35250"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93" w:history="1">
        <w:r w:rsidR="001C0F49" w:rsidRPr="00EF7981">
          <w:rPr>
            <w:rStyle w:val="Hyperlink"/>
            <w:noProof/>
          </w:rPr>
          <w:t>3.1</w:t>
        </w:r>
        <w:r w:rsidR="001C0F49">
          <w:rPr>
            <w:rFonts w:asciiTheme="minorHAnsi" w:eastAsiaTheme="minorEastAsia" w:hAnsiTheme="minorHAnsi" w:cstheme="minorBidi"/>
            <w:noProof/>
            <w:sz w:val="22"/>
            <w:szCs w:val="22"/>
          </w:rPr>
          <w:tab/>
        </w:r>
        <w:r w:rsidR="001C0F49" w:rsidRPr="00EF7981">
          <w:rPr>
            <w:rStyle w:val="Hyperlink"/>
            <w:noProof/>
          </w:rPr>
          <w:t>Budgeted financial statements</w:t>
        </w:r>
        <w:r w:rsidR="001C0F49">
          <w:rPr>
            <w:noProof/>
            <w:webHidden/>
          </w:rPr>
          <w:tab/>
        </w:r>
        <w:r w:rsidR="001C0F49">
          <w:rPr>
            <w:noProof/>
            <w:webHidden/>
          </w:rPr>
          <w:fldChar w:fldCharType="begin"/>
        </w:r>
        <w:r w:rsidR="001C0F49">
          <w:rPr>
            <w:noProof/>
            <w:webHidden/>
          </w:rPr>
          <w:instrText xml:space="preserve"> PAGEREF _Toc115778493 \h </w:instrText>
        </w:r>
        <w:r w:rsidR="001C0F49">
          <w:rPr>
            <w:noProof/>
            <w:webHidden/>
          </w:rPr>
        </w:r>
        <w:r w:rsidR="001C0F49">
          <w:rPr>
            <w:noProof/>
            <w:webHidden/>
          </w:rPr>
          <w:fldChar w:fldCharType="separate"/>
        </w:r>
        <w:r w:rsidR="005C752E">
          <w:rPr>
            <w:noProof/>
            <w:webHidden/>
          </w:rPr>
          <w:t>427</w:t>
        </w:r>
        <w:r w:rsidR="001C0F49">
          <w:rPr>
            <w:noProof/>
            <w:webHidden/>
          </w:rPr>
          <w:fldChar w:fldCharType="end"/>
        </w:r>
      </w:hyperlink>
    </w:p>
    <w:p w14:paraId="0F4BAC00" w14:textId="6F974240" w:rsidR="001C0F49" w:rsidRDefault="009B6DC4" w:rsidP="001C0F49">
      <w:pPr>
        <w:pStyle w:val="TOC2"/>
        <w:tabs>
          <w:tab w:val="left" w:pos="800"/>
        </w:tabs>
        <w:rPr>
          <w:rFonts w:asciiTheme="minorHAnsi" w:eastAsiaTheme="minorEastAsia" w:hAnsiTheme="minorHAnsi" w:cstheme="minorBidi"/>
          <w:noProof/>
          <w:sz w:val="22"/>
          <w:szCs w:val="22"/>
        </w:rPr>
      </w:pPr>
      <w:hyperlink w:anchor="_Toc115778494" w:history="1">
        <w:r w:rsidR="001C0F49" w:rsidRPr="00EF7981">
          <w:rPr>
            <w:rStyle w:val="Hyperlink"/>
            <w:noProof/>
          </w:rPr>
          <w:t>3.2</w:t>
        </w:r>
        <w:r w:rsidR="001C0F49">
          <w:rPr>
            <w:rFonts w:asciiTheme="minorHAnsi" w:eastAsiaTheme="minorEastAsia" w:hAnsiTheme="minorHAnsi" w:cstheme="minorBidi"/>
            <w:noProof/>
            <w:sz w:val="22"/>
            <w:szCs w:val="22"/>
          </w:rPr>
          <w:tab/>
        </w:r>
        <w:r w:rsidR="001C0F49" w:rsidRPr="00EF7981">
          <w:rPr>
            <w:rStyle w:val="Hyperlink"/>
            <w:noProof/>
          </w:rPr>
          <w:t>Budgeted financial statements tables</w:t>
        </w:r>
        <w:r w:rsidR="001C0F49">
          <w:rPr>
            <w:noProof/>
            <w:webHidden/>
          </w:rPr>
          <w:tab/>
        </w:r>
        <w:r w:rsidR="001C0F49">
          <w:rPr>
            <w:noProof/>
            <w:webHidden/>
          </w:rPr>
          <w:fldChar w:fldCharType="begin"/>
        </w:r>
        <w:r w:rsidR="001C0F49">
          <w:rPr>
            <w:noProof/>
            <w:webHidden/>
          </w:rPr>
          <w:instrText xml:space="preserve"> PAGEREF _Toc115778494 \h </w:instrText>
        </w:r>
        <w:r w:rsidR="001C0F49">
          <w:rPr>
            <w:noProof/>
            <w:webHidden/>
          </w:rPr>
        </w:r>
        <w:r w:rsidR="001C0F49">
          <w:rPr>
            <w:noProof/>
            <w:webHidden/>
          </w:rPr>
          <w:fldChar w:fldCharType="separate"/>
        </w:r>
        <w:r w:rsidR="005C752E">
          <w:rPr>
            <w:noProof/>
            <w:webHidden/>
          </w:rPr>
          <w:t>428</w:t>
        </w:r>
        <w:r w:rsidR="001C0F49">
          <w:rPr>
            <w:noProof/>
            <w:webHidden/>
          </w:rPr>
          <w:fldChar w:fldCharType="end"/>
        </w:r>
      </w:hyperlink>
    </w:p>
    <w:p w14:paraId="6512449B" w14:textId="77777777" w:rsidR="001C0F49" w:rsidRPr="008B5AFD" w:rsidRDefault="001C0F49" w:rsidP="001C0F49">
      <w:pPr>
        <w:pStyle w:val="TOC1"/>
      </w:pPr>
      <w:r>
        <w:fldChar w:fldCharType="end"/>
      </w:r>
    </w:p>
    <w:p w14:paraId="08DEC887" w14:textId="77777777" w:rsidR="001C0F49" w:rsidRDefault="001C0F49" w:rsidP="001C0F49">
      <w:pPr>
        <w:sectPr w:rsidR="001C0F49" w:rsidSect="00BA273A">
          <w:footerReference w:type="even" r:id="rId20"/>
          <w:footerReference w:type="default" r:id="rId21"/>
          <w:headerReference w:type="first" r:id="rId22"/>
          <w:footerReference w:type="first" r:id="rId23"/>
          <w:type w:val="oddPage"/>
          <w:pgSz w:w="11906" w:h="16838" w:code="9"/>
          <w:pgMar w:top="2438" w:right="2098" w:bottom="2438" w:left="2098" w:header="1814" w:footer="1814" w:gutter="0"/>
          <w:cols w:space="708"/>
          <w:titlePg/>
          <w:docGrid w:linePitch="360"/>
        </w:sectPr>
      </w:pPr>
    </w:p>
    <w:p w14:paraId="65BF8AD4" w14:textId="60F5BC74" w:rsidR="001C0F49" w:rsidRDefault="001C0F49" w:rsidP="000D16D6">
      <w:pPr>
        <w:pStyle w:val="Heading1"/>
      </w:pPr>
      <w:bookmarkStart w:id="2" w:name="_Toc98440179"/>
      <w:bookmarkStart w:id="3" w:name="_Toc117326652"/>
      <w:r w:rsidRPr="00745005">
        <w:lastRenderedPageBreak/>
        <w:t>National</w:t>
      </w:r>
      <w:r>
        <w:t xml:space="preserve"> Museum of Australia</w:t>
      </w:r>
      <w:bookmarkEnd w:id="2"/>
      <w:bookmarkEnd w:id="3"/>
    </w:p>
    <w:p w14:paraId="003DD22B" w14:textId="70FE834F" w:rsidR="001C0F49" w:rsidRPr="002C4D41" w:rsidRDefault="001C0F49" w:rsidP="001C0F49">
      <w:pPr>
        <w:pStyle w:val="Heading2-NMA"/>
      </w:pPr>
      <w:bookmarkStart w:id="4" w:name="_Toc97723174"/>
      <w:bookmarkStart w:id="5" w:name="_Toc98440367"/>
      <w:bookmarkStart w:id="6" w:name="_Toc98440515"/>
      <w:bookmarkStart w:id="7" w:name="_Toc98440663"/>
      <w:bookmarkStart w:id="8" w:name="_Toc98440811"/>
      <w:bookmarkStart w:id="9" w:name="_Toc98440959"/>
      <w:bookmarkStart w:id="10" w:name="_Toc115778486"/>
      <w:r w:rsidRPr="002C4D41">
        <w:t xml:space="preserve">Section 1: Entity overview and </w:t>
      </w:r>
      <w:r>
        <w:t>reso</w:t>
      </w:r>
      <w:r w:rsidRPr="002C4D41">
        <w:t>urces</w:t>
      </w:r>
      <w:bookmarkEnd w:id="4"/>
      <w:bookmarkEnd w:id="5"/>
      <w:bookmarkEnd w:id="6"/>
      <w:bookmarkEnd w:id="7"/>
      <w:bookmarkEnd w:id="8"/>
      <w:bookmarkEnd w:id="9"/>
      <w:bookmarkEnd w:id="10"/>
    </w:p>
    <w:p w14:paraId="5EB4655B" w14:textId="29A46FD7" w:rsidR="001C0F49" w:rsidRDefault="001C0F49" w:rsidP="001C0F49">
      <w:pPr>
        <w:pStyle w:val="Heading3-NMA"/>
      </w:pPr>
      <w:bookmarkStart w:id="11" w:name="_Toc97723175"/>
      <w:bookmarkStart w:id="12" w:name="_Toc98440368"/>
      <w:bookmarkStart w:id="13" w:name="_Toc98440516"/>
      <w:bookmarkStart w:id="14" w:name="_Toc98440664"/>
      <w:bookmarkStart w:id="15" w:name="_Toc98440812"/>
      <w:bookmarkStart w:id="16" w:name="_Toc98440960"/>
      <w:bookmarkStart w:id="17" w:name="_Toc115778487"/>
      <w:r>
        <w:t>1.1</w:t>
      </w:r>
      <w:r>
        <w:tab/>
        <w:t>Strategic direction statement</w:t>
      </w:r>
      <w:bookmarkEnd w:id="11"/>
      <w:bookmarkEnd w:id="12"/>
      <w:bookmarkEnd w:id="13"/>
      <w:bookmarkEnd w:id="14"/>
      <w:bookmarkEnd w:id="15"/>
      <w:bookmarkEnd w:id="16"/>
      <w:bookmarkEnd w:id="17"/>
    </w:p>
    <w:p w14:paraId="49A13491" w14:textId="77777777" w:rsidR="001C0F49" w:rsidRPr="008E615F" w:rsidRDefault="001C0F49" w:rsidP="001C0F49">
      <w:r w:rsidRPr="008E615F">
        <w:t xml:space="preserve">The National Museum of Australia (NMA), as mandated under the </w:t>
      </w:r>
      <w:r w:rsidRPr="000A6EA7">
        <w:rPr>
          <w:i/>
          <w:iCs/>
        </w:rPr>
        <w:t>National Museum of Australia Act 1980</w:t>
      </w:r>
      <w:r w:rsidRPr="00C866C3">
        <w:t xml:space="preserve">, </w:t>
      </w:r>
      <w:r w:rsidRPr="008E615F">
        <w:t>was established for the purpose of developing and maintaining a National Historical Collection for the benefit of the nation, and to bring to life the rich and diverse stories of Australia through strong engagement with the nation’s varied communities and traditions. Central to the NMA’s place as a national institution is its focus on meaningful engagement with all Australians through the interpretation of Australia’s past, present and future, and its foundational commitment to the history and cultures of the First Australians. The NMA achieves this through the development and maintenance of the National Historical Collection and by sharing the stories of Australia’s people and places. The NMA is the only national institution that is wholly devoted to the complex and comprehensive story of Australia from deep time to the present day.</w:t>
      </w:r>
    </w:p>
    <w:p w14:paraId="486A851A" w14:textId="77777777" w:rsidR="001C0F49" w:rsidRPr="008E615F" w:rsidRDefault="001C0F49" w:rsidP="001C0F49">
      <w:pPr>
        <w:spacing w:after="120"/>
      </w:pPr>
      <w:r w:rsidRPr="008E615F">
        <w:t>The NMA has a vital role in helping to connect Australians and their communities, particularly needed in recent times given the impact of natural disasters, the ongoing COVID-19 pandemic and challenges in the international environment. In fulfilling this mission and assisting national recovery, over the next four years the NMA will strive to:</w:t>
      </w:r>
    </w:p>
    <w:p w14:paraId="39811BE6" w14:textId="77777777" w:rsidR="001C0F49" w:rsidRPr="00C866C3" w:rsidRDefault="001C0F49" w:rsidP="008D0F63">
      <w:pPr>
        <w:pStyle w:val="ListParagraph"/>
        <w:numPr>
          <w:ilvl w:val="0"/>
          <w:numId w:val="31"/>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Ensure Australians have a greater understanding of our shared history by collecting and sharing the unique and remarkable stories of the past and present</w:t>
      </w:r>
    </w:p>
    <w:p w14:paraId="29181E26" w14:textId="77777777" w:rsidR="001C0F49" w:rsidRPr="00C866C3" w:rsidRDefault="001C0F49" w:rsidP="008D0F63">
      <w:pPr>
        <w:pStyle w:val="ListParagraph"/>
        <w:numPr>
          <w:ilvl w:val="0"/>
          <w:numId w:val="31"/>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Excel at telling the Australian story through innovative digital media, dynamic story-telling and world-class exhibitions</w:t>
      </w:r>
    </w:p>
    <w:p w14:paraId="1D49583F" w14:textId="77777777" w:rsidR="001C0F49" w:rsidRPr="00C866C3" w:rsidRDefault="001C0F49" w:rsidP="008D0F63">
      <w:pPr>
        <w:pStyle w:val="ListParagraph"/>
        <w:numPr>
          <w:ilvl w:val="0"/>
          <w:numId w:val="31"/>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Maximise opportunities for public engagement that respond to changing audience behaviours and needs across the country and overseas</w:t>
      </w:r>
    </w:p>
    <w:p w14:paraId="21CB2475" w14:textId="77777777" w:rsidR="001C0F49" w:rsidRPr="00C866C3" w:rsidRDefault="001C0F49" w:rsidP="008D0F63">
      <w:pPr>
        <w:pStyle w:val="ListParagraph"/>
        <w:numPr>
          <w:ilvl w:val="0"/>
          <w:numId w:val="31"/>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Focus documentation, research, preservation and digitisation programs on key areas of the National Historical Collection</w:t>
      </w:r>
    </w:p>
    <w:p w14:paraId="09425F7E" w14:textId="77777777" w:rsidR="001C0F49" w:rsidRPr="00C866C3" w:rsidRDefault="001C0F49" w:rsidP="008D0F63">
      <w:pPr>
        <w:pStyle w:val="ListParagraph"/>
        <w:numPr>
          <w:ilvl w:val="0"/>
          <w:numId w:val="31"/>
        </w:numPr>
        <w:spacing w:after="120" w:line="240" w:lineRule="auto"/>
        <w:ind w:left="350" w:hanging="357"/>
        <w:contextualSpacing w:val="0"/>
        <w:rPr>
          <w:rFonts w:ascii="Book Antiqua" w:hAnsi="Book Antiqua"/>
          <w:sz w:val="20"/>
          <w:szCs w:val="20"/>
        </w:rPr>
      </w:pPr>
      <w:r w:rsidRPr="00C866C3">
        <w:rPr>
          <w:rFonts w:ascii="Book Antiqua" w:hAnsi="Book Antiqua"/>
          <w:sz w:val="20"/>
          <w:szCs w:val="20"/>
        </w:rPr>
        <w:t xml:space="preserve">Utilise available resources to operate as efficiently as possible within the context of the </w:t>
      </w:r>
      <w:r>
        <w:rPr>
          <w:rFonts w:ascii="Book Antiqua" w:hAnsi="Book Antiqua"/>
          <w:sz w:val="20"/>
          <w:szCs w:val="20"/>
        </w:rPr>
        <w:t>NMA</w:t>
      </w:r>
      <w:r w:rsidRPr="00C866C3">
        <w:rPr>
          <w:rFonts w:ascii="Book Antiqua" w:hAnsi="Book Antiqua"/>
          <w:sz w:val="20"/>
          <w:szCs w:val="20"/>
        </w:rPr>
        <w:t xml:space="preserve">’s legislative functions. </w:t>
      </w:r>
    </w:p>
    <w:p w14:paraId="549D9610" w14:textId="77777777" w:rsidR="00B46D7E" w:rsidRDefault="001C0F49" w:rsidP="001C0F49">
      <w:pPr>
        <w:pStyle w:val="Heading3-NMA"/>
      </w:pPr>
      <w:r w:rsidRPr="0079797F">
        <w:br w:type="page"/>
      </w:r>
      <w:bookmarkStart w:id="18" w:name="_Toc97723176"/>
      <w:bookmarkStart w:id="19" w:name="_Toc98440369"/>
      <w:bookmarkStart w:id="20" w:name="_Toc98440517"/>
      <w:bookmarkStart w:id="21" w:name="_Toc98440665"/>
      <w:bookmarkStart w:id="22" w:name="_Toc98440813"/>
      <w:bookmarkStart w:id="23" w:name="_Toc98440961"/>
      <w:bookmarkStart w:id="24" w:name="_Toc115778488"/>
    </w:p>
    <w:p w14:paraId="52562716" w14:textId="2F1F08B3" w:rsidR="001C0F49" w:rsidRDefault="001C0F49" w:rsidP="001C0F49">
      <w:pPr>
        <w:pStyle w:val="Heading3-NMA"/>
      </w:pPr>
      <w:r>
        <w:lastRenderedPageBreak/>
        <w:t>1.2</w:t>
      </w:r>
      <w:r>
        <w:tab/>
        <w:t>Entity resource statement</w:t>
      </w:r>
      <w:bookmarkEnd w:id="18"/>
      <w:bookmarkEnd w:id="19"/>
      <w:bookmarkEnd w:id="20"/>
      <w:bookmarkEnd w:id="21"/>
      <w:bookmarkEnd w:id="22"/>
      <w:bookmarkEnd w:id="23"/>
      <w:bookmarkEnd w:id="24"/>
    </w:p>
    <w:p w14:paraId="4E264751" w14:textId="77777777" w:rsidR="001C0F49" w:rsidRDefault="001C0F49" w:rsidP="001C0F49">
      <w:r>
        <w:t>Table 1.1 shows the total funding from all sources available to the NMA for its operations and to deliver programs and services on behalf of the Government.</w:t>
      </w:r>
    </w:p>
    <w:p w14:paraId="2D8ABD7A" w14:textId="3FB6F690" w:rsidR="001C0F49" w:rsidRDefault="001C0F49" w:rsidP="001C0F49">
      <w:r>
        <w:t xml:space="preserve">The table summarises how resources will be applied by outcome (government strategic policy objectives) and by </w:t>
      </w:r>
      <w:r w:rsidR="00B32140">
        <w:t>d</w:t>
      </w:r>
      <w:r>
        <w:t>epartmental (for the NMA’s operations) classification.</w:t>
      </w:r>
    </w:p>
    <w:p w14:paraId="3E93BD00" w14:textId="77777777" w:rsidR="001C0F49" w:rsidRDefault="001C0F49" w:rsidP="001C0F49">
      <w:r>
        <w:t>Information in this table is presented on a resourcing (that is, appropriations/cash available) basis, whilst the ‘Budgeted expenses by Outcome 1’ table in Section 2 and the financial statements in Section 3 are presented on an accrual basis.</w:t>
      </w:r>
    </w:p>
    <w:p w14:paraId="44C66E02" w14:textId="77777777" w:rsidR="001C0F49" w:rsidRDefault="001C0F49" w:rsidP="001C0F49">
      <w:pPr>
        <w:pStyle w:val="TableHeading"/>
        <w:rPr>
          <w:lang w:val="en-AU"/>
        </w:rPr>
      </w:pPr>
      <w:r w:rsidRPr="00D44150">
        <w:t xml:space="preserve">Table 1.1: </w:t>
      </w:r>
      <w:r>
        <w:rPr>
          <w:lang w:val="en-AU"/>
        </w:rPr>
        <w:t>NMA</w:t>
      </w:r>
      <w:r w:rsidRPr="00D44150">
        <w:t xml:space="preserve"> resource statement</w:t>
      </w:r>
      <w:r>
        <w:t xml:space="preserve"> — Budget estimates for </w:t>
      </w:r>
      <w:r>
        <w:rPr>
          <w:lang w:val="en-AU"/>
        </w:rPr>
        <w:t>2022-23</w:t>
      </w:r>
      <w:r>
        <w:t xml:space="preserve"> </w:t>
      </w:r>
      <w:r w:rsidRPr="00D44150">
        <w:t>as at</w:t>
      </w:r>
      <w:r>
        <w:rPr>
          <w:lang w:val="en-US"/>
        </w:rPr>
        <w:t xml:space="preserve"> October</w:t>
      </w:r>
      <w:r w:rsidRPr="00D44150">
        <w:t xml:space="preserve"> Budget</w:t>
      </w:r>
      <w:r>
        <w:rPr>
          <w:lang w:val="en-US"/>
        </w:rPr>
        <w:t xml:space="preserve"> </w:t>
      </w:r>
      <w:r>
        <w:rPr>
          <w:lang w:val="en-AU"/>
        </w:rPr>
        <w:t>2022</w:t>
      </w:r>
    </w:p>
    <w:tbl>
      <w:tblPr>
        <w:tblW w:w="5000" w:type="pct"/>
        <w:tblLook w:val="04A0" w:firstRow="1" w:lastRow="0" w:firstColumn="1" w:lastColumn="0" w:noHBand="0" w:noVBand="1"/>
      </w:tblPr>
      <w:tblGrid>
        <w:gridCol w:w="5341"/>
        <w:gridCol w:w="1186"/>
        <w:gridCol w:w="1183"/>
      </w:tblGrid>
      <w:tr w:rsidR="001C0F49" w:rsidRPr="00C13ED4" w14:paraId="60BFC0CB" w14:textId="77777777" w:rsidTr="009C12D1">
        <w:trPr>
          <w:trHeight w:val="204"/>
        </w:trPr>
        <w:tc>
          <w:tcPr>
            <w:tcW w:w="3464" w:type="pct"/>
            <w:tcBorders>
              <w:top w:val="single" w:sz="4" w:space="0" w:color="auto"/>
              <w:left w:val="nil"/>
              <w:bottom w:val="nil"/>
              <w:right w:val="nil"/>
            </w:tcBorders>
            <w:shd w:val="clear" w:color="000000" w:fill="FFFFFF"/>
            <w:noWrap/>
            <w:vAlign w:val="bottom"/>
            <w:hideMark/>
          </w:tcPr>
          <w:p w14:paraId="0B7727BC"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 </w:t>
            </w:r>
          </w:p>
        </w:tc>
        <w:tc>
          <w:tcPr>
            <w:tcW w:w="769" w:type="pct"/>
            <w:tcBorders>
              <w:top w:val="single" w:sz="4" w:space="0" w:color="auto"/>
              <w:left w:val="nil"/>
              <w:bottom w:val="single" w:sz="4" w:space="0" w:color="auto"/>
              <w:right w:val="nil"/>
            </w:tcBorders>
            <w:shd w:val="clear" w:color="000000" w:fill="FFFFFF"/>
            <w:vAlign w:val="bottom"/>
            <w:hideMark/>
          </w:tcPr>
          <w:p w14:paraId="753C0513"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2021-22 Estimated actual</w:t>
            </w:r>
            <w:r w:rsidRPr="00C13ED4">
              <w:rPr>
                <w:rFonts w:ascii="Arial" w:hAnsi="Arial" w:cs="Arial"/>
                <w:color w:val="000000"/>
                <w:sz w:val="16"/>
                <w:szCs w:val="16"/>
              </w:rPr>
              <w:br/>
              <w:t>$'000</w:t>
            </w:r>
          </w:p>
        </w:tc>
        <w:tc>
          <w:tcPr>
            <w:tcW w:w="767" w:type="pct"/>
            <w:tcBorders>
              <w:top w:val="single" w:sz="4" w:space="0" w:color="auto"/>
              <w:left w:val="nil"/>
              <w:bottom w:val="single" w:sz="4" w:space="0" w:color="auto"/>
              <w:right w:val="nil"/>
            </w:tcBorders>
            <w:shd w:val="clear" w:color="auto" w:fill="E6E6E6"/>
            <w:vAlign w:val="bottom"/>
            <w:hideMark/>
          </w:tcPr>
          <w:p w14:paraId="1A9BA96F"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2022-23 Estimate</w:t>
            </w:r>
            <w:r w:rsidRPr="00C13ED4">
              <w:rPr>
                <w:rFonts w:ascii="Arial" w:hAnsi="Arial" w:cs="Arial"/>
                <w:color w:val="000000"/>
                <w:sz w:val="16"/>
                <w:szCs w:val="16"/>
              </w:rPr>
              <w:br/>
            </w:r>
            <w:r w:rsidRPr="00C13ED4">
              <w:rPr>
                <w:rFonts w:ascii="Arial" w:hAnsi="Arial" w:cs="Arial"/>
                <w:color w:val="000000"/>
                <w:sz w:val="16"/>
                <w:szCs w:val="16"/>
              </w:rPr>
              <w:br/>
              <w:t>$'000</w:t>
            </w:r>
          </w:p>
        </w:tc>
      </w:tr>
      <w:tr w:rsidR="001C0F49" w:rsidRPr="00C13ED4" w14:paraId="4B679895" w14:textId="77777777" w:rsidTr="009C12D1">
        <w:trPr>
          <w:trHeight w:val="204"/>
        </w:trPr>
        <w:tc>
          <w:tcPr>
            <w:tcW w:w="3464" w:type="pct"/>
            <w:tcBorders>
              <w:top w:val="nil"/>
              <w:left w:val="nil"/>
              <w:bottom w:val="nil"/>
              <w:right w:val="nil"/>
            </w:tcBorders>
            <w:shd w:val="clear" w:color="000000" w:fill="FFFFFF"/>
            <w:noWrap/>
            <w:vAlign w:val="bottom"/>
            <w:hideMark/>
          </w:tcPr>
          <w:p w14:paraId="375411CD"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Opening balance/cash reserves at 1 July</w:t>
            </w:r>
          </w:p>
        </w:tc>
        <w:tc>
          <w:tcPr>
            <w:tcW w:w="769" w:type="pct"/>
            <w:tcBorders>
              <w:top w:val="single" w:sz="4" w:space="0" w:color="auto"/>
              <w:left w:val="nil"/>
              <w:bottom w:val="single" w:sz="4" w:space="0" w:color="auto"/>
              <w:right w:val="nil"/>
            </w:tcBorders>
            <w:shd w:val="clear" w:color="000000" w:fill="FFFFFF"/>
            <w:noWrap/>
            <w:vAlign w:val="bottom"/>
            <w:hideMark/>
          </w:tcPr>
          <w:p w14:paraId="2F3BA816" w14:textId="77777777" w:rsidR="001C0F49" w:rsidRPr="001F7A57" w:rsidRDefault="001C0F49" w:rsidP="00293BD0">
            <w:pPr>
              <w:spacing w:after="0" w:line="240" w:lineRule="auto"/>
              <w:jc w:val="right"/>
              <w:rPr>
                <w:rFonts w:ascii="Arial" w:hAnsi="Arial" w:cs="Arial"/>
                <w:b/>
                <w:color w:val="000000"/>
                <w:sz w:val="16"/>
                <w:szCs w:val="16"/>
              </w:rPr>
            </w:pPr>
            <w:r w:rsidRPr="001F7A57">
              <w:rPr>
                <w:rFonts w:ascii="Arial" w:hAnsi="Arial" w:cs="Arial"/>
                <w:b/>
                <w:color w:val="000000"/>
                <w:sz w:val="16"/>
                <w:szCs w:val="16"/>
              </w:rPr>
              <w:t>10,554</w:t>
            </w:r>
          </w:p>
        </w:tc>
        <w:tc>
          <w:tcPr>
            <w:tcW w:w="767" w:type="pct"/>
            <w:tcBorders>
              <w:top w:val="single" w:sz="4" w:space="0" w:color="auto"/>
              <w:left w:val="nil"/>
              <w:bottom w:val="single" w:sz="4" w:space="0" w:color="auto"/>
              <w:right w:val="nil"/>
            </w:tcBorders>
            <w:shd w:val="clear" w:color="auto" w:fill="E6E6E6"/>
            <w:noWrap/>
            <w:vAlign w:val="bottom"/>
            <w:hideMark/>
          </w:tcPr>
          <w:p w14:paraId="1EAC19D4" w14:textId="77777777" w:rsidR="001C0F49" w:rsidRPr="001F7A57" w:rsidRDefault="001C0F49" w:rsidP="00293BD0">
            <w:pPr>
              <w:spacing w:after="0" w:line="240" w:lineRule="auto"/>
              <w:jc w:val="right"/>
              <w:rPr>
                <w:rFonts w:ascii="Arial" w:hAnsi="Arial" w:cs="Arial"/>
                <w:b/>
                <w:color w:val="000000"/>
                <w:sz w:val="16"/>
                <w:szCs w:val="16"/>
              </w:rPr>
            </w:pPr>
            <w:r w:rsidRPr="001F7A57">
              <w:rPr>
                <w:rFonts w:ascii="Arial" w:hAnsi="Arial" w:cs="Arial"/>
                <w:b/>
                <w:color w:val="000000"/>
                <w:sz w:val="16"/>
                <w:szCs w:val="16"/>
              </w:rPr>
              <w:t>6,603</w:t>
            </w:r>
          </w:p>
        </w:tc>
      </w:tr>
      <w:tr w:rsidR="001C0F49" w:rsidRPr="00C13ED4" w14:paraId="6D89072D" w14:textId="77777777" w:rsidTr="009C12D1">
        <w:trPr>
          <w:trHeight w:val="204"/>
        </w:trPr>
        <w:tc>
          <w:tcPr>
            <w:tcW w:w="3464" w:type="pct"/>
            <w:tcBorders>
              <w:top w:val="nil"/>
              <w:left w:val="nil"/>
              <w:bottom w:val="nil"/>
              <w:right w:val="nil"/>
            </w:tcBorders>
            <w:shd w:val="clear" w:color="000000" w:fill="FFFFFF"/>
            <w:vAlign w:val="bottom"/>
            <w:hideMark/>
          </w:tcPr>
          <w:p w14:paraId="6055594E"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Funds from Government</w:t>
            </w:r>
          </w:p>
        </w:tc>
        <w:tc>
          <w:tcPr>
            <w:tcW w:w="769" w:type="pct"/>
            <w:tcBorders>
              <w:top w:val="nil"/>
              <w:left w:val="nil"/>
              <w:bottom w:val="nil"/>
              <w:right w:val="nil"/>
            </w:tcBorders>
            <w:shd w:val="clear" w:color="000000" w:fill="FFFFFF"/>
            <w:noWrap/>
            <w:vAlign w:val="bottom"/>
            <w:hideMark/>
          </w:tcPr>
          <w:p w14:paraId="454FE29F" w14:textId="77777777" w:rsidR="001C0F49" w:rsidRPr="00C13ED4" w:rsidRDefault="001C0F49" w:rsidP="00293BD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24B5CD13" w14:textId="77777777" w:rsidR="001C0F49" w:rsidRPr="00C13ED4" w:rsidRDefault="001C0F49" w:rsidP="00293BD0">
            <w:pPr>
              <w:spacing w:after="0" w:line="240" w:lineRule="auto"/>
              <w:jc w:val="right"/>
              <w:rPr>
                <w:rFonts w:ascii="Arial" w:hAnsi="Arial" w:cs="Arial"/>
                <w:color w:val="000000"/>
                <w:sz w:val="16"/>
                <w:szCs w:val="16"/>
              </w:rPr>
            </w:pPr>
          </w:p>
        </w:tc>
      </w:tr>
      <w:tr w:rsidR="001C0F49" w:rsidRPr="00C13ED4" w14:paraId="1E9CBE87" w14:textId="77777777" w:rsidTr="009C12D1">
        <w:trPr>
          <w:trHeight w:val="204"/>
        </w:trPr>
        <w:tc>
          <w:tcPr>
            <w:tcW w:w="3464" w:type="pct"/>
            <w:tcBorders>
              <w:top w:val="nil"/>
              <w:left w:val="nil"/>
              <w:bottom w:val="nil"/>
              <w:right w:val="nil"/>
            </w:tcBorders>
            <w:shd w:val="clear" w:color="000000" w:fill="FFFFFF"/>
            <w:vAlign w:val="bottom"/>
            <w:hideMark/>
          </w:tcPr>
          <w:p w14:paraId="3CE528CF"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Annual appropriations - ordinary annual services</w:t>
            </w:r>
            <w:r w:rsidRPr="00C13ED4">
              <w:rPr>
                <w:rFonts w:ascii="Arial" w:hAnsi="Arial" w:cs="Arial"/>
                <w:color w:val="000000"/>
                <w:sz w:val="16"/>
                <w:szCs w:val="16"/>
                <w:vertAlign w:val="superscript"/>
              </w:rPr>
              <w:t xml:space="preserve"> (a)</w:t>
            </w:r>
          </w:p>
        </w:tc>
        <w:tc>
          <w:tcPr>
            <w:tcW w:w="769" w:type="pct"/>
            <w:tcBorders>
              <w:top w:val="nil"/>
              <w:left w:val="nil"/>
              <w:bottom w:val="nil"/>
              <w:right w:val="nil"/>
            </w:tcBorders>
            <w:shd w:val="clear" w:color="000000" w:fill="FFFFFF"/>
            <w:noWrap/>
            <w:vAlign w:val="bottom"/>
            <w:hideMark/>
          </w:tcPr>
          <w:p w14:paraId="3E5B508F" w14:textId="77777777" w:rsidR="001C0F49" w:rsidRPr="00C13ED4" w:rsidRDefault="001C0F49" w:rsidP="00293BD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502E631A" w14:textId="77777777" w:rsidR="001C0F49" w:rsidRPr="00C13ED4" w:rsidRDefault="001C0F49" w:rsidP="00293BD0">
            <w:pPr>
              <w:spacing w:after="0" w:line="240" w:lineRule="auto"/>
              <w:jc w:val="right"/>
              <w:rPr>
                <w:rFonts w:ascii="Arial" w:hAnsi="Arial" w:cs="Arial"/>
                <w:color w:val="000000"/>
                <w:sz w:val="16"/>
                <w:szCs w:val="16"/>
              </w:rPr>
            </w:pPr>
          </w:p>
        </w:tc>
      </w:tr>
      <w:tr w:rsidR="001C0F49" w:rsidRPr="00C13ED4" w14:paraId="4A5BE9C1" w14:textId="77777777" w:rsidTr="009C12D1">
        <w:trPr>
          <w:trHeight w:val="204"/>
        </w:trPr>
        <w:tc>
          <w:tcPr>
            <w:tcW w:w="3464" w:type="pct"/>
            <w:tcBorders>
              <w:top w:val="nil"/>
              <w:left w:val="nil"/>
              <w:bottom w:val="nil"/>
              <w:right w:val="nil"/>
            </w:tcBorders>
            <w:shd w:val="clear" w:color="000000" w:fill="FFFFFF"/>
            <w:vAlign w:val="bottom"/>
            <w:hideMark/>
          </w:tcPr>
          <w:p w14:paraId="7E4611F6"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Outcome 1</w:t>
            </w:r>
          </w:p>
        </w:tc>
        <w:tc>
          <w:tcPr>
            <w:tcW w:w="769" w:type="pct"/>
            <w:tcBorders>
              <w:top w:val="nil"/>
              <w:left w:val="nil"/>
              <w:bottom w:val="nil"/>
              <w:right w:val="nil"/>
            </w:tcBorders>
            <w:shd w:val="clear" w:color="000000" w:fill="FFFFFF"/>
            <w:noWrap/>
            <w:vAlign w:val="bottom"/>
            <w:hideMark/>
          </w:tcPr>
          <w:p w14:paraId="612C1129"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41,383</w:t>
            </w:r>
          </w:p>
        </w:tc>
        <w:tc>
          <w:tcPr>
            <w:tcW w:w="767" w:type="pct"/>
            <w:tcBorders>
              <w:top w:val="nil"/>
              <w:left w:val="nil"/>
              <w:bottom w:val="nil"/>
              <w:right w:val="nil"/>
            </w:tcBorders>
            <w:shd w:val="clear" w:color="auto" w:fill="E6E6E6"/>
            <w:noWrap/>
            <w:vAlign w:val="bottom"/>
            <w:hideMark/>
          </w:tcPr>
          <w:p w14:paraId="729B4967"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50,912</w:t>
            </w:r>
          </w:p>
        </w:tc>
      </w:tr>
      <w:tr w:rsidR="001C0F49" w:rsidRPr="00C13ED4" w14:paraId="65B1A168" w14:textId="77777777" w:rsidTr="009C12D1">
        <w:trPr>
          <w:trHeight w:val="204"/>
        </w:trPr>
        <w:tc>
          <w:tcPr>
            <w:tcW w:w="3464" w:type="pct"/>
            <w:tcBorders>
              <w:top w:val="nil"/>
              <w:left w:val="nil"/>
              <w:bottom w:val="nil"/>
              <w:right w:val="nil"/>
            </w:tcBorders>
            <w:shd w:val="clear" w:color="000000" w:fill="FFFFFF"/>
            <w:vAlign w:val="bottom"/>
          </w:tcPr>
          <w:p w14:paraId="43237C56"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 xml:space="preserve">Annual appropriations </w:t>
            </w:r>
            <w:r>
              <w:rPr>
                <w:rFonts w:ascii="Arial" w:hAnsi="Arial" w:cs="Arial"/>
                <w:color w:val="000000"/>
                <w:sz w:val="16"/>
                <w:szCs w:val="16"/>
              </w:rPr>
              <w:t>–</w:t>
            </w:r>
            <w:r w:rsidRPr="00C13ED4">
              <w:rPr>
                <w:rFonts w:ascii="Arial" w:hAnsi="Arial" w:cs="Arial"/>
                <w:color w:val="000000"/>
                <w:sz w:val="16"/>
                <w:szCs w:val="16"/>
              </w:rPr>
              <w:t xml:space="preserve"> </w:t>
            </w:r>
            <w:r>
              <w:rPr>
                <w:rFonts w:ascii="Arial" w:hAnsi="Arial" w:cs="Arial"/>
                <w:color w:val="000000"/>
                <w:sz w:val="16"/>
                <w:szCs w:val="16"/>
              </w:rPr>
              <w:t>other services</w:t>
            </w:r>
            <w:r w:rsidRPr="00C13ED4">
              <w:rPr>
                <w:rFonts w:ascii="Arial" w:hAnsi="Arial" w:cs="Arial"/>
                <w:color w:val="000000"/>
                <w:sz w:val="16"/>
                <w:szCs w:val="16"/>
                <w:vertAlign w:val="superscript"/>
              </w:rPr>
              <w:t xml:space="preserve"> (</w:t>
            </w:r>
            <w:r>
              <w:rPr>
                <w:rFonts w:ascii="Arial" w:hAnsi="Arial" w:cs="Arial"/>
                <w:color w:val="000000"/>
                <w:sz w:val="16"/>
                <w:szCs w:val="16"/>
                <w:vertAlign w:val="superscript"/>
              </w:rPr>
              <w:t>b</w:t>
            </w:r>
            <w:r w:rsidRPr="00C13ED4">
              <w:rPr>
                <w:rFonts w:ascii="Arial" w:hAnsi="Arial" w:cs="Arial"/>
                <w:color w:val="000000"/>
                <w:sz w:val="16"/>
                <w:szCs w:val="16"/>
                <w:vertAlign w:val="superscript"/>
              </w:rPr>
              <w:t>)</w:t>
            </w:r>
          </w:p>
        </w:tc>
        <w:tc>
          <w:tcPr>
            <w:tcW w:w="769" w:type="pct"/>
            <w:tcBorders>
              <w:top w:val="nil"/>
              <w:left w:val="nil"/>
              <w:bottom w:val="nil"/>
              <w:right w:val="nil"/>
            </w:tcBorders>
            <w:shd w:val="clear" w:color="000000" w:fill="FFFFFF"/>
            <w:noWrap/>
            <w:vAlign w:val="bottom"/>
          </w:tcPr>
          <w:p w14:paraId="4365C64F" w14:textId="77777777" w:rsidR="001C0F49" w:rsidRPr="00C13ED4" w:rsidRDefault="001C0F49" w:rsidP="00293BD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tcPr>
          <w:p w14:paraId="3275A116" w14:textId="77777777" w:rsidR="001C0F49" w:rsidRPr="00C13ED4" w:rsidRDefault="001C0F49" w:rsidP="00293BD0">
            <w:pPr>
              <w:spacing w:after="0" w:line="240" w:lineRule="auto"/>
              <w:jc w:val="right"/>
              <w:rPr>
                <w:rFonts w:ascii="Arial" w:hAnsi="Arial" w:cs="Arial"/>
                <w:color w:val="000000"/>
                <w:sz w:val="16"/>
                <w:szCs w:val="16"/>
              </w:rPr>
            </w:pPr>
          </w:p>
        </w:tc>
      </w:tr>
      <w:tr w:rsidR="001C0F49" w:rsidRPr="00C13ED4" w14:paraId="5E0DF594" w14:textId="77777777" w:rsidTr="009C12D1">
        <w:trPr>
          <w:trHeight w:val="204"/>
        </w:trPr>
        <w:tc>
          <w:tcPr>
            <w:tcW w:w="3464" w:type="pct"/>
            <w:tcBorders>
              <w:top w:val="nil"/>
              <w:left w:val="nil"/>
              <w:bottom w:val="nil"/>
              <w:right w:val="nil"/>
            </w:tcBorders>
            <w:shd w:val="clear" w:color="000000" w:fill="FFFFFF"/>
            <w:noWrap/>
            <w:vAlign w:val="bottom"/>
            <w:hideMark/>
          </w:tcPr>
          <w:p w14:paraId="6A89F981"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Equity injection</w:t>
            </w:r>
          </w:p>
        </w:tc>
        <w:tc>
          <w:tcPr>
            <w:tcW w:w="769" w:type="pct"/>
            <w:tcBorders>
              <w:top w:val="nil"/>
              <w:left w:val="nil"/>
              <w:bottom w:val="nil"/>
              <w:right w:val="nil"/>
            </w:tcBorders>
            <w:shd w:val="clear" w:color="000000" w:fill="FFFFFF"/>
            <w:noWrap/>
            <w:vAlign w:val="bottom"/>
            <w:hideMark/>
          </w:tcPr>
          <w:p w14:paraId="4A35CB30"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1,924</w:t>
            </w:r>
          </w:p>
        </w:tc>
        <w:tc>
          <w:tcPr>
            <w:tcW w:w="767" w:type="pct"/>
            <w:tcBorders>
              <w:top w:val="nil"/>
              <w:left w:val="nil"/>
              <w:bottom w:val="nil"/>
              <w:right w:val="nil"/>
            </w:tcBorders>
            <w:shd w:val="clear" w:color="auto" w:fill="E6E6E6"/>
            <w:noWrap/>
            <w:vAlign w:val="bottom"/>
            <w:hideMark/>
          </w:tcPr>
          <w:p w14:paraId="0CC0DDE9"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1,948</w:t>
            </w:r>
          </w:p>
        </w:tc>
      </w:tr>
      <w:tr w:rsidR="001C0F49" w:rsidRPr="00C13ED4" w14:paraId="5C4DD639" w14:textId="77777777" w:rsidTr="009C12D1">
        <w:trPr>
          <w:trHeight w:val="204"/>
        </w:trPr>
        <w:tc>
          <w:tcPr>
            <w:tcW w:w="3464" w:type="pct"/>
            <w:tcBorders>
              <w:top w:val="nil"/>
              <w:left w:val="nil"/>
              <w:bottom w:val="nil"/>
              <w:right w:val="nil"/>
            </w:tcBorders>
            <w:shd w:val="clear" w:color="000000" w:fill="FFFFFF"/>
            <w:vAlign w:val="bottom"/>
            <w:hideMark/>
          </w:tcPr>
          <w:p w14:paraId="589328F9"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Total annual appropriations</w:t>
            </w:r>
          </w:p>
        </w:tc>
        <w:tc>
          <w:tcPr>
            <w:tcW w:w="769" w:type="pct"/>
            <w:tcBorders>
              <w:top w:val="single" w:sz="4" w:space="0" w:color="auto"/>
              <w:left w:val="nil"/>
              <w:bottom w:val="single" w:sz="4" w:space="0" w:color="auto"/>
              <w:right w:val="nil"/>
            </w:tcBorders>
            <w:shd w:val="clear" w:color="000000" w:fill="FFFFFF"/>
            <w:noWrap/>
            <w:vAlign w:val="bottom"/>
            <w:hideMark/>
          </w:tcPr>
          <w:p w14:paraId="2097BC1D"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43,307</w:t>
            </w:r>
          </w:p>
        </w:tc>
        <w:tc>
          <w:tcPr>
            <w:tcW w:w="767" w:type="pct"/>
            <w:tcBorders>
              <w:top w:val="single" w:sz="4" w:space="0" w:color="auto"/>
              <w:left w:val="nil"/>
              <w:bottom w:val="single" w:sz="4" w:space="0" w:color="auto"/>
              <w:right w:val="nil"/>
            </w:tcBorders>
            <w:shd w:val="clear" w:color="auto" w:fill="E6E6E6"/>
            <w:noWrap/>
            <w:vAlign w:val="bottom"/>
            <w:hideMark/>
          </w:tcPr>
          <w:p w14:paraId="78186E56" w14:textId="77777777" w:rsidR="001C0F49" w:rsidRPr="001F7A57" w:rsidRDefault="001C0F49" w:rsidP="00293BD0">
            <w:pPr>
              <w:spacing w:after="0" w:line="240" w:lineRule="auto"/>
              <w:jc w:val="right"/>
              <w:rPr>
                <w:rFonts w:ascii="Arial" w:hAnsi="Arial" w:cs="Arial"/>
                <w:iCs/>
                <w:color w:val="000000"/>
                <w:sz w:val="16"/>
                <w:szCs w:val="16"/>
              </w:rPr>
            </w:pPr>
            <w:r w:rsidRPr="001F7A57">
              <w:rPr>
                <w:rFonts w:ascii="Arial" w:hAnsi="Arial" w:cs="Arial"/>
                <w:iCs/>
                <w:color w:val="000000"/>
                <w:sz w:val="16"/>
                <w:szCs w:val="16"/>
              </w:rPr>
              <w:t>52,860</w:t>
            </w:r>
          </w:p>
        </w:tc>
      </w:tr>
      <w:tr w:rsidR="001C0F49" w:rsidRPr="00C13ED4" w14:paraId="489B85E7" w14:textId="77777777" w:rsidTr="009C12D1">
        <w:trPr>
          <w:trHeight w:val="204"/>
        </w:trPr>
        <w:tc>
          <w:tcPr>
            <w:tcW w:w="3464" w:type="pct"/>
            <w:tcBorders>
              <w:top w:val="nil"/>
              <w:left w:val="nil"/>
              <w:bottom w:val="nil"/>
              <w:right w:val="nil"/>
            </w:tcBorders>
            <w:shd w:val="clear" w:color="000000" w:fill="FFFFFF"/>
            <w:vAlign w:val="bottom"/>
            <w:hideMark/>
          </w:tcPr>
          <w:p w14:paraId="312021A6"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Amounts received from related entities</w:t>
            </w:r>
          </w:p>
        </w:tc>
        <w:tc>
          <w:tcPr>
            <w:tcW w:w="769" w:type="pct"/>
            <w:tcBorders>
              <w:top w:val="nil"/>
              <w:left w:val="nil"/>
              <w:bottom w:val="nil"/>
              <w:right w:val="nil"/>
            </w:tcBorders>
            <w:shd w:val="clear" w:color="000000" w:fill="FFFFFF"/>
            <w:noWrap/>
            <w:vAlign w:val="bottom"/>
            <w:hideMark/>
          </w:tcPr>
          <w:p w14:paraId="38B7A815" w14:textId="77777777" w:rsidR="001C0F49" w:rsidRPr="00C13ED4" w:rsidRDefault="001C0F49" w:rsidP="00293BD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78B8121B" w14:textId="77777777" w:rsidR="001C0F49" w:rsidRPr="00C13ED4" w:rsidRDefault="001C0F49" w:rsidP="00293BD0">
            <w:pPr>
              <w:spacing w:after="0" w:line="240" w:lineRule="auto"/>
              <w:jc w:val="right"/>
              <w:rPr>
                <w:rFonts w:ascii="Arial" w:hAnsi="Arial" w:cs="Arial"/>
                <w:color w:val="000000"/>
                <w:sz w:val="16"/>
                <w:szCs w:val="16"/>
              </w:rPr>
            </w:pPr>
          </w:p>
        </w:tc>
      </w:tr>
      <w:tr w:rsidR="001C0F49" w:rsidRPr="00C13ED4" w14:paraId="79801BCF" w14:textId="77777777" w:rsidTr="009C12D1">
        <w:trPr>
          <w:trHeight w:val="204"/>
        </w:trPr>
        <w:tc>
          <w:tcPr>
            <w:tcW w:w="3464" w:type="pct"/>
            <w:tcBorders>
              <w:top w:val="nil"/>
              <w:left w:val="nil"/>
              <w:bottom w:val="nil"/>
              <w:right w:val="nil"/>
            </w:tcBorders>
            <w:shd w:val="clear" w:color="000000" w:fill="FFFFFF"/>
            <w:vAlign w:val="bottom"/>
            <w:hideMark/>
          </w:tcPr>
          <w:p w14:paraId="116CBE92"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 xml:space="preserve">Amounts from portfolio department </w:t>
            </w:r>
            <w:r w:rsidRPr="00C13ED4">
              <w:rPr>
                <w:rFonts w:ascii="Arial" w:hAnsi="Arial" w:cs="Arial"/>
                <w:color w:val="000000"/>
                <w:sz w:val="16"/>
                <w:szCs w:val="16"/>
                <w:vertAlign w:val="superscript"/>
              </w:rPr>
              <w:t>(c)</w:t>
            </w:r>
          </w:p>
        </w:tc>
        <w:tc>
          <w:tcPr>
            <w:tcW w:w="769" w:type="pct"/>
            <w:tcBorders>
              <w:top w:val="nil"/>
              <w:left w:val="nil"/>
              <w:bottom w:val="nil"/>
              <w:right w:val="nil"/>
            </w:tcBorders>
            <w:shd w:val="clear" w:color="000000" w:fill="FFFFFF"/>
            <w:noWrap/>
            <w:vAlign w:val="bottom"/>
            <w:hideMark/>
          </w:tcPr>
          <w:p w14:paraId="13D79DBD"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500</w:t>
            </w:r>
          </w:p>
        </w:tc>
        <w:tc>
          <w:tcPr>
            <w:tcW w:w="767" w:type="pct"/>
            <w:tcBorders>
              <w:top w:val="nil"/>
              <w:left w:val="nil"/>
              <w:bottom w:val="nil"/>
              <w:right w:val="nil"/>
            </w:tcBorders>
            <w:shd w:val="clear" w:color="auto" w:fill="E6E6E6"/>
            <w:noWrap/>
            <w:vAlign w:val="bottom"/>
            <w:hideMark/>
          </w:tcPr>
          <w:p w14:paraId="51CB2610"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2,000</w:t>
            </w:r>
          </w:p>
        </w:tc>
      </w:tr>
      <w:tr w:rsidR="001C0F49" w:rsidRPr="00C13ED4" w14:paraId="5AC30FAB" w14:textId="77777777" w:rsidTr="009C12D1">
        <w:trPr>
          <w:trHeight w:val="204"/>
        </w:trPr>
        <w:tc>
          <w:tcPr>
            <w:tcW w:w="3464" w:type="pct"/>
            <w:tcBorders>
              <w:top w:val="nil"/>
              <w:left w:val="nil"/>
              <w:bottom w:val="nil"/>
              <w:right w:val="nil"/>
            </w:tcBorders>
            <w:shd w:val="clear" w:color="000000" w:fill="FFFFFF"/>
            <w:vAlign w:val="bottom"/>
            <w:hideMark/>
          </w:tcPr>
          <w:p w14:paraId="42B7D8E6"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Total amounts received from related entities</w:t>
            </w:r>
          </w:p>
        </w:tc>
        <w:tc>
          <w:tcPr>
            <w:tcW w:w="769" w:type="pct"/>
            <w:tcBorders>
              <w:top w:val="single" w:sz="4" w:space="0" w:color="auto"/>
              <w:left w:val="nil"/>
              <w:bottom w:val="single" w:sz="4" w:space="0" w:color="auto"/>
              <w:right w:val="nil"/>
            </w:tcBorders>
            <w:shd w:val="clear" w:color="000000" w:fill="FFFFFF"/>
            <w:noWrap/>
            <w:vAlign w:val="bottom"/>
            <w:hideMark/>
          </w:tcPr>
          <w:p w14:paraId="2208BD68"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500</w:t>
            </w:r>
          </w:p>
        </w:tc>
        <w:tc>
          <w:tcPr>
            <w:tcW w:w="767" w:type="pct"/>
            <w:tcBorders>
              <w:top w:val="single" w:sz="4" w:space="0" w:color="auto"/>
              <w:left w:val="nil"/>
              <w:bottom w:val="single" w:sz="4" w:space="0" w:color="auto"/>
              <w:right w:val="nil"/>
            </w:tcBorders>
            <w:shd w:val="clear" w:color="auto" w:fill="E6E6E6"/>
            <w:noWrap/>
            <w:vAlign w:val="bottom"/>
            <w:hideMark/>
          </w:tcPr>
          <w:p w14:paraId="44570E0E"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2,000</w:t>
            </w:r>
          </w:p>
        </w:tc>
      </w:tr>
      <w:tr w:rsidR="001C0F49" w:rsidRPr="00C13ED4" w14:paraId="52D1AA65" w14:textId="77777777" w:rsidTr="009C12D1">
        <w:trPr>
          <w:trHeight w:val="204"/>
        </w:trPr>
        <w:tc>
          <w:tcPr>
            <w:tcW w:w="3464" w:type="pct"/>
            <w:tcBorders>
              <w:top w:val="nil"/>
              <w:left w:val="nil"/>
              <w:bottom w:val="nil"/>
              <w:right w:val="nil"/>
            </w:tcBorders>
            <w:shd w:val="clear" w:color="000000" w:fill="FFFFFF"/>
            <w:vAlign w:val="bottom"/>
            <w:hideMark/>
          </w:tcPr>
          <w:p w14:paraId="083CF222"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Total funds from Government</w:t>
            </w:r>
          </w:p>
        </w:tc>
        <w:tc>
          <w:tcPr>
            <w:tcW w:w="769" w:type="pct"/>
            <w:tcBorders>
              <w:top w:val="single" w:sz="4" w:space="0" w:color="auto"/>
              <w:left w:val="nil"/>
              <w:bottom w:val="single" w:sz="4" w:space="0" w:color="auto"/>
              <w:right w:val="nil"/>
            </w:tcBorders>
            <w:shd w:val="clear" w:color="000000" w:fill="FFFFFF"/>
            <w:noWrap/>
            <w:vAlign w:val="bottom"/>
            <w:hideMark/>
          </w:tcPr>
          <w:p w14:paraId="2521C21E"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43,807</w:t>
            </w:r>
          </w:p>
        </w:tc>
        <w:tc>
          <w:tcPr>
            <w:tcW w:w="767" w:type="pct"/>
            <w:tcBorders>
              <w:top w:val="single" w:sz="4" w:space="0" w:color="auto"/>
              <w:left w:val="nil"/>
              <w:bottom w:val="single" w:sz="4" w:space="0" w:color="auto"/>
              <w:right w:val="nil"/>
            </w:tcBorders>
            <w:shd w:val="clear" w:color="auto" w:fill="E6E6E6"/>
            <w:noWrap/>
            <w:vAlign w:val="bottom"/>
            <w:hideMark/>
          </w:tcPr>
          <w:p w14:paraId="1B20C27B"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54,860</w:t>
            </w:r>
          </w:p>
        </w:tc>
      </w:tr>
      <w:tr w:rsidR="001C0F49" w:rsidRPr="00C13ED4" w14:paraId="70492347" w14:textId="77777777" w:rsidTr="009C12D1">
        <w:trPr>
          <w:trHeight w:val="204"/>
        </w:trPr>
        <w:tc>
          <w:tcPr>
            <w:tcW w:w="3464" w:type="pct"/>
            <w:tcBorders>
              <w:top w:val="nil"/>
              <w:left w:val="nil"/>
              <w:bottom w:val="nil"/>
              <w:right w:val="nil"/>
            </w:tcBorders>
            <w:shd w:val="clear" w:color="000000" w:fill="FFFFFF"/>
            <w:vAlign w:val="bottom"/>
            <w:hideMark/>
          </w:tcPr>
          <w:p w14:paraId="5082C9FE"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Funds from other sources</w:t>
            </w:r>
          </w:p>
        </w:tc>
        <w:tc>
          <w:tcPr>
            <w:tcW w:w="769" w:type="pct"/>
            <w:tcBorders>
              <w:top w:val="nil"/>
              <w:left w:val="nil"/>
              <w:bottom w:val="nil"/>
              <w:right w:val="nil"/>
            </w:tcBorders>
            <w:shd w:val="clear" w:color="000000" w:fill="FFFFFF"/>
            <w:noWrap/>
            <w:vAlign w:val="bottom"/>
            <w:hideMark/>
          </w:tcPr>
          <w:p w14:paraId="448C054B" w14:textId="77777777" w:rsidR="001C0F49" w:rsidRPr="00C13ED4" w:rsidRDefault="001C0F49" w:rsidP="00293BD0">
            <w:pPr>
              <w:spacing w:after="0" w:line="240" w:lineRule="auto"/>
              <w:jc w:val="right"/>
              <w:rPr>
                <w:rFonts w:ascii="Arial" w:hAnsi="Arial" w:cs="Arial"/>
                <w:color w:val="000000"/>
                <w:sz w:val="16"/>
                <w:szCs w:val="16"/>
              </w:rPr>
            </w:pPr>
          </w:p>
        </w:tc>
        <w:tc>
          <w:tcPr>
            <w:tcW w:w="767" w:type="pct"/>
            <w:tcBorders>
              <w:top w:val="nil"/>
              <w:left w:val="nil"/>
              <w:bottom w:val="nil"/>
              <w:right w:val="nil"/>
            </w:tcBorders>
            <w:shd w:val="clear" w:color="auto" w:fill="E6E6E6"/>
            <w:noWrap/>
            <w:vAlign w:val="bottom"/>
            <w:hideMark/>
          </w:tcPr>
          <w:p w14:paraId="4AB3D6ED" w14:textId="77777777" w:rsidR="001C0F49" w:rsidRPr="00C13ED4" w:rsidRDefault="001C0F49" w:rsidP="00293BD0">
            <w:pPr>
              <w:spacing w:after="0" w:line="240" w:lineRule="auto"/>
              <w:jc w:val="right"/>
              <w:rPr>
                <w:rFonts w:ascii="Arial" w:hAnsi="Arial" w:cs="Arial"/>
                <w:color w:val="000000"/>
                <w:sz w:val="16"/>
                <w:szCs w:val="16"/>
              </w:rPr>
            </w:pPr>
          </w:p>
        </w:tc>
      </w:tr>
      <w:tr w:rsidR="001C0F49" w:rsidRPr="00C13ED4" w14:paraId="35D41FCC" w14:textId="77777777" w:rsidTr="009C12D1">
        <w:trPr>
          <w:trHeight w:val="204"/>
        </w:trPr>
        <w:tc>
          <w:tcPr>
            <w:tcW w:w="3464" w:type="pct"/>
            <w:tcBorders>
              <w:top w:val="nil"/>
              <w:left w:val="nil"/>
              <w:bottom w:val="nil"/>
              <w:right w:val="nil"/>
            </w:tcBorders>
            <w:shd w:val="clear" w:color="000000" w:fill="FFFFFF"/>
            <w:vAlign w:val="bottom"/>
            <w:hideMark/>
          </w:tcPr>
          <w:p w14:paraId="40DB4B30"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Interest</w:t>
            </w:r>
          </w:p>
        </w:tc>
        <w:tc>
          <w:tcPr>
            <w:tcW w:w="769" w:type="pct"/>
            <w:tcBorders>
              <w:top w:val="nil"/>
              <w:left w:val="nil"/>
              <w:bottom w:val="nil"/>
              <w:right w:val="nil"/>
            </w:tcBorders>
            <w:shd w:val="clear" w:color="000000" w:fill="FFFFFF"/>
            <w:noWrap/>
            <w:vAlign w:val="bottom"/>
            <w:hideMark/>
          </w:tcPr>
          <w:p w14:paraId="37E03599"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32</w:t>
            </w:r>
          </w:p>
        </w:tc>
        <w:tc>
          <w:tcPr>
            <w:tcW w:w="767" w:type="pct"/>
            <w:tcBorders>
              <w:top w:val="nil"/>
              <w:left w:val="nil"/>
              <w:bottom w:val="nil"/>
              <w:right w:val="nil"/>
            </w:tcBorders>
            <w:shd w:val="clear" w:color="auto" w:fill="E6E6E6"/>
            <w:noWrap/>
            <w:vAlign w:val="bottom"/>
            <w:hideMark/>
          </w:tcPr>
          <w:p w14:paraId="2F74FB29"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49</w:t>
            </w:r>
          </w:p>
        </w:tc>
      </w:tr>
      <w:tr w:rsidR="001C0F49" w:rsidRPr="00C13ED4" w14:paraId="5597CEB3" w14:textId="77777777" w:rsidTr="009C12D1">
        <w:trPr>
          <w:trHeight w:val="204"/>
        </w:trPr>
        <w:tc>
          <w:tcPr>
            <w:tcW w:w="3464" w:type="pct"/>
            <w:tcBorders>
              <w:top w:val="nil"/>
              <w:left w:val="nil"/>
              <w:bottom w:val="nil"/>
              <w:right w:val="nil"/>
            </w:tcBorders>
            <w:shd w:val="clear" w:color="000000" w:fill="FFFFFF"/>
            <w:vAlign w:val="bottom"/>
            <w:hideMark/>
          </w:tcPr>
          <w:p w14:paraId="25D4AF06"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Sale of goods and services</w:t>
            </w:r>
          </w:p>
        </w:tc>
        <w:tc>
          <w:tcPr>
            <w:tcW w:w="769" w:type="pct"/>
            <w:tcBorders>
              <w:top w:val="nil"/>
              <w:left w:val="nil"/>
              <w:bottom w:val="nil"/>
              <w:right w:val="nil"/>
            </w:tcBorders>
            <w:shd w:val="clear" w:color="000000" w:fill="FFFFFF"/>
            <w:noWrap/>
            <w:vAlign w:val="bottom"/>
            <w:hideMark/>
          </w:tcPr>
          <w:p w14:paraId="6B4B51D1"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13,099</w:t>
            </w:r>
          </w:p>
        </w:tc>
        <w:tc>
          <w:tcPr>
            <w:tcW w:w="767" w:type="pct"/>
            <w:tcBorders>
              <w:top w:val="nil"/>
              <w:left w:val="nil"/>
              <w:bottom w:val="nil"/>
              <w:right w:val="nil"/>
            </w:tcBorders>
            <w:shd w:val="clear" w:color="auto" w:fill="E6E6E6"/>
            <w:noWrap/>
            <w:vAlign w:val="bottom"/>
            <w:hideMark/>
          </w:tcPr>
          <w:p w14:paraId="438EBA8F"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5,554</w:t>
            </w:r>
          </w:p>
        </w:tc>
      </w:tr>
      <w:tr w:rsidR="001C0F49" w:rsidRPr="00C13ED4" w14:paraId="5330E000" w14:textId="77777777" w:rsidTr="009C12D1">
        <w:trPr>
          <w:trHeight w:val="204"/>
        </w:trPr>
        <w:tc>
          <w:tcPr>
            <w:tcW w:w="3464" w:type="pct"/>
            <w:tcBorders>
              <w:top w:val="nil"/>
              <w:left w:val="nil"/>
              <w:bottom w:val="nil"/>
              <w:right w:val="nil"/>
            </w:tcBorders>
            <w:shd w:val="clear" w:color="000000" w:fill="FFFFFF"/>
            <w:vAlign w:val="bottom"/>
            <w:hideMark/>
          </w:tcPr>
          <w:p w14:paraId="3BE17F32" w14:textId="77777777" w:rsidR="001C0F49" w:rsidRPr="00C13ED4" w:rsidRDefault="001C0F49" w:rsidP="00293BD0">
            <w:pPr>
              <w:spacing w:after="0" w:line="240" w:lineRule="auto"/>
              <w:ind w:left="113"/>
              <w:rPr>
                <w:rFonts w:ascii="Arial" w:hAnsi="Arial" w:cs="Arial"/>
                <w:color w:val="000000"/>
                <w:sz w:val="16"/>
                <w:szCs w:val="16"/>
              </w:rPr>
            </w:pPr>
            <w:r w:rsidRPr="00C13ED4">
              <w:rPr>
                <w:rFonts w:ascii="Arial" w:hAnsi="Arial" w:cs="Arial"/>
                <w:color w:val="000000"/>
                <w:sz w:val="16"/>
                <w:szCs w:val="16"/>
              </w:rPr>
              <w:t>Other</w:t>
            </w:r>
          </w:p>
        </w:tc>
        <w:tc>
          <w:tcPr>
            <w:tcW w:w="769" w:type="pct"/>
            <w:tcBorders>
              <w:top w:val="nil"/>
              <w:left w:val="nil"/>
              <w:bottom w:val="nil"/>
              <w:right w:val="nil"/>
            </w:tcBorders>
            <w:shd w:val="clear" w:color="000000" w:fill="FFFFFF"/>
            <w:noWrap/>
            <w:vAlign w:val="bottom"/>
            <w:hideMark/>
          </w:tcPr>
          <w:p w14:paraId="54D976A8"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566</w:t>
            </w:r>
          </w:p>
        </w:tc>
        <w:tc>
          <w:tcPr>
            <w:tcW w:w="767" w:type="pct"/>
            <w:tcBorders>
              <w:top w:val="nil"/>
              <w:left w:val="nil"/>
              <w:bottom w:val="nil"/>
              <w:right w:val="nil"/>
            </w:tcBorders>
            <w:shd w:val="clear" w:color="auto" w:fill="E6E6E6"/>
            <w:noWrap/>
            <w:vAlign w:val="bottom"/>
            <w:hideMark/>
          </w:tcPr>
          <w:p w14:paraId="35A9EE89"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1,177</w:t>
            </w:r>
          </w:p>
        </w:tc>
      </w:tr>
      <w:tr w:rsidR="001C0F49" w:rsidRPr="00C13ED4" w14:paraId="79D25262" w14:textId="77777777" w:rsidTr="009C12D1">
        <w:trPr>
          <w:trHeight w:val="204"/>
        </w:trPr>
        <w:tc>
          <w:tcPr>
            <w:tcW w:w="3464" w:type="pct"/>
            <w:tcBorders>
              <w:top w:val="nil"/>
              <w:left w:val="nil"/>
              <w:bottom w:val="nil"/>
              <w:right w:val="nil"/>
            </w:tcBorders>
            <w:shd w:val="clear" w:color="000000" w:fill="FFFFFF"/>
            <w:noWrap/>
            <w:vAlign w:val="bottom"/>
            <w:hideMark/>
          </w:tcPr>
          <w:p w14:paraId="150E3EDD"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Total funds from other sources</w:t>
            </w:r>
          </w:p>
        </w:tc>
        <w:tc>
          <w:tcPr>
            <w:tcW w:w="769" w:type="pct"/>
            <w:tcBorders>
              <w:top w:val="single" w:sz="4" w:space="0" w:color="auto"/>
              <w:left w:val="nil"/>
              <w:bottom w:val="single" w:sz="4" w:space="0" w:color="auto"/>
              <w:right w:val="nil"/>
            </w:tcBorders>
            <w:shd w:val="clear" w:color="000000" w:fill="FFFFFF"/>
            <w:noWrap/>
            <w:vAlign w:val="bottom"/>
            <w:hideMark/>
          </w:tcPr>
          <w:p w14:paraId="5E8E561C"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13,697</w:t>
            </w:r>
          </w:p>
        </w:tc>
        <w:tc>
          <w:tcPr>
            <w:tcW w:w="767" w:type="pct"/>
            <w:tcBorders>
              <w:top w:val="single" w:sz="4" w:space="0" w:color="auto"/>
              <w:left w:val="nil"/>
              <w:bottom w:val="single" w:sz="4" w:space="0" w:color="auto"/>
              <w:right w:val="nil"/>
            </w:tcBorders>
            <w:shd w:val="clear" w:color="auto" w:fill="E6E6E6"/>
            <w:noWrap/>
            <w:vAlign w:val="bottom"/>
            <w:hideMark/>
          </w:tcPr>
          <w:p w14:paraId="158A685C"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6,780</w:t>
            </w:r>
          </w:p>
        </w:tc>
      </w:tr>
      <w:tr w:rsidR="001C0F49" w:rsidRPr="00C13ED4" w14:paraId="541B5AAC" w14:textId="77777777" w:rsidTr="009C12D1">
        <w:trPr>
          <w:trHeight w:val="204"/>
        </w:trPr>
        <w:tc>
          <w:tcPr>
            <w:tcW w:w="3464" w:type="pct"/>
            <w:tcBorders>
              <w:top w:val="nil"/>
              <w:left w:val="nil"/>
              <w:bottom w:val="single" w:sz="4" w:space="0" w:color="auto"/>
              <w:right w:val="nil"/>
            </w:tcBorders>
            <w:shd w:val="clear" w:color="000000" w:fill="FFFFFF"/>
            <w:noWrap/>
            <w:vAlign w:val="bottom"/>
            <w:hideMark/>
          </w:tcPr>
          <w:p w14:paraId="14AF65F3"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Total net resourcing for NMA</w:t>
            </w:r>
          </w:p>
        </w:tc>
        <w:tc>
          <w:tcPr>
            <w:tcW w:w="769" w:type="pct"/>
            <w:tcBorders>
              <w:top w:val="single" w:sz="4" w:space="0" w:color="auto"/>
              <w:left w:val="nil"/>
              <w:bottom w:val="single" w:sz="4" w:space="0" w:color="auto"/>
              <w:right w:val="nil"/>
            </w:tcBorders>
            <w:shd w:val="clear" w:color="000000" w:fill="FFFFFF"/>
            <w:noWrap/>
            <w:vAlign w:val="bottom"/>
            <w:hideMark/>
          </w:tcPr>
          <w:p w14:paraId="27E6E7EE"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68,058</w:t>
            </w:r>
          </w:p>
        </w:tc>
        <w:tc>
          <w:tcPr>
            <w:tcW w:w="767" w:type="pct"/>
            <w:tcBorders>
              <w:top w:val="single" w:sz="4" w:space="0" w:color="auto"/>
              <w:left w:val="nil"/>
              <w:bottom w:val="single" w:sz="4" w:space="0" w:color="auto"/>
              <w:right w:val="nil"/>
            </w:tcBorders>
            <w:shd w:val="clear" w:color="auto" w:fill="E6E6E6"/>
            <w:noWrap/>
            <w:vAlign w:val="bottom"/>
            <w:hideMark/>
          </w:tcPr>
          <w:p w14:paraId="605C6854"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68,243</w:t>
            </w:r>
          </w:p>
        </w:tc>
      </w:tr>
    </w:tbl>
    <w:p w14:paraId="38725180" w14:textId="77777777" w:rsidR="001C0F49" w:rsidRPr="00F66902" w:rsidRDefault="001C0F49" w:rsidP="00E359EA">
      <w:pPr>
        <w:spacing w:after="0" w:line="240" w:lineRule="auto"/>
        <w:rPr>
          <w:rFonts w:ascii="Arial" w:hAnsi="Arial" w:cs="Arial"/>
          <w:sz w:val="16"/>
          <w:lang w:eastAsia="x-none"/>
        </w:rPr>
      </w:pPr>
    </w:p>
    <w:tbl>
      <w:tblPr>
        <w:tblW w:w="5000" w:type="pct"/>
        <w:tblLook w:val="04A0" w:firstRow="1" w:lastRow="0" w:firstColumn="1" w:lastColumn="0" w:noHBand="0" w:noVBand="1"/>
      </w:tblPr>
      <w:tblGrid>
        <w:gridCol w:w="5342"/>
        <w:gridCol w:w="1184"/>
        <w:gridCol w:w="1184"/>
      </w:tblGrid>
      <w:tr w:rsidR="001C0F49" w:rsidRPr="00C13ED4" w14:paraId="27BFA867" w14:textId="77777777" w:rsidTr="009C12D1">
        <w:trPr>
          <w:trHeight w:val="204"/>
        </w:trPr>
        <w:tc>
          <w:tcPr>
            <w:tcW w:w="3464" w:type="pct"/>
            <w:tcBorders>
              <w:top w:val="single" w:sz="4" w:space="0" w:color="auto"/>
              <w:left w:val="nil"/>
              <w:bottom w:val="nil"/>
              <w:right w:val="nil"/>
            </w:tcBorders>
            <w:shd w:val="clear" w:color="000000" w:fill="FFFFFF"/>
            <w:noWrap/>
            <w:vAlign w:val="bottom"/>
            <w:hideMark/>
          </w:tcPr>
          <w:p w14:paraId="14AD6D40" w14:textId="77777777" w:rsidR="001C0F49" w:rsidRPr="00C13ED4" w:rsidRDefault="001C0F49" w:rsidP="00293BD0">
            <w:pPr>
              <w:spacing w:after="0" w:line="240" w:lineRule="auto"/>
              <w:rPr>
                <w:rFonts w:ascii="Arial" w:hAnsi="Arial" w:cs="Arial"/>
                <w:color w:val="000000"/>
                <w:sz w:val="16"/>
                <w:szCs w:val="16"/>
              </w:rPr>
            </w:pPr>
            <w:r w:rsidRPr="00C13ED4">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C44EA3E"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2021-22</w:t>
            </w:r>
          </w:p>
        </w:tc>
        <w:tc>
          <w:tcPr>
            <w:tcW w:w="768" w:type="pct"/>
            <w:tcBorders>
              <w:top w:val="single" w:sz="4" w:space="0" w:color="auto"/>
              <w:left w:val="nil"/>
              <w:bottom w:val="single" w:sz="4" w:space="0" w:color="auto"/>
              <w:right w:val="nil"/>
            </w:tcBorders>
            <w:shd w:val="clear" w:color="auto" w:fill="E6E6E6"/>
            <w:vAlign w:val="bottom"/>
            <w:hideMark/>
          </w:tcPr>
          <w:p w14:paraId="5ADB3CFD"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2022-23</w:t>
            </w:r>
          </w:p>
        </w:tc>
      </w:tr>
      <w:tr w:rsidR="001C0F49" w:rsidRPr="00C13ED4" w14:paraId="03497298" w14:textId="77777777" w:rsidTr="009C12D1">
        <w:trPr>
          <w:trHeight w:val="204"/>
        </w:trPr>
        <w:tc>
          <w:tcPr>
            <w:tcW w:w="3464" w:type="pct"/>
            <w:tcBorders>
              <w:top w:val="nil"/>
              <w:left w:val="nil"/>
              <w:bottom w:val="single" w:sz="4" w:space="0" w:color="auto"/>
              <w:right w:val="nil"/>
            </w:tcBorders>
            <w:shd w:val="clear" w:color="000000" w:fill="FFFFFF"/>
            <w:noWrap/>
            <w:vAlign w:val="bottom"/>
            <w:hideMark/>
          </w:tcPr>
          <w:p w14:paraId="7EAC3FDF"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noWrap/>
            <w:vAlign w:val="bottom"/>
            <w:hideMark/>
          </w:tcPr>
          <w:p w14:paraId="311B40A7"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21</w:t>
            </w:r>
            <w:r>
              <w:rPr>
                <w:rFonts w:ascii="Arial" w:hAnsi="Arial" w:cs="Arial"/>
                <w:color w:val="000000"/>
                <w:sz w:val="16"/>
                <w:szCs w:val="16"/>
              </w:rPr>
              <w:t>5</w:t>
            </w:r>
          </w:p>
        </w:tc>
        <w:tc>
          <w:tcPr>
            <w:tcW w:w="768" w:type="pct"/>
            <w:tcBorders>
              <w:top w:val="nil"/>
              <w:left w:val="nil"/>
              <w:bottom w:val="single" w:sz="4" w:space="0" w:color="auto"/>
              <w:right w:val="nil"/>
            </w:tcBorders>
            <w:shd w:val="clear" w:color="auto" w:fill="E6E6E6"/>
            <w:noWrap/>
            <w:vAlign w:val="bottom"/>
            <w:hideMark/>
          </w:tcPr>
          <w:p w14:paraId="7D8C1D35"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216</w:t>
            </w:r>
          </w:p>
        </w:tc>
      </w:tr>
    </w:tbl>
    <w:p w14:paraId="33BDD9E8" w14:textId="5EE57766" w:rsidR="001C0F49" w:rsidRPr="00460546" w:rsidRDefault="001C0F49" w:rsidP="00B46D7E">
      <w:pPr>
        <w:pStyle w:val="ChartandTableFootnote"/>
        <w:spacing w:before="60"/>
        <w:jc w:val="left"/>
        <w:rPr>
          <w:lang w:val="en-US"/>
        </w:rPr>
      </w:pPr>
      <w:r>
        <w:rPr>
          <w:rFonts w:cs="Arial"/>
          <w:color w:val="auto"/>
        </w:rPr>
        <w:t>Prepared on a resourcing (</w:t>
      </w:r>
      <w:r>
        <w:rPr>
          <w:color w:val="auto"/>
          <w:lang w:val="en-AU"/>
        </w:rPr>
        <w:t>that is,</w:t>
      </w:r>
      <w:r>
        <w:t xml:space="preserve"> appropriations available) basis</w:t>
      </w:r>
      <w:r w:rsidR="00460546">
        <w:rPr>
          <w:lang w:val="en-US"/>
        </w:rPr>
        <w:t>.</w:t>
      </w:r>
    </w:p>
    <w:p w14:paraId="155D64F7" w14:textId="5EE6ED04" w:rsidR="001C0F49" w:rsidRPr="00E359EA" w:rsidRDefault="001C0F49" w:rsidP="00B46D7E">
      <w:pPr>
        <w:pStyle w:val="ChartandTableFootnote"/>
        <w:jc w:val="left"/>
        <w:rPr>
          <w:rFonts w:cs="Arial"/>
          <w:color w:val="auto"/>
          <w:lang w:val="en-US"/>
        </w:rPr>
      </w:pPr>
      <w:r>
        <w:rPr>
          <w:rFonts w:cs="Arial"/>
          <w:color w:val="auto"/>
        </w:rPr>
        <w:t>All figures shown above are GST exclusive - these may not match figures in the cash flow statement</w:t>
      </w:r>
      <w:r w:rsidR="00E359EA">
        <w:rPr>
          <w:rFonts w:cs="Arial"/>
          <w:color w:val="auto"/>
          <w:lang w:val="en-US"/>
        </w:rPr>
        <w:t>.</w:t>
      </w:r>
    </w:p>
    <w:p w14:paraId="3AF70D61" w14:textId="41740B0A" w:rsidR="001C0F49" w:rsidRDefault="001C0F49" w:rsidP="008D0F63">
      <w:pPr>
        <w:pStyle w:val="ChartandTableFootnote"/>
        <w:numPr>
          <w:ilvl w:val="0"/>
          <w:numId w:val="32"/>
        </w:numPr>
        <w:tabs>
          <w:tab w:val="clear" w:pos="284"/>
        </w:tabs>
        <w:ind w:left="426" w:hanging="426"/>
        <w:jc w:val="left"/>
        <w:rPr>
          <w:rFonts w:cs="Arial"/>
          <w:color w:val="auto"/>
          <w:szCs w:val="16"/>
        </w:rPr>
      </w:pPr>
      <w:r>
        <w:rPr>
          <w:rFonts w:cs="Arial"/>
          <w:color w:val="auto"/>
          <w:szCs w:val="16"/>
        </w:rPr>
        <w:t>Appropriation Bill (No. 1) 202</w:t>
      </w:r>
      <w:r>
        <w:rPr>
          <w:rFonts w:cs="Arial"/>
          <w:color w:val="auto"/>
          <w:szCs w:val="16"/>
          <w:lang w:val="en-AU"/>
        </w:rPr>
        <w:t>2</w:t>
      </w:r>
      <w:r>
        <w:rPr>
          <w:rFonts w:cs="Arial"/>
          <w:color w:val="auto"/>
          <w:szCs w:val="16"/>
        </w:rPr>
        <w:t>-2</w:t>
      </w:r>
      <w:r>
        <w:rPr>
          <w:rFonts w:cs="Arial"/>
          <w:color w:val="auto"/>
          <w:szCs w:val="16"/>
          <w:lang w:val="en-AU"/>
        </w:rPr>
        <w:t>3, Supply Bill (No. 3) and Supply Act (No. 1) 2022-23</w:t>
      </w:r>
      <w:r w:rsidR="00460546">
        <w:rPr>
          <w:rFonts w:cs="Arial"/>
          <w:color w:val="auto"/>
          <w:szCs w:val="16"/>
          <w:lang w:val="en-AU"/>
        </w:rPr>
        <w:t>.</w:t>
      </w:r>
    </w:p>
    <w:p w14:paraId="32C91E2D" w14:textId="3BBB10D4" w:rsidR="001C0F49" w:rsidRDefault="001C0F49" w:rsidP="008D0F63">
      <w:pPr>
        <w:pStyle w:val="ChartandTableFootnote"/>
        <w:numPr>
          <w:ilvl w:val="0"/>
          <w:numId w:val="32"/>
        </w:numPr>
        <w:tabs>
          <w:tab w:val="clear" w:pos="284"/>
        </w:tabs>
        <w:ind w:left="426" w:hanging="426"/>
        <w:jc w:val="left"/>
        <w:rPr>
          <w:rFonts w:cs="Arial"/>
          <w:color w:val="auto"/>
          <w:szCs w:val="16"/>
        </w:rPr>
      </w:pPr>
      <w:r>
        <w:rPr>
          <w:rFonts w:cs="Arial"/>
          <w:color w:val="auto"/>
          <w:szCs w:val="16"/>
        </w:rPr>
        <w:t>Appropriation Bill (No. 2) 202</w:t>
      </w:r>
      <w:r>
        <w:rPr>
          <w:rFonts w:cs="Arial"/>
          <w:color w:val="auto"/>
          <w:szCs w:val="16"/>
          <w:lang w:val="en-AU"/>
        </w:rPr>
        <w:t>2</w:t>
      </w:r>
      <w:r>
        <w:rPr>
          <w:rFonts w:cs="Arial"/>
          <w:color w:val="auto"/>
          <w:szCs w:val="16"/>
        </w:rPr>
        <w:t>-2</w:t>
      </w:r>
      <w:r>
        <w:rPr>
          <w:rFonts w:cs="Arial"/>
          <w:color w:val="auto"/>
          <w:szCs w:val="16"/>
          <w:lang w:val="en-AU"/>
        </w:rPr>
        <w:t>3, Supply Bill (No. 4) and Supply Act (No. 2) 2022-23</w:t>
      </w:r>
      <w:r w:rsidR="00460546">
        <w:rPr>
          <w:rFonts w:cs="Arial"/>
          <w:color w:val="auto"/>
          <w:szCs w:val="16"/>
          <w:lang w:val="en-AU"/>
        </w:rPr>
        <w:t>.</w:t>
      </w:r>
    </w:p>
    <w:p w14:paraId="68977950" w14:textId="1778D1EE" w:rsidR="001C0F49" w:rsidRDefault="001C0F49" w:rsidP="008D0F63">
      <w:pPr>
        <w:pStyle w:val="ChartandTableFootnote"/>
        <w:numPr>
          <w:ilvl w:val="0"/>
          <w:numId w:val="32"/>
        </w:numPr>
        <w:tabs>
          <w:tab w:val="clear" w:pos="284"/>
        </w:tabs>
        <w:ind w:left="426" w:hanging="426"/>
        <w:jc w:val="left"/>
        <w:rPr>
          <w:rFonts w:cs="Arial"/>
          <w:color w:val="auto"/>
          <w:szCs w:val="16"/>
          <w:lang w:val="en-US"/>
        </w:rPr>
      </w:pPr>
      <w:r>
        <w:rPr>
          <w:rFonts w:cs="Arial"/>
          <w:color w:val="auto"/>
          <w:szCs w:val="16"/>
        </w:rPr>
        <w:t xml:space="preserve">Funding provided by the Portfolio Department that is not specified within the Annual Appropriation Bills as a payment to the </w:t>
      </w:r>
      <w:r>
        <w:rPr>
          <w:rFonts w:cs="Arial"/>
          <w:color w:val="auto"/>
          <w:szCs w:val="16"/>
          <w:lang w:val="en-US"/>
        </w:rPr>
        <w:t>NMA</w:t>
      </w:r>
      <w:r w:rsidR="00460546">
        <w:rPr>
          <w:rFonts w:cs="Arial"/>
          <w:color w:val="auto"/>
          <w:szCs w:val="16"/>
          <w:lang w:val="en-US"/>
        </w:rPr>
        <w:t>.</w:t>
      </w:r>
    </w:p>
    <w:p w14:paraId="1615F185" w14:textId="1A96A7CD" w:rsidR="001C0F49" w:rsidRDefault="001C0F49" w:rsidP="00B46D7E">
      <w:pPr>
        <w:pStyle w:val="ChartandTableFootnote"/>
        <w:spacing w:before="120"/>
        <w:jc w:val="left"/>
        <w:rPr>
          <w:rFonts w:cs="Arial"/>
          <w:color w:val="auto"/>
          <w:lang w:val="en-US"/>
        </w:rPr>
      </w:pPr>
      <w:r>
        <w:rPr>
          <w:rFonts w:cs="Arial"/>
          <w:color w:val="auto"/>
          <w:lang w:val="en-US"/>
        </w:rPr>
        <w:t xml:space="preserve">The NMA is not directly appropriated as it is a </w:t>
      </w:r>
      <w:r w:rsidR="00D07A74">
        <w:rPr>
          <w:rFonts w:cs="Arial"/>
          <w:color w:val="auto"/>
          <w:lang w:val="en-US"/>
        </w:rPr>
        <w:t>corporate Commonwealth entity</w:t>
      </w:r>
      <w:r>
        <w:rPr>
          <w:rFonts w:cs="Arial"/>
          <w:color w:val="auto"/>
          <w:lang w:val="en-US"/>
        </w:rPr>
        <w:t xml:space="preserve">. Appropriations are made to the Department of Infrastructure, Transport, Regional Development, Communications and the Arts (a </w:t>
      </w:r>
      <w:r w:rsidR="00D07A74">
        <w:rPr>
          <w:rFonts w:cs="Arial"/>
          <w:color w:val="auto"/>
          <w:lang w:val="en-US"/>
        </w:rPr>
        <w:t>non-corporate Commonwealth entity</w:t>
      </w:r>
      <w:r>
        <w:rPr>
          <w:rFonts w:cs="Arial"/>
          <w:color w:val="auto"/>
          <w:lang w:val="en-US"/>
        </w:rPr>
        <w:t>), which are then paid to the NMA and considered ‘departmental’ for all purposes</w:t>
      </w:r>
      <w:r w:rsidR="00460546">
        <w:rPr>
          <w:rFonts w:cs="Arial"/>
          <w:color w:val="auto"/>
          <w:lang w:val="en-US"/>
        </w:rPr>
        <w:t>.</w:t>
      </w:r>
      <w:r>
        <w:rPr>
          <w:rFonts w:cs="Arial"/>
          <w:color w:val="auto"/>
          <w:lang w:val="en-US"/>
        </w:rPr>
        <w:t xml:space="preserve"> </w:t>
      </w:r>
    </w:p>
    <w:p w14:paraId="4FA146D1" w14:textId="77777777" w:rsidR="00DE1AF0" w:rsidRDefault="00DE1AF0" w:rsidP="001C0F49">
      <w:pPr>
        <w:spacing w:after="0" w:line="240" w:lineRule="auto"/>
      </w:pPr>
      <w:bookmarkStart w:id="25" w:name="_Toc97723177"/>
    </w:p>
    <w:p w14:paraId="26E7D55C" w14:textId="7F7EA0FE" w:rsidR="001C0F49" w:rsidRPr="000B7054" w:rsidRDefault="001C0F49" w:rsidP="001C0F49">
      <w:pPr>
        <w:pStyle w:val="Heading3-NMA"/>
      </w:pPr>
      <w:bookmarkStart w:id="26" w:name="_Toc115778489"/>
      <w:bookmarkEnd w:id="25"/>
      <w:r w:rsidRPr="00ED7250">
        <w:t>1.3</w:t>
      </w:r>
      <w:r w:rsidRPr="00ED7250">
        <w:tab/>
        <w:t>Budget measures</w:t>
      </w:r>
      <w:bookmarkEnd w:id="26"/>
    </w:p>
    <w:p w14:paraId="26F0F4E7" w14:textId="1A20E530" w:rsidR="001C0F49" w:rsidRDefault="001C0F49" w:rsidP="001C0F49">
      <w:pPr>
        <w:spacing w:line="240" w:lineRule="auto"/>
      </w:pPr>
      <w:r w:rsidRPr="001710A6">
        <w:t xml:space="preserve">There are no </w:t>
      </w:r>
      <w:r>
        <w:t>new measures for the NMA in the 2022-23 October Budget.</w:t>
      </w:r>
    </w:p>
    <w:p w14:paraId="07D090E6" w14:textId="43A622FE" w:rsidR="001C0F49" w:rsidRPr="00810C6A" w:rsidRDefault="001C0F49" w:rsidP="001C0F49">
      <w:pPr>
        <w:pStyle w:val="Heading2-NMA"/>
      </w:pPr>
      <w:bookmarkStart w:id="27" w:name="_Toc97723178"/>
      <w:bookmarkStart w:id="28" w:name="_Toc98440371"/>
      <w:bookmarkStart w:id="29" w:name="_Toc98440519"/>
      <w:bookmarkStart w:id="30" w:name="_Toc98440667"/>
      <w:bookmarkStart w:id="31" w:name="_Toc98440815"/>
      <w:bookmarkStart w:id="32" w:name="_Toc98440963"/>
      <w:bookmarkStart w:id="33" w:name="_Toc115778490"/>
      <w:r w:rsidRPr="00810C6A">
        <w:lastRenderedPageBreak/>
        <w:t>Section 2: Outcomes and planned performance</w:t>
      </w:r>
      <w:bookmarkEnd w:id="27"/>
      <w:bookmarkEnd w:id="28"/>
      <w:bookmarkEnd w:id="29"/>
      <w:bookmarkEnd w:id="30"/>
      <w:bookmarkEnd w:id="31"/>
      <w:bookmarkEnd w:id="32"/>
      <w:bookmarkEnd w:id="33"/>
    </w:p>
    <w:p w14:paraId="67536F57" w14:textId="77777777" w:rsidR="001C0F49" w:rsidRPr="005E6F2B" w:rsidRDefault="001C0F49" w:rsidP="00B46D7E">
      <w:r w:rsidRPr="005E6F2B">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14:paraId="06E347C2" w14:textId="77777777" w:rsidR="001C0F49" w:rsidRPr="00F66902" w:rsidRDefault="001C0F49" w:rsidP="00B46D7E">
      <w:pPr>
        <w:rPr>
          <w:i/>
        </w:rPr>
      </w:pPr>
      <w:r w:rsidRPr="005E6F2B">
        <w:t>Each outcome is described below together with its related programs. The following provides detailed information on expenses for each outcome and program, further broken down by funding source</w:t>
      </w:r>
      <w:r w:rsidRPr="00F66902">
        <w:t xml:space="preserv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1C0F49" w14:paraId="617373EE" w14:textId="77777777" w:rsidTr="00293BD0">
        <w:tc>
          <w:tcPr>
            <w:tcW w:w="7700" w:type="dxa"/>
            <w:tcBorders>
              <w:top w:val="single" w:sz="4" w:space="0" w:color="auto"/>
              <w:bottom w:val="single" w:sz="4" w:space="0" w:color="auto"/>
            </w:tcBorders>
          </w:tcPr>
          <w:p w14:paraId="58448736" w14:textId="77777777" w:rsidR="001C0F49" w:rsidRPr="006906E4" w:rsidRDefault="001C0F49" w:rsidP="00B46D7E">
            <w:pPr>
              <w:spacing w:before="120" w:after="120" w:line="240" w:lineRule="auto"/>
              <w:jc w:val="left"/>
              <w:rPr>
                <w:b/>
              </w:rPr>
            </w:pPr>
            <w:r w:rsidRPr="006906E4">
              <w:rPr>
                <w:b/>
              </w:rPr>
              <w:t>Note:</w:t>
            </w:r>
          </w:p>
          <w:p w14:paraId="58040320" w14:textId="77777777" w:rsidR="001C0F49" w:rsidRDefault="001C0F49" w:rsidP="00B46D7E">
            <w:pPr>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t>. It is anticipated that the performance measures described in Portfolio Budget Statements will be read with broader information provided in an entity’s Corporate Plan and annual performance statements – included in Annual Reports – to provide a complete picture of an entity’s planned and actual performance.</w:t>
            </w:r>
          </w:p>
          <w:p w14:paraId="2CF8BAAB" w14:textId="77777777" w:rsidR="001C0F49" w:rsidRDefault="001C0F49" w:rsidP="00B46D7E">
            <w:pPr>
              <w:jc w:val="left"/>
            </w:pPr>
            <w:r>
              <w:t xml:space="preserve">The most recent corporate plan for the National Museum of Australia can be found at: </w:t>
            </w:r>
            <w:r w:rsidRPr="00D7424C">
              <w:rPr>
                <w:u w:val="single"/>
              </w:rPr>
              <w:t>www.nma.gov.au/about/corporate/plans-policies/corporate-plan</w:t>
            </w:r>
          </w:p>
          <w:p w14:paraId="5D1DF601" w14:textId="77777777" w:rsidR="001C0F49" w:rsidRDefault="001C0F49" w:rsidP="00B46D7E">
            <w:pPr>
              <w:jc w:val="left"/>
            </w:pPr>
            <w:r>
              <w:t xml:space="preserve">The most recent annual performance statement can be found at: </w:t>
            </w:r>
            <w:r w:rsidRPr="00D7424C">
              <w:rPr>
                <w:u w:val="single"/>
              </w:rPr>
              <w:t>www.nma.gov.au/about/corporate/annual-reports</w:t>
            </w:r>
          </w:p>
        </w:tc>
      </w:tr>
    </w:tbl>
    <w:p w14:paraId="3EDFAF80" w14:textId="77777777" w:rsidR="00DE1AF0" w:rsidRDefault="00DE1AF0">
      <w:pPr>
        <w:spacing w:after="0" w:line="240" w:lineRule="auto"/>
        <w:rPr>
          <w:highlight w:val="yellow"/>
        </w:rPr>
      </w:pPr>
      <w:bookmarkStart w:id="34" w:name="_Toc97723179"/>
      <w:bookmarkStart w:id="35" w:name="_Toc98440372"/>
      <w:bookmarkStart w:id="36" w:name="_Toc98440520"/>
      <w:bookmarkStart w:id="37" w:name="_Toc98440668"/>
      <w:bookmarkStart w:id="38" w:name="_Toc98440816"/>
      <w:bookmarkStart w:id="39" w:name="_Toc98440964"/>
      <w:bookmarkStart w:id="40" w:name="_Toc115778491"/>
      <w:r>
        <w:rPr>
          <w:b/>
          <w:highlight w:val="yellow"/>
        </w:rPr>
        <w:br w:type="page"/>
      </w:r>
    </w:p>
    <w:p w14:paraId="30558D6B" w14:textId="51A84158" w:rsidR="001C0F49" w:rsidRPr="00F743D8" w:rsidRDefault="001C0F49" w:rsidP="001C0F49">
      <w:pPr>
        <w:pStyle w:val="Heading3-NMA"/>
      </w:pPr>
      <w:r>
        <w:lastRenderedPageBreak/>
        <w:t>2.1</w:t>
      </w:r>
      <w:r w:rsidRPr="00F743D8">
        <w:t xml:space="preserve"> </w:t>
      </w:r>
      <w:r w:rsidRPr="00F743D8">
        <w:tab/>
        <w:t xml:space="preserve">Budgeted expenses and performance for Outcome </w:t>
      </w:r>
      <w:r>
        <w:t>1</w:t>
      </w:r>
      <w:bookmarkEnd w:id="34"/>
      <w:bookmarkEnd w:id="35"/>
      <w:bookmarkEnd w:id="36"/>
      <w:bookmarkEnd w:id="37"/>
      <w:bookmarkEnd w:id="38"/>
      <w:bookmarkEnd w:id="39"/>
      <w:bookmarkEnd w:id="40"/>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1C0F49" w:rsidRPr="005E6F2B" w14:paraId="0D882604" w14:textId="77777777" w:rsidTr="00293BD0">
        <w:tc>
          <w:tcPr>
            <w:tcW w:w="7713" w:type="dxa"/>
            <w:shd w:val="clear" w:color="auto" w:fill="E6E6E6"/>
          </w:tcPr>
          <w:p w14:paraId="5D1F1C29" w14:textId="77777777" w:rsidR="001C0F49" w:rsidRPr="005E6F2B" w:rsidRDefault="001C0F49" w:rsidP="00293BD0">
            <w:pPr>
              <w:pStyle w:val="TableColumnHeadingLeft"/>
            </w:pPr>
            <w:r w:rsidRPr="005E6F2B">
              <w:t xml:space="preserve">Outcome </w:t>
            </w:r>
            <w:r>
              <w:t>1:</w:t>
            </w:r>
            <w:r w:rsidRPr="000B2804">
              <w:t xml:space="preserve"> Increased awareness and understanding of Australia’s history and culture by managing the National Museum’s collections and providing access through public programs and exhibitions</w:t>
            </w:r>
          </w:p>
        </w:tc>
      </w:tr>
    </w:tbl>
    <w:p w14:paraId="3B27281E" w14:textId="77777777" w:rsidR="001C0F49" w:rsidRPr="005E6F2B" w:rsidRDefault="001C0F49" w:rsidP="001C0F49">
      <w:pPr>
        <w:pStyle w:val="NoSpacing"/>
      </w:pPr>
    </w:p>
    <w:p w14:paraId="683AD75F" w14:textId="77777777" w:rsidR="001C0F49" w:rsidRPr="00446612" w:rsidRDefault="001C0F49" w:rsidP="001C0F49">
      <w:pPr>
        <w:pStyle w:val="Heading4"/>
      </w:pPr>
      <w:r w:rsidRPr="00446612">
        <w:t xml:space="preserve">Budgeted expenses for Outcome </w:t>
      </w:r>
      <w:r>
        <w:t>1</w:t>
      </w:r>
    </w:p>
    <w:p w14:paraId="34653480" w14:textId="57B3CB07" w:rsidR="001C0F49" w:rsidRDefault="001C0F49" w:rsidP="001C0F49">
      <w:r>
        <w:t>Thi</w:t>
      </w:r>
      <w:r w:rsidRPr="00950281">
        <w:t xml:space="preserve">s table shows how much the </w:t>
      </w:r>
      <w:r>
        <w:t>NMA</w:t>
      </w:r>
      <w:r w:rsidRPr="00950281">
        <w:t xml:space="preserve"> intends to spend (on an accrual basis) on achieving the </w:t>
      </w:r>
      <w:r>
        <w:t>outcome, broken down by program</w:t>
      </w:r>
      <w:r w:rsidR="00B32140">
        <w:t>.</w:t>
      </w:r>
    </w:p>
    <w:p w14:paraId="299BD5F0" w14:textId="77777777" w:rsidR="001C0F49" w:rsidRDefault="001C0F49" w:rsidP="001C0F49">
      <w:pPr>
        <w:pStyle w:val="TableHeading"/>
      </w:pPr>
      <w:r w:rsidRPr="006E4DF1">
        <w:t>Table 2.</w:t>
      </w:r>
      <w:r w:rsidRPr="0020287B">
        <w:t>1</w:t>
      </w:r>
      <w:r w:rsidRPr="006E4DF1">
        <w:t xml:space="preserve">.1: Budgeted expenses for Outcome </w:t>
      </w:r>
      <w:r w:rsidRPr="0020287B">
        <w:t>1</w:t>
      </w:r>
    </w:p>
    <w:tbl>
      <w:tblPr>
        <w:tblW w:w="5000" w:type="pct"/>
        <w:tblLook w:val="04A0" w:firstRow="1" w:lastRow="0" w:firstColumn="1" w:lastColumn="0" w:noHBand="0" w:noVBand="1"/>
      </w:tblPr>
      <w:tblGrid>
        <w:gridCol w:w="3176"/>
        <w:gridCol w:w="945"/>
        <w:gridCol w:w="896"/>
        <w:gridCol w:w="896"/>
        <w:gridCol w:w="896"/>
        <w:gridCol w:w="901"/>
      </w:tblGrid>
      <w:tr w:rsidR="001C0F49" w:rsidRPr="00C13ED4" w14:paraId="50DD5168" w14:textId="77777777" w:rsidTr="009C12D1">
        <w:trPr>
          <w:trHeight w:val="204"/>
        </w:trPr>
        <w:tc>
          <w:tcPr>
            <w:tcW w:w="2060" w:type="pct"/>
            <w:tcBorders>
              <w:top w:val="single" w:sz="4" w:space="0" w:color="auto"/>
              <w:left w:val="nil"/>
              <w:bottom w:val="nil"/>
              <w:right w:val="nil"/>
            </w:tcBorders>
            <w:shd w:val="clear" w:color="auto" w:fill="auto"/>
            <w:vAlign w:val="bottom"/>
            <w:hideMark/>
          </w:tcPr>
          <w:p w14:paraId="5A6B1DF2" w14:textId="77777777" w:rsidR="001C0F49" w:rsidRPr="00C13ED4" w:rsidRDefault="001C0F49" w:rsidP="00293BD0">
            <w:pPr>
              <w:spacing w:after="0" w:line="240" w:lineRule="auto"/>
              <w:rPr>
                <w:rFonts w:ascii="Arial" w:hAnsi="Arial" w:cs="Arial"/>
                <w:b/>
                <w:bCs/>
                <w:color w:val="000000"/>
                <w:sz w:val="16"/>
                <w:szCs w:val="16"/>
              </w:rPr>
            </w:pPr>
            <w:r w:rsidRPr="00C13ED4">
              <w:rPr>
                <w:rFonts w:ascii="Arial" w:hAnsi="Arial" w:cs="Arial"/>
                <w:b/>
                <w:bCs/>
                <w:color w:val="000000"/>
                <w:sz w:val="16"/>
                <w:szCs w:val="16"/>
              </w:rPr>
              <w:t> </w:t>
            </w:r>
          </w:p>
        </w:tc>
        <w:tc>
          <w:tcPr>
            <w:tcW w:w="613" w:type="pct"/>
            <w:tcBorders>
              <w:top w:val="single" w:sz="4" w:space="0" w:color="auto"/>
              <w:left w:val="nil"/>
              <w:bottom w:val="single" w:sz="4" w:space="0" w:color="auto"/>
              <w:right w:val="nil"/>
            </w:tcBorders>
            <w:shd w:val="clear" w:color="auto" w:fill="auto"/>
            <w:vAlign w:val="bottom"/>
            <w:hideMark/>
          </w:tcPr>
          <w:p w14:paraId="5A68AADF"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2021-22 Estimated actual</w:t>
            </w:r>
            <w:r w:rsidRPr="00C13ED4">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E6E6E6"/>
            <w:vAlign w:val="bottom"/>
            <w:hideMark/>
          </w:tcPr>
          <w:p w14:paraId="7C7024AB"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2022-23</w:t>
            </w:r>
            <w:r w:rsidRPr="00C13ED4">
              <w:rPr>
                <w:rFonts w:ascii="Arial" w:hAnsi="Arial" w:cs="Arial"/>
                <w:sz w:val="16"/>
                <w:szCs w:val="16"/>
              </w:rPr>
              <w:br/>
              <w:t>Budget</w:t>
            </w:r>
            <w:r w:rsidRPr="00C13ED4">
              <w:rPr>
                <w:rFonts w:ascii="Arial" w:hAnsi="Arial" w:cs="Arial"/>
                <w:sz w:val="16"/>
                <w:szCs w:val="16"/>
              </w:rPr>
              <w:br/>
            </w:r>
            <w:r w:rsidRPr="00C13ED4">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753BB764"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2023-24 Forward estimate</w:t>
            </w:r>
            <w:r w:rsidRPr="00C13ED4">
              <w:rPr>
                <w:rFonts w:ascii="Arial" w:hAnsi="Arial" w:cs="Arial"/>
                <w:sz w:val="16"/>
                <w:szCs w:val="16"/>
              </w:rPr>
              <w:br/>
              <w:t>$'000</w:t>
            </w:r>
          </w:p>
        </w:tc>
        <w:tc>
          <w:tcPr>
            <w:tcW w:w="581" w:type="pct"/>
            <w:tcBorders>
              <w:top w:val="single" w:sz="4" w:space="0" w:color="auto"/>
              <w:left w:val="nil"/>
              <w:bottom w:val="single" w:sz="4" w:space="0" w:color="auto"/>
              <w:right w:val="nil"/>
            </w:tcBorders>
            <w:shd w:val="clear" w:color="auto" w:fill="auto"/>
            <w:vAlign w:val="bottom"/>
            <w:hideMark/>
          </w:tcPr>
          <w:p w14:paraId="0EF78086"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2024-25 Forward estimate</w:t>
            </w:r>
            <w:r w:rsidRPr="00C13ED4">
              <w:rPr>
                <w:rFonts w:ascii="Arial" w:hAnsi="Arial" w:cs="Arial"/>
                <w:sz w:val="16"/>
                <w:szCs w:val="16"/>
              </w:rPr>
              <w:br/>
              <w:t>$'000</w:t>
            </w:r>
          </w:p>
        </w:tc>
        <w:tc>
          <w:tcPr>
            <w:tcW w:w="584" w:type="pct"/>
            <w:tcBorders>
              <w:top w:val="single" w:sz="4" w:space="0" w:color="auto"/>
              <w:left w:val="nil"/>
              <w:bottom w:val="single" w:sz="4" w:space="0" w:color="auto"/>
              <w:right w:val="nil"/>
            </w:tcBorders>
            <w:shd w:val="clear" w:color="auto" w:fill="auto"/>
            <w:vAlign w:val="bottom"/>
            <w:hideMark/>
          </w:tcPr>
          <w:p w14:paraId="480A5EA2"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2025-26</w:t>
            </w:r>
            <w:r w:rsidRPr="00C13ED4">
              <w:rPr>
                <w:rFonts w:ascii="Arial" w:hAnsi="Arial" w:cs="Arial"/>
                <w:sz w:val="16"/>
                <w:szCs w:val="16"/>
              </w:rPr>
              <w:br/>
              <w:t>Forward estimate</w:t>
            </w:r>
            <w:r w:rsidRPr="00C13ED4">
              <w:rPr>
                <w:rFonts w:ascii="Arial" w:hAnsi="Arial" w:cs="Arial"/>
                <w:sz w:val="16"/>
                <w:szCs w:val="16"/>
              </w:rPr>
              <w:br/>
              <w:t>$'000</w:t>
            </w:r>
          </w:p>
        </w:tc>
      </w:tr>
      <w:tr w:rsidR="001C0F49" w:rsidRPr="00C13ED4" w14:paraId="7D25E135" w14:textId="77777777" w:rsidTr="009C12D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5588D37A" w14:textId="77777777" w:rsidR="001C0F49" w:rsidRPr="00C13ED4" w:rsidRDefault="001C0F49" w:rsidP="00293BD0">
            <w:pPr>
              <w:spacing w:after="0" w:line="240" w:lineRule="auto"/>
              <w:rPr>
                <w:rFonts w:ascii="Arial" w:hAnsi="Arial" w:cs="Arial"/>
                <w:b/>
                <w:bCs/>
                <w:sz w:val="16"/>
                <w:szCs w:val="16"/>
              </w:rPr>
            </w:pPr>
            <w:r w:rsidRPr="00C13ED4">
              <w:rPr>
                <w:rFonts w:ascii="Arial" w:hAnsi="Arial" w:cs="Arial"/>
                <w:b/>
                <w:bCs/>
                <w:sz w:val="16"/>
                <w:szCs w:val="16"/>
              </w:rPr>
              <w:t>Program 1.1: Collection Management, Research, Exhibitions and Programs</w:t>
            </w:r>
          </w:p>
        </w:tc>
      </w:tr>
      <w:tr w:rsidR="001C0F49" w:rsidRPr="00C13ED4" w14:paraId="53AB6BFE" w14:textId="77777777" w:rsidTr="009C12D1">
        <w:trPr>
          <w:trHeight w:val="204"/>
        </w:trPr>
        <w:tc>
          <w:tcPr>
            <w:tcW w:w="2060" w:type="pct"/>
            <w:tcBorders>
              <w:top w:val="nil"/>
              <w:left w:val="nil"/>
              <w:bottom w:val="nil"/>
              <w:right w:val="nil"/>
            </w:tcBorders>
            <w:shd w:val="clear" w:color="auto" w:fill="auto"/>
            <w:noWrap/>
            <w:vAlign w:val="bottom"/>
            <w:hideMark/>
          </w:tcPr>
          <w:p w14:paraId="313DB20E" w14:textId="77777777" w:rsidR="001C0F49" w:rsidRPr="00C13ED4" w:rsidRDefault="001C0F49" w:rsidP="00293BD0">
            <w:pPr>
              <w:spacing w:after="0" w:line="240" w:lineRule="auto"/>
              <w:rPr>
                <w:rFonts w:ascii="Arial" w:hAnsi="Arial" w:cs="Arial"/>
                <w:sz w:val="16"/>
                <w:szCs w:val="16"/>
              </w:rPr>
            </w:pPr>
            <w:r w:rsidRPr="00C13ED4">
              <w:rPr>
                <w:rFonts w:ascii="Arial" w:hAnsi="Arial" w:cs="Arial"/>
                <w:sz w:val="16"/>
                <w:szCs w:val="16"/>
              </w:rPr>
              <w:t>Revenue from Government</w:t>
            </w:r>
          </w:p>
        </w:tc>
        <w:tc>
          <w:tcPr>
            <w:tcW w:w="613" w:type="pct"/>
            <w:tcBorders>
              <w:top w:val="nil"/>
              <w:left w:val="nil"/>
              <w:bottom w:val="nil"/>
              <w:right w:val="nil"/>
            </w:tcBorders>
            <w:shd w:val="clear" w:color="auto" w:fill="auto"/>
            <w:noWrap/>
            <w:vAlign w:val="bottom"/>
            <w:hideMark/>
          </w:tcPr>
          <w:p w14:paraId="26E48A0B"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E6E6E6"/>
            <w:noWrap/>
            <w:vAlign w:val="bottom"/>
            <w:hideMark/>
          </w:tcPr>
          <w:p w14:paraId="2890A25D"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4FB17F82"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67758121" w14:textId="77777777" w:rsidR="001C0F49" w:rsidRPr="00C13ED4"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21E7C634" w14:textId="77777777" w:rsidR="001C0F49" w:rsidRPr="00C13ED4" w:rsidRDefault="001C0F49" w:rsidP="00293BD0">
            <w:pPr>
              <w:spacing w:after="0" w:line="240" w:lineRule="auto"/>
              <w:jc w:val="right"/>
              <w:rPr>
                <w:rFonts w:ascii="Times New Roman" w:hAnsi="Times New Roman"/>
              </w:rPr>
            </w:pPr>
          </w:p>
        </w:tc>
      </w:tr>
      <w:tr w:rsidR="001C0F49" w:rsidRPr="00C13ED4" w14:paraId="6322B280" w14:textId="77777777" w:rsidTr="009C12D1">
        <w:trPr>
          <w:trHeight w:val="204"/>
        </w:trPr>
        <w:tc>
          <w:tcPr>
            <w:tcW w:w="2060" w:type="pct"/>
            <w:tcBorders>
              <w:top w:val="nil"/>
              <w:left w:val="nil"/>
              <w:bottom w:val="nil"/>
              <w:right w:val="nil"/>
            </w:tcBorders>
            <w:shd w:val="clear" w:color="auto" w:fill="auto"/>
            <w:vAlign w:val="bottom"/>
            <w:hideMark/>
          </w:tcPr>
          <w:p w14:paraId="725AC477" w14:textId="77777777" w:rsidR="001C0F49" w:rsidRPr="00C13ED4" w:rsidRDefault="001C0F49" w:rsidP="00293BD0">
            <w:pPr>
              <w:spacing w:after="0" w:line="240" w:lineRule="auto"/>
              <w:ind w:left="113"/>
              <w:rPr>
                <w:rFonts w:ascii="Arial" w:hAnsi="Arial" w:cs="Arial"/>
                <w:sz w:val="16"/>
                <w:szCs w:val="16"/>
              </w:rPr>
            </w:pPr>
            <w:r w:rsidRPr="00C13ED4">
              <w:rPr>
                <w:rFonts w:ascii="Arial" w:hAnsi="Arial" w:cs="Arial"/>
                <w:sz w:val="16"/>
                <w:szCs w:val="16"/>
              </w:rPr>
              <w:t>Ordinary annual services (Appropriation Bill No. 1)</w:t>
            </w:r>
          </w:p>
        </w:tc>
        <w:tc>
          <w:tcPr>
            <w:tcW w:w="613" w:type="pct"/>
            <w:tcBorders>
              <w:top w:val="nil"/>
              <w:left w:val="nil"/>
              <w:bottom w:val="nil"/>
              <w:right w:val="nil"/>
            </w:tcBorders>
            <w:shd w:val="clear" w:color="auto" w:fill="auto"/>
            <w:noWrap/>
            <w:vAlign w:val="bottom"/>
            <w:hideMark/>
          </w:tcPr>
          <w:p w14:paraId="1F2FF73A"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41,383</w:t>
            </w:r>
          </w:p>
        </w:tc>
        <w:tc>
          <w:tcPr>
            <w:tcW w:w="581" w:type="pct"/>
            <w:tcBorders>
              <w:top w:val="nil"/>
              <w:left w:val="nil"/>
              <w:bottom w:val="nil"/>
              <w:right w:val="nil"/>
            </w:tcBorders>
            <w:shd w:val="clear" w:color="auto" w:fill="E6E6E6"/>
            <w:noWrap/>
            <w:vAlign w:val="bottom"/>
            <w:hideMark/>
          </w:tcPr>
          <w:p w14:paraId="0E2C386D"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50,912</w:t>
            </w:r>
          </w:p>
        </w:tc>
        <w:tc>
          <w:tcPr>
            <w:tcW w:w="581" w:type="pct"/>
            <w:tcBorders>
              <w:top w:val="nil"/>
              <w:left w:val="nil"/>
              <w:bottom w:val="nil"/>
              <w:right w:val="nil"/>
            </w:tcBorders>
            <w:shd w:val="clear" w:color="auto" w:fill="auto"/>
            <w:noWrap/>
            <w:vAlign w:val="bottom"/>
            <w:hideMark/>
          </w:tcPr>
          <w:p w14:paraId="517D6498"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39,687</w:t>
            </w:r>
          </w:p>
        </w:tc>
        <w:tc>
          <w:tcPr>
            <w:tcW w:w="581" w:type="pct"/>
            <w:tcBorders>
              <w:top w:val="nil"/>
              <w:left w:val="nil"/>
              <w:bottom w:val="nil"/>
              <w:right w:val="nil"/>
            </w:tcBorders>
            <w:shd w:val="clear" w:color="auto" w:fill="auto"/>
            <w:noWrap/>
            <w:vAlign w:val="bottom"/>
            <w:hideMark/>
          </w:tcPr>
          <w:p w14:paraId="5289017F"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39,982</w:t>
            </w:r>
          </w:p>
        </w:tc>
        <w:tc>
          <w:tcPr>
            <w:tcW w:w="584" w:type="pct"/>
            <w:tcBorders>
              <w:top w:val="nil"/>
              <w:left w:val="nil"/>
              <w:bottom w:val="nil"/>
              <w:right w:val="nil"/>
            </w:tcBorders>
            <w:shd w:val="clear" w:color="auto" w:fill="auto"/>
            <w:noWrap/>
            <w:vAlign w:val="bottom"/>
            <w:hideMark/>
          </w:tcPr>
          <w:p w14:paraId="6D0B3CA7"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40,144</w:t>
            </w:r>
          </w:p>
        </w:tc>
      </w:tr>
      <w:tr w:rsidR="001C0F49" w:rsidRPr="00C13ED4" w14:paraId="354B8C47" w14:textId="77777777" w:rsidTr="009C12D1">
        <w:trPr>
          <w:trHeight w:val="204"/>
        </w:trPr>
        <w:tc>
          <w:tcPr>
            <w:tcW w:w="2060" w:type="pct"/>
            <w:tcBorders>
              <w:top w:val="nil"/>
              <w:left w:val="nil"/>
              <w:bottom w:val="nil"/>
              <w:right w:val="nil"/>
            </w:tcBorders>
            <w:shd w:val="clear" w:color="auto" w:fill="auto"/>
            <w:noWrap/>
            <w:vAlign w:val="bottom"/>
            <w:hideMark/>
          </w:tcPr>
          <w:p w14:paraId="4526BEA1" w14:textId="77777777"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Payment from related entities</w:t>
            </w:r>
          </w:p>
        </w:tc>
        <w:tc>
          <w:tcPr>
            <w:tcW w:w="613" w:type="pct"/>
            <w:tcBorders>
              <w:top w:val="nil"/>
              <w:left w:val="nil"/>
              <w:bottom w:val="nil"/>
              <w:right w:val="nil"/>
            </w:tcBorders>
            <w:shd w:val="clear" w:color="auto" w:fill="auto"/>
            <w:noWrap/>
            <w:vAlign w:val="bottom"/>
            <w:hideMark/>
          </w:tcPr>
          <w:p w14:paraId="7A6BF011"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500</w:t>
            </w:r>
          </w:p>
        </w:tc>
        <w:tc>
          <w:tcPr>
            <w:tcW w:w="581" w:type="pct"/>
            <w:tcBorders>
              <w:top w:val="nil"/>
              <w:left w:val="nil"/>
              <w:bottom w:val="nil"/>
              <w:right w:val="nil"/>
            </w:tcBorders>
            <w:shd w:val="clear" w:color="auto" w:fill="E6E6E6"/>
            <w:noWrap/>
            <w:vAlign w:val="bottom"/>
            <w:hideMark/>
          </w:tcPr>
          <w:p w14:paraId="19E5A441"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2,000</w:t>
            </w:r>
          </w:p>
        </w:tc>
        <w:tc>
          <w:tcPr>
            <w:tcW w:w="581" w:type="pct"/>
            <w:tcBorders>
              <w:top w:val="nil"/>
              <w:left w:val="nil"/>
              <w:bottom w:val="nil"/>
              <w:right w:val="nil"/>
            </w:tcBorders>
            <w:shd w:val="clear" w:color="auto" w:fill="auto"/>
            <w:noWrap/>
            <w:vAlign w:val="bottom"/>
            <w:hideMark/>
          </w:tcPr>
          <w:p w14:paraId="19DB10A1"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0419C11D"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6B123A18"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r>
      <w:tr w:rsidR="001C0F49" w:rsidRPr="00C13ED4" w14:paraId="624E91BA" w14:textId="77777777" w:rsidTr="009C12D1">
        <w:trPr>
          <w:trHeight w:val="204"/>
        </w:trPr>
        <w:tc>
          <w:tcPr>
            <w:tcW w:w="2060" w:type="pct"/>
            <w:tcBorders>
              <w:top w:val="nil"/>
              <w:left w:val="nil"/>
              <w:bottom w:val="nil"/>
              <w:right w:val="nil"/>
            </w:tcBorders>
            <w:shd w:val="clear" w:color="auto" w:fill="auto"/>
            <w:vAlign w:val="bottom"/>
            <w:hideMark/>
          </w:tcPr>
          <w:p w14:paraId="2E514674" w14:textId="3545E7C3"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 xml:space="preserve">Expenses not requiring appropriation in the </w:t>
            </w:r>
            <w:r w:rsidR="00927ADA">
              <w:rPr>
                <w:rFonts w:ascii="Arial" w:hAnsi="Arial" w:cs="Arial"/>
                <w:sz w:val="16"/>
                <w:szCs w:val="16"/>
              </w:rPr>
              <w:t>Budget year</w:t>
            </w:r>
            <w:r w:rsidRPr="00C13ED4">
              <w:rPr>
                <w:rFonts w:ascii="Arial" w:hAnsi="Arial" w:cs="Arial"/>
                <w:sz w:val="16"/>
                <w:szCs w:val="16"/>
              </w:rPr>
              <w:t xml:space="preserve"> </w:t>
            </w:r>
            <w:r w:rsidRPr="00C13ED4">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7F088EA1"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2,285</w:t>
            </w:r>
          </w:p>
        </w:tc>
        <w:tc>
          <w:tcPr>
            <w:tcW w:w="581" w:type="pct"/>
            <w:tcBorders>
              <w:top w:val="nil"/>
              <w:left w:val="nil"/>
              <w:bottom w:val="nil"/>
              <w:right w:val="nil"/>
            </w:tcBorders>
            <w:shd w:val="clear" w:color="auto" w:fill="E6E6E6"/>
            <w:noWrap/>
            <w:vAlign w:val="bottom"/>
            <w:hideMark/>
          </w:tcPr>
          <w:p w14:paraId="0654A310"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366</w:t>
            </w:r>
          </w:p>
        </w:tc>
        <w:tc>
          <w:tcPr>
            <w:tcW w:w="581" w:type="pct"/>
            <w:tcBorders>
              <w:top w:val="nil"/>
              <w:left w:val="nil"/>
              <w:bottom w:val="nil"/>
              <w:right w:val="nil"/>
            </w:tcBorders>
            <w:shd w:val="clear" w:color="auto" w:fill="auto"/>
            <w:noWrap/>
            <w:vAlign w:val="bottom"/>
            <w:hideMark/>
          </w:tcPr>
          <w:p w14:paraId="780057EE"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4,032</w:t>
            </w:r>
          </w:p>
        </w:tc>
        <w:tc>
          <w:tcPr>
            <w:tcW w:w="581" w:type="pct"/>
            <w:tcBorders>
              <w:top w:val="nil"/>
              <w:left w:val="nil"/>
              <w:bottom w:val="nil"/>
              <w:right w:val="nil"/>
            </w:tcBorders>
            <w:shd w:val="clear" w:color="auto" w:fill="auto"/>
            <w:noWrap/>
            <w:vAlign w:val="bottom"/>
            <w:hideMark/>
          </w:tcPr>
          <w:p w14:paraId="403A2B5D"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4,088</w:t>
            </w:r>
          </w:p>
        </w:tc>
        <w:tc>
          <w:tcPr>
            <w:tcW w:w="584" w:type="pct"/>
            <w:tcBorders>
              <w:top w:val="nil"/>
              <w:left w:val="nil"/>
              <w:bottom w:val="nil"/>
              <w:right w:val="nil"/>
            </w:tcBorders>
            <w:shd w:val="clear" w:color="auto" w:fill="auto"/>
            <w:noWrap/>
            <w:vAlign w:val="bottom"/>
            <w:hideMark/>
          </w:tcPr>
          <w:p w14:paraId="129E69D3"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4,117</w:t>
            </w:r>
          </w:p>
        </w:tc>
      </w:tr>
      <w:tr w:rsidR="001C0F49" w:rsidRPr="00C13ED4" w14:paraId="115FEDD1" w14:textId="77777777" w:rsidTr="009C12D1">
        <w:trPr>
          <w:trHeight w:val="204"/>
        </w:trPr>
        <w:tc>
          <w:tcPr>
            <w:tcW w:w="2060" w:type="pct"/>
            <w:tcBorders>
              <w:top w:val="nil"/>
              <w:left w:val="nil"/>
              <w:bottom w:val="nil"/>
              <w:right w:val="nil"/>
            </w:tcBorders>
            <w:shd w:val="clear" w:color="auto" w:fill="auto"/>
            <w:vAlign w:val="bottom"/>
            <w:hideMark/>
          </w:tcPr>
          <w:p w14:paraId="7B3970BF" w14:textId="77777777"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 xml:space="preserve">Revenues from other independent sources </w:t>
            </w:r>
          </w:p>
        </w:tc>
        <w:tc>
          <w:tcPr>
            <w:tcW w:w="613" w:type="pct"/>
            <w:tcBorders>
              <w:top w:val="nil"/>
              <w:left w:val="nil"/>
              <w:bottom w:val="nil"/>
              <w:right w:val="nil"/>
            </w:tcBorders>
            <w:shd w:val="clear" w:color="auto" w:fill="auto"/>
            <w:noWrap/>
            <w:vAlign w:val="bottom"/>
            <w:hideMark/>
          </w:tcPr>
          <w:p w14:paraId="65A749F8"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13,932</w:t>
            </w:r>
          </w:p>
        </w:tc>
        <w:tc>
          <w:tcPr>
            <w:tcW w:w="581" w:type="pct"/>
            <w:tcBorders>
              <w:top w:val="nil"/>
              <w:left w:val="nil"/>
              <w:bottom w:val="nil"/>
              <w:right w:val="nil"/>
            </w:tcBorders>
            <w:shd w:val="clear" w:color="auto" w:fill="E6E6E6"/>
            <w:noWrap/>
            <w:vAlign w:val="bottom"/>
            <w:hideMark/>
          </w:tcPr>
          <w:p w14:paraId="5DCD8F3A"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6,780</w:t>
            </w:r>
          </w:p>
        </w:tc>
        <w:tc>
          <w:tcPr>
            <w:tcW w:w="581" w:type="pct"/>
            <w:tcBorders>
              <w:top w:val="nil"/>
              <w:left w:val="nil"/>
              <w:bottom w:val="nil"/>
              <w:right w:val="nil"/>
            </w:tcBorders>
            <w:shd w:val="clear" w:color="auto" w:fill="auto"/>
            <w:noWrap/>
            <w:vAlign w:val="bottom"/>
            <w:hideMark/>
          </w:tcPr>
          <w:p w14:paraId="31FC7FA2"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8,557</w:t>
            </w:r>
          </w:p>
        </w:tc>
        <w:tc>
          <w:tcPr>
            <w:tcW w:w="581" w:type="pct"/>
            <w:tcBorders>
              <w:top w:val="nil"/>
              <w:left w:val="nil"/>
              <w:bottom w:val="nil"/>
              <w:right w:val="nil"/>
            </w:tcBorders>
            <w:shd w:val="clear" w:color="auto" w:fill="auto"/>
            <w:noWrap/>
            <w:vAlign w:val="bottom"/>
            <w:hideMark/>
          </w:tcPr>
          <w:p w14:paraId="3EB94258"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11,195</w:t>
            </w:r>
          </w:p>
        </w:tc>
        <w:tc>
          <w:tcPr>
            <w:tcW w:w="584" w:type="pct"/>
            <w:tcBorders>
              <w:top w:val="nil"/>
              <w:left w:val="nil"/>
              <w:bottom w:val="nil"/>
              <w:right w:val="nil"/>
            </w:tcBorders>
            <w:shd w:val="clear" w:color="auto" w:fill="auto"/>
            <w:noWrap/>
            <w:vAlign w:val="bottom"/>
            <w:hideMark/>
          </w:tcPr>
          <w:p w14:paraId="6432F14C"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11,407</w:t>
            </w:r>
          </w:p>
        </w:tc>
      </w:tr>
      <w:tr w:rsidR="001C0F49" w:rsidRPr="00C13ED4" w14:paraId="5FAC198B" w14:textId="77777777" w:rsidTr="009C12D1">
        <w:trPr>
          <w:trHeight w:val="204"/>
        </w:trPr>
        <w:tc>
          <w:tcPr>
            <w:tcW w:w="2060" w:type="pct"/>
            <w:tcBorders>
              <w:top w:val="nil"/>
              <w:left w:val="nil"/>
              <w:bottom w:val="nil"/>
              <w:right w:val="nil"/>
            </w:tcBorders>
            <w:shd w:val="clear" w:color="auto" w:fill="auto"/>
            <w:noWrap/>
            <w:vAlign w:val="bottom"/>
            <w:hideMark/>
          </w:tcPr>
          <w:p w14:paraId="28333269" w14:textId="77777777" w:rsidR="001C0F49" w:rsidRPr="00C13ED4" w:rsidRDefault="001C0F49" w:rsidP="00293BD0">
            <w:pPr>
              <w:spacing w:after="0" w:line="240" w:lineRule="auto"/>
              <w:rPr>
                <w:rFonts w:ascii="Arial" w:hAnsi="Arial" w:cs="Arial"/>
                <w:b/>
                <w:bCs/>
                <w:sz w:val="16"/>
                <w:szCs w:val="16"/>
              </w:rPr>
            </w:pPr>
            <w:r w:rsidRPr="00C13ED4">
              <w:rPr>
                <w:rFonts w:ascii="Arial" w:hAnsi="Arial" w:cs="Arial"/>
                <w:b/>
                <w:bCs/>
                <w:sz w:val="16"/>
                <w:szCs w:val="16"/>
              </w:rPr>
              <w:t>Total expenses for Program 1.1</w:t>
            </w:r>
          </w:p>
        </w:tc>
        <w:tc>
          <w:tcPr>
            <w:tcW w:w="613" w:type="pct"/>
            <w:tcBorders>
              <w:top w:val="single" w:sz="4" w:space="0" w:color="auto"/>
              <w:left w:val="nil"/>
              <w:bottom w:val="single" w:sz="4" w:space="0" w:color="auto"/>
              <w:right w:val="nil"/>
            </w:tcBorders>
            <w:shd w:val="clear" w:color="auto" w:fill="auto"/>
            <w:noWrap/>
            <w:vAlign w:val="bottom"/>
            <w:hideMark/>
          </w:tcPr>
          <w:p w14:paraId="4F21A48F"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58,100</w:t>
            </w:r>
          </w:p>
        </w:tc>
        <w:tc>
          <w:tcPr>
            <w:tcW w:w="581" w:type="pct"/>
            <w:tcBorders>
              <w:top w:val="single" w:sz="4" w:space="0" w:color="auto"/>
              <w:left w:val="nil"/>
              <w:bottom w:val="single" w:sz="4" w:space="0" w:color="auto"/>
              <w:right w:val="nil"/>
            </w:tcBorders>
            <w:shd w:val="clear" w:color="auto" w:fill="E6E6E6"/>
            <w:noWrap/>
            <w:vAlign w:val="bottom"/>
            <w:hideMark/>
          </w:tcPr>
          <w:p w14:paraId="58B2E78D"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60,058</w:t>
            </w:r>
          </w:p>
        </w:tc>
        <w:tc>
          <w:tcPr>
            <w:tcW w:w="581" w:type="pct"/>
            <w:tcBorders>
              <w:top w:val="single" w:sz="4" w:space="0" w:color="auto"/>
              <w:left w:val="nil"/>
              <w:bottom w:val="single" w:sz="4" w:space="0" w:color="auto"/>
              <w:right w:val="nil"/>
            </w:tcBorders>
            <w:shd w:val="clear" w:color="auto" w:fill="auto"/>
            <w:noWrap/>
            <w:vAlign w:val="bottom"/>
            <w:hideMark/>
          </w:tcPr>
          <w:p w14:paraId="6269F1C0"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52,276</w:t>
            </w:r>
          </w:p>
        </w:tc>
        <w:tc>
          <w:tcPr>
            <w:tcW w:w="581" w:type="pct"/>
            <w:tcBorders>
              <w:top w:val="single" w:sz="4" w:space="0" w:color="auto"/>
              <w:left w:val="nil"/>
              <w:bottom w:val="single" w:sz="4" w:space="0" w:color="auto"/>
              <w:right w:val="nil"/>
            </w:tcBorders>
            <w:shd w:val="clear" w:color="auto" w:fill="auto"/>
            <w:noWrap/>
            <w:vAlign w:val="bottom"/>
            <w:hideMark/>
          </w:tcPr>
          <w:p w14:paraId="156C3150"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55,265</w:t>
            </w:r>
          </w:p>
        </w:tc>
        <w:tc>
          <w:tcPr>
            <w:tcW w:w="584" w:type="pct"/>
            <w:tcBorders>
              <w:top w:val="single" w:sz="4" w:space="0" w:color="auto"/>
              <w:left w:val="nil"/>
              <w:bottom w:val="single" w:sz="4" w:space="0" w:color="auto"/>
              <w:right w:val="nil"/>
            </w:tcBorders>
            <w:shd w:val="clear" w:color="auto" w:fill="auto"/>
            <w:noWrap/>
            <w:vAlign w:val="bottom"/>
            <w:hideMark/>
          </w:tcPr>
          <w:p w14:paraId="72AC8661"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55,668</w:t>
            </w:r>
          </w:p>
        </w:tc>
      </w:tr>
      <w:tr w:rsidR="001C0F49" w:rsidRPr="00C13ED4" w14:paraId="4B8A7739" w14:textId="77777777" w:rsidTr="009C12D1">
        <w:trPr>
          <w:trHeight w:val="204"/>
        </w:trPr>
        <w:tc>
          <w:tcPr>
            <w:tcW w:w="5000" w:type="pct"/>
            <w:gridSpan w:val="6"/>
            <w:tcBorders>
              <w:top w:val="single" w:sz="4" w:space="0" w:color="auto"/>
              <w:left w:val="nil"/>
              <w:bottom w:val="single" w:sz="4" w:space="0" w:color="auto"/>
              <w:right w:val="nil"/>
            </w:tcBorders>
            <w:shd w:val="clear" w:color="auto" w:fill="E6E6E6"/>
            <w:vAlign w:val="bottom"/>
            <w:hideMark/>
          </w:tcPr>
          <w:p w14:paraId="685CCF52" w14:textId="77777777" w:rsidR="001C0F49" w:rsidRPr="00C13ED4" w:rsidRDefault="001C0F49" w:rsidP="00293BD0">
            <w:pPr>
              <w:spacing w:after="0" w:line="240" w:lineRule="auto"/>
              <w:rPr>
                <w:rFonts w:ascii="Arial" w:hAnsi="Arial" w:cs="Arial"/>
                <w:b/>
                <w:bCs/>
                <w:sz w:val="16"/>
                <w:szCs w:val="16"/>
              </w:rPr>
            </w:pPr>
            <w:r w:rsidRPr="00C13ED4">
              <w:rPr>
                <w:rFonts w:ascii="Arial" w:hAnsi="Arial" w:cs="Arial"/>
                <w:b/>
                <w:bCs/>
                <w:sz w:val="16"/>
                <w:szCs w:val="16"/>
              </w:rPr>
              <w:t>Outcome 1 totals by resource type</w:t>
            </w:r>
          </w:p>
        </w:tc>
      </w:tr>
      <w:tr w:rsidR="001C0F49" w:rsidRPr="00C13ED4" w14:paraId="53BD6720" w14:textId="77777777" w:rsidTr="009C12D1">
        <w:trPr>
          <w:trHeight w:val="204"/>
        </w:trPr>
        <w:tc>
          <w:tcPr>
            <w:tcW w:w="2060" w:type="pct"/>
            <w:tcBorders>
              <w:top w:val="nil"/>
              <w:left w:val="nil"/>
              <w:bottom w:val="nil"/>
              <w:right w:val="nil"/>
            </w:tcBorders>
            <w:shd w:val="clear" w:color="auto" w:fill="auto"/>
            <w:noWrap/>
            <w:vAlign w:val="bottom"/>
            <w:hideMark/>
          </w:tcPr>
          <w:p w14:paraId="1A0C97E8" w14:textId="77777777" w:rsidR="001C0F49" w:rsidRPr="00C13ED4" w:rsidRDefault="001C0F49" w:rsidP="00293BD0">
            <w:pPr>
              <w:spacing w:after="0" w:line="240" w:lineRule="auto"/>
              <w:rPr>
                <w:rFonts w:ascii="Arial" w:hAnsi="Arial" w:cs="Arial"/>
                <w:sz w:val="16"/>
                <w:szCs w:val="16"/>
              </w:rPr>
            </w:pPr>
            <w:r w:rsidRPr="00C13ED4">
              <w:rPr>
                <w:rFonts w:ascii="Arial" w:hAnsi="Arial" w:cs="Arial"/>
                <w:sz w:val="16"/>
                <w:szCs w:val="16"/>
              </w:rPr>
              <w:t>Revenue from Government</w:t>
            </w:r>
          </w:p>
        </w:tc>
        <w:tc>
          <w:tcPr>
            <w:tcW w:w="613" w:type="pct"/>
            <w:tcBorders>
              <w:top w:val="nil"/>
              <w:left w:val="nil"/>
              <w:bottom w:val="nil"/>
              <w:right w:val="nil"/>
            </w:tcBorders>
            <w:shd w:val="clear" w:color="auto" w:fill="auto"/>
            <w:noWrap/>
            <w:vAlign w:val="bottom"/>
            <w:hideMark/>
          </w:tcPr>
          <w:p w14:paraId="702C5CB8"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E6E6E6"/>
            <w:noWrap/>
            <w:vAlign w:val="bottom"/>
            <w:hideMark/>
          </w:tcPr>
          <w:p w14:paraId="70EDFCF2"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750DC4B9" w14:textId="77777777" w:rsidR="001C0F49" w:rsidRPr="00C13ED4" w:rsidRDefault="001C0F49" w:rsidP="00293BD0">
            <w:pPr>
              <w:spacing w:after="0" w:line="240" w:lineRule="auto"/>
              <w:jc w:val="right"/>
              <w:rPr>
                <w:rFonts w:ascii="Arial" w:hAnsi="Arial" w:cs="Arial"/>
                <w:sz w:val="16"/>
                <w:szCs w:val="16"/>
              </w:rPr>
            </w:pPr>
          </w:p>
        </w:tc>
        <w:tc>
          <w:tcPr>
            <w:tcW w:w="581" w:type="pct"/>
            <w:tcBorders>
              <w:top w:val="nil"/>
              <w:left w:val="nil"/>
              <w:bottom w:val="nil"/>
              <w:right w:val="nil"/>
            </w:tcBorders>
            <w:shd w:val="clear" w:color="auto" w:fill="auto"/>
            <w:noWrap/>
            <w:vAlign w:val="bottom"/>
            <w:hideMark/>
          </w:tcPr>
          <w:p w14:paraId="2C40F44E" w14:textId="77777777" w:rsidR="001C0F49" w:rsidRPr="00C13ED4" w:rsidRDefault="001C0F49" w:rsidP="00293BD0">
            <w:pPr>
              <w:spacing w:after="0" w:line="240" w:lineRule="auto"/>
              <w:jc w:val="right"/>
              <w:rPr>
                <w:rFonts w:ascii="Times New Roman" w:hAnsi="Times New Roman"/>
              </w:rPr>
            </w:pPr>
          </w:p>
        </w:tc>
        <w:tc>
          <w:tcPr>
            <w:tcW w:w="584" w:type="pct"/>
            <w:tcBorders>
              <w:top w:val="nil"/>
              <w:left w:val="nil"/>
              <w:bottom w:val="nil"/>
              <w:right w:val="nil"/>
            </w:tcBorders>
            <w:shd w:val="clear" w:color="auto" w:fill="auto"/>
            <w:noWrap/>
            <w:vAlign w:val="bottom"/>
            <w:hideMark/>
          </w:tcPr>
          <w:p w14:paraId="52E91AFE" w14:textId="77777777" w:rsidR="001C0F49" w:rsidRPr="00C13ED4" w:rsidRDefault="001C0F49" w:rsidP="00293BD0">
            <w:pPr>
              <w:spacing w:after="0" w:line="240" w:lineRule="auto"/>
              <w:jc w:val="right"/>
              <w:rPr>
                <w:rFonts w:ascii="Times New Roman" w:hAnsi="Times New Roman"/>
              </w:rPr>
            </w:pPr>
          </w:p>
        </w:tc>
      </w:tr>
      <w:tr w:rsidR="001C0F49" w:rsidRPr="00C13ED4" w14:paraId="78B24AC1" w14:textId="77777777" w:rsidTr="009C12D1">
        <w:trPr>
          <w:trHeight w:val="204"/>
        </w:trPr>
        <w:tc>
          <w:tcPr>
            <w:tcW w:w="2060" w:type="pct"/>
            <w:tcBorders>
              <w:top w:val="nil"/>
              <w:left w:val="nil"/>
              <w:bottom w:val="nil"/>
              <w:right w:val="nil"/>
            </w:tcBorders>
            <w:shd w:val="clear" w:color="auto" w:fill="auto"/>
            <w:vAlign w:val="bottom"/>
            <w:hideMark/>
          </w:tcPr>
          <w:p w14:paraId="242A2333" w14:textId="77777777" w:rsidR="001C0F49" w:rsidRPr="00C13ED4" w:rsidRDefault="001C0F49" w:rsidP="00293BD0">
            <w:pPr>
              <w:spacing w:after="0" w:line="240" w:lineRule="auto"/>
              <w:ind w:left="113"/>
              <w:rPr>
                <w:rFonts w:ascii="Arial" w:hAnsi="Arial" w:cs="Arial"/>
                <w:sz w:val="16"/>
                <w:szCs w:val="16"/>
              </w:rPr>
            </w:pPr>
            <w:r w:rsidRPr="00C13ED4">
              <w:rPr>
                <w:rFonts w:ascii="Arial" w:hAnsi="Arial" w:cs="Arial"/>
                <w:sz w:val="16"/>
                <w:szCs w:val="16"/>
              </w:rPr>
              <w:t>Ordinary annual services (Appropriation Bill No. 1)</w:t>
            </w:r>
          </w:p>
        </w:tc>
        <w:tc>
          <w:tcPr>
            <w:tcW w:w="613" w:type="pct"/>
            <w:tcBorders>
              <w:top w:val="nil"/>
              <w:left w:val="nil"/>
              <w:bottom w:val="nil"/>
              <w:right w:val="nil"/>
            </w:tcBorders>
            <w:shd w:val="clear" w:color="auto" w:fill="auto"/>
            <w:noWrap/>
            <w:vAlign w:val="bottom"/>
            <w:hideMark/>
          </w:tcPr>
          <w:p w14:paraId="7F951691"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41,383</w:t>
            </w:r>
          </w:p>
        </w:tc>
        <w:tc>
          <w:tcPr>
            <w:tcW w:w="581" w:type="pct"/>
            <w:tcBorders>
              <w:top w:val="nil"/>
              <w:left w:val="nil"/>
              <w:bottom w:val="nil"/>
              <w:right w:val="nil"/>
            </w:tcBorders>
            <w:shd w:val="clear" w:color="auto" w:fill="E6E6E6"/>
            <w:noWrap/>
            <w:vAlign w:val="bottom"/>
            <w:hideMark/>
          </w:tcPr>
          <w:p w14:paraId="158FBDFA"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50,912</w:t>
            </w:r>
          </w:p>
        </w:tc>
        <w:tc>
          <w:tcPr>
            <w:tcW w:w="581" w:type="pct"/>
            <w:tcBorders>
              <w:top w:val="nil"/>
              <w:left w:val="nil"/>
              <w:bottom w:val="nil"/>
              <w:right w:val="nil"/>
            </w:tcBorders>
            <w:shd w:val="clear" w:color="auto" w:fill="auto"/>
            <w:noWrap/>
            <w:vAlign w:val="bottom"/>
            <w:hideMark/>
          </w:tcPr>
          <w:p w14:paraId="4677D8B1"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39,687</w:t>
            </w:r>
          </w:p>
        </w:tc>
        <w:tc>
          <w:tcPr>
            <w:tcW w:w="581" w:type="pct"/>
            <w:tcBorders>
              <w:top w:val="nil"/>
              <w:left w:val="nil"/>
              <w:bottom w:val="nil"/>
              <w:right w:val="nil"/>
            </w:tcBorders>
            <w:shd w:val="clear" w:color="auto" w:fill="auto"/>
            <w:noWrap/>
            <w:vAlign w:val="bottom"/>
            <w:hideMark/>
          </w:tcPr>
          <w:p w14:paraId="7EC0D2F7"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39,982</w:t>
            </w:r>
          </w:p>
        </w:tc>
        <w:tc>
          <w:tcPr>
            <w:tcW w:w="584" w:type="pct"/>
            <w:tcBorders>
              <w:top w:val="nil"/>
              <w:left w:val="nil"/>
              <w:bottom w:val="nil"/>
              <w:right w:val="nil"/>
            </w:tcBorders>
            <w:shd w:val="clear" w:color="auto" w:fill="auto"/>
            <w:noWrap/>
            <w:vAlign w:val="bottom"/>
            <w:hideMark/>
          </w:tcPr>
          <w:p w14:paraId="466A57AC"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40,144</w:t>
            </w:r>
          </w:p>
        </w:tc>
      </w:tr>
      <w:tr w:rsidR="001C0F49" w:rsidRPr="00C13ED4" w14:paraId="229BA5BF" w14:textId="77777777" w:rsidTr="009C12D1">
        <w:trPr>
          <w:trHeight w:val="204"/>
        </w:trPr>
        <w:tc>
          <w:tcPr>
            <w:tcW w:w="2060" w:type="pct"/>
            <w:tcBorders>
              <w:top w:val="nil"/>
              <w:left w:val="nil"/>
              <w:bottom w:val="nil"/>
              <w:right w:val="nil"/>
            </w:tcBorders>
            <w:shd w:val="clear" w:color="auto" w:fill="auto"/>
            <w:noWrap/>
            <w:vAlign w:val="bottom"/>
            <w:hideMark/>
          </w:tcPr>
          <w:p w14:paraId="6AEAD62E" w14:textId="77777777"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Payment from related entities</w:t>
            </w:r>
          </w:p>
        </w:tc>
        <w:tc>
          <w:tcPr>
            <w:tcW w:w="613" w:type="pct"/>
            <w:tcBorders>
              <w:top w:val="nil"/>
              <w:left w:val="nil"/>
              <w:bottom w:val="nil"/>
              <w:right w:val="nil"/>
            </w:tcBorders>
            <w:shd w:val="clear" w:color="auto" w:fill="auto"/>
            <w:noWrap/>
            <w:vAlign w:val="bottom"/>
            <w:hideMark/>
          </w:tcPr>
          <w:p w14:paraId="4E279D85"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500</w:t>
            </w:r>
          </w:p>
        </w:tc>
        <w:tc>
          <w:tcPr>
            <w:tcW w:w="581" w:type="pct"/>
            <w:tcBorders>
              <w:top w:val="nil"/>
              <w:left w:val="nil"/>
              <w:bottom w:val="nil"/>
              <w:right w:val="nil"/>
            </w:tcBorders>
            <w:shd w:val="clear" w:color="auto" w:fill="E6E6E6"/>
            <w:noWrap/>
            <w:vAlign w:val="bottom"/>
            <w:hideMark/>
          </w:tcPr>
          <w:p w14:paraId="60D2C610"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2,000</w:t>
            </w:r>
          </w:p>
        </w:tc>
        <w:tc>
          <w:tcPr>
            <w:tcW w:w="581" w:type="pct"/>
            <w:tcBorders>
              <w:top w:val="nil"/>
              <w:left w:val="nil"/>
              <w:bottom w:val="nil"/>
              <w:right w:val="nil"/>
            </w:tcBorders>
            <w:shd w:val="clear" w:color="auto" w:fill="auto"/>
            <w:noWrap/>
            <w:vAlign w:val="bottom"/>
            <w:hideMark/>
          </w:tcPr>
          <w:p w14:paraId="11055059"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c>
          <w:tcPr>
            <w:tcW w:w="581" w:type="pct"/>
            <w:tcBorders>
              <w:top w:val="nil"/>
              <w:left w:val="nil"/>
              <w:bottom w:val="nil"/>
              <w:right w:val="nil"/>
            </w:tcBorders>
            <w:shd w:val="clear" w:color="auto" w:fill="auto"/>
            <w:noWrap/>
            <w:vAlign w:val="bottom"/>
            <w:hideMark/>
          </w:tcPr>
          <w:p w14:paraId="13E81577"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c>
          <w:tcPr>
            <w:tcW w:w="584" w:type="pct"/>
            <w:tcBorders>
              <w:top w:val="nil"/>
              <w:left w:val="nil"/>
              <w:bottom w:val="nil"/>
              <w:right w:val="nil"/>
            </w:tcBorders>
            <w:shd w:val="clear" w:color="auto" w:fill="auto"/>
            <w:noWrap/>
            <w:vAlign w:val="bottom"/>
            <w:hideMark/>
          </w:tcPr>
          <w:p w14:paraId="498C335F"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w:t>
            </w:r>
          </w:p>
        </w:tc>
      </w:tr>
      <w:tr w:rsidR="001C0F49" w:rsidRPr="00C13ED4" w14:paraId="1264ED12" w14:textId="77777777" w:rsidTr="009C12D1">
        <w:trPr>
          <w:trHeight w:val="204"/>
        </w:trPr>
        <w:tc>
          <w:tcPr>
            <w:tcW w:w="2060" w:type="pct"/>
            <w:tcBorders>
              <w:top w:val="nil"/>
              <w:left w:val="nil"/>
              <w:bottom w:val="nil"/>
              <w:right w:val="nil"/>
            </w:tcBorders>
            <w:shd w:val="clear" w:color="auto" w:fill="auto"/>
            <w:vAlign w:val="bottom"/>
            <w:hideMark/>
          </w:tcPr>
          <w:p w14:paraId="483248E2" w14:textId="27D46E8B"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 xml:space="preserve">Expenses not requiring appropriation in the </w:t>
            </w:r>
            <w:r w:rsidR="00927ADA">
              <w:rPr>
                <w:rFonts w:ascii="Arial" w:hAnsi="Arial" w:cs="Arial"/>
                <w:sz w:val="16"/>
                <w:szCs w:val="16"/>
              </w:rPr>
              <w:t>Budget year</w:t>
            </w:r>
            <w:r w:rsidRPr="00C13ED4">
              <w:rPr>
                <w:rFonts w:ascii="Arial" w:hAnsi="Arial" w:cs="Arial"/>
                <w:sz w:val="16"/>
                <w:szCs w:val="16"/>
              </w:rPr>
              <w:t xml:space="preserve"> </w:t>
            </w:r>
            <w:r w:rsidRPr="00C13ED4">
              <w:rPr>
                <w:rFonts w:ascii="Arial" w:hAnsi="Arial" w:cs="Arial"/>
                <w:sz w:val="16"/>
                <w:szCs w:val="16"/>
                <w:vertAlign w:val="superscript"/>
              </w:rPr>
              <w:t>(a)</w:t>
            </w:r>
          </w:p>
        </w:tc>
        <w:tc>
          <w:tcPr>
            <w:tcW w:w="613" w:type="pct"/>
            <w:tcBorders>
              <w:top w:val="nil"/>
              <w:left w:val="nil"/>
              <w:bottom w:val="nil"/>
              <w:right w:val="nil"/>
            </w:tcBorders>
            <w:shd w:val="clear" w:color="auto" w:fill="auto"/>
            <w:noWrap/>
            <w:vAlign w:val="bottom"/>
            <w:hideMark/>
          </w:tcPr>
          <w:p w14:paraId="4C22DE4B"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2,285</w:t>
            </w:r>
          </w:p>
        </w:tc>
        <w:tc>
          <w:tcPr>
            <w:tcW w:w="581" w:type="pct"/>
            <w:tcBorders>
              <w:top w:val="nil"/>
              <w:left w:val="nil"/>
              <w:bottom w:val="nil"/>
              <w:right w:val="nil"/>
            </w:tcBorders>
            <w:shd w:val="clear" w:color="auto" w:fill="E6E6E6"/>
            <w:noWrap/>
            <w:vAlign w:val="bottom"/>
            <w:hideMark/>
          </w:tcPr>
          <w:p w14:paraId="70B6B511"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366</w:t>
            </w:r>
          </w:p>
        </w:tc>
        <w:tc>
          <w:tcPr>
            <w:tcW w:w="581" w:type="pct"/>
            <w:tcBorders>
              <w:top w:val="nil"/>
              <w:left w:val="nil"/>
              <w:bottom w:val="nil"/>
              <w:right w:val="nil"/>
            </w:tcBorders>
            <w:shd w:val="clear" w:color="auto" w:fill="auto"/>
            <w:noWrap/>
            <w:vAlign w:val="bottom"/>
            <w:hideMark/>
          </w:tcPr>
          <w:p w14:paraId="2C4D3481"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4,032</w:t>
            </w:r>
          </w:p>
        </w:tc>
        <w:tc>
          <w:tcPr>
            <w:tcW w:w="581" w:type="pct"/>
            <w:tcBorders>
              <w:top w:val="nil"/>
              <w:left w:val="nil"/>
              <w:bottom w:val="nil"/>
              <w:right w:val="nil"/>
            </w:tcBorders>
            <w:shd w:val="clear" w:color="auto" w:fill="auto"/>
            <w:noWrap/>
            <w:vAlign w:val="bottom"/>
            <w:hideMark/>
          </w:tcPr>
          <w:p w14:paraId="28E3FEEC"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4,088</w:t>
            </w:r>
          </w:p>
        </w:tc>
        <w:tc>
          <w:tcPr>
            <w:tcW w:w="584" w:type="pct"/>
            <w:tcBorders>
              <w:top w:val="nil"/>
              <w:left w:val="nil"/>
              <w:bottom w:val="nil"/>
              <w:right w:val="nil"/>
            </w:tcBorders>
            <w:shd w:val="clear" w:color="auto" w:fill="auto"/>
            <w:noWrap/>
            <w:vAlign w:val="bottom"/>
            <w:hideMark/>
          </w:tcPr>
          <w:p w14:paraId="4DB77734"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4,117</w:t>
            </w:r>
          </w:p>
        </w:tc>
      </w:tr>
      <w:tr w:rsidR="001C0F49" w:rsidRPr="00C13ED4" w14:paraId="4349961C" w14:textId="77777777" w:rsidTr="009C12D1">
        <w:trPr>
          <w:trHeight w:val="204"/>
        </w:trPr>
        <w:tc>
          <w:tcPr>
            <w:tcW w:w="2060" w:type="pct"/>
            <w:tcBorders>
              <w:top w:val="nil"/>
              <w:left w:val="nil"/>
              <w:right w:val="nil"/>
            </w:tcBorders>
            <w:shd w:val="clear" w:color="auto" w:fill="auto"/>
            <w:vAlign w:val="bottom"/>
            <w:hideMark/>
          </w:tcPr>
          <w:p w14:paraId="44E78396" w14:textId="77777777" w:rsidR="001C0F49" w:rsidRPr="00C13ED4" w:rsidRDefault="001C0F49" w:rsidP="00B32140">
            <w:pPr>
              <w:spacing w:after="0" w:line="240" w:lineRule="auto"/>
              <w:rPr>
                <w:rFonts w:ascii="Arial" w:hAnsi="Arial" w:cs="Arial"/>
                <w:sz w:val="16"/>
                <w:szCs w:val="16"/>
              </w:rPr>
            </w:pPr>
            <w:r w:rsidRPr="00C13ED4">
              <w:rPr>
                <w:rFonts w:ascii="Arial" w:hAnsi="Arial" w:cs="Arial"/>
                <w:sz w:val="16"/>
                <w:szCs w:val="16"/>
              </w:rPr>
              <w:t xml:space="preserve">Revenues from other independent sources </w:t>
            </w:r>
          </w:p>
        </w:tc>
        <w:tc>
          <w:tcPr>
            <w:tcW w:w="613" w:type="pct"/>
            <w:tcBorders>
              <w:top w:val="nil"/>
              <w:left w:val="nil"/>
              <w:bottom w:val="nil"/>
              <w:right w:val="nil"/>
            </w:tcBorders>
            <w:shd w:val="clear" w:color="auto" w:fill="auto"/>
            <w:noWrap/>
            <w:vAlign w:val="bottom"/>
            <w:hideMark/>
          </w:tcPr>
          <w:p w14:paraId="00AFE63E" w14:textId="77777777" w:rsidR="001C0F49" w:rsidRPr="00C13ED4" w:rsidRDefault="001C0F49" w:rsidP="00293BD0">
            <w:pPr>
              <w:spacing w:after="0" w:line="240" w:lineRule="auto"/>
              <w:jc w:val="right"/>
              <w:rPr>
                <w:rFonts w:ascii="Arial" w:hAnsi="Arial" w:cs="Arial"/>
                <w:color w:val="000000"/>
                <w:sz w:val="16"/>
                <w:szCs w:val="16"/>
              </w:rPr>
            </w:pPr>
            <w:r w:rsidRPr="00C13ED4">
              <w:rPr>
                <w:rFonts w:ascii="Arial" w:hAnsi="Arial" w:cs="Arial"/>
                <w:color w:val="000000"/>
                <w:sz w:val="16"/>
                <w:szCs w:val="16"/>
              </w:rPr>
              <w:t>13,932</w:t>
            </w:r>
          </w:p>
        </w:tc>
        <w:tc>
          <w:tcPr>
            <w:tcW w:w="581" w:type="pct"/>
            <w:tcBorders>
              <w:top w:val="nil"/>
              <w:left w:val="nil"/>
              <w:bottom w:val="nil"/>
              <w:right w:val="nil"/>
            </w:tcBorders>
            <w:shd w:val="clear" w:color="auto" w:fill="E6E6E6"/>
            <w:noWrap/>
            <w:vAlign w:val="bottom"/>
            <w:hideMark/>
          </w:tcPr>
          <w:p w14:paraId="77207658"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6,780</w:t>
            </w:r>
          </w:p>
        </w:tc>
        <w:tc>
          <w:tcPr>
            <w:tcW w:w="581" w:type="pct"/>
            <w:tcBorders>
              <w:top w:val="nil"/>
              <w:left w:val="nil"/>
              <w:bottom w:val="nil"/>
              <w:right w:val="nil"/>
            </w:tcBorders>
            <w:shd w:val="clear" w:color="auto" w:fill="auto"/>
            <w:noWrap/>
            <w:vAlign w:val="bottom"/>
            <w:hideMark/>
          </w:tcPr>
          <w:p w14:paraId="3368F30D"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8,557</w:t>
            </w:r>
          </w:p>
        </w:tc>
        <w:tc>
          <w:tcPr>
            <w:tcW w:w="581" w:type="pct"/>
            <w:tcBorders>
              <w:top w:val="nil"/>
              <w:left w:val="nil"/>
              <w:bottom w:val="nil"/>
              <w:right w:val="nil"/>
            </w:tcBorders>
            <w:shd w:val="clear" w:color="auto" w:fill="auto"/>
            <w:noWrap/>
            <w:vAlign w:val="bottom"/>
            <w:hideMark/>
          </w:tcPr>
          <w:p w14:paraId="5C40FA16"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11,195</w:t>
            </w:r>
          </w:p>
        </w:tc>
        <w:tc>
          <w:tcPr>
            <w:tcW w:w="584" w:type="pct"/>
            <w:tcBorders>
              <w:top w:val="nil"/>
              <w:left w:val="nil"/>
              <w:bottom w:val="nil"/>
              <w:right w:val="nil"/>
            </w:tcBorders>
            <w:shd w:val="clear" w:color="auto" w:fill="auto"/>
            <w:noWrap/>
            <w:vAlign w:val="bottom"/>
            <w:hideMark/>
          </w:tcPr>
          <w:p w14:paraId="43C6F8F5" w14:textId="77777777" w:rsidR="001C0F49" w:rsidRPr="00C13ED4" w:rsidRDefault="001C0F49" w:rsidP="00293BD0">
            <w:pPr>
              <w:spacing w:after="0" w:line="240" w:lineRule="auto"/>
              <w:jc w:val="right"/>
              <w:rPr>
                <w:rFonts w:ascii="Arial" w:hAnsi="Arial" w:cs="Arial"/>
                <w:sz w:val="16"/>
                <w:szCs w:val="16"/>
              </w:rPr>
            </w:pPr>
            <w:r w:rsidRPr="00C13ED4">
              <w:rPr>
                <w:rFonts w:ascii="Arial" w:hAnsi="Arial" w:cs="Arial"/>
                <w:sz w:val="16"/>
                <w:szCs w:val="16"/>
              </w:rPr>
              <w:t>11,407</w:t>
            </w:r>
          </w:p>
        </w:tc>
      </w:tr>
      <w:tr w:rsidR="001C0F49" w:rsidRPr="00C13ED4" w14:paraId="5767B616" w14:textId="77777777" w:rsidTr="009C12D1">
        <w:trPr>
          <w:trHeight w:val="204"/>
        </w:trPr>
        <w:tc>
          <w:tcPr>
            <w:tcW w:w="2060" w:type="pct"/>
            <w:tcBorders>
              <w:top w:val="nil"/>
              <w:left w:val="nil"/>
              <w:bottom w:val="single" w:sz="4" w:space="0" w:color="auto"/>
              <w:right w:val="nil"/>
            </w:tcBorders>
            <w:shd w:val="clear" w:color="auto" w:fill="auto"/>
            <w:noWrap/>
            <w:vAlign w:val="bottom"/>
            <w:hideMark/>
          </w:tcPr>
          <w:p w14:paraId="79109878" w14:textId="77777777" w:rsidR="001C0F49" w:rsidRPr="00C13ED4" w:rsidRDefault="001C0F49" w:rsidP="00293BD0">
            <w:pPr>
              <w:spacing w:after="0" w:line="240" w:lineRule="auto"/>
              <w:rPr>
                <w:rFonts w:ascii="Arial" w:hAnsi="Arial" w:cs="Arial"/>
                <w:b/>
                <w:bCs/>
                <w:sz w:val="16"/>
                <w:szCs w:val="16"/>
              </w:rPr>
            </w:pPr>
            <w:r w:rsidRPr="00C13ED4">
              <w:rPr>
                <w:rFonts w:ascii="Arial" w:hAnsi="Arial" w:cs="Arial"/>
                <w:b/>
                <w:bCs/>
                <w:sz w:val="16"/>
                <w:szCs w:val="16"/>
              </w:rPr>
              <w:t>Total expenses for Outcome 1</w:t>
            </w:r>
          </w:p>
        </w:tc>
        <w:tc>
          <w:tcPr>
            <w:tcW w:w="613" w:type="pct"/>
            <w:tcBorders>
              <w:top w:val="single" w:sz="4" w:space="0" w:color="auto"/>
              <w:left w:val="nil"/>
              <w:bottom w:val="single" w:sz="4" w:space="0" w:color="auto"/>
              <w:right w:val="nil"/>
            </w:tcBorders>
            <w:shd w:val="clear" w:color="auto" w:fill="auto"/>
            <w:noWrap/>
            <w:vAlign w:val="bottom"/>
            <w:hideMark/>
          </w:tcPr>
          <w:p w14:paraId="0CB62DCE"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58,100</w:t>
            </w:r>
          </w:p>
        </w:tc>
        <w:tc>
          <w:tcPr>
            <w:tcW w:w="581" w:type="pct"/>
            <w:tcBorders>
              <w:top w:val="single" w:sz="4" w:space="0" w:color="auto"/>
              <w:left w:val="nil"/>
              <w:bottom w:val="single" w:sz="4" w:space="0" w:color="auto"/>
              <w:right w:val="nil"/>
            </w:tcBorders>
            <w:shd w:val="clear" w:color="auto" w:fill="E6E6E6"/>
            <w:noWrap/>
            <w:vAlign w:val="bottom"/>
            <w:hideMark/>
          </w:tcPr>
          <w:p w14:paraId="4407F534" w14:textId="77777777" w:rsidR="001C0F49" w:rsidRPr="00C13ED4" w:rsidRDefault="001C0F49" w:rsidP="00293BD0">
            <w:pPr>
              <w:spacing w:after="0" w:line="240" w:lineRule="auto"/>
              <w:jc w:val="right"/>
              <w:rPr>
                <w:rFonts w:ascii="Arial" w:hAnsi="Arial" w:cs="Arial"/>
                <w:b/>
                <w:bCs/>
                <w:color w:val="000000"/>
                <w:sz w:val="16"/>
                <w:szCs w:val="16"/>
              </w:rPr>
            </w:pPr>
            <w:r w:rsidRPr="00C13ED4">
              <w:rPr>
                <w:rFonts w:ascii="Arial" w:hAnsi="Arial" w:cs="Arial"/>
                <w:b/>
                <w:bCs/>
                <w:color w:val="000000"/>
                <w:sz w:val="16"/>
                <w:szCs w:val="16"/>
              </w:rPr>
              <w:t>60,058</w:t>
            </w:r>
          </w:p>
        </w:tc>
        <w:tc>
          <w:tcPr>
            <w:tcW w:w="581" w:type="pct"/>
            <w:tcBorders>
              <w:top w:val="single" w:sz="4" w:space="0" w:color="auto"/>
              <w:left w:val="nil"/>
              <w:bottom w:val="single" w:sz="4" w:space="0" w:color="auto"/>
              <w:right w:val="nil"/>
            </w:tcBorders>
            <w:shd w:val="clear" w:color="auto" w:fill="auto"/>
            <w:noWrap/>
            <w:vAlign w:val="bottom"/>
            <w:hideMark/>
          </w:tcPr>
          <w:p w14:paraId="00569CAB"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52,276</w:t>
            </w:r>
          </w:p>
        </w:tc>
        <w:tc>
          <w:tcPr>
            <w:tcW w:w="581" w:type="pct"/>
            <w:tcBorders>
              <w:top w:val="single" w:sz="4" w:space="0" w:color="auto"/>
              <w:left w:val="nil"/>
              <w:bottom w:val="single" w:sz="4" w:space="0" w:color="auto"/>
              <w:right w:val="nil"/>
            </w:tcBorders>
            <w:shd w:val="clear" w:color="auto" w:fill="auto"/>
            <w:noWrap/>
            <w:vAlign w:val="bottom"/>
            <w:hideMark/>
          </w:tcPr>
          <w:p w14:paraId="15C4F842"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55,265</w:t>
            </w:r>
          </w:p>
        </w:tc>
        <w:tc>
          <w:tcPr>
            <w:tcW w:w="584" w:type="pct"/>
            <w:tcBorders>
              <w:top w:val="single" w:sz="4" w:space="0" w:color="auto"/>
              <w:left w:val="nil"/>
              <w:bottom w:val="single" w:sz="4" w:space="0" w:color="auto"/>
              <w:right w:val="nil"/>
            </w:tcBorders>
            <w:shd w:val="clear" w:color="auto" w:fill="auto"/>
            <w:noWrap/>
            <w:vAlign w:val="bottom"/>
            <w:hideMark/>
          </w:tcPr>
          <w:p w14:paraId="4074AEEE" w14:textId="77777777" w:rsidR="001C0F49" w:rsidRPr="00C13ED4" w:rsidRDefault="001C0F49" w:rsidP="00293BD0">
            <w:pPr>
              <w:spacing w:after="0" w:line="240" w:lineRule="auto"/>
              <w:jc w:val="right"/>
              <w:rPr>
                <w:rFonts w:ascii="Arial" w:hAnsi="Arial" w:cs="Arial"/>
                <w:b/>
                <w:bCs/>
                <w:sz w:val="16"/>
                <w:szCs w:val="16"/>
              </w:rPr>
            </w:pPr>
            <w:r w:rsidRPr="00C13ED4">
              <w:rPr>
                <w:rFonts w:ascii="Arial" w:hAnsi="Arial" w:cs="Arial"/>
                <w:b/>
                <w:bCs/>
                <w:sz w:val="16"/>
                <w:szCs w:val="16"/>
              </w:rPr>
              <w:t>55,668</w:t>
            </w:r>
          </w:p>
        </w:tc>
      </w:tr>
    </w:tbl>
    <w:p w14:paraId="40C13CF0" w14:textId="77777777" w:rsidR="001C0F49" w:rsidRPr="00B46D7E" w:rsidRDefault="001C0F49" w:rsidP="001C0F49">
      <w:pPr>
        <w:spacing w:after="0"/>
        <w:rPr>
          <w:rFonts w:ascii="Arial" w:hAnsi="Arial" w:cs="Arial"/>
          <w:sz w:val="16"/>
          <w:szCs w:val="16"/>
          <w:lang w:val="x-none" w:eastAsia="x-none"/>
        </w:rPr>
      </w:pPr>
    </w:p>
    <w:tbl>
      <w:tblPr>
        <w:tblW w:w="5053" w:type="dxa"/>
        <w:tblLook w:val="04A0" w:firstRow="1" w:lastRow="0" w:firstColumn="1" w:lastColumn="0" w:noHBand="0" w:noVBand="1"/>
      </w:tblPr>
      <w:tblGrid>
        <w:gridCol w:w="3261"/>
        <w:gridCol w:w="896"/>
        <w:gridCol w:w="896"/>
      </w:tblGrid>
      <w:tr w:rsidR="001C0F49" w:rsidRPr="004E7B8C" w14:paraId="3BB9FCA6" w14:textId="77777777" w:rsidTr="009C12D1">
        <w:trPr>
          <w:trHeight w:val="229"/>
        </w:trPr>
        <w:tc>
          <w:tcPr>
            <w:tcW w:w="3261" w:type="dxa"/>
            <w:tcBorders>
              <w:top w:val="single" w:sz="4" w:space="0" w:color="auto"/>
              <w:left w:val="nil"/>
              <w:bottom w:val="nil"/>
              <w:right w:val="nil"/>
            </w:tcBorders>
            <w:shd w:val="clear" w:color="auto" w:fill="auto"/>
            <w:noWrap/>
            <w:vAlign w:val="center"/>
            <w:hideMark/>
          </w:tcPr>
          <w:p w14:paraId="504B9FF3" w14:textId="77777777" w:rsidR="001C0F49" w:rsidRPr="004E7B8C" w:rsidRDefault="001C0F49" w:rsidP="00293BD0">
            <w:pPr>
              <w:spacing w:after="0" w:line="240" w:lineRule="auto"/>
              <w:rPr>
                <w:rFonts w:ascii="Arial" w:hAnsi="Arial" w:cs="Arial"/>
                <w:sz w:val="16"/>
                <w:szCs w:val="16"/>
              </w:rPr>
            </w:pPr>
            <w:r w:rsidRPr="004E7B8C">
              <w:rPr>
                <w:rFonts w:ascii="Arial" w:hAnsi="Arial" w:cs="Arial"/>
                <w:sz w:val="16"/>
                <w:szCs w:val="16"/>
              </w:rPr>
              <w:t> </w:t>
            </w:r>
          </w:p>
        </w:tc>
        <w:tc>
          <w:tcPr>
            <w:tcW w:w="896" w:type="dxa"/>
            <w:tcBorders>
              <w:top w:val="single" w:sz="4" w:space="0" w:color="auto"/>
              <w:left w:val="nil"/>
              <w:bottom w:val="single" w:sz="4" w:space="0" w:color="auto"/>
              <w:right w:val="nil"/>
            </w:tcBorders>
            <w:shd w:val="clear" w:color="auto" w:fill="auto"/>
            <w:noWrap/>
            <w:vAlign w:val="center"/>
            <w:hideMark/>
          </w:tcPr>
          <w:p w14:paraId="0044022D" w14:textId="77777777" w:rsidR="001C0F49" w:rsidRPr="004E7B8C" w:rsidRDefault="001C0F49" w:rsidP="00B46D7E">
            <w:pPr>
              <w:spacing w:after="0" w:line="240" w:lineRule="auto"/>
              <w:jc w:val="right"/>
              <w:rPr>
                <w:rFonts w:ascii="Arial" w:hAnsi="Arial" w:cs="Arial"/>
                <w:sz w:val="16"/>
                <w:szCs w:val="16"/>
              </w:rPr>
            </w:pPr>
            <w:r w:rsidRPr="004E7B8C">
              <w:rPr>
                <w:rFonts w:ascii="Arial" w:hAnsi="Arial" w:cs="Arial"/>
                <w:sz w:val="16"/>
                <w:szCs w:val="16"/>
              </w:rPr>
              <w:t>2021-22</w:t>
            </w:r>
          </w:p>
        </w:tc>
        <w:tc>
          <w:tcPr>
            <w:tcW w:w="896" w:type="dxa"/>
            <w:tcBorders>
              <w:top w:val="single" w:sz="4" w:space="0" w:color="auto"/>
              <w:left w:val="nil"/>
              <w:bottom w:val="single" w:sz="4" w:space="0" w:color="auto"/>
              <w:right w:val="nil"/>
            </w:tcBorders>
            <w:shd w:val="clear" w:color="auto" w:fill="E6E6E6"/>
            <w:noWrap/>
            <w:vAlign w:val="center"/>
            <w:hideMark/>
          </w:tcPr>
          <w:p w14:paraId="4C14241B" w14:textId="77777777" w:rsidR="001C0F49" w:rsidRPr="004E7B8C" w:rsidRDefault="001C0F49" w:rsidP="00B46D7E">
            <w:pPr>
              <w:spacing w:after="0" w:line="240" w:lineRule="auto"/>
              <w:jc w:val="right"/>
              <w:rPr>
                <w:rFonts w:ascii="Arial" w:hAnsi="Arial" w:cs="Arial"/>
                <w:sz w:val="16"/>
                <w:szCs w:val="16"/>
              </w:rPr>
            </w:pPr>
            <w:r w:rsidRPr="004E7B8C">
              <w:rPr>
                <w:rFonts w:ascii="Arial" w:hAnsi="Arial" w:cs="Arial"/>
                <w:sz w:val="16"/>
                <w:szCs w:val="16"/>
              </w:rPr>
              <w:t>2022-23</w:t>
            </w:r>
          </w:p>
        </w:tc>
      </w:tr>
      <w:tr w:rsidR="001C0F49" w:rsidRPr="004E7B8C" w14:paraId="50B8B6E9" w14:textId="77777777" w:rsidTr="009C12D1">
        <w:trPr>
          <w:trHeight w:val="229"/>
        </w:trPr>
        <w:tc>
          <w:tcPr>
            <w:tcW w:w="3261" w:type="dxa"/>
            <w:tcBorders>
              <w:top w:val="nil"/>
              <w:left w:val="nil"/>
              <w:bottom w:val="single" w:sz="4" w:space="0" w:color="auto"/>
              <w:right w:val="nil"/>
            </w:tcBorders>
            <w:shd w:val="clear" w:color="auto" w:fill="auto"/>
            <w:noWrap/>
            <w:vAlign w:val="center"/>
            <w:hideMark/>
          </w:tcPr>
          <w:p w14:paraId="691E3030" w14:textId="77777777" w:rsidR="001C0F49" w:rsidRPr="004E7B8C" w:rsidRDefault="001C0F49" w:rsidP="00293BD0">
            <w:pPr>
              <w:spacing w:after="0" w:line="240" w:lineRule="auto"/>
              <w:rPr>
                <w:rFonts w:ascii="Arial" w:hAnsi="Arial" w:cs="Arial"/>
                <w:b/>
                <w:bCs/>
                <w:color w:val="000000"/>
                <w:sz w:val="16"/>
                <w:szCs w:val="16"/>
              </w:rPr>
            </w:pPr>
            <w:r w:rsidRPr="004E7B8C">
              <w:rPr>
                <w:rFonts w:ascii="Arial" w:hAnsi="Arial" w:cs="Arial"/>
                <w:b/>
                <w:bCs/>
                <w:color w:val="000000"/>
                <w:sz w:val="16"/>
                <w:szCs w:val="16"/>
              </w:rPr>
              <w:t>Average staffing level (number)</w:t>
            </w:r>
          </w:p>
        </w:tc>
        <w:tc>
          <w:tcPr>
            <w:tcW w:w="896" w:type="dxa"/>
            <w:tcBorders>
              <w:top w:val="nil"/>
              <w:left w:val="nil"/>
              <w:bottom w:val="single" w:sz="4" w:space="0" w:color="000000"/>
              <w:right w:val="nil"/>
            </w:tcBorders>
            <w:shd w:val="clear" w:color="auto" w:fill="auto"/>
            <w:noWrap/>
            <w:vAlign w:val="bottom"/>
            <w:hideMark/>
          </w:tcPr>
          <w:p w14:paraId="462B9101" w14:textId="20473559" w:rsidR="001C0F49" w:rsidRPr="004E7B8C" w:rsidRDefault="001C0F49" w:rsidP="00B46D7E">
            <w:pPr>
              <w:spacing w:after="0" w:line="240" w:lineRule="auto"/>
              <w:jc w:val="right"/>
              <w:rPr>
                <w:rFonts w:ascii="Arial" w:hAnsi="Arial" w:cs="Arial"/>
                <w:color w:val="000000"/>
                <w:sz w:val="16"/>
                <w:szCs w:val="16"/>
              </w:rPr>
            </w:pPr>
            <w:r w:rsidRPr="004E7B8C">
              <w:rPr>
                <w:rFonts w:ascii="Arial" w:hAnsi="Arial" w:cs="Arial"/>
                <w:color w:val="000000"/>
                <w:sz w:val="16"/>
                <w:szCs w:val="16"/>
              </w:rPr>
              <w:t>21</w:t>
            </w:r>
            <w:r>
              <w:rPr>
                <w:rFonts w:ascii="Arial" w:hAnsi="Arial" w:cs="Arial"/>
                <w:color w:val="000000"/>
                <w:sz w:val="16"/>
                <w:szCs w:val="16"/>
              </w:rPr>
              <w:t>5</w:t>
            </w:r>
          </w:p>
        </w:tc>
        <w:tc>
          <w:tcPr>
            <w:tcW w:w="896" w:type="dxa"/>
            <w:tcBorders>
              <w:top w:val="nil"/>
              <w:left w:val="nil"/>
              <w:bottom w:val="single" w:sz="4" w:space="0" w:color="000000"/>
              <w:right w:val="nil"/>
            </w:tcBorders>
            <w:shd w:val="clear" w:color="auto" w:fill="E6E6E6"/>
            <w:noWrap/>
            <w:vAlign w:val="bottom"/>
            <w:hideMark/>
          </w:tcPr>
          <w:p w14:paraId="1066BEF7" w14:textId="66D64A0E" w:rsidR="001C0F49" w:rsidRPr="004E7B8C" w:rsidRDefault="001C0F49" w:rsidP="00B46D7E">
            <w:pPr>
              <w:spacing w:after="0" w:line="240" w:lineRule="auto"/>
              <w:jc w:val="right"/>
              <w:rPr>
                <w:rFonts w:ascii="Arial" w:hAnsi="Arial" w:cs="Arial"/>
                <w:color w:val="000000"/>
                <w:sz w:val="16"/>
                <w:szCs w:val="16"/>
              </w:rPr>
            </w:pPr>
            <w:r w:rsidRPr="004E7B8C">
              <w:rPr>
                <w:rFonts w:ascii="Arial" w:hAnsi="Arial" w:cs="Arial"/>
                <w:color w:val="000000"/>
                <w:sz w:val="16"/>
                <w:szCs w:val="16"/>
              </w:rPr>
              <w:t>216</w:t>
            </w:r>
          </w:p>
        </w:tc>
      </w:tr>
    </w:tbl>
    <w:p w14:paraId="594DF6CA" w14:textId="79932586" w:rsidR="001C0F49" w:rsidRDefault="001C0F49" w:rsidP="008D0F63">
      <w:pPr>
        <w:pStyle w:val="ChartandTableFootnoteAlpha"/>
        <w:numPr>
          <w:ilvl w:val="0"/>
          <w:numId w:val="79"/>
        </w:numPr>
        <w:tabs>
          <w:tab w:val="clear" w:pos="284"/>
        </w:tabs>
        <w:spacing w:before="60"/>
        <w:ind w:left="426" w:hanging="426"/>
        <w:jc w:val="left"/>
      </w:pPr>
      <w:r w:rsidRPr="00950281">
        <w:t>Expenses not requiring appropriation in the Budget year are depreciation expenses</w:t>
      </w:r>
      <w:r>
        <w:t xml:space="preserve"> for heritage and cultural assets</w:t>
      </w:r>
      <w:r w:rsidRPr="00CF671E">
        <w:t>, and depreciation expenses for property, plant and equipment depreciation, relating to major refurbishment of the NMA's buildings and permanent exhibitions</w:t>
      </w:r>
      <w:r w:rsidR="00460546">
        <w:t>.</w:t>
      </w:r>
    </w:p>
    <w:p w14:paraId="1F017DAC" w14:textId="77777777" w:rsidR="001C0F49" w:rsidRPr="00F71634" w:rsidRDefault="001C0F49" w:rsidP="001C0F49">
      <w:pPr>
        <w:spacing w:after="0"/>
      </w:pPr>
      <w:r>
        <w:rPr>
          <w:highlight w:val="yellow"/>
        </w:rPr>
        <w:br w:type="page"/>
      </w:r>
    </w:p>
    <w:p w14:paraId="173F049B" w14:textId="77777777" w:rsidR="001C0F49" w:rsidRPr="005F5855" w:rsidRDefault="001C0F49" w:rsidP="001C0F49">
      <w:pPr>
        <w:pStyle w:val="TableHeading"/>
        <w:rPr>
          <w:lang w:val="en-AU"/>
        </w:rPr>
      </w:pPr>
      <w:r w:rsidRPr="00F71634">
        <w:lastRenderedPageBreak/>
        <w:t>Table 2.</w:t>
      </w:r>
      <w:r>
        <w:rPr>
          <w:lang w:val="en-AU"/>
        </w:rPr>
        <w:t>1</w:t>
      </w:r>
      <w:r w:rsidRPr="00F71634">
        <w:t>.</w:t>
      </w:r>
      <w:r>
        <w:rPr>
          <w:lang w:val="en-AU"/>
        </w:rPr>
        <w:t>2</w:t>
      </w:r>
      <w:r w:rsidRPr="00F71634">
        <w:t xml:space="preserve">: Performance </w:t>
      </w:r>
      <w:r>
        <w:rPr>
          <w:lang w:val="en-AU"/>
        </w:rPr>
        <w:t>measure</w:t>
      </w:r>
      <w:r w:rsidRPr="00F71634">
        <w:t xml:space="preserve"> for Outcome </w:t>
      </w:r>
      <w:r>
        <w:rPr>
          <w:lang w:val="en-AU"/>
        </w:rPr>
        <w:t>1</w:t>
      </w:r>
    </w:p>
    <w:p w14:paraId="67A06EF8" w14:textId="77777777" w:rsidR="001C0F49" w:rsidRPr="00F71634" w:rsidRDefault="001C0F49" w:rsidP="001C0F49">
      <w:pPr>
        <w:spacing w:before="120"/>
      </w:pPr>
      <w:r w:rsidRPr="001B2F81">
        <w:t>Table 2.</w:t>
      </w:r>
      <w:r>
        <w:t>1</w:t>
      </w:r>
      <w:r w:rsidRPr="001B2F81">
        <w:t>.</w:t>
      </w:r>
      <w:r>
        <w:t>2</w:t>
      </w:r>
      <w:r w:rsidRPr="001B2F81">
        <w:t xml:space="preserve"> details the performance measures for each program associated with Outcome</w:t>
      </w:r>
      <w:r>
        <w:t> 1</w:t>
      </w:r>
      <w:r w:rsidRPr="001B2F81">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2"/>
        <w:gridCol w:w="3142"/>
        <w:gridCol w:w="2986"/>
      </w:tblGrid>
      <w:tr w:rsidR="001C0F49" w:rsidRPr="009E1190" w14:paraId="4D528572" w14:textId="77777777" w:rsidTr="009C12D1">
        <w:trPr>
          <w:trHeight w:val="569"/>
          <w:tblHeader/>
        </w:trPr>
        <w:tc>
          <w:tcPr>
            <w:tcW w:w="5000" w:type="pct"/>
            <w:gridSpan w:val="3"/>
            <w:shd w:val="clear" w:color="auto" w:fill="E6E6E6"/>
          </w:tcPr>
          <w:p w14:paraId="10CE16EF" w14:textId="77777777" w:rsidR="001C0F49" w:rsidRPr="009E1190" w:rsidRDefault="001C0F49" w:rsidP="00293BD0">
            <w:pPr>
              <w:spacing w:before="60" w:after="60" w:line="240" w:lineRule="auto"/>
              <w:rPr>
                <w:rFonts w:ascii="Arial" w:hAnsi="Arial"/>
                <w:b/>
              </w:rPr>
            </w:pPr>
            <w:r w:rsidRPr="009E1190">
              <w:rPr>
                <w:rFonts w:ascii="Arial" w:hAnsi="Arial"/>
                <w:b/>
              </w:rPr>
              <w:t xml:space="preserve">Outcome 1 </w:t>
            </w:r>
            <w:r w:rsidRPr="009E1190">
              <w:rPr>
                <w:rFonts w:ascii="Arial" w:hAnsi="Arial"/>
              </w:rPr>
              <w:t xml:space="preserve">– </w:t>
            </w:r>
            <w:r w:rsidRPr="009C12D1">
              <w:rPr>
                <w:rFonts w:ascii="Arial" w:hAnsi="Arial"/>
                <w:bCs/>
              </w:rPr>
              <w:t>Increased awareness and understanding of Australia’s history and culture by managing the National Museum’s collections and providing access through public programs and exhibitions</w:t>
            </w:r>
          </w:p>
        </w:tc>
      </w:tr>
      <w:tr w:rsidR="001C0F49" w:rsidRPr="00F66902" w14:paraId="5A9217B2" w14:textId="77777777" w:rsidTr="009C12D1">
        <w:trPr>
          <w:trHeight w:val="522"/>
          <w:tblHeader/>
        </w:trPr>
        <w:tc>
          <w:tcPr>
            <w:tcW w:w="5000" w:type="pct"/>
            <w:gridSpan w:val="3"/>
            <w:shd w:val="clear" w:color="auto" w:fill="E6E6E6"/>
          </w:tcPr>
          <w:p w14:paraId="71D65036" w14:textId="77777777" w:rsidR="001C0F49" w:rsidRPr="00F66902" w:rsidRDefault="001C0F49" w:rsidP="00293BD0">
            <w:pPr>
              <w:tabs>
                <w:tab w:val="left" w:pos="709"/>
              </w:tabs>
              <w:spacing w:before="60" w:after="60"/>
              <w:rPr>
                <w:rFonts w:ascii="Arial" w:hAnsi="Arial" w:cs="Arial"/>
                <w:b/>
                <w:iCs/>
                <w:sz w:val="18"/>
                <w:szCs w:val="16"/>
              </w:rPr>
            </w:pPr>
            <w:r w:rsidRPr="00F66902">
              <w:rPr>
                <w:rFonts w:ascii="Arial" w:hAnsi="Arial" w:cs="Arial"/>
                <w:b/>
                <w:sz w:val="18"/>
                <w:szCs w:val="16"/>
              </w:rPr>
              <w:t>Program 1.1</w:t>
            </w:r>
            <w:r w:rsidRPr="00F66902">
              <w:rPr>
                <w:rFonts w:ascii="Arial" w:hAnsi="Arial" w:cs="Arial"/>
                <w:b/>
                <w:bCs/>
                <w:sz w:val="18"/>
                <w:szCs w:val="16"/>
              </w:rPr>
              <w:t xml:space="preserve"> – </w:t>
            </w:r>
            <w:r w:rsidRPr="00F66902">
              <w:rPr>
                <w:rFonts w:ascii="Arial" w:hAnsi="Arial" w:cs="Arial"/>
                <w:bCs/>
                <w:iCs/>
                <w:sz w:val="18"/>
                <w:szCs w:val="16"/>
              </w:rPr>
              <w:t>Collection Management, Research, Exhibitions and Programs</w:t>
            </w:r>
          </w:p>
          <w:p w14:paraId="45D013BD" w14:textId="77777777" w:rsidR="001C0F49" w:rsidRPr="00F66902" w:rsidRDefault="001C0F49" w:rsidP="00293BD0">
            <w:pPr>
              <w:spacing w:before="60" w:after="60" w:line="240" w:lineRule="auto"/>
              <w:rPr>
                <w:rFonts w:ascii="Arial" w:hAnsi="Arial"/>
                <w:sz w:val="18"/>
                <w:szCs w:val="16"/>
              </w:rPr>
            </w:pPr>
            <w:r w:rsidRPr="00F66902">
              <w:rPr>
                <w:rFonts w:ascii="Arial" w:hAnsi="Arial" w:cs="Arial"/>
                <w:iCs/>
                <w:sz w:val="18"/>
                <w:szCs w:val="16"/>
              </w:rPr>
              <w:t>The National Museum of Australia increases the awareness and understanding of Australia’s history and culture through its collections and research, providing access to the public through its public programs and exhibitions.</w:t>
            </w:r>
          </w:p>
        </w:tc>
      </w:tr>
      <w:tr w:rsidR="001C0F49" w:rsidRPr="009E1190" w14:paraId="05752875" w14:textId="77777777" w:rsidTr="00B46D7E">
        <w:trPr>
          <w:trHeight w:val="405"/>
        </w:trPr>
        <w:tc>
          <w:tcPr>
            <w:tcW w:w="1021" w:type="pct"/>
            <w:tcBorders>
              <w:bottom w:val="double" w:sz="4" w:space="0" w:color="auto"/>
            </w:tcBorders>
          </w:tcPr>
          <w:p w14:paraId="31A3DFEE" w14:textId="77777777" w:rsidR="001C0F49" w:rsidRPr="009E1190" w:rsidRDefault="001C0F49" w:rsidP="00293BD0">
            <w:pPr>
              <w:tabs>
                <w:tab w:val="left" w:pos="709"/>
              </w:tabs>
              <w:spacing w:before="60" w:after="60" w:line="240" w:lineRule="auto"/>
              <w:rPr>
                <w:rFonts w:ascii="Arial" w:hAnsi="Arial" w:cs="Arial"/>
                <w:b/>
                <w:sz w:val="16"/>
                <w:szCs w:val="16"/>
              </w:rPr>
            </w:pPr>
            <w:r w:rsidRPr="009E1190">
              <w:rPr>
                <w:rFonts w:ascii="Arial" w:hAnsi="Arial" w:cs="Arial"/>
                <w:b/>
                <w:sz w:val="16"/>
                <w:szCs w:val="16"/>
              </w:rPr>
              <w:t xml:space="preserve">Key Activities </w:t>
            </w:r>
          </w:p>
        </w:tc>
        <w:tc>
          <w:tcPr>
            <w:tcW w:w="3979" w:type="pct"/>
            <w:gridSpan w:val="2"/>
            <w:tcBorders>
              <w:bottom w:val="double" w:sz="4" w:space="0" w:color="auto"/>
            </w:tcBorders>
          </w:tcPr>
          <w:p w14:paraId="76D2863F" w14:textId="77777777" w:rsidR="001C0F49" w:rsidRPr="009E1190" w:rsidRDefault="001C0F49" w:rsidP="00293BD0">
            <w:pPr>
              <w:tabs>
                <w:tab w:val="left" w:pos="709"/>
              </w:tabs>
              <w:spacing w:before="60" w:after="60" w:line="240" w:lineRule="auto"/>
              <w:rPr>
                <w:rFonts w:ascii="Arial" w:hAnsi="Arial" w:cs="Arial"/>
                <w:i/>
                <w:sz w:val="16"/>
                <w:szCs w:val="16"/>
              </w:rPr>
            </w:pPr>
            <w:r w:rsidRPr="009E1190">
              <w:rPr>
                <w:rFonts w:ascii="Arial" w:hAnsi="Arial" w:cs="Arial"/>
                <w:iCs/>
                <w:sz w:val="16"/>
                <w:szCs w:val="16"/>
              </w:rPr>
              <w:t>Maximise opportunities for public engagement that respond to changing audience behaviours and needs.</w:t>
            </w:r>
          </w:p>
        </w:tc>
      </w:tr>
      <w:tr w:rsidR="001C0F49" w:rsidRPr="009E1190" w14:paraId="0763DA58" w14:textId="77777777" w:rsidTr="00B46D7E">
        <w:trPr>
          <w:trHeight w:val="258"/>
        </w:trPr>
        <w:tc>
          <w:tcPr>
            <w:tcW w:w="1021" w:type="pct"/>
            <w:tcBorders>
              <w:top w:val="double" w:sz="4" w:space="0" w:color="auto"/>
              <w:bottom w:val="single" w:sz="4" w:space="0" w:color="auto"/>
              <w:right w:val="single" w:sz="4" w:space="0" w:color="auto"/>
            </w:tcBorders>
          </w:tcPr>
          <w:p w14:paraId="7A9DD6DC"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Year</w:t>
            </w:r>
          </w:p>
        </w:tc>
        <w:tc>
          <w:tcPr>
            <w:tcW w:w="2040" w:type="pct"/>
            <w:tcBorders>
              <w:top w:val="double" w:sz="4" w:space="0" w:color="auto"/>
              <w:left w:val="single" w:sz="4" w:space="0" w:color="auto"/>
              <w:bottom w:val="single" w:sz="4" w:space="0" w:color="auto"/>
            </w:tcBorders>
          </w:tcPr>
          <w:p w14:paraId="1448A545"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Performance measures</w:t>
            </w:r>
          </w:p>
        </w:tc>
        <w:tc>
          <w:tcPr>
            <w:tcW w:w="1940" w:type="pct"/>
            <w:tcBorders>
              <w:top w:val="double" w:sz="4" w:space="0" w:color="auto"/>
              <w:left w:val="single" w:sz="4" w:space="0" w:color="auto"/>
              <w:bottom w:val="single" w:sz="4" w:space="0" w:color="auto"/>
            </w:tcBorders>
          </w:tcPr>
          <w:p w14:paraId="41F8F88C" w14:textId="77777777" w:rsidR="001C0F49" w:rsidRPr="009E1190" w:rsidRDefault="001C0F49" w:rsidP="00293BD0">
            <w:pPr>
              <w:tabs>
                <w:tab w:val="left" w:pos="709"/>
              </w:tabs>
              <w:spacing w:before="60" w:after="60"/>
              <w:rPr>
                <w:rFonts w:ascii="Arial" w:hAnsi="Arial" w:cs="Arial"/>
                <w:b/>
                <w:sz w:val="16"/>
                <w:szCs w:val="16"/>
              </w:rPr>
            </w:pPr>
            <w:r w:rsidRPr="009E1190">
              <w:rPr>
                <w:rFonts w:ascii="Arial" w:hAnsi="Arial" w:cs="Arial"/>
                <w:b/>
                <w:sz w:val="16"/>
                <w:szCs w:val="16"/>
              </w:rPr>
              <w:t>Expected Performance Results</w:t>
            </w:r>
          </w:p>
        </w:tc>
      </w:tr>
      <w:tr w:rsidR="001C0F49" w:rsidRPr="009E1190" w14:paraId="64ABF12D" w14:textId="77777777" w:rsidTr="00B46D7E">
        <w:trPr>
          <w:trHeight w:val="642"/>
        </w:trPr>
        <w:tc>
          <w:tcPr>
            <w:tcW w:w="1021" w:type="pct"/>
            <w:tcBorders>
              <w:top w:val="single" w:sz="4" w:space="0" w:color="auto"/>
              <w:bottom w:val="single" w:sz="4" w:space="0" w:color="auto"/>
              <w:right w:val="single" w:sz="4" w:space="0" w:color="auto"/>
            </w:tcBorders>
          </w:tcPr>
          <w:p w14:paraId="1CBC2063" w14:textId="77777777" w:rsidR="001C0F49" w:rsidRPr="009E1190" w:rsidRDefault="001C0F49" w:rsidP="00293BD0">
            <w:pPr>
              <w:spacing w:before="60" w:after="60" w:line="240" w:lineRule="auto"/>
              <w:rPr>
                <w:rFonts w:ascii="Arial" w:hAnsi="Arial" w:cs="Arial"/>
                <w:sz w:val="16"/>
                <w:szCs w:val="16"/>
              </w:rPr>
            </w:pPr>
            <w:r>
              <w:rPr>
                <w:rFonts w:ascii="Arial" w:hAnsi="Arial" w:cs="Arial"/>
                <w:sz w:val="16"/>
                <w:szCs w:val="16"/>
              </w:rPr>
              <w:t xml:space="preserve">Prior Year </w:t>
            </w:r>
            <w:r>
              <w:rPr>
                <w:rFonts w:ascii="Arial" w:hAnsi="Arial" w:cs="Arial"/>
                <w:sz w:val="16"/>
                <w:szCs w:val="16"/>
              </w:rPr>
              <w:br/>
            </w:r>
            <w:r w:rsidRPr="009E1190">
              <w:rPr>
                <w:rFonts w:ascii="Arial" w:hAnsi="Arial" w:cs="Arial"/>
                <w:sz w:val="16"/>
                <w:szCs w:val="16"/>
              </w:rPr>
              <w:t>2021</w:t>
            </w:r>
            <w:r>
              <w:rPr>
                <w:rFonts w:ascii="Arial" w:hAnsi="Arial" w:cs="Arial"/>
                <w:sz w:val="16"/>
                <w:szCs w:val="16"/>
              </w:rPr>
              <w:noBreakHyphen/>
            </w:r>
            <w:r w:rsidRPr="009E1190">
              <w:rPr>
                <w:rFonts w:ascii="Arial" w:hAnsi="Arial" w:cs="Arial"/>
                <w:sz w:val="16"/>
                <w:szCs w:val="16"/>
              </w:rPr>
              <w:t>22</w:t>
            </w:r>
          </w:p>
        </w:tc>
        <w:tc>
          <w:tcPr>
            <w:tcW w:w="2040" w:type="pct"/>
            <w:tcBorders>
              <w:top w:val="single" w:sz="4" w:space="0" w:color="auto"/>
              <w:left w:val="single" w:sz="4" w:space="0" w:color="auto"/>
              <w:bottom w:val="single" w:sz="4" w:space="0" w:color="auto"/>
            </w:tcBorders>
          </w:tcPr>
          <w:p w14:paraId="78333534" w14:textId="7ADC608F" w:rsidR="001C0F49" w:rsidRPr="009E1190" w:rsidRDefault="001C0F49" w:rsidP="00293BD0">
            <w:pPr>
              <w:autoSpaceDE w:val="0"/>
              <w:autoSpaceDN w:val="0"/>
              <w:adjustRightInd w:val="0"/>
              <w:spacing w:before="60" w:after="60" w:line="240" w:lineRule="auto"/>
              <w:rPr>
                <w:rFonts w:ascii="Arial" w:hAnsi="Arial" w:cs="Arial"/>
                <w:iCs/>
                <w:sz w:val="16"/>
                <w:szCs w:val="16"/>
              </w:rPr>
            </w:pPr>
            <w:r w:rsidRPr="009E1190">
              <w:rPr>
                <w:rFonts w:ascii="Arial" w:hAnsi="Arial" w:cs="Arial"/>
                <w:iCs/>
                <w:sz w:val="16"/>
                <w:szCs w:val="16"/>
              </w:rPr>
              <w:t xml:space="preserve">Maximise visitor engagement with NMA collections and experiences. </w:t>
            </w:r>
          </w:p>
          <w:p w14:paraId="5F8CF16B" w14:textId="3FAEF7B3" w:rsidR="001C0F49" w:rsidRPr="009E1190" w:rsidRDefault="00B75E56" w:rsidP="00293BD0">
            <w:pPr>
              <w:autoSpaceDE w:val="0"/>
              <w:autoSpaceDN w:val="0"/>
              <w:adjustRightInd w:val="0"/>
              <w:spacing w:before="60" w:after="60" w:line="240" w:lineRule="auto"/>
              <w:rPr>
                <w:rFonts w:ascii="Arial" w:hAnsi="Arial" w:cs="Arial"/>
                <w:iCs/>
                <w:sz w:val="16"/>
                <w:szCs w:val="16"/>
              </w:rPr>
            </w:pPr>
            <w:r>
              <w:rPr>
                <w:rFonts w:ascii="Arial" w:hAnsi="Arial" w:cs="Arial"/>
                <w:iCs/>
                <w:sz w:val="16"/>
                <w:szCs w:val="16"/>
              </w:rPr>
              <w:t xml:space="preserve">Target: </w:t>
            </w:r>
            <w:r w:rsidR="001C0F49" w:rsidRPr="009E1190">
              <w:rPr>
                <w:rFonts w:ascii="Arial" w:hAnsi="Arial" w:cs="Arial"/>
                <w:iCs/>
                <w:sz w:val="16"/>
                <w:szCs w:val="16"/>
              </w:rPr>
              <w:t>Total visitor engagements: 4,307,300</w:t>
            </w:r>
          </w:p>
          <w:p w14:paraId="3D167482" w14:textId="66FB6FF1" w:rsidR="001C0F49" w:rsidRPr="00B32140" w:rsidRDefault="001C0F49" w:rsidP="00B32140">
            <w:pPr>
              <w:pStyle w:val="ListParagraph"/>
              <w:numPr>
                <w:ilvl w:val="0"/>
                <w:numId w:val="38"/>
              </w:numPr>
              <w:autoSpaceDE w:val="0"/>
              <w:autoSpaceDN w:val="0"/>
              <w:adjustRightInd w:val="0"/>
              <w:spacing w:before="60" w:after="60" w:line="240" w:lineRule="auto"/>
              <w:ind w:left="164" w:right="113" w:hanging="164"/>
              <w:rPr>
                <w:rFonts w:ascii="Arial" w:hAnsi="Arial" w:cs="Arial"/>
                <w:iCs/>
                <w:sz w:val="16"/>
                <w:szCs w:val="16"/>
              </w:rPr>
            </w:pPr>
            <w:r w:rsidRPr="00B32140">
              <w:rPr>
                <w:rFonts w:ascii="Arial" w:hAnsi="Arial" w:cs="Arial"/>
                <w:iCs/>
                <w:sz w:val="16"/>
                <w:szCs w:val="16"/>
              </w:rPr>
              <w:t>Permanent Exhibitions: 400,000</w:t>
            </w:r>
          </w:p>
          <w:p w14:paraId="21806284" w14:textId="34E51FC6"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Special Exhibitions: 145,000</w:t>
            </w:r>
          </w:p>
          <w:p w14:paraId="555019C6" w14:textId="017BBFAE"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Travelling Exhibitions: 267,500</w:t>
            </w:r>
          </w:p>
          <w:p w14:paraId="7CF9A721" w14:textId="6F3B0920"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Education and Public Programs: 26,800</w:t>
            </w:r>
          </w:p>
          <w:p w14:paraId="108D93E7" w14:textId="0C7E88A8"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Events and Functions: 15,000</w:t>
            </w:r>
          </w:p>
          <w:p w14:paraId="226FC296" w14:textId="1397891A"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Digital experiences: 2,893,000</w:t>
            </w:r>
          </w:p>
          <w:p w14:paraId="3488BAC7" w14:textId="79C5A15A" w:rsidR="001C0F49" w:rsidRPr="00B32140" w:rsidRDefault="001C0F49" w:rsidP="00B32140">
            <w:pPr>
              <w:pStyle w:val="ListParagraph"/>
              <w:numPr>
                <w:ilvl w:val="0"/>
                <w:numId w:val="38"/>
              </w:numPr>
              <w:autoSpaceDE w:val="0"/>
              <w:autoSpaceDN w:val="0"/>
              <w:adjustRightInd w:val="0"/>
              <w:spacing w:before="60" w:after="60" w:line="240" w:lineRule="auto"/>
              <w:ind w:left="164" w:hanging="164"/>
              <w:rPr>
                <w:rFonts w:ascii="Arial" w:hAnsi="Arial" w:cs="Arial"/>
                <w:iCs/>
                <w:sz w:val="16"/>
                <w:szCs w:val="16"/>
              </w:rPr>
            </w:pPr>
            <w:r w:rsidRPr="00B32140">
              <w:rPr>
                <w:rFonts w:ascii="Arial" w:hAnsi="Arial" w:cs="Arial"/>
                <w:iCs/>
                <w:sz w:val="16"/>
                <w:szCs w:val="16"/>
              </w:rPr>
              <w:t xml:space="preserve">Social Media engagements: </w:t>
            </w:r>
            <w:r w:rsidRPr="00B32140">
              <w:rPr>
                <w:rFonts w:ascii="Arial" w:hAnsi="Arial" w:cs="Arial"/>
                <w:iCs/>
                <w:sz w:val="16"/>
                <w:szCs w:val="16"/>
              </w:rPr>
              <w:br/>
              <w:t>560,000</w:t>
            </w:r>
          </w:p>
          <w:p w14:paraId="7C72264D" w14:textId="77777777" w:rsidR="001C0F49" w:rsidRPr="009E1190" w:rsidRDefault="001C0F49" w:rsidP="00293BD0">
            <w:pPr>
              <w:widowControl w:val="0"/>
              <w:autoSpaceDE w:val="0"/>
              <w:autoSpaceDN w:val="0"/>
              <w:spacing w:before="60" w:after="60" w:line="240" w:lineRule="auto"/>
              <w:rPr>
                <w:rFonts w:ascii="Arial" w:eastAsia="Arial" w:hAnsi="Arial" w:cs="Arial"/>
                <w:i/>
                <w:sz w:val="16"/>
                <w:szCs w:val="22"/>
                <w:lang w:bidi="en-AU"/>
              </w:rPr>
            </w:pPr>
            <w:r w:rsidRPr="009E1190">
              <w:rPr>
                <w:rFonts w:ascii="Arial" w:eastAsia="Arial" w:hAnsi="Arial" w:cs="Arial"/>
                <w:iCs/>
                <w:sz w:val="16"/>
                <w:szCs w:val="16"/>
                <w:lang w:bidi="en-AU"/>
              </w:rPr>
              <w:t>Note: These targets take into consideration expected COVID-19 impacts.</w:t>
            </w:r>
          </w:p>
        </w:tc>
        <w:tc>
          <w:tcPr>
            <w:tcW w:w="1940" w:type="pct"/>
            <w:tcBorders>
              <w:top w:val="single" w:sz="4" w:space="0" w:color="auto"/>
              <w:left w:val="single" w:sz="4" w:space="0" w:color="auto"/>
              <w:bottom w:val="single" w:sz="4" w:space="0" w:color="auto"/>
            </w:tcBorders>
          </w:tcPr>
          <w:p w14:paraId="42345926" w14:textId="653473A8" w:rsidR="001C0F49" w:rsidRPr="009D155B" w:rsidRDefault="00B75E56" w:rsidP="00293BD0">
            <w:pPr>
              <w:widowControl w:val="0"/>
              <w:autoSpaceDE w:val="0"/>
              <w:autoSpaceDN w:val="0"/>
              <w:spacing w:before="60" w:after="60" w:line="240" w:lineRule="auto"/>
              <w:rPr>
                <w:rFonts w:ascii="Arial" w:eastAsia="Arial" w:hAnsi="Arial" w:cs="Arial"/>
                <w:iCs/>
                <w:color w:val="FFFFFF" w:themeColor="background1"/>
                <w:sz w:val="16"/>
                <w:szCs w:val="16"/>
                <w:lang w:bidi="en-AU"/>
              </w:rPr>
            </w:pPr>
            <w:r>
              <w:rPr>
                <w:rFonts w:ascii="Arial" w:eastAsia="Arial" w:hAnsi="Arial" w:cs="Arial"/>
                <w:iCs/>
                <w:sz w:val="16"/>
                <w:szCs w:val="16"/>
                <w:lang w:bidi="en-AU"/>
              </w:rPr>
              <w:t xml:space="preserve">Actual: </w:t>
            </w:r>
            <w:r w:rsidR="001C0F49" w:rsidRPr="009E1190">
              <w:rPr>
                <w:rFonts w:ascii="Arial" w:eastAsia="Arial" w:hAnsi="Arial" w:cs="Arial"/>
                <w:iCs/>
                <w:sz w:val="16"/>
                <w:szCs w:val="16"/>
                <w:lang w:bidi="en-AU"/>
              </w:rPr>
              <w:t>Total visitor engagements</w:t>
            </w:r>
            <w:r>
              <w:rPr>
                <w:rFonts w:ascii="Arial" w:eastAsia="Arial" w:hAnsi="Arial" w:cs="Arial"/>
                <w:iCs/>
                <w:sz w:val="16"/>
                <w:szCs w:val="16"/>
                <w:lang w:bidi="en-AU"/>
              </w:rPr>
              <w:t xml:space="preserve"> </w:t>
            </w:r>
            <w:r w:rsidR="001C0F49" w:rsidRPr="004A604B">
              <w:rPr>
                <w:rFonts w:ascii="Arial" w:eastAsia="Arial" w:hAnsi="Arial" w:cs="Arial"/>
                <w:iCs/>
                <w:sz w:val="16"/>
                <w:szCs w:val="16"/>
                <w:lang w:bidi="en-AU"/>
              </w:rPr>
              <w:t>7,103,296</w:t>
            </w:r>
          </w:p>
          <w:p w14:paraId="6D4CE656" w14:textId="79E09754"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 xml:space="preserve">Permanent Exhibitions: </w:t>
            </w:r>
            <w:r w:rsidRPr="00B32140">
              <w:rPr>
                <w:rFonts w:ascii="Arial" w:eastAsia="Arial" w:hAnsi="Arial" w:cs="Arial"/>
                <w:iCs/>
                <w:sz w:val="16"/>
                <w:szCs w:val="16"/>
                <w:lang w:bidi="en-AU"/>
              </w:rPr>
              <w:t>387,321</w:t>
            </w:r>
          </w:p>
          <w:p w14:paraId="3A2D61C9" w14:textId="5236764A"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 xml:space="preserve">Special Exhibitions: </w:t>
            </w:r>
            <w:r w:rsidRPr="00B32140">
              <w:rPr>
                <w:rFonts w:ascii="Arial" w:eastAsia="Arial" w:hAnsi="Arial" w:cs="Arial"/>
                <w:iCs/>
                <w:sz w:val="16"/>
                <w:szCs w:val="16"/>
                <w:lang w:bidi="en-AU"/>
              </w:rPr>
              <w:t>184,673</w:t>
            </w:r>
          </w:p>
          <w:p w14:paraId="7A0D2F43" w14:textId="1B243D70"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Travelling Exhibitions:</w:t>
            </w:r>
            <w:r w:rsidRPr="00B32140">
              <w:rPr>
                <w:rFonts w:ascii="Arial" w:eastAsia="Arial" w:hAnsi="Arial" w:cs="Arial"/>
                <w:iCs/>
                <w:spacing w:val="-7"/>
                <w:sz w:val="16"/>
                <w:lang w:bidi="en-AU"/>
              </w:rPr>
              <w:t xml:space="preserve"> </w:t>
            </w:r>
            <w:r w:rsidRPr="00B32140">
              <w:rPr>
                <w:rFonts w:ascii="Arial" w:eastAsia="Arial" w:hAnsi="Arial" w:cs="Arial"/>
                <w:iCs/>
                <w:sz w:val="16"/>
                <w:szCs w:val="16"/>
                <w:lang w:bidi="en-AU"/>
              </w:rPr>
              <w:t>644,987</w:t>
            </w:r>
          </w:p>
          <w:p w14:paraId="66DB15F9" w14:textId="00EACBF1"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Education and Public Programs:</w:t>
            </w:r>
            <w:r w:rsidRPr="00B32140">
              <w:rPr>
                <w:rFonts w:ascii="Arial" w:eastAsia="Arial" w:hAnsi="Arial" w:cs="Arial"/>
                <w:iCs/>
                <w:spacing w:val="-6"/>
                <w:sz w:val="16"/>
                <w:lang w:bidi="en-AU"/>
              </w:rPr>
              <w:t xml:space="preserve"> </w:t>
            </w:r>
            <w:r w:rsidRPr="00B32140">
              <w:rPr>
                <w:rFonts w:ascii="Arial" w:eastAsia="Arial" w:hAnsi="Arial" w:cs="Arial"/>
                <w:iCs/>
                <w:sz w:val="16"/>
                <w:szCs w:val="16"/>
                <w:lang w:bidi="en-AU"/>
              </w:rPr>
              <w:t>115,946</w:t>
            </w:r>
          </w:p>
          <w:p w14:paraId="7DE6DC60" w14:textId="209694B1"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 xml:space="preserve">Events and Functions: </w:t>
            </w:r>
            <w:r w:rsidRPr="00B32140">
              <w:rPr>
                <w:rFonts w:ascii="Arial" w:eastAsia="Arial" w:hAnsi="Arial" w:cs="Arial"/>
                <w:iCs/>
                <w:sz w:val="16"/>
                <w:szCs w:val="16"/>
                <w:lang w:bidi="en-AU"/>
              </w:rPr>
              <w:t>17,631</w:t>
            </w:r>
          </w:p>
          <w:p w14:paraId="1CA156CC" w14:textId="2614C50B"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Digital experiences:</w:t>
            </w:r>
            <w:r w:rsidRPr="00B32140">
              <w:rPr>
                <w:rFonts w:ascii="Arial" w:eastAsia="Arial" w:hAnsi="Arial" w:cs="Arial"/>
                <w:iCs/>
                <w:spacing w:val="-9"/>
                <w:sz w:val="16"/>
                <w:lang w:bidi="en-AU"/>
              </w:rPr>
              <w:t xml:space="preserve"> </w:t>
            </w:r>
            <w:r w:rsidRPr="00B32140">
              <w:rPr>
                <w:rFonts w:ascii="Arial" w:eastAsia="Arial" w:hAnsi="Arial" w:cs="Arial"/>
                <w:iCs/>
                <w:sz w:val="16"/>
                <w:szCs w:val="16"/>
                <w:lang w:bidi="en-AU"/>
              </w:rPr>
              <w:t>4,521,730</w:t>
            </w:r>
          </w:p>
          <w:p w14:paraId="2A23C20F" w14:textId="0DA3CB8B" w:rsidR="001C0F49" w:rsidRPr="00B32140" w:rsidRDefault="001C0F49" w:rsidP="00B32140">
            <w:pPr>
              <w:pStyle w:val="ListParagraph"/>
              <w:widowControl w:val="0"/>
              <w:numPr>
                <w:ilvl w:val="0"/>
                <w:numId w:val="38"/>
              </w:numPr>
              <w:autoSpaceDE w:val="0"/>
              <w:autoSpaceDN w:val="0"/>
              <w:spacing w:before="60" w:after="60" w:line="240" w:lineRule="auto"/>
              <w:ind w:left="133" w:hanging="133"/>
              <w:rPr>
                <w:rFonts w:ascii="Arial" w:eastAsia="Arial" w:hAnsi="Arial" w:cs="Arial"/>
                <w:iCs/>
                <w:sz w:val="16"/>
                <w:lang w:bidi="en-AU"/>
              </w:rPr>
            </w:pPr>
            <w:r w:rsidRPr="00B32140">
              <w:rPr>
                <w:rFonts w:ascii="Arial" w:eastAsia="Arial" w:hAnsi="Arial" w:cs="Arial"/>
                <w:iCs/>
                <w:sz w:val="16"/>
                <w:lang w:bidi="en-AU"/>
              </w:rPr>
              <w:t xml:space="preserve">Social Media engagements: </w:t>
            </w:r>
            <w:r w:rsidRPr="00B32140">
              <w:rPr>
                <w:rFonts w:ascii="Arial" w:eastAsia="Arial" w:hAnsi="Arial" w:cs="Arial"/>
                <w:iCs/>
                <w:sz w:val="16"/>
                <w:szCs w:val="16"/>
                <w:lang w:bidi="en-AU"/>
              </w:rPr>
              <w:t>1,231,008</w:t>
            </w:r>
          </w:p>
          <w:p w14:paraId="38D87FCF"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Pr>
                <w:rFonts w:ascii="Arial" w:eastAsia="Arial" w:hAnsi="Arial" w:cs="Arial"/>
                <w:iCs/>
                <w:sz w:val="16"/>
                <w:szCs w:val="22"/>
                <w:lang w:bidi="en-AU"/>
              </w:rPr>
              <w:t>Target met</w:t>
            </w:r>
          </w:p>
        </w:tc>
      </w:tr>
    </w:tbl>
    <w:p w14:paraId="33504867" w14:textId="77777777" w:rsidR="001C0F49" w:rsidRDefault="001C0F49" w:rsidP="001C0F49">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3137"/>
        <w:gridCol w:w="2994"/>
      </w:tblGrid>
      <w:tr w:rsidR="001C0F49" w:rsidRPr="009E1190" w14:paraId="2D046277" w14:textId="77777777" w:rsidTr="00B46D7E">
        <w:trPr>
          <w:trHeight w:val="100"/>
        </w:trPr>
        <w:tc>
          <w:tcPr>
            <w:tcW w:w="1019" w:type="pct"/>
            <w:tcBorders>
              <w:top w:val="double" w:sz="4" w:space="0" w:color="auto"/>
              <w:bottom w:val="single" w:sz="4" w:space="0" w:color="auto"/>
              <w:right w:val="single" w:sz="4" w:space="0" w:color="auto"/>
            </w:tcBorders>
          </w:tcPr>
          <w:p w14:paraId="29F67754"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lastRenderedPageBreak/>
              <w:t>Year</w:t>
            </w:r>
          </w:p>
        </w:tc>
        <w:tc>
          <w:tcPr>
            <w:tcW w:w="2037" w:type="pct"/>
            <w:tcBorders>
              <w:top w:val="double" w:sz="4" w:space="0" w:color="auto"/>
              <w:left w:val="single" w:sz="4" w:space="0" w:color="auto"/>
              <w:bottom w:val="single" w:sz="4" w:space="0" w:color="auto"/>
              <w:right w:val="single" w:sz="4" w:space="0" w:color="auto"/>
            </w:tcBorders>
          </w:tcPr>
          <w:p w14:paraId="6F4C982C"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t>Performance measures</w:t>
            </w:r>
          </w:p>
        </w:tc>
        <w:tc>
          <w:tcPr>
            <w:tcW w:w="1944" w:type="pct"/>
            <w:tcBorders>
              <w:top w:val="double" w:sz="4" w:space="0" w:color="auto"/>
              <w:left w:val="single" w:sz="4" w:space="0" w:color="auto"/>
              <w:bottom w:val="single" w:sz="4" w:space="0" w:color="auto"/>
            </w:tcBorders>
          </w:tcPr>
          <w:p w14:paraId="6876B4D6" w14:textId="77777777" w:rsidR="001C0F49" w:rsidRPr="009E1190" w:rsidRDefault="001C0F49" w:rsidP="00293BD0">
            <w:pPr>
              <w:spacing w:before="60" w:after="60" w:line="240" w:lineRule="auto"/>
              <w:rPr>
                <w:rFonts w:ascii="Arial" w:hAnsi="Arial"/>
                <w:b/>
                <w:sz w:val="16"/>
                <w:szCs w:val="16"/>
              </w:rPr>
            </w:pPr>
            <w:r w:rsidRPr="009E1190">
              <w:rPr>
                <w:rFonts w:ascii="Arial" w:hAnsi="Arial"/>
                <w:b/>
                <w:sz w:val="16"/>
                <w:szCs w:val="16"/>
              </w:rPr>
              <w:t>Planned Performance Results</w:t>
            </w:r>
          </w:p>
        </w:tc>
      </w:tr>
      <w:tr w:rsidR="001C0F49" w:rsidRPr="009E1190" w14:paraId="44A1D04E" w14:textId="77777777" w:rsidTr="00B46D7E">
        <w:trPr>
          <w:trHeight w:val="100"/>
        </w:trPr>
        <w:tc>
          <w:tcPr>
            <w:tcW w:w="1019" w:type="pct"/>
            <w:tcBorders>
              <w:top w:val="single" w:sz="4" w:space="0" w:color="auto"/>
              <w:bottom w:val="single" w:sz="4" w:space="0" w:color="auto"/>
              <w:right w:val="single" w:sz="4" w:space="0" w:color="auto"/>
            </w:tcBorders>
          </w:tcPr>
          <w:p w14:paraId="1C423837" w14:textId="77777777" w:rsidR="001C0F49" w:rsidRPr="009E1190" w:rsidRDefault="001C0F49" w:rsidP="00293BD0">
            <w:pPr>
              <w:spacing w:before="60" w:after="60" w:line="240" w:lineRule="auto"/>
              <w:rPr>
                <w:rFonts w:ascii="Arial" w:hAnsi="Arial"/>
                <w:sz w:val="16"/>
              </w:rPr>
            </w:pPr>
            <w:r w:rsidRPr="009E1190">
              <w:rPr>
                <w:rFonts w:ascii="Arial" w:hAnsi="Arial" w:cs="Arial"/>
                <w:sz w:val="16"/>
                <w:szCs w:val="16"/>
              </w:rPr>
              <w:t xml:space="preserve">Budget </w:t>
            </w:r>
            <w:r>
              <w:rPr>
                <w:rFonts w:ascii="Arial" w:hAnsi="Arial" w:cs="Arial"/>
                <w:sz w:val="16"/>
                <w:szCs w:val="16"/>
              </w:rPr>
              <w:t>Y</w:t>
            </w:r>
            <w:r w:rsidRPr="009E1190">
              <w:rPr>
                <w:rFonts w:ascii="Arial" w:hAnsi="Arial" w:cs="Arial"/>
                <w:sz w:val="16"/>
                <w:szCs w:val="16"/>
              </w:rPr>
              <w:t>ear</w:t>
            </w:r>
            <w:r>
              <w:rPr>
                <w:rFonts w:ascii="Arial" w:hAnsi="Arial" w:cs="Arial"/>
                <w:sz w:val="16"/>
                <w:szCs w:val="16"/>
              </w:rPr>
              <w:t xml:space="preserve"> 2022</w:t>
            </w:r>
            <w:r>
              <w:rPr>
                <w:rFonts w:ascii="Arial" w:hAnsi="Arial" w:cs="Arial"/>
                <w:sz w:val="16"/>
                <w:szCs w:val="16"/>
              </w:rPr>
              <w:noBreakHyphen/>
            </w:r>
            <w:r w:rsidRPr="009E1190">
              <w:rPr>
                <w:rFonts w:ascii="Arial" w:hAnsi="Arial" w:cs="Arial"/>
                <w:sz w:val="16"/>
                <w:szCs w:val="16"/>
              </w:rPr>
              <w:t>23</w:t>
            </w:r>
          </w:p>
        </w:tc>
        <w:tc>
          <w:tcPr>
            <w:tcW w:w="2037" w:type="pct"/>
            <w:tcBorders>
              <w:top w:val="single" w:sz="4" w:space="0" w:color="auto"/>
              <w:left w:val="single" w:sz="4" w:space="0" w:color="auto"/>
              <w:bottom w:val="single" w:sz="4" w:space="0" w:color="auto"/>
              <w:right w:val="single" w:sz="4" w:space="0" w:color="auto"/>
            </w:tcBorders>
          </w:tcPr>
          <w:p w14:paraId="3373464F" w14:textId="77777777" w:rsidR="001C0F49" w:rsidRPr="009E1190" w:rsidRDefault="001C0F49" w:rsidP="00293BD0">
            <w:pPr>
              <w:autoSpaceDE w:val="0"/>
              <w:autoSpaceDN w:val="0"/>
              <w:adjustRightInd w:val="0"/>
              <w:spacing w:before="58" w:after="0" w:line="240" w:lineRule="auto"/>
              <w:rPr>
                <w:rFonts w:ascii="Arial" w:eastAsia="Arial" w:hAnsi="Arial" w:cs="Arial"/>
                <w:sz w:val="16"/>
                <w:szCs w:val="24"/>
              </w:rPr>
            </w:pPr>
            <w:r w:rsidRPr="009E1190">
              <w:rPr>
                <w:rFonts w:ascii="Arial" w:eastAsia="Arial" w:hAnsi="Arial" w:cs="Arial"/>
                <w:sz w:val="16"/>
                <w:szCs w:val="24"/>
              </w:rPr>
              <w:t xml:space="preserve">Maximise visitor engagement with NMA collections and experiences. </w:t>
            </w:r>
          </w:p>
          <w:p w14:paraId="685D249B" w14:textId="77777777" w:rsidR="001C0F49" w:rsidRPr="009E1190" w:rsidRDefault="001C0F49" w:rsidP="00293BD0">
            <w:pPr>
              <w:autoSpaceDE w:val="0"/>
              <w:autoSpaceDN w:val="0"/>
              <w:adjustRightInd w:val="0"/>
              <w:spacing w:before="58" w:after="0" w:line="240" w:lineRule="auto"/>
              <w:rPr>
                <w:rFonts w:ascii="Arial" w:hAnsi="Arial" w:cs="Arial"/>
                <w:i/>
                <w:sz w:val="16"/>
                <w:szCs w:val="24"/>
              </w:rPr>
            </w:pPr>
            <w:r w:rsidRPr="009E1190">
              <w:rPr>
                <w:rFonts w:ascii="Arial" w:eastAsia="Arial" w:hAnsi="Arial" w:cs="Arial"/>
                <w:sz w:val="16"/>
                <w:szCs w:val="24"/>
              </w:rPr>
              <w:t>Note: These figures take into consideration expected COVID-19 impacts. Travelling exhibitions subject to availability of government grant funding.</w:t>
            </w:r>
          </w:p>
        </w:tc>
        <w:tc>
          <w:tcPr>
            <w:tcW w:w="1944" w:type="pct"/>
            <w:tcBorders>
              <w:top w:val="single" w:sz="4" w:space="0" w:color="auto"/>
              <w:left w:val="single" w:sz="4" w:space="0" w:color="auto"/>
              <w:bottom w:val="single" w:sz="4" w:space="0" w:color="auto"/>
            </w:tcBorders>
          </w:tcPr>
          <w:p w14:paraId="58523B54" w14:textId="77777777" w:rsidR="001C0F49" w:rsidRPr="009E1190" w:rsidRDefault="001C0F49" w:rsidP="00293BD0">
            <w:pPr>
              <w:widowControl w:val="0"/>
              <w:autoSpaceDE w:val="0"/>
              <w:autoSpaceDN w:val="0"/>
              <w:spacing w:before="60" w:after="60" w:line="240" w:lineRule="auto"/>
              <w:rPr>
                <w:rFonts w:ascii="Arial" w:eastAsia="Arial" w:hAnsi="Arial" w:cs="Arial"/>
                <w:bCs/>
                <w:iCs/>
                <w:sz w:val="16"/>
                <w:szCs w:val="16"/>
                <w:lang w:bidi="en-AU"/>
              </w:rPr>
            </w:pPr>
            <w:r w:rsidRPr="009E1190">
              <w:rPr>
                <w:rFonts w:ascii="Arial" w:eastAsia="Arial" w:hAnsi="Arial" w:cs="Arial"/>
                <w:iCs/>
                <w:sz w:val="16"/>
                <w:szCs w:val="16"/>
                <w:lang w:bidi="en-AU"/>
              </w:rPr>
              <w:t xml:space="preserve">Total visitor engagements: </w:t>
            </w:r>
            <w:r w:rsidRPr="009E1190">
              <w:rPr>
                <w:rFonts w:ascii="Arial" w:eastAsia="Arial" w:hAnsi="Arial" w:cs="Arial"/>
                <w:bCs/>
                <w:iCs/>
                <w:sz w:val="16"/>
                <w:szCs w:val="16"/>
                <w:lang w:bidi="en-AU"/>
              </w:rPr>
              <w:t>4,251,900</w:t>
            </w:r>
          </w:p>
          <w:p w14:paraId="65BAEA5E" w14:textId="77777777" w:rsidR="001C0F49" w:rsidRPr="009E1190" w:rsidRDefault="001C0F49" w:rsidP="00293BD0">
            <w:pPr>
              <w:widowControl w:val="0"/>
              <w:autoSpaceDE w:val="0"/>
              <w:autoSpaceDN w:val="0"/>
              <w:spacing w:before="60" w:after="60" w:line="240" w:lineRule="auto"/>
              <w:ind w:left="39" w:hanging="39"/>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Permanent Exhibitions: 250,000</w:t>
            </w:r>
          </w:p>
          <w:p w14:paraId="4EBE04B8"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Special Exhibitions: 115,000</w:t>
            </w:r>
          </w:p>
          <w:p w14:paraId="6AC7E840"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Travelling Exhibitions:</w:t>
            </w:r>
            <w:r w:rsidRPr="009E1190">
              <w:rPr>
                <w:rFonts w:ascii="Arial" w:eastAsia="Arial" w:hAnsi="Arial" w:cs="Arial"/>
                <w:iCs/>
                <w:spacing w:val="-7"/>
                <w:sz w:val="16"/>
                <w:szCs w:val="22"/>
                <w:lang w:bidi="en-AU"/>
              </w:rPr>
              <w:t xml:space="preserve"> 245,000</w:t>
            </w:r>
          </w:p>
          <w:p w14:paraId="1225BE30" w14:textId="77777777" w:rsidR="001C0F49" w:rsidRDefault="001C0F49" w:rsidP="00293BD0">
            <w:pPr>
              <w:widowControl w:val="0"/>
              <w:autoSpaceDE w:val="0"/>
              <w:autoSpaceDN w:val="0"/>
              <w:spacing w:after="0" w:line="240" w:lineRule="auto"/>
              <w:rPr>
                <w:rFonts w:ascii="Arial" w:eastAsia="Arial" w:hAnsi="Arial" w:cs="Arial"/>
                <w:iCs/>
                <w:spacing w:val="-6"/>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Education and Public Programs:</w:t>
            </w:r>
            <w:r w:rsidRPr="009E1190">
              <w:rPr>
                <w:rFonts w:ascii="Arial" w:eastAsia="Arial" w:hAnsi="Arial" w:cs="Arial"/>
                <w:iCs/>
                <w:spacing w:val="-6"/>
                <w:sz w:val="16"/>
                <w:szCs w:val="22"/>
                <w:lang w:bidi="en-AU"/>
              </w:rPr>
              <w:t xml:space="preserve"> </w:t>
            </w:r>
            <w:r>
              <w:rPr>
                <w:rFonts w:ascii="Arial" w:eastAsia="Arial" w:hAnsi="Arial" w:cs="Arial"/>
                <w:iCs/>
                <w:spacing w:val="-6"/>
                <w:sz w:val="16"/>
                <w:szCs w:val="22"/>
                <w:lang w:bidi="en-AU"/>
              </w:rPr>
              <w:t xml:space="preserve">  </w:t>
            </w:r>
          </w:p>
          <w:p w14:paraId="4CFDF04F" w14:textId="77777777" w:rsidR="001C0F49" w:rsidRPr="009E1190" w:rsidRDefault="001C0F49" w:rsidP="00293BD0">
            <w:pPr>
              <w:widowControl w:val="0"/>
              <w:autoSpaceDE w:val="0"/>
              <w:autoSpaceDN w:val="0"/>
              <w:spacing w:after="0" w:line="240" w:lineRule="auto"/>
              <w:rPr>
                <w:rFonts w:ascii="Arial" w:eastAsia="Arial" w:hAnsi="Arial" w:cs="Arial"/>
                <w:iCs/>
                <w:sz w:val="16"/>
                <w:szCs w:val="22"/>
                <w:lang w:bidi="en-AU"/>
              </w:rPr>
            </w:pPr>
            <w:r>
              <w:rPr>
                <w:rFonts w:ascii="Arial" w:eastAsia="Arial" w:hAnsi="Arial" w:cs="Arial"/>
                <w:iCs/>
                <w:spacing w:val="-6"/>
                <w:sz w:val="16"/>
                <w:szCs w:val="22"/>
                <w:lang w:bidi="en-AU"/>
              </w:rPr>
              <w:t xml:space="preserve">    </w:t>
            </w:r>
            <w:r w:rsidRPr="009E1190">
              <w:rPr>
                <w:rFonts w:ascii="Arial" w:eastAsia="Arial" w:hAnsi="Arial" w:cs="Arial"/>
                <w:iCs/>
                <w:spacing w:val="-6"/>
                <w:sz w:val="16"/>
                <w:szCs w:val="22"/>
                <w:lang w:bidi="en-AU"/>
              </w:rPr>
              <w:t>5,700</w:t>
            </w:r>
          </w:p>
          <w:p w14:paraId="44F8DB5E"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Events and Functions: 5,000</w:t>
            </w:r>
          </w:p>
          <w:p w14:paraId="1A0488BB"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Digital experiences:</w:t>
            </w:r>
            <w:r w:rsidRPr="009E1190">
              <w:rPr>
                <w:rFonts w:ascii="Arial" w:eastAsia="Arial" w:hAnsi="Arial" w:cs="Arial"/>
                <w:iCs/>
                <w:spacing w:val="-9"/>
                <w:sz w:val="16"/>
                <w:szCs w:val="22"/>
                <w:lang w:bidi="en-AU"/>
              </w:rPr>
              <w:t xml:space="preserve"> 3,031,200</w:t>
            </w:r>
          </w:p>
          <w:p w14:paraId="3AFE30C5" w14:textId="77777777" w:rsidR="001C0F49" w:rsidRPr="009E1190" w:rsidRDefault="001C0F49" w:rsidP="00293BD0">
            <w:pPr>
              <w:widowControl w:val="0"/>
              <w:autoSpaceDE w:val="0"/>
              <w:autoSpaceDN w:val="0"/>
              <w:spacing w:before="60" w:after="60" w:line="240" w:lineRule="auto"/>
              <w:rPr>
                <w:rFonts w:ascii="Arial" w:eastAsia="Arial" w:hAnsi="Arial" w:cs="Arial"/>
                <w:iCs/>
                <w:sz w:val="16"/>
                <w:szCs w:val="22"/>
                <w:lang w:bidi="en-AU"/>
              </w:rPr>
            </w:pPr>
            <w:r w:rsidRPr="009E1190">
              <w:rPr>
                <w:rFonts w:ascii="Arial" w:eastAsia="Arial" w:hAnsi="Arial" w:cs="Arial"/>
                <w:iCs/>
                <w:sz w:val="16"/>
                <w:szCs w:val="16"/>
                <w:lang w:bidi="en-AU"/>
              </w:rPr>
              <w:t>•</w:t>
            </w:r>
            <w:r>
              <w:rPr>
                <w:rFonts w:ascii="Arial" w:eastAsia="Arial" w:hAnsi="Arial" w:cs="Arial"/>
                <w:iCs/>
                <w:sz w:val="16"/>
                <w:szCs w:val="16"/>
                <w:lang w:bidi="en-AU"/>
              </w:rPr>
              <w:t xml:space="preserve">  </w:t>
            </w:r>
            <w:r w:rsidRPr="009E1190">
              <w:rPr>
                <w:rFonts w:ascii="Arial" w:eastAsia="Arial" w:hAnsi="Arial" w:cs="Arial"/>
                <w:iCs/>
                <w:sz w:val="16"/>
                <w:szCs w:val="22"/>
                <w:lang w:bidi="en-AU"/>
              </w:rPr>
              <w:t>Social Media engagements: 600,000</w:t>
            </w:r>
          </w:p>
        </w:tc>
      </w:tr>
      <w:tr w:rsidR="001C0F49" w:rsidRPr="009E1190" w14:paraId="00F47B2B" w14:textId="77777777" w:rsidTr="00B46D7E">
        <w:trPr>
          <w:trHeight w:val="491"/>
        </w:trPr>
        <w:tc>
          <w:tcPr>
            <w:tcW w:w="1019" w:type="pct"/>
            <w:tcBorders>
              <w:top w:val="single" w:sz="4" w:space="0" w:color="auto"/>
              <w:bottom w:val="single" w:sz="4" w:space="0" w:color="auto"/>
              <w:right w:val="single" w:sz="4" w:space="0" w:color="auto"/>
            </w:tcBorders>
          </w:tcPr>
          <w:p w14:paraId="0EC118E8" w14:textId="77777777" w:rsidR="001C0F49" w:rsidRPr="009E1190" w:rsidRDefault="001C0F49" w:rsidP="00293BD0">
            <w:pPr>
              <w:tabs>
                <w:tab w:val="left" w:pos="709"/>
              </w:tabs>
              <w:spacing w:before="60" w:after="60" w:line="240" w:lineRule="auto"/>
              <w:rPr>
                <w:rFonts w:ascii="Arial" w:hAnsi="Arial" w:cs="Arial"/>
                <w:sz w:val="16"/>
                <w:szCs w:val="16"/>
              </w:rPr>
            </w:pPr>
            <w:r>
              <w:rPr>
                <w:rFonts w:ascii="Arial" w:hAnsi="Arial" w:cs="Arial"/>
                <w:sz w:val="16"/>
                <w:szCs w:val="16"/>
              </w:rPr>
              <w:t>Forward Estimates</w:t>
            </w:r>
            <w:r>
              <w:rPr>
                <w:rFonts w:ascii="Arial" w:hAnsi="Arial" w:cs="Arial"/>
                <w:sz w:val="16"/>
                <w:szCs w:val="16"/>
              </w:rPr>
              <w:br/>
              <w:t>2023</w:t>
            </w:r>
            <w:r>
              <w:rPr>
                <w:rFonts w:ascii="Arial" w:hAnsi="Arial" w:cs="Arial"/>
                <w:sz w:val="16"/>
                <w:szCs w:val="16"/>
              </w:rPr>
              <w:noBreakHyphen/>
            </w:r>
            <w:r w:rsidRPr="009E1190">
              <w:rPr>
                <w:rFonts w:ascii="Arial" w:hAnsi="Arial" w:cs="Arial"/>
                <w:sz w:val="16"/>
                <w:szCs w:val="16"/>
              </w:rPr>
              <w:t>26</w:t>
            </w:r>
          </w:p>
        </w:tc>
        <w:tc>
          <w:tcPr>
            <w:tcW w:w="2037" w:type="pct"/>
            <w:tcBorders>
              <w:top w:val="single" w:sz="4" w:space="0" w:color="auto"/>
              <w:left w:val="single" w:sz="4" w:space="0" w:color="auto"/>
              <w:bottom w:val="single" w:sz="4" w:space="0" w:color="auto"/>
              <w:right w:val="single" w:sz="4" w:space="0" w:color="auto"/>
            </w:tcBorders>
          </w:tcPr>
          <w:p w14:paraId="20E52438" w14:textId="77777777" w:rsidR="001C0F49" w:rsidRPr="009E1190" w:rsidRDefault="001C0F49" w:rsidP="00293BD0">
            <w:pPr>
              <w:autoSpaceDE w:val="0"/>
              <w:autoSpaceDN w:val="0"/>
              <w:adjustRightInd w:val="0"/>
              <w:spacing w:before="58" w:after="0" w:line="240" w:lineRule="auto"/>
              <w:rPr>
                <w:rFonts w:ascii="Arial" w:eastAsia="Arial" w:hAnsi="Arial" w:cs="Arial"/>
                <w:sz w:val="16"/>
                <w:szCs w:val="24"/>
              </w:rPr>
            </w:pPr>
            <w:r w:rsidRPr="009E1190">
              <w:rPr>
                <w:rFonts w:ascii="Arial" w:eastAsia="Arial" w:hAnsi="Arial" w:cs="Arial"/>
                <w:sz w:val="16"/>
                <w:szCs w:val="24"/>
              </w:rPr>
              <w:t xml:space="preserve">Maximise visitor engagement with NMA collections and experiences. </w:t>
            </w:r>
          </w:p>
          <w:p w14:paraId="11AB4B11" w14:textId="77777777" w:rsidR="001C0F49" w:rsidRPr="009E1190" w:rsidRDefault="001C0F49" w:rsidP="00293BD0">
            <w:pPr>
              <w:spacing w:before="58" w:after="0" w:line="240" w:lineRule="auto"/>
              <w:rPr>
                <w:rFonts w:ascii="Arial" w:hAnsi="Arial" w:cs="Arial"/>
                <w:b/>
                <w:sz w:val="16"/>
              </w:rPr>
            </w:pPr>
            <w:r w:rsidRPr="009E1190">
              <w:rPr>
                <w:rFonts w:ascii="Arial" w:eastAsia="Arial" w:hAnsi="Arial" w:cs="Arial"/>
                <w:sz w:val="16"/>
              </w:rPr>
              <w:t>Note:</w:t>
            </w:r>
            <w:r w:rsidRPr="009E1190">
              <w:rPr>
                <w:rFonts w:ascii="Arial" w:eastAsia="Arial" w:hAnsi="Arial" w:cs="Arial"/>
                <w:b/>
                <w:sz w:val="16"/>
              </w:rPr>
              <w:t xml:space="preserve"> </w:t>
            </w:r>
            <w:r w:rsidRPr="009E1190">
              <w:rPr>
                <w:rFonts w:ascii="Arial" w:eastAsia="Arial" w:hAnsi="Arial" w:cs="Arial"/>
                <w:sz w:val="16"/>
              </w:rPr>
              <w:t>These figures take into consideration expected COVID-19 impacts. Travelling exhibitions subject to availability of government grant funding.</w:t>
            </w:r>
            <w:r w:rsidRPr="009E1190">
              <w:rPr>
                <w:rFonts w:ascii="Arial" w:hAnsi="Arial" w:cs="Arial"/>
                <w:i/>
                <w:sz w:val="16"/>
                <w:szCs w:val="16"/>
              </w:rPr>
              <w:t xml:space="preserve"> </w:t>
            </w:r>
          </w:p>
        </w:tc>
        <w:tc>
          <w:tcPr>
            <w:tcW w:w="1944" w:type="pct"/>
            <w:tcBorders>
              <w:top w:val="single" w:sz="4" w:space="0" w:color="auto"/>
              <w:left w:val="single" w:sz="4" w:space="0" w:color="auto"/>
              <w:bottom w:val="single" w:sz="4" w:space="0" w:color="auto"/>
            </w:tcBorders>
          </w:tcPr>
          <w:p w14:paraId="736B9307" w14:textId="77777777" w:rsidR="001C0F49" w:rsidRPr="009E1190" w:rsidRDefault="001C0F49" w:rsidP="00293BD0">
            <w:pPr>
              <w:widowControl w:val="0"/>
              <w:autoSpaceDE w:val="0"/>
              <w:autoSpaceDN w:val="0"/>
              <w:spacing w:before="61" w:after="0" w:line="240" w:lineRule="auto"/>
              <w:rPr>
                <w:rFonts w:ascii="Arial" w:hAnsi="Arial"/>
                <w:b/>
                <w:iCs/>
                <w:sz w:val="16"/>
              </w:rPr>
            </w:pPr>
            <w:r w:rsidRPr="009E1190">
              <w:rPr>
                <w:rFonts w:ascii="Arial" w:eastAsia="Arial" w:hAnsi="Arial" w:cs="Arial"/>
                <w:iCs/>
                <w:sz w:val="16"/>
                <w:szCs w:val="16"/>
                <w:lang w:bidi="en-AU"/>
              </w:rPr>
              <w:t>Total visitor engagement</w:t>
            </w:r>
            <w:r>
              <w:rPr>
                <w:rFonts w:ascii="Arial" w:eastAsia="Arial" w:hAnsi="Arial" w:cs="Arial"/>
                <w:iCs/>
                <w:sz w:val="16"/>
                <w:szCs w:val="16"/>
                <w:lang w:bidi="en-AU"/>
              </w:rPr>
              <w:t xml:space="preserve">s from </w:t>
            </w:r>
            <w:r w:rsidRPr="009E1190">
              <w:rPr>
                <w:rFonts w:ascii="Arial" w:eastAsia="Arial" w:hAnsi="Arial" w:cs="Arial"/>
                <w:iCs/>
                <w:sz w:val="16"/>
                <w:szCs w:val="16"/>
                <w:lang w:bidi="en-AU"/>
              </w:rPr>
              <w:t>2023</w:t>
            </w:r>
            <w:r>
              <w:rPr>
                <w:rFonts w:ascii="Arial" w:eastAsia="Arial" w:hAnsi="Arial" w:cs="Arial"/>
                <w:iCs/>
                <w:sz w:val="16"/>
                <w:szCs w:val="16"/>
                <w:lang w:bidi="en-AU"/>
              </w:rPr>
              <w:noBreakHyphen/>
            </w:r>
            <w:r w:rsidRPr="009E1190">
              <w:rPr>
                <w:rFonts w:ascii="Arial" w:eastAsia="Arial" w:hAnsi="Arial" w:cs="Arial"/>
                <w:iCs/>
                <w:sz w:val="16"/>
                <w:szCs w:val="16"/>
                <w:lang w:bidi="en-AU"/>
              </w:rPr>
              <w:t>24</w:t>
            </w:r>
            <w:r>
              <w:rPr>
                <w:rFonts w:ascii="Arial" w:eastAsia="Arial" w:hAnsi="Arial" w:cs="Arial"/>
                <w:iCs/>
                <w:sz w:val="16"/>
                <w:szCs w:val="16"/>
                <w:lang w:bidi="en-AU"/>
              </w:rPr>
              <w:t xml:space="preserve"> to 2025-26:</w:t>
            </w:r>
            <w:r w:rsidRPr="009E1190">
              <w:rPr>
                <w:rFonts w:ascii="Arial" w:eastAsia="Arial" w:hAnsi="Arial" w:cs="Arial"/>
                <w:iCs/>
                <w:sz w:val="16"/>
                <w:szCs w:val="16"/>
                <w:lang w:bidi="en-AU"/>
              </w:rPr>
              <w:t xml:space="preserve"> 3,829,700</w:t>
            </w:r>
            <w:r>
              <w:rPr>
                <w:rFonts w:ascii="Arial" w:eastAsia="Arial" w:hAnsi="Arial" w:cs="Arial"/>
                <w:iCs/>
                <w:sz w:val="16"/>
                <w:szCs w:val="16"/>
                <w:lang w:bidi="en-AU"/>
              </w:rPr>
              <w:t xml:space="preserve"> per annum.</w:t>
            </w:r>
          </w:p>
        </w:tc>
      </w:tr>
    </w:tbl>
    <w:p w14:paraId="3E25CB68" w14:textId="77777777" w:rsidR="001C0F49" w:rsidRDefault="001C0F49" w:rsidP="001C0F49">
      <w:pPr>
        <w:spacing w:after="0" w:line="240" w:lineRule="auto"/>
        <w:rPr>
          <w:rFonts w:ascii="Arial" w:hAnsi="Arial"/>
          <w:b/>
          <w:sz w:val="16"/>
          <w:szCs w:val="16"/>
        </w:rPr>
      </w:pPr>
      <w:r>
        <w:rPr>
          <w:rFonts w:ascii="Arial" w:hAnsi="Arial"/>
          <w:sz w:val="16"/>
          <w:szCs w:val="16"/>
        </w:rPr>
        <w:br w:type="page"/>
      </w:r>
    </w:p>
    <w:p w14:paraId="4AF923C2" w14:textId="61696C2C" w:rsidR="001C0F49" w:rsidRPr="00AD42E2" w:rsidRDefault="001C0F49" w:rsidP="001C0F49">
      <w:pPr>
        <w:pStyle w:val="Heading2-NMA"/>
      </w:pPr>
      <w:bookmarkStart w:id="41" w:name="_Toc97723180"/>
      <w:bookmarkStart w:id="42" w:name="_Toc98440373"/>
      <w:bookmarkStart w:id="43" w:name="_Toc98440521"/>
      <w:bookmarkStart w:id="44" w:name="_Toc98440669"/>
      <w:bookmarkStart w:id="45" w:name="_Toc98440817"/>
      <w:bookmarkStart w:id="46" w:name="_Toc98440965"/>
      <w:bookmarkStart w:id="47" w:name="_Toc115778492"/>
      <w:r w:rsidRPr="00AD42E2">
        <w:lastRenderedPageBreak/>
        <w:t>Section 3: Budgeted financial statements</w:t>
      </w:r>
      <w:bookmarkEnd w:id="41"/>
      <w:bookmarkEnd w:id="42"/>
      <w:bookmarkEnd w:id="43"/>
      <w:bookmarkEnd w:id="44"/>
      <w:bookmarkEnd w:id="45"/>
      <w:bookmarkEnd w:id="46"/>
      <w:bookmarkEnd w:id="47"/>
    </w:p>
    <w:p w14:paraId="52DD99A6" w14:textId="77777777" w:rsidR="001C0F49" w:rsidRDefault="001C0F49" w:rsidP="001C0F49">
      <w:r>
        <w:t>Section 3 presents budgeted financial statements which provide a comprehensive snapshot of the NMA’s finances for the 2022-23 Budget year, including the impact of budget measures and resourcing on financial statements.</w:t>
      </w:r>
    </w:p>
    <w:p w14:paraId="1A5C5CC9" w14:textId="04C02CA5" w:rsidR="001C0F49" w:rsidRPr="005328A9" w:rsidRDefault="001C0F49" w:rsidP="001C0F49">
      <w:pPr>
        <w:pStyle w:val="Heading3-NMA"/>
      </w:pPr>
      <w:bookmarkStart w:id="48" w:name="_Toc97723181"/>
      <w:bookmarkStart w:id="49" w:name="_Toc98440374"/>
      <w:bookmarkStart w:id="50" w:name="_Toc98440522"/>
      <w:bookmarkStart w:id="51" w:name="_Toc98440670"/>
      <w:bookmarkStart w:id="52" w:name="_Toc98440818"/>
      <w:bookmarkStart w:id="53" w:name="_Toc98440966"/>
      <w:bookmarkStart w:id="54" w:name="_Toc115778493"/>
      <w:r w:rsidRPr="005328A9">
        <w:t>3.1</w:t>
      </w:r>
      <w:r w:rsidRPr="005328A9">
        <w:tab/>
        <w:t>Budgeted financial statements</w:t>
      </w:r>
      <w:bookmarkEnd w:id="48"/>
      <w:bookmarkEnd w:id="49"/>
      <w:bookmarkEnd w:id="50"/>
      <w:bookmarkEnd w:id="51"/>
      <w:bookmarkEnd w:id="52"/>
      <w:bookmarkEnd w:id="53"/>
      <w:bookmarkEnd w:id="54"/>
    </w:p>
    <w:p w14:paraId="64603893" w14:textId="77777777" w:rsidR="001C0F49" w:rsidRPr="007463AF" w:rsidRDefault="001C0F49" w:rsidP="001C0F49">
      <w:pPr>
        <w:pStyle w:val="Heading4"/>
        <w:spacing w:after="240"/>
        <w:rPr>
          <w:rFonts w:ascii="Book Antiqua" w:hAnsi="Book Antiqua"/>
        </w:rPr>
      </w:pPr>
      <w:r w:rsidRPr="007463AF">
        <w:rPr>
          <w:rFonts w:ascii="Book Antiqua" w:hAnsi="Book Antiqua"/>
        </w:rPr>
        <w:t>3.1.1</w:t>
      </w:r>
      <w:r w:rsidRPr="007463AF">
        <w:rPr>
          <w:rFonts w:ascii="Book Antiqua" w:hAnsi="Book Antiqua"/>
        </w:rPr>
        <w:tab/>
        <w:t>Explanatory notes and analysis of budgeted financial statements</w:t>
      </w:r>
    </w:p>
    <w:p w14:paraId="5A674A06" w14:textId="261A9149" w:rsidR="001C0F49" w:rsidRPr="00F66902" w:rsidRDefault="001C0F49" w:rsidP="001C0F49">
      <w:pPr>
        <w:rPr>
          <w:color w:val="000000" w:themeColor="text1"/>
        </w:rPr>
      </w:pPr>
      <w:r w:rsidRPr="00F66902">
        <w:rPr>
          <w:color w:val="000000" w:themeColor="text1"/>
        </w:rPr>
        <w:t>The budgeted financial statements include the actual and expected ongoing impacts of COVID</w:t>
      </w:r>
      <w:r w:rsidRPr="00F66902">
        <w:rPr>
          <w:color w:val="000000" w:themeColor="text1"/>
        </w:rPr>
        <w:noBreakHyphen/>
        <w:t>19, including on own</w:t>
      </w:r>
      <w:r w:rsidRPr="00F66902">
        <w:rPr>
          <w:color w:val="000000" w:themeColor="text1"/>
        </w:rPr>
        <w:noBreakHyphen/>
        <w:t xml:space="preserve">source revenue generating capacity. Funding of $9.3 million over two years from 2021-22 </w:t>
      </w:r>
      <w:r w:rsidR="00B32140">
        <w:rPr>
          <w:color w:val="000000" w:themeColor="text1"/>
        </w:rPr>
        <w:t>was</w:t>
      </w:r>
      <w:r w:rsidRPr="00F66902">
        <w:rPr>
          <w:color w:val="000000" w:themeColor="text1"/>
        </w:rPr>
        <w:t xml:space="preserve"> agreed in the 2022-23 March Budget for the NMA to address a range of financial sustainability issues, including a decline in revenue associated with the COVID-19 pandemic. </w:t>
      </w:r>
    </w:p>
    <w:p w14:paraId="478FB43A" w14:textId="018C7C32" w:rsidR="001C0F49" w:rsidRPr="00F66902" w:rsidRDefault="001C0F49" w:rsidP="001C0F49">
      <w:pPr>
        <w:rPr>
          <w:color w:val="000000" w:themeColor="text1"/>
        </w:rPr>
      </w:pPr>
      <w:r w:rsidRPr="00F66902">
        <w:rPr>
          <w:color w:val="000000" w:themeColor="text1"/>
        </w:rPr>
        <w:t>Both this measure, and the Budget measure in the 2021</w:t>
      </w:r>
      <w:r w:rsidRPr="00F66902">
        <w:rPr>
          <w:color w:val="000000" w:themeColor="text1"/>
        </w:rPr>
        <w:noBreakHyphen/>
        <w:t>22 Budget, providing $3</w:t>
      </w:r>
      <w:r w:rsidR="00B32140">
        <w:rPr>
          <w:color w:val="000000" w:themeColor="text1"/>
        </w:rPr>
        <w:t> </w:t>
      </w:r>
      <w:r w:rsidRPr="00F66902">
        <w:rPr>
          <w:color w:val="000000" w:themeColor="text1"/>
        </w:rPr>
        <w:t>million per annum to support the NMA’s financial sustainability, will cease from the 2023</w:t>
      </w:r>
      <w:r w:rsidRPr="00F66902">
        <w:rPr>
          <w:color w:val="000000" w:themeColor="text1"/>
        </w:rPr>
        <w:noBreakHyphen/>
        <w:t>24 financial year.</w:t>
      </w:r>
    </w:p>
    <w:p w14:paraId="6F01EC0F" w14:textId="77777777" w:rsidR="001C0F49" w:rsidRPr="00F66902" w:rsidRDefault="001C0F49" w:rsidP="001C0F49">
      <w:pPr>
        <w:rPr>
          <w:strike/>
          <w:color w:val="000000" w:themeColor="text1"/>
        </w:rPr>
      </w:pPr>
      <w:r w:rsidRPr="00F66902">
        <w:rPr>
          <w:color w:val="000000" w:themeColor="text1"/>
        </w:rPr>
        <w:t xml:space="preserve">The NMA is forecasting an </w:t>
      </w:r>
      <w:bookmarkStart w:id="55" w:name="_Hlk115849685"/>
      <w:r w:rsidRPr="00F66902">
        <w:rPr>
          <w:color w:val="000000" w:themeColor="text1"/>
        </w:rPr>
        <w:t xml:space="preserve">operating surplus of $1.1 million (excluding heritage depreciation) for 2022-23. </w:t>
      </w:r>
    </w:p>
    <w:bookmarkEnd w:id="55"/>
    <w:p w14:paraId="37C9F73B" w14:textId="28905999" w:rsidR="001C0F49" w:rsidRPr="00F66902" w:rsidRDefault="001C0F49" w:rsidP="001C0F49">
      <w:r w:rsidRPr="00F66902">
        <w:t>The Balance Sheet shows a net equity position of $468.9 million in 2022</w:t>
      </w:r>
      <w:r w:rsidRPr="00F66902">
        <w:noBreakHyphen/>
        <w:t>23, representing the surplus of net assets over net liabilities. This primarily reflects the NMA’s non</w:t>
      </w:r>
      <w:r w:rsidRPr="00F66902">
        <w:noBreakHyphen/>
        <w:t xml:space="preserve">financial assets, including land and building and heritage and cultural assets. </w:t>
      </w:r>
    </w:p>
    <w:p w14:paraId="5A1E6EF8" w14:textId="77777777" w:rsidR="001C0F49" w:rsidRPr="00F66902" w:rsidRDefault="001C0F49" w:rsidP="001C0F49">
      <w:pPr>
        <w:pStyle w:val="Paragraphtext"/>
      </w:pPr>
      <w:r w:rsidRPr="00F66902">
        <w:t>The Departmental Capital Budget Statement shows total capital expenditure for 2022</w:t>
      </w:r>
      <w:r w:rsidRPr="00F66902">
        <w:noBreakHyphen/>
        <w:t>23 of $9.5 million, funded from departmental resources of $7.6 million and an equity injection from the Government of $1.9 million, for the acquisition and development of heritage and cultural assets.</w:t>
      </w:r>
    </w:p>
    <w:p w14:paraId="5C940672" w14:textId="77777777" w:rsidR="001C0F49" w:rsidRDefault="001C0F49" w:rsidP="001C0F49">
      <w:pPr>
        <w:pStyle w:val="Heading3-NMA"/>
      </w:pPr>
      <w:r>
        <w:br w:type="page"/>
      </w:r>
      <w:bookmarkStart w:id="56" w:name="_Toc97723182"/>
      <w:bookmarkStart w:id="57" w:name="_Toc98440375"/>
      <w:bookmarkStart w:id="58" w:name="_Toc98440523"/>
      <w:bookmarkStart w:id="59" w:name="_Toc98440671"/>
      <w:bookmarkStart w:id="60" w:name="_Toc98440819"/>
      <w:bookmarkStart w:id="61" w:name="_Toc98440967"/>
    </w:p>
    <w:p w14:paraId="35C821E6" w14:textId="66BE2086" w:rsidR="001C0F49" w:rsidRPr="007578FE" w:rsidRDefault="001C0F49" w:rsidP="001C0F49">
      <w:pPr>
        <w:pStyle w:val="Heading3-NMA"/>
      </w:pPr>
      <w:bookmarkStart w:id="62" w:name="_Toc115778494"/>
      <w:r w:rsidRPr="007578FE">
        <w:lastRenderedPageBreak/>
        <w:t>3.2</w:t>
      </w:r>
      <w:r w:rsidRPr="007578FE">
        <w:tab/>
        <w:t>Budgeted financial statements tables</w:t>
      </w:r>
      <w:bookmarkEnd w:id="56"/>
      <w:bookmarkEnd w:id="57"/>
      <w:bookmarkEnd w:id="58"/>
      <w:bookmarkEnd w:id="59"/>
      <w:bookmarkEnd w:id="60"/>
      <w:bookmarkEnd w:id="61"/>
      <w:bookmarkEnd w:id="62"/>
    </w:p>
    <w:p w14:paraId="59C95044" w14:textId="77777777" w:rsidR="001C0F49" w:rsidRDefault="001C0F49" w:rsidP="001C0F49">
      <w:pPr>
        <w:pStyle w:val="TableHeading"/>
        <w:rPr>
          <w:snapToGrid w:val="0"/>
        </w:rPr>
      </w:pPr>
      <w:r w:rsidRPr="007578FE">
        <w:t xml:space="preserve">Table 3.1: Comprehensive income statement (showing net cost of services) </w:t>
      </w:r>
      <w:r w:rsidRPr="007578FE">
        <w:rPr>
          <w:snapToGrid w:val="0"/>
        </w:rPr>
        <w:t>for the period ended 30 June</w:t>
      </w:r>
    </w:p>
    <w:tbl>
      <w:tblPr>
        <w:tblW w:w="5000" w:type="pct"/>
        <w:tblLook w:val="04A0" w:firstRow="1" w:lastRow="0" w:firstColumn="1" w:lastColumn="0" w:noHBand="0" w:noVBand="1"/>
      </w:tblPr>
      <w:tblGrid>
        <w:gridCol w:w="3254"/>
        <w:gridCol w:w="933"/>
        <w:gridCol w:w="880"/>
        <w:gridCol w:w="882"/>
        <w:gridCol w:w="882"/>
        <w:gridCol w:w="879"/>
      </w:tblGrid>
      <w:tr w:rsidR="001C0F49" w:rsidRPr="00011FDA" w14:paraId="0AACA9C6" w14:textId="77777777" w:rsidTr="009C12D1">
        <w:trPr>
          <w:trHeight w:val="204"/>
        </w:trPr>
        <w:tc>
          <w:tcPr>
            <w:tcW w:w="2110" w:type="pct"/>
            <w:tcBorders>
              <w:top w:val="single" w:sz="4" w:space="0" w:color="auto"/>
              <w:left w:val="nil"/>
              <w:bottom w:val="nil"/>
              <w:right w:val="nil"/>
            </w:tcBorders>
            <w:shd w:val="clear" w:color="auto" w:fill="auto"/>
            <w:noWrap/>
            <w:vAlign w:val="bottom"/>
            <w:hideMark/>
          </w:tcPr>
          <w:p w14:paraId="1B192722"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2EFF0271"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2021-22 Estimated actual</w:t>
            </w:r>
            <w:r w:rsidRPr="00011F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E6E6E6"/>
            <w:vAlign w:val="bottom"/>
            <w:hideMark/>
          </w:tcPr>
          <w:p w14:paraId="080D80A5"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2022-23</w:t>
            </w:r>
            <w:r w:rsidRPr="00011FDA">
              <w:rPr>
                <w:rFonts w:ascii="Arial" w:hAnsi="Arial" w:cs="Arial"/>
                <w:sz w:val="16"/>
                <w:szCs w:val="16"/>
              </w:rPr>
              <w:br/>
              <w:t>Budget</w:t>
            </w:r>
            <w:r w:rsidRPr="00011FDA">
              <w:rPr>
                <w:rFonts w:ascii="Arial" w:hAnsi="Arial" w:cs="Arial"/>
                <w:sz w:val="16"/>
                <w:szCs w:val="16"/>
              </w:rPr>
              <w:br/>
            </w:r>
            <w:r w:rsidRPr="00011F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090CFA62"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2023-24 Forward estimate</w:t>
            </w:r>
            <w:r w:rsidRPr="00011FDA">
              <w:rPr>
                <w:rFonts w:ascii="Arial" w:hAnsi="Arial" w:cs="Arial"/>
                <w:sz w:val="16"/>
                <w:szCs w:val="16"/>
              </w:rPr>
              <w:br/>
              <w:t>$'000</w:t>
            </w:r>
          </w:p>
        </w:tc>
        <w:tc>
          <w:tcPr>
            <w:tcW w:w="572" w:type="pct"/>
            <w:tcBorders>
              <w:top w:val="single" w:sz="4" w:space="0" w:color="auto"/>
              <w:left w:val="nil"/>
              <w:bottom w:val="single" w:sz="4" w:space="0" w:color="auto"/>
              <w:right w:val="nil"/>
            </w:tcBorders>
            <w:shd w:val="clear" w:color="auto" w:fill="auto"/>
            <w:vAlign w:val="bottom"/>
            <w:hideMark/>
          </w:tcPr>
          <w:p w14:paraId="51EE3D2B"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2024-25 Forward estimate</w:t>
            </w:r>
            <w:r w:rsidRPr="00011FDA">
              <w:rPr>
                <w:rFonts w:ascii="Arial" w:hAnsi="Arial" w:cs="Arial"/>
                <w:sz w:val="16"/>
                <w:szCs w:val="16"/>
              </w:rPr>
              <w:br/>
              <w:t>$'000</w:t>
            </w:r>
          </w:p>
        </w:tc>
        <w:tc>
          <w:tcPr>
            <w:tcW w:w="571" w:type="pct"/>
            <w:tcBorders>
              <w:top w:val="single" w:sz="4" w:space="0" w:color="auto"/>
              <w:left w:val="nil"/>
              <w:bottom w:val="single" w:sz="4" w:space="0" w:color="auto"/>
              <w:right w:val="nil"/>
            </w:tcBorders>
            <w:shd w:val="clear" w:color="auto" w:fill="auto"/>
            <w:vAlign w:val="bottom"/>
            <w:hideMark/>
          </w:tcPr>
          <w:p w14:paraId="3BAD83F9"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2025-26</w:t>
            </w:r>
            <w:r w:rsidRPr="00011FDA">
              <w:rPr>
                <w:rFonts w:ascii="Arial" w:hAnsi="Arial" w:cs="Arial"/>
                <w:sz w:val="16"/>
                <w:szCs w:val="16"/>
              </w:rPr>
              <w:br/>
              <w:t>Forward estimate</w:t>
            </w:r>
            <w:r w:rsidRPr="00011FDA">
              <w:rPr>
                <w:rFonts w:ascii="Arial" w:hAnsi="Arial" w:cs="Arial"/>
                <w:sz w:val="16"/>
                <w:szCs w:val="16"/>
              </w:rPr>
              <w:br/>
              <w:t>$'000</w:t>
            </w:r>
          </w:p>
        </w:tc>
      </w:tr>
      <w:tr w:rsidR="001C0F49" w:rsidRPr="00011FDA" w14:paraId="4A8862DC" w14:textId="77777777" w:rsidTr="009C12D1">
        <w:trPr>
          <w:trHeight w:val="204"/>
        </w:trPr>
        <w:tc>
          <w:tcPr>
            <w:tcW w:w="2110" w:type="pct"/>
            <w:tcBorders>
              <w:top w:val="nil"/>
              <w:left w:val="nil"/>
              <w:bottom w:val="nil"/>
              <w:right w:val="nil"/>
            </w:tcBorders>
            <w:shd w:val="clear" w:color="auto" w:fill="auto"/>
            <w:noWrap/>
            <w:vAlign w:val="bottom"/>
            <w:hideMark/>
          </w:tcPr>
          <w:p w14:paraId="1CF9BAE4"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EXPENSES</w:t>
            </w:r>
          </w:p>
        </w:tc>
        <w:tc>
          <w:tcPr>
            <w:tcW w:w="605" w:type="pct"/>
            <w:tcBorders>
              <w:top w:val="nil"/>
              <w:left w:val="nil"/>
              <w:bottom w:val="nil"/>
              <w:right w:val="nil"/>
            </w:tcBorders>
            <w:shd w:val="clear" w:color="auto" w:fill="auto"/>
            <w:noWrap/>
            <w:vAlign w:val="bottom"/>
            <w:hideMark/>
          </w:tcPr>
          <w:p w14:paraId="33838BE1" w14:textId="77777777" w:rsidR="001C0F49" w:rsidRPr="009F6962"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589A026A"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75B87E2"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7D78A7BD" w14:textId="77777777" w:rsidR="001C0F49" w:rsidRPr="009F6962"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18C7F82C" w14:textId="77777777" w:rsidR="001C0F49" w:rsidRPr="009F6962" w:rsidRDefault="001C0F49" w:rsidP="00293BD0">
            <w:pPr>
              <w:spacing w:after="0" w:line="240" w:lineRule="auto"/>
              <w:jc w:val="right"/>
              <w:rPr>
                <w:rFonts w:ascii="Times New Roman" w:hAnsi="Times New Roman"/>
                <w:sz w:val="16"/>
                <w:szCs w:val="16"/>
              </w:rPr>
            </w:pPr>
          </w:p>
        </w:tc>
      </w:tr>
      <w:tr w:rsidR="001C0F49" w:rsidRPr="00011FDA" w14:paraId="5CF53011" w14:textId="77777777" w:rsidTr="009C12D1">
        <w:trPr>
          <w:trHeight w:val="204"/>
        </w:trPr>
        <w:tc>
          <w:tcPr>
            <w:tcW w:w="2110" w:type="pct"/>
            <w:tcBorders>
              <w:top w:val="nil"/>
              <w:left w:val="nil"/>
              <w:bottom w:val="nil"/>
              <w:right w:val="nil"/>
            </w:tcBorders>
            <w:shd w:val="clear" w:color="auto" w:fill="auto"/>
            <w:noWrap/>
            <w:vAlign w:val="bottom"/>
            <w:hideMark/>
          </w:tcPr>
          <w:p w14:paraId="6D457892"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Employee benefits</w:t>
            </w:r>
          </w:p>
        </w:tc>
        <w:tc>
          <w:tcPr>
            <w:tcW w:w="605" w:type="pct"/>
            <w:tcBorders>
              <w:top w:val="nil"/>
              <w:left w:val="nil"/>
              <w:bottom w:val="nil"/>
              <w:right w:val="nil"/>
            </w:tcBorders>
            <w:shd w:val="clear" w:color="auto" w:fill="auto"/>
            <w:noWrap/>
            <w:vAlign w:val="bottom"/>
            <w:hideMark/>
          </w:tcPr>
          <w:p w14:paraId="1D2F7366" w14:textId="77777777" w:rsidR="001C0F49" w:rsidRPr="009F6962" w:rsidRDefault="001C0F49" w:rsidP="00293BD0">
            <w:pPr>
              <w:spacing w:after="0" w:line="240" w:lineRule="auto"/>
              <w:jc w:val="right"/>
              <w:rPr>
                <w:rFonts w:ascii="Arial" w:hAnsi="Arial" w:cs="Arial"/>
                <w:color w:val="000000"/>
                <w:sz w:val="16"/>
                <w:szCs w:val="16"/>
              </w:rPr>
            </w:pPr>
            <w:r w:rsidRPr="006A59C7">
              <w:rPr>
                <w:rFonts w:ascii="Arial" w:hAnsi="Arial" w:cs="Arial"/>
                <w:color w:val="000000"/>
                <w:sz w:val="16"/>
                <w:szCs w:val="16"/>
              </w:rPr>
              <w:t>23,929</w:t>
            </w:r>
          </w:p>
        </w:tc>
        <w:tc>
          <w:tcPr>
            <w:tcW w:w="571" w:type="pct"/>
            <w:tcBorders>
              <w:top w:val="nil"/>
              <w:left w:val="nil"/>
              <w:bottom w:val="nil"/>
              <w:right w:val="nil"/>
            </w:tcBorders>
            <w:shd w:val="clear" w:color="auto" w:fill="E6E6E6"/>
            <w:noWrap/>
            <w:vAlign w:val="bottom"/>
            <w:hideMark/>
          </w:tcPr>
          <w:p w14:paraId="406ADB5C"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21,835</w:t>
            </w:r>
          </w:p>
        </w:tc>
        <w:tc>
          <w:tcPr>
            <w:tcW w:w="572" w:type="pct"/>
            <w:tcBorders>
              <w:top w:val="nil"/>
              <w:left w:val="nil"/>
              <w:bottom w:val="nil"/>
              <w:right w:val="nil"/>
            </w:tcBorders>
            <w:shd w:val="clear" w:color="auto" w:fill="auto"/>
            <w:noWrap/>
            <w:vAlign w:val="bottom"/>
            <w:hideMark/>
          </w:tcPr>
          <w:p w14:paraId="5E6E20F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20,089</w:t>
            </w:r>
          </w:p>
        </w:tc>
        <w:tc>
          <w:tcPr>
            <w:tcW w:w="572" w:type="pct"/>
            <w:tcBorders>
              <w:top w:val="nil"/>
              <w:left w:val="nil"/>
              <w:bottom w:val="nil"/>
              <w:right w:val="nil"/>
            </w:tcBorders>
            <w:shd w:val="clear" w:color="auto" w:fill="auto"/>
            <w:noWrap/>
            <w:vAlign w:val="bottom"/>
            <w:hideMark/>
          </w:tcPr>
          <w:p w14:paraId="41F303E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22,320</w:t>
            </w:r>
          </w:p>
        </w:tc>
        <w:tc>
          <w:tcPr>
            <w:tcW w:w="571" w:type="pct"/>
            <w:tcBorders>
              <w:top w:val="nil"/>
              <w:left w:val="nil"/>
              <w:bottom w:val="nil"/>
              <w:right w:val="nil"/>
            </w:tcBorders>
            <w:shd w:val="clear" w:color="auto" w:fill="auto"/>
            <w:noWrap/>
            <w:vAlign w:val="bottom"/>
            <w:hideMark/>
          </w:tcPr>
          <w:p w14:paraId="22E8EDBD"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22,093</w:t>
            </w:r>
          </w:p>
        </w:tc>
      </w:tr>
      <w:tr w:rsidR="001C0F49" w:rsidRPr="00011FDA" w14:paraId="0EFE30E7" w14:textId="77777777" w:rsidTr="009C12D1">
        <w:trPr>
          <w:trHeight w:val="204"/>
        </w:trPr>
        <w:tc>
          <w:tcPr>
            <w:tcW w:w="2110" w:type="pct"/>
            <w:tcBorders>
              <w:top w:val="nil"/>
              <w:left w:val="nil"/>
              <w:bottom w:val="nil"/>
              <w:right w:val="nil"/>
            </w:tcBorders>
            <w:shd w:val="clear" w:color="auto" w:fill="auto"/>
            <w:noWrap/>
            <w:vAlign w:val="bottom"/>
            <w:hideMark/>
          </w:tcPr>
          <w:p w14:paraId="4541F629"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Suppliers</w:t>
            </w:r>
          </w:p>
        </w:tc>
        <w:tc>
          <w:tcPr>
            <w:tcW w:w="605" w:type="pct"/>
            <w:tcBorders>
              <w:top w:val="nil"/>
              <w:left w:val="nil"/>
              <w:bottom w:val="nil"/>
              <w:right w:val="nil"/>
            </w:tcBorders>
            <w:shd w:val="clear" w:color="auto" w:fill="auto"/>
            <w:noWrap/>
            <w:vAlign w:val="bottom"/>
            <w:hideMark/>
          </w:tcPr>
          <w:p w14:paraId="0E8D51A6"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22,797</w:t>
            </w:r>
          </w:p>
        </w:tc>
        <w:tc>
          <w:tcPr>
            <w:tcW w:w="571" w:type="pct"/>
            <w:tcBorders>
              <w:top w:val="nil"/>
              <w:left w:val="nil"/>
              <w:bottom w:val="nil"/>
              <w:right w:val="nil"/>
            </w:tcBorders>
            <w:shd w:val="clear" w:color="auto" w:fill="E6E6E6"/>
            <w:noWrap/>
            <w:vAlign w:val="bottom"/>
            <w:hideMark/>
          </w:tcPr>
          <w:p w14:paraId="5E81FD1B"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24,845</w:t>
            </w:r>
          </w:p>
        </w:tc>
        <w:tc>
          <w:tcPr>
            <w:tcW w:w="572" w:type="pct"/>
            <w:tcBorders>
              <w:top w:val="nil"/>
              <w:left w:val="nil"/>
              <w:bottom w:val="nil"/>
              <w:right w:val="nil"/>
            </w:tcBorders>
            <w:shd w:val="clear" w:color="auto" w:fill="auto"/>
            <w:noWrap/>
            <w:vAlign w:val="bottom"/>
            <w:hideMark/>
          </w:tcPr>
          <w:p w14:paraId="3BD7F0AA"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18,557</w:t>
            </w:r>
          </w:p>
        </w:tc>
        <w:tc>
          <w:tcPr>
            <w:tcW w:w="572" w:type="pct"/>
            <w:tcBorders>
              <w:top w:val="nil"/>
              <w:left w:val="nil"/>
              <w:bottom w:val="nil"/>
              <w:right w:val="nil"/>
            </w:tcBorders>
            <w:shd w:val="clear" w:color="auto" w:fill="auto"/>
            <w:noWrap/>
            <w:vAlign w:val="bottom"/>
            <w:hideMark/>
          </w:tcPr>
          <w:p w14:paraId="66388D4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19,064</w:t>
            </w:r>
          </w:p>
        </w:tc>
        <w:tc>
          <w:tcPr>
            <w:tcW w:w="571" w:type="pct"/>
            <w:tcBorders>
              <w:top w:val="nil"/>
              <w:left w:val="nil"/>
              <w:bottom w:val="nil"/>
              <w:right w:val="nil"/>
            </w:tcBorders>
            <w:shd w:val="clear" w:color="auto" w:fill="auto"/>
            <w:noWrap/>
            <w:vAlign w:val="bottom"/>
            <w:hideMark/>
          </w:tcPr>
          <w:p w14:paraId="2290259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19,442</w:t>
            </w:r>
          </w:p>
        </w:tc>
      </w:tr>
      <w:tr w:rsidR="001C0F49" w:rsidRPr="00011FDA" w14:paraId="22EE77B7" w14:textId="77777777" w:rsidTr="009C12D1">
        <w:trPr>
          <w:trHeight w:val="204"/>
        </w:trPr>
        <w:tc>
          <w:tcPr>
            <w:tcW w:w="2110" w:type="pct"/>
            <w:tcBorders>
              <w:top w:val="nil"/>
              <w:left w:val="nil"/>
              <w:bottom w:val="nil"/>
              <w:right w:val="nil"/>
            </w:tcBorders>
            <w:shd w:val="clear" w:color="auto" w:fill="auto"/>
            <w:noWrap/>
            <w:vAlign w:val="bottom"/>
            <w:hideMark/>
          </w:tcPr>
          <w:p w14:paraId="48A6BFBF"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Depreciation and amortisation</w:t>
            </w:r>
          </w:p>
        </w:tc>
        <w:tc>
          <w:tcPr>
            <w:tcW w:w="605" w:type="pct"/>
            <w:tcBorders>
              <w:top w:val="nil"/>
              <w:left w:val="nil"/>
              <w:bottom w:val="nil"/>
              <w:right w:val="nil"/>
            </w:tcBorders>
            <w:shd w:val="clear" w:color="auto" w:fill="auto"/>
            <w:noWrap/>
            <w:vAlign w:val="bottom"/>
            <w:hideMark/>
          </w:tcPr>
          <w:p w14:paraId="4016D435"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10,523</w:t>
            </w:r>
          </w:p>
        </w:tc>
        <w:tc>
          <w:tcPr>
            <w:tcW w:w="571" w:type="pct"/>
            <w:tcBorders>
              <w:top w:val="nil"/>
              <w:left w:val="nil"/>
              <w:bottom w:val="nil"/>
              <w:right w:val="nil"/>
            </w:tcBorders>
            <w:shd w:val="clear" w:color="auto" w:fill="E6E6E6"/>
            <w:noWrap/>
            <w:vAlign w:val="bottom"/>
            <w:hideMark/>
          </w:tcPr>
          <w:p w14:paraId="46D7DC94"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13,284</w:t>
            </w:r>
          </w:p>
        </w:tc>
        <w:tc>
          <w:tcPr>
            <w:tcW w:w="572" w:type="pct"/>
            <w:tcBorders>
              <w:top w:val="nil"/>
              <w:left w:val="nil"/>
              <w:bottom w:val="nil"/>
              <w:right w:val="nil"/>
            </w:tcBorders>
            <w:shd w:val="clear" w:color="auto" w:fill="auto"/>
            <w:noWrap/>
            <w:vAlign w:val="bottom"/>
            <w:hideMark/>
          </w:tcPr>
          <w:p w14:paraId="6236061C"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13,550</w:t>
            </w:r>
          </w:p>
        </w:tc>
        <w:tc>
          <w:tcPr>
            <w:tcW w:w="572" w:type="pct"/>
            <w:tcBorders>
              <w:top w:val="nil"/>
              <w:left w:val="nil"/>
              <w:bottom w:val="nil"/>
              <w:right w:val="nil"/>
            </w:tcBorders>
            <w:shd w:val="clear" w:color="auto" w:fill="auto"/>
            <w:noWrap/>
            <w:vAlign w:val="bottom"/>
            <w:hideMark/>
          </w:tcPr>
          <w:p w14:paraId="4D955309"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13,821</w:t>
            </w:r>
          </w:p>
        </w:tc>
        <w:tc>
          <w:tcPr>
            <w:tcW w:w="571" w:type="pct"/>
            <w:tcBorders>
              <w:top w:val="nil"/>
              <w:left w:val="nil"/>
              <w:bottom w:val="nil"/>
              <w:right w:val="nil"/>
            </w:tcBorders>
            <w:shd w:val="clear" w:color="auto" w:fill="auto"/>
            <w:noWrap/>
            <w:vAlign w:val="bottom"/>
            <w:hideMark/>
          </w:tcPr>
          <w:p w14:paraId="749F6B90"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14,097</w:t>
            </w:r>
          </w:p>
        </w:tc>
      </w:tr>
      <w:tr w:rsidR="001C0F49" w:rsidRPr="00011FDA" w14:paraId="19A7F716" w14:textId="77777777" w:rsidTr="009C12D1">
        <w:trPr>
          <w:trHeight w:val="204"/>
        </w:trPr>
        <w:tc>
          <w:tcPr>
            <w:tcW w:w="2110" w:type="pct"/>
            <w:tcBorders>
              <w:top w:val="nil"/>
              <w:left w:val="nil"/>
              <w:bottom w:val="nil"/>
              <w:right w:val="nil"/>
            </w:tcBorders>
            <w:shd w:val="clear" w:color="auto" w:fill="auto"/>
            <w:noWrap/>
            <w:vAlign w:val="bottom"/>
            <w:hideMark/>
          </w:tcPr>
          <w:p w14:paraId="31735975"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Finance costs</w:t>
            </w:r>
          </w:p>
        </w:tc>
        <w:tc>
          <w:tcPr>
            <w:tcW w:w="605" w:type="pct"/>
            <w:tcBorders>
              <w:top w:val="nil"/>
              <w:left w:val="nil"/>
              <w:bottom w:val="nil"/>
              <w:right w:val="nil"/>
            </w:tcBorders>
            <w:shd w:val="clear" w:color="auto" w:fill="auto"/>
            <w:noWrap/>
            <w:vAlign w:val="bottom"/>
            <w:hideMark/>
          </w:tcPr>
          <w:p w14:paraId="313BBD4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77</w:t>
            </w:r>
          </w:p>
        </w:tc>
        <w:tc>
          <w:tcPr>
            <w:tcW w:w="571" w:type="pct"/>
            <w:tcBorders>
              <w:top w:val="nil"/>
              <w:left w:val="nil"/>
              <w:bottom w:val="nil"/>
              <w:right w:val="nil"/>
            </w:tcBorders>
            <w:shd w:val="clear" w:color="auto" w:fill="E6E6E6"/>
            <w:noWrap/>
            <w:vAlign w:val="bottom"/>
            <w:hideMark/>
          </w:tcPr>
          <w:p w14:paraId="5BD8926C"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94</w:t>
            </w:r>
          </w:p>
        </w:tc>
        <w:tc>
          <w:tcPr>
            <w:tcW w:w="572" w:type="pct"/>
            <w:tcBorders>
              <w:top w:val="nil"/>
              <w:left w:val="nil"/>
              <w:bottom w:val="nil"/>
              <w:right w:val="nil"/>
            </w:tcBorders>
            <w:shd w:val="clear" w:color="auto" w:fill="auto"/>
            <w:noWrap/>
            <w:vAlign w:val="bottom"/>
            <w:hideMark/>
          </w:tcPr>
          <w:p w14:paraId="1E762655"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80</w:t>
            </w:r>
          </w:p>
        </w:tc>
        <w:tc>
          <w:tcPr>
            <w:tcW w:w="572" w:type="pct"/>
            <w:tcBorders>
              <w:top w:val="nil"/>
              <w:left w:val="nil"/>
              <w:bottom w:val="nil"/>
              <w:right w:val="nil"/>
            </w:tcBorders>
            <w:shd w:val="clear" w:color="auto" w:fill="auto"/>
            <w:noWrap/>
            <w:vAlign w:val="bottom"/>
            <w:hideMark/>
          </w:tcPr>
          <w:p w14:paraId="35A95057"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60</w:t>
            </w:r>
          </w:p>
        </w:tc>
        <w:tc>
          <w:tcPr>
            <w:tcW w:w="571" w:type="pct"/>
            <w:tcBorders>
              <w:top w:val="nil"/>
              <w:left w:val="nil"/>
              <w:bottom w:val="nil"/>
              <w:right w:val="nil"/>
            </w:tcBorders>
            <w:shd w:val="clear" w:color="auto" w:fill="auto"/>
            <w:noWrap/>
            <w:vAlign w:val="bottom"/>
            <w:hideMark/>
          </w:tcPr>
          <w:p w14:paraId="3B7BDBB1"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36</w:t>
            </w:r>
          </w:p>
        </w:tc>
      </w:tr>
      <w:tr w:rsidR="001C0F49" w:rsidRPr="00011FDA" w14:paraId="32008136" w14:textId="77777777" w:rsidTr="009C12D1">
        <w:trPr>
          <w:trHeight w:val="204"/>
        </w:trPr>
        <w:tc>
          <w:tcPr>
            <w:tcW w:w="2110" w:type="pct"/>
            <w:tcBorders>
              <w:top w:val="nil"/>
              <w:left w:val="nil"/>
              <w:bottom w:val="nil"/>
              <w:right w:val="nil"/>
            </w:tcBorders>
            <w:shd w:val="clear" w:color="auto" w:fill="auto"/>
            <w:noWrap/>
            <w:vAlign w:val="bottom"/>
          </w:tcPr>
          <w:p w14:paraId="5BBEBC0A" w14:textId="77777777" w:rsidR="001C0F49" w:rsidRPr="00011FDA" w:rsidRDefault="001C0F49" w:rsidP="00293BD0">
            <w:pPr>
              <w:spacing w:after="0" w:line="240" w:lineRule="auto"/>
              <w:ind w:left="113"/>
              <w:rPr>
                <w:rFonts w:ascii="Arial" w:hAnsi="Arial" w:cs="Arial"/>
                <w:sz w:val="16"/>
                <w:szCs w:val="16"/>
              </w:rPr>
            </w:pPr>
            <w:r w:rsidRPr="006A59C7">
              <w:rPr>
                <w:rFonts w:ascii="Arial" w:hAnsi="Arial" w:cs="Arial"/>
                <w:sz w:val="16"/>
                <w:szCs w:val="16"/>
              </w:rPr>
              <w:t>Write-down and impairment of assets</w:t>
            </w:r>
          </w:p>
        </w:tc>
        <w:tc>
          <w:tcPr>
            <w:tcW w:w="605" w:type="pct"/>
            <w:tcBorders>
              <w:top w:val="nil"/>
              <w:left w:val="nil"/>
              <w:bottom w:val="nil"/>
              <w:right w:val="nil"/>
            </w:tcBorders>
            <w:shd w:val="clear" w:color="auto" w:fill="auto"/>
            <w:noWrap/>
            <w:vAlign w:val="bottom"/>
          </w:tcPr>
          <w:p w14:paraId="3F40BC8D"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774</w:t>
            </w:r>
          </w:p>
        </w:tc>
        <w:tc>
          <w:tcPr>
            <w:tcW w:w="571" w:type="pct"/>
            <w:tcBorders>
              <w:top w:val="nil"/>
              <w:left w:val="nil"/>
              <w:bottom w:val="nil"/>
              <w:right w:val="nil"/>
            </w:tcBorders>
            <w:shd w:val="clear" w:color="auto" w:fill="E6E6E6"/>
            <w:noWrap/>
            <w:vAlign w:val="bottom"/>
          </w:tcPr>
          <w:p w14:paraId="318E3CCC"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w:t>
            </w:r>
          </w:p>
        </w:tc>
        <w:tc>
          <w:tcPr>
            <w:tcW w:w="572" w:type="pct"/>
            <w:tcBorders>
              <w:top w:val="nil"/>
              <w:left w:val="nil"/>
              <w:bottom w:val="nil"/>
              <w:right w:val="nil"/>
            </w:tcBorders>
            <w:shd w:val="clear" w:color="auto" w:fill="auto"/>
            <w:noWrap/>
            <w:vAlign w:val="bottom"/>
          </w:tcPr>
          <w:p w14:paraId="38BF3434"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w:t>
            </w:r>
          </w:p>
        </w:tc>
        <w:tc>
          <w:tcPr>
            <w:tcW w:w="572" w:type="pct"/>
            <w:tcBorders>
              <w:top w:val="nil"/>
              <w:left w:val="nil"/>
              <w:bottom w:val="nil"/>
              <w:right w:val="nil"/>
            </w:tcBorders>
            <w:shd w:val="clear" w:color="auto" w:fill="auto"/>
            <w:noWrap/>
            <w:vAlign w:val="bottom"/>
          </w:tcPr>
          <w:p w14:paraId="1A427D6B"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w:t>
            </w:r>
          </w:p>
        </w:tc>
        <w:tc>
          <w:tcPr>
            <w:tcW w:w="571" w:type="pct"/>
            <w:tcBorders>
              <w:top w:val="nil"/>
              <w:left w:val="nil"/>
              <w:bottom w:val="nil"/>
              <w:right w:val="nil"/>
            </w:tcBorders>
            <w:shd w:val="clear" w:color="auto" w:fill="auto"/>
            <w:noWrap/>
            <w:vAlign w:val="bottom"/>
          </w:tcPr>
          <w:p w14:paraId="03D2332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w:t>
            </w:r>
          </w:p>
        </w:tc>
      </w:tr>
      <w:tr w:rsidR="001C0F49" w:rsidRPr="00011FDA" w14:paraId="6A6D8432" w14:textId="77777777" w:rsidTr="009C12D1">
        <w:trPr>
          <w:trHeight w:val="204"/>
        </w:trPr>
        <w:tc>
          <w:tcPr>
            <w:tcW w:w="2110" w:type="pct"/>
            <w:tcBorders>
              <w:top w:val="nil"/>
              <w:left w:val="nil"/>
              <w:bottom w:val="nil"/>
              <w:right w:val="nil"/>
            </w:tcBorders>
            <w:shd w:val="clear" w:color="auto" w:fill="auto"/>
            <w:noWrap/>
            <w:vAlign w:val="bottom"/>
            <w:hideMark/>
          </w:tcPr>
          <w:p w14:paraId="5869B0A2"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Total expenses</w:t>
            </w:r>
          </w:p>
        </w:tc>
        <w:tc>
          <w:tcPr>
            <w:tcW w:w="605" w:type="pct"/>
            <w:tcBorders>
              <w:top w:val="single" w:sz="4" w:space="0" w:color="auto"/>
              <w:left w:val="nil"/>
              <w:bottom w:val="single" w:sz="4" w:space="0" w:color="auto"/>
              <w:right w:val="nil"/>
            </w:tcBorders>
            <w:shd w:val="clear" w:color="auto" w:fill="auto"/>
            <w:noWrap/>
            <w:vAlign w:val="bottom"/>
            <w:hideMark/>
          </w:tcPr>
          <w:p w14:paraId="69AA23A5"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58</w:t>
            </w:r>
            <w:r>
              <w:rPr>
                <w:rFonts w:ascii="Arial" w:hAnsi="Arial" w:cs="Arial"/>
                <w:b/>
                <w:bCs/>
                <w:sz w:val="16"/>
                <w:szCs w:val="16"/>
              </w:rPr>
              <w:t>,100</w:t>
            </w:r>
          </w:p>
        </w:tc>
        <w:tc>
          <w:tcPr>
            <w:tcW w:w="571" w:type="pct"/>
            <w:tcBorders>
              <w:top w:val="single" w:sz="4" w:space="0" w:color="auto"/>
              <w:left w:val="nil"/>
              <w:bottom w:val="single" w:sz="4" w:space="0" w:color="auto"/>
              <w:right w:val="nil"/>
            </w:tcBorders>
            <w:shd w:val="clear" w:color="auto" w:fill="E6E6E6"/>
            <w:noWrap/>
            <w:vAlign w:val="bottom"/>
            <w:hideMark/>
          </w:tcPr>
          <w:p w14:paraId="3F266741"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60,058</w:t>
            </w:r>
          </w:p>
        </w:tc>
        <w:tc>
          <w:tcPr>
            <w:tcW w:w="572" w:type="pct"/>
            <w:tcBorders>
              <w:top w:val="single" w:sz="4" w:space="0" w:color="auto"/>
              <w:left w:val="nil"/>
              <w:bottom w:val="single" w:sz="4" w:space="0" w:color="auto"/>
              <w:right w:val="nil"/>
            </w:tcBorders>
            <w:shd w:val="clear" w:color="auto" w:fill="auto"/>
            <w:noWrap/>
            <w:vAlign w:val="bottom"/>
            <w:hideMark/>
          </w:tcPr>
          <w:p w14:paraId="3F53FB2F"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52,276</w:t>
            </w:r>
          </w:p>
        </w:tc>
        <w:tc>
          <w:tcPr>
            <w:tcW w:w="572" w:type="pct"/>
            <w:tcBorders>
              <w:top w:val="single" w:sz="4" w:space="0" w:color="auto"/>
              <w:left w:val="nil"/>
              <w:bottom w:val="single" w:sz="4" w:space="0" w:color="auto"/>
              <w:right w:val="nil"/>
            </w:tcBorders>
            <w:shd w:val="clear" w:color="auto" w:fill="auto"/>
            <w:noWrap/>
            <w:vAlign w:val="bottom"/>
            <w:hideMark/>
          </w:tcPr>
          <w:p w14:paraId="13D81A5C"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55,265</w:t>
            </w:r>
          </w:p>
        </w:tc>
        <w:tc>
          <w:tcPr>
            <w:tcW w:w="571" w:type="pct"/>
            <w:tcBorders>
              <w:top w:val="single" w:sz="4" w:space="0" w:color="auto"/>
              <w:left w:val="nil"/>
              <w:bottom w:val="single" w:sz="4" w:space="0" w:color="auto"/>
              <w:right w:val="nil"/>
            </w:tcBorders>
            <w:shd w:val="clear" w:color="auto" w:fill="auto"/>
            <w:noWrap/>
            <w:vAlign w:val="bottom"/>
            <w:hideMark/>
          </w:tcPr>
          <w:p w14:paraId="6477FE8E"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55,668</w:t>
            </w:r>
          </w:p>
        </w:tc>
      </w:tr>
      <w:tr w:rsidR="001C0F49" w:rsidRPr="00011FDA" w14:paraId="1AD7AED2" w14:textId="77777777" w:rsidTr="009C12D1">
        <w:trPr>
          <w:trHeight w:val="204"/>
        </w:trPr>
        <w:tc>
          <w:tcPr>
            <w:tcW w:w="2110" w:type="pct"/>
            <w:tcBorders>
              <w:top w:val="nil"/>
              <w:left w:val="nil"/>
              <w:bottom w:val="nil"/>
              <w:right w:val="nil"/>
            </w:tcBorders>
            <w:shd w:val="clear" w:color="auto" w:fill="auto"/>
            <w:noWrap/>
            <w:vAlign w:val="bottom"/>
            <w:hideMark/>
          </w:tcPr>
          <w:p w14:paraId="0675609D"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 xml:space="preserve">LESS: </w:t>
            </w:r>
          </w:p>
        </w:tc>
        <w:tc>
          <w:tcPr>
            <w:tcW w:w="605" w:type="pct"/>
            <w:tcBorders>
              <w:top w:val="nil"/>
              <w:left w:val="nil"/>
              <w:bottom w:val="nil"/>
              <w:right w:val="nil"/>
            </w:tcBorders>
            <w:shd w:val="clear" w:color="auto" w:fill="auto"/>
            <w:noWrap/>
            <w:vAlign w:val="bottom"/>
            <w:hideMark/>
          </w:tcPr>
          <w:p w14:paraId="60081078" w14:textId="77777777" w:rsidR="001C0F49" w:rsidRPr="009F6962"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306CB698"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55A5A761"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F131CFD" w14:textId="77777777" w:rsidR="001C0F49" w:rsidRPr="009F6962"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2B4BED34" w14:textId="77777777" w:rsidR="001C0F49" w:rsidRPr="009F6962" w:rsidRDefault="001C0F49" w:rsidP="00293BD0">
            <w:pPr>
              <w:spacing w:after="0" w:line="240" w:lineRule="auto"/>
              <w:jc w:val="right"/>
              <w:rPr>
                <w:rFonts w:ascii="Times New Roman" w:hAnsi="Times New Roman"/>
                <w:sz w:val="16"/>
                <w:szCs w:val="16"/>
              </w:rPr>
            </w:pPr>
          </w:p>
        </w:tc>
      </w:tr>
      <w:tr w:rsidR="001C0F49" w:rsidRPr="00011FDA" w14:paraId="1880070D" w14:textId="77777777" w:rsidTr="009C12D1">
        <w:trPr>
          <w:trHeight w:val="204"/>
        </w:trPr>
        <w:tc>
          <w:tcPr>
            <w:tcW w:w="2110" w:type="pct"/>
            <w:tcBorders>
              <w:top w:val="nil"/>
              <w:left w:val="nil"/>
              <w:bottom w:val="nil"/>
              <w:right w:val="nil"/>
            </w:tcBorders>
            <w:shd w:val="clear" w:color="auto" w:fill="auto"/>
            <w:noWrap/>
            <w:vAlign w:val="bottom"/>
            <w:hideMark/>
          </w:tcPr>
          <w:p w14:paraId="5F5A7A57"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OWN-SOURCE INCOME</w:t>
            </w:r>
          </w:p>
        </w:tc>
        <w:tc>
          <w:tcPr>
            <w:tcW w:w="605" w:type="pct"/>
            <w:tcBorders>
              <w:top w:val="nil"/>
              <w:left w:val="nil"/>
              <w:bottom w:val="nil"/>
              <w:right w:val="nil"/>
            </w:tcBorders>
            <w:shd w:val="clear" w:color="auto" w:fill="auto"/>
            <w:noWrap/>
            <w:vAlign w:val="bottom"/>
            <w:hideMark/>
          </w:tcPr>
          <w:p w14:paraId="2D144375" w14:textId="77777777" w:rsidR="001C0F49" w:rsidRPr="009F6962"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7D6CAFE6"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DA506EF"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4F07ECBE" w14:textId="77777777" w:rsidR="001C0F49" w:rsidRPr="009F6962"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7E1220C4" w14:textId="77777777" w:rsidR="001C0F49" w:rsidRPr="009F6962" w:rsidRDefault="001C0F49" w:rsidP="00293BD0">
            <w:pPr>
              <w:spacing w:after="0" w:line="240" w:lineRule="auto"/>
              <w:jc w:val="right"/>
              <w:rPr>
                <w:rFonts w:ascii="Times New Roman" w:hAnsi="Times New Roman"/>
                <w:sz w:val="16"/>
                <w:szCs w:val="16"/>
              </w:rPr>
            </w:pPr>
          </w:p>
        </w:tc>
      </w:tr>
      <w:tr w:rsidR="001C0F49" w:rsidRPr="00011FDA" w14:paraId="7E5F7762" w14:textId="77777777" w:rsidTr="009C12D1">
        <w:trPr>
          <w:trHeight w:val="204"/>
        </w:trPr>
        <w:tc>
          <w:tcPr>
            <w:tcW w:w="2110" w:type="pct"/>
            <w:tcBorders>
              <w:top w:val="nil"/>
              <w:left w:val="nil"/>
              <w:bottom w:val="nil"/>
              <w:right w:val="nil"/>
            </w:tcBorders>
            <w:shd w:val="clear" w:color="auto" w:fill="auto"/>
            <w:noWrap/>
            <w:vAlign w:val="bottom"/>
            <w:hideMark/>
          </w:tcPr>
          <w:p w14:paraId="029B3D57"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Own-source revenue</w:t>
            </w:r>
          </w:p>
        </w:tc>
        <w:tc>
          <w:tcPr>
            <w:tcW w:w="605" w:type="pct"/>
            <w:tcBorders>
              <w:top w:val="nil"/>
              <w:left w:val="nil"/>
              <w:bottom w:val="nil"/>
              <w:right w:val="nil"/>
            </w:tcBorders>
            <w:shd w:val="clear" w:color="auto" w:fill="auto"/>
            <w:noWrap/>
            <w:vAlign w:val="bottom"/>
            <w:hideMark/>
          </w:tcPr>
          <w:p w14:paraId="188CEE40" w14:textId="77777777" w:rsidR="001C0F49" w:rsidRPr="009F6962" w:rsidRDefault="001C0F49" w:rsidP="00293BD0">
            <w:pPr>
              <w:spacing w:after="0" w:line="240" w:lineRule="auto"/>
              <w:jc w:val="right"/>
              <w:rPr>
                <w:rFonts w:ascii="Arial" w:hAnsi="Arial" w:cs="Arial"/>
                <w:b/>
                <w:bCs/>
                <w:sz w:val="16"/>
                <w:szCs w:val="16"/>
              </w:rPr>
            </w:pPr>
          </w:p>
        </w:tc>
        <w:tc>
          <w:tcPr>
            <w:tcW w:w="571" w:type="pct"/>
            <w:tcBorders>
              <w:top w:val="nil"/>
              <w:left w:val="nil"/>
              <w:bottom w:val="nil"/>
              <w:right w:val="nil"/>
            </w:tcBorders>
            <w:shd w:val="clear" w:color="auto" w:fill="E6E6E6"/>
            <w:noWrap/>
            <w:vAlign w:val="bottom"/>
            <w:hideMark/>
          </w:tcPr>
          <w:p w14:paraId="719CD734"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28F8E173"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nil"/>
              <w:left w:val="nil"/>
              <w:bottom w:val="nil"/>
              <w:right w:val="nil"/>
            </w:tcBorders>
            <w:shd w:val="clear" w:color="auto" w:fill="auto"/>
            <w:noWrap/>
            <w:vAlign w:val="bottom"/>
            <w:hideMark/>
          </w:tcPr>
          <w:p w14:paraId="6EEDC07B" w14:textId="77777777" w:rsidR="001C0F49" w:rsidRPr="009F6962" w:rsidRDefault="001C0F49" w:rsidP="00293BD0">
            <w:pPr>
              <w:spacing w:after="0" w:line="240" w:lineRule="auto"/>
              <w:jc w:val="right"/>
              <w:rPr>
                <w:rFonts w:ascii="Times New Roman" w:hAnsi="Times New Roman"/>
                <w:sz w:val="16"/>
                <w:szCs w:val="16"/>
              </w:rPr>
            </w:pPr>
          </w:p>
        </w:tc>
        <w:tc>
          <w:tcPr>
            <w:tcW w:w="571" w:type="pct"/>
            <w:tcBorders>
              <w:top w:val="nil"/>
              <w:left w:val="nil"/>
              <w:bottom w:val="nil"/>
              <w:right w:val="nil"/>
            </w:tcBorders>
            <w:shd w:val="clear" w:color="auto" w:fill="auto"/>
            <w:noWrap/>
            <w:vAlign w:val="bottom"/>
            <w:hideMark/>
          </w:tcPr>
          <w:p w14:paraId="31FE285E" w14:textId="77777777" w:rsidR="001C0F49" w:rsidRPr="009F6962" w:rsidRDefault="001C0F49" w:rsidP="00293BD0">
            <w:pPr>
              <w:spacing w:after="0" w:line="240" w:lineRule="auto"/>
              <w:jc w:val="right"/>
              <w:rPr>
                <w:rFonts w:ascii="Times New Roman" w:hAnsi="Times New Roman"/>
                <w:sz w:val="16"/>
                <w:szCs w:val="16"/>
              </w:rPr>
            </w:pPr>
          </w:p>
        </w:tc>
      </w:tr>
      <w:tr w:rsidR="001C0F49" w:rsidRPr="00011FDA" w14:paraId="699B3696" w14:textId="77777777" w:rsidTr="009C12D1">
        <w:trPr>
          <w:trHeight w:val="204"/>
        </w:trPr>
        <w:tc>
          <w:tcPr>
            <w:tcW w:w="2110" w:type="pct"/>
            <w:tcBorders>
              <w:top w:val="nil"/>
              <w:left w:val="nil"/>
              <w:bottom w:val="nil"/>
              <w:right w:val="nil"/>
            </w:tcBorders>
            <w:shd w:val="clear" w:color="auto" w:fill="auto"/>
            <w:vAlign w:val="bottom"/>
            <w:hideMark/>
          </w:tcPr>
          <w:p w14:paraId="2F73F79E"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0EEF3C8C" w14:textId="77777777" w:rsidR="001C0F49" w:rsidRPr="009F6962" w:rsidRDefault="001C0F49" w:rsidP="00293BD0">
            <w:pPr>
              <w:spacing w:after="0" w:line="240" w:lineRule="auto"/>
              <w:jc w:val="right"/>
              <w:rPr>
                <w:rFonts w:ascii="Arial" w:hAnsi="Arial" w:cs="Arial"/>
                <w:color w:val="000000"/>
                <w:sz w:val="16"/>
                <w:szCs w:val="16"/>
              </w:rPr>
            </w:pPr>
            <w:r w:rsidRPr="006A59C7">
              <w:rPr>
                <w:rFonts w:ascii="Arial" w:hAnsi="Arial" w:cs="Arial"/>
                <w:color w:val="000000"/>
                <w:sz w:val="16"/>
                <w:szCs w:val="16"/>
              </w:rPr>
              <w:t>13,099</w:t>
            </w:r>
          </w:p>
        </w:tc>
        <w:tc>
          <w:tcPr>
            <w:tcW w:w="571" w:type="pct"/>
            <w:tcBorders>
              <w:top w:val="nil"/>
              <w:left w:val="nil"/>
              <w:bottom w:val="nil"/>
              <w:right w:val="nil"/>
            </w:tcBorders>
            <w:shd w:val="clear" w:color="auto" w:fill="E6E6E6"/>
            <w:noWrap/>
            <w:vAlign w:val="bottom"/>
            <w:hideMark/>
          </w:tcPr>
          <w:p w14:paraId="0AF279AA"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5,554</w:t>
            </w:r>
          </w:p>
        </w:tc>
        <w:tc>
          <w:tcPr>
            <w:tcW w:w="572" w:type="pct"/>
            <w:tcBorders>
              <w:top w:val="nil"/>
              <w:left w:val="nil"/>
              <w:bottom w:val="nil"/>
              <w:right w:val="nil"/>
            </w:tcBorders>
            <w:shd w:val="clear" w:color="auto" w:fill="auto"/>
            <w:noWrap/>
            <w:vAlign w:val="bottom"/>
            <w:hideMark/>
          </w:tcPr>
          <w:p w14:paraId="13322815"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7,317</w:t>
            </w:r>
          </w:p>
        </w:tc>
        <w:tc>
          <w:tcPr>
            <w:tcW w:w="572" w:type="pct"/>
            <w:tcBorders>
              <w:top w:val="nil"/>
              <w:left w:val="nil"/>
              <w:bottom w:val="nil"/>
              <w:right w:val="nil"/>
            </w:tcBorders>
            <w:shd w:val="clear" w:color="auto" w:fill="auto"/>
            <w:noWrap/>
            <w:vAlign w:val="bottom"/>
            <w:hideMark/>
          </w:tcPr>
          <w:p w14:paraId="06385F63"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9,941</w:t>
            </w:r>
          </w:p>
        </w:tc>
        <w:tc>
          <w:tcPr>
            <w:tcW w:w="571" w:type="pct"/>
            <w:tcBorders>
              <w:top w:val="nil"/>
              <w:left w:val="nil"/>
              <w:bottom w:val="nil"/>
              <w:right w:val="nil"/>
            </w:tcBorders>
            <w:shd w:val="clear" w:color="auto" w:fill="auto"/>
            <w:noWrap/>
            <w:vAlign w:val="bottom"/>
            <w:hideMark/>
          </w:tcPr>
          <w:p w14:paraId="3BAFFD75" w14:textId="77777777" w:rsidR="001C0F49" w:rsidRPr="009F6962" w:rsidRDefault="001C0F49" w:rsidP="00293BD0">
            <w:pPr>
              <w:spacing w:after="0" w:line="240" w:lineRule="auto"/>
              <w:jc w:val="right"/>
              <w:rPr>
                <w:rFonts w:ascii="Arial" w:hAnsi="Arial" w:cs="Arial"/>
                <w:sz w:val="16"/>
                <w:szCs w:val="16"/>
              </w:rPr>
            </w:pPr>
            <w:r w:rsidRPr="006A59C7">
              <w:rPr>
                <w:rFonts w:ascii="Arial" w:hAnsi="Arial" w:cs="Arial"/>
                <w:sz w:val="16"/>
                <w:szCs w:val="16"/>
              </w:rPr>
              <w:t>10,139</w:t>
            </w:r>
          </w:p>
        </w:tc>
      </w:tr>
      <w:tr w:rsidR="001C0F49" w:rsidRPr="00011FDA" w14:paraId="76B7A470" w14:textId="77777777" w:rsidTr="009C12D1">
        <w:trPr>
          <w:trHeight w:val="204"/>
        </w:trPr>
        <w:tc>
          <w:tcPr>
            <w:tcW w:w="2110" w:type="pct"/>
            <w:tcBorders>
              <w:top w:val="nil"/>
              <w:left w:val="nil"/>
              <w:bottom w:val="nil"/>
              <w:right w:val="nil"/>
            </w:tcBorders>
            <w:shd w:val="clear" w:color="auto" w:fill="auto"/>
            <w:noWrap/>
            <w:vAlign w:val="bottom"/>
            <w:hideMark/>
          </w:tcPr>
          <w:p w14:paraId="028A0478"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Interest</w:t>
            </w:r>
          </w:p>
        </w:tc>
        <w:tc>
          <w:tcPr>
            <w:tcW w:w="605" w:type="pct"/>
            <w:tcBorders>
              <w:top w:val="nil"/>
              <w:left w:val="nil"/>
              <w:bottom w:val="nil"/>
              <w:right w:val="nil"/>
            </w:tcBorders>
            <w:shd w:val="clear" w:color="auto" w:fill="auto"/>
            <w:noWrap/>
            <w:vAlign w:val="bottom"/>
            <w:hideMark/>
          </w:tcPr>
          <w:p w14:paraId="03DA1942" w14:textId="77777777" w:rsidR="001C0F49" w:rsidRPr="009F696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32</w:t>
            </w:r>
          </w:p>
        </w:tc>
        <w:tc>
          <w:tcPr>
            <w:tcW w:w="571" w:type="pct"/>
            <w:tcBorders>
              <w:top w:val="nil"/>
              <w:left w:val="nil"/>
              <w:bottom w:val="nil"/>
              <w:right w:val="nil"/>
            </w:tcBorders>
            <w:shd w:val="clear" w:color="auto" w:fill="E6E6E6"/>
            <w:noWrap/>
            <w:vAlign w:val="bottom"/>
            <w:hideMark/>
          </w:tcPr>
          <w:p w14:paraId="6107AC27"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49</w:t>
            </w:r>
          </w:p>
        </w:tc>
        <w:tc>
          <w:tcPr>
            <w:tcW w:w="572" w:type="pct"/>
            <w:tcBorders>
              <w:top w:val="nil"/>
              <w:left w:val="nil"/>
              <w:bottom w:val="nil"/>
              <w:right w:val="nil"/>
            </w:tcBorders>
            <w:shd w:val="clear" w:color="auto" w:fill="auto"/>
            <w:noWrap/>
            <w:vAlign w:val="bottom"/>
            <w:hideMark/>
          </w:tcPr>
          <w:p w14:paraId="7E644752"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49</w:t>
            </w:r>
          </w:p>
        </w:tc>
        <w:tc>
          <w:tcPr>
            <w:tcW w:w="572" w:type="pct"/>
            <w:tcBorders>
              <w:top w:val="nil"/>
              <w:left w:val="nil"/>
              <w:bottom w:val="nil"/>
              <w:right w:val="nil"/>
            </w:tcBorders>
            <w:shd w:val="clear" w:color="auto" w:fill="auto"/>
            <w:noWrap/>
            <w:vAlign w:val="bottom"/>
            <w:hideMark/>
          </w:tcPr>
          <w:p w14:paraId="68110CAC"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49</w:t>
            </w:r>
          </w:p>
        </w:tc>
        <w:tc>
          <w:tcPr>
            <w:tcW w:w="571" w:type="pct"/>
            <w:tcBorders>
              <w:top w:val="nil"/>
              <w:left w:val="nil"/>
              <w:bottom w:val="nil"/>
              <w:right w:val="nil"/>
            </w:tcBorders>
            <w:shd w:val="clear" w:color="auto" w:fill="auto"/>
            <w:noWrap/>
            <w:vAlign w:val="bottom"/>
            <w:hideMark/>
          </w:tcPr>
          <w:p w14:paraId="7120144C"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49</w:t>
            </w:r>
          </w:p>
        </w:tc>
      </w:tr>
      <w:tr w:rsidR="001C0F49" w:rsidRPr="00011FDA" w14:paraId="6BC62A4B" w14:textId="77777777" w:rsidTr="009C12D1">
        <w:trPr>
          <w:trHeight w:val="204"/>
        </w:trPr>
        <w:tc>
          <w:tcPr>
            <w:tcW w:w="2110" w:type="pct"/>
            <w:tcBorders>
              <w:top w:val="nil"/>
              <w:left w:val="nil"/>
              <w:bottom w:val="nil"/>
              <w:right w:val="nil"/>
            </w:tcBorders>
            <w:shd w:val="clear" w:color="auto" w:fill="auto"/>
            <w:noWrap/>
            <w:vAlign w:val="bottom"/>
            <w:hideMark/>
          </w:tcPr>
          <w:p w14:paraId="7E2C4E33"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Other</w:t>
            </w:r>
          </w:p>
        </w:tc>
        <w:tc>
          <w:tcPr>
            <w:tcW w:w="605" w:type="pct"/>
            <w:tcBorders>
              <w:top w:val="nil"/>
              <w:left w:val="nil"/>
              <w:right w:val="nil"/>
            </w:tcBorders>
            <w:shd w:val="clear" w:color="auto" w:fill="auto"/>
            <w:noWrap/>
            <w:vAlign w:val="bottom"/>
            <w:hideMark/>
          </w:tcPr>
          <w:p w14:paraId="04C101ED" w14:textId="77777777" w:rsidR="001C0F49" w:rsidRPr="009F6962" w:rsidRDefault="001C0F49" w:rsidP="00293BD0">
            <w:pPr>
              <w:spacing w:after="0" w:line="240" w:lineRule="auto"/>
              <w:jc w:val="right"/>
              <w:rPr>
                <w:rFonts w:ascii="Arial" w:hAnsi="Arial" w:cs="Arial"/>
                <w:sz w:val="16"/>
                <w:szCs w:val="16"/>
              </w:rPr>
            </w:pPr>
            <w:r>
              <w:rPr>
                <w:rFonts w:ascii="Arial" w:hAnsi="Arial" w:cs="Arial"/>
                <w:sz w:val="16"/>
                <w:szCs w:val="16"/>
              </w:rPr>
              <w:t>1,066</w:t>
            </w:r>
          </w:p>
        </w:tc>
        <w:tc>
          <w:tcPr>
            <w:tcW w:w="571" w:type="pct"/>
            <w:tcBorders>
              <w:top w:val="nil"/>
              <w:left w:val="nil"/>
              <w:right w:val="nil"/>
            </w:tcBorders>
            <w:shd w:val="clear" w:color="auto" w:fill="E6E6E6"/>
            <w:noWrap/>
            <w:vAlign w:val="bottom"/>
            <w:hideMark/>
          </w:tcPr>
          <w:p w14:paraId="7B739D43"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3,177</w:t>
            </w:r>
          </w:p>
        </w:tc>
        <w:tc>
          <w:tcPr>
            <w:tcW w:w="572" w:type="pct"/>
            <w:tcBorders>
              <w:top w:val="nil"/>
              <w:left w:val="nil"/>
              <w:right w:val="nil"/>
            </w:tcBorders>
            <w:shd w:val="clear" w:color="auto" w:fill="auto"/>
            <w:noWrap/>
            <w:vAlign w:val="bottom"/>
            <w:hideMark/>
          </w:tcPr>
          <w:p w14:paraId="1D650E13"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1,191</w:t>
            </w:r>
          </w:p>
        </w:tc>
        <w:tc>
          <w:tcPr>
            <w:tcW w:w="572" w:type="pct"/>
            <w:tcBorders>
              <w:top w:val="nil"/>
              <w:left w:val="nil"/>
              <w:right w:val="nil"/>
            </w:tcBorders>
            <w:shd w:val="clear" w:color="auto" w:fill="auto"/>
            <w:noWrap/>
            <w:vAlign w:val="bottom"/>
            <w:hideMark/>
          </w:tcPr>
          <w:p w14:paraId="48D9B6C2"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1,205</w:t>
            </w:r>
          </w:p>
        </w:tc>
        <w:tc>
          <w:tcPr>
            <w:tcW w:w="571" w:type="pct"/>
            <w:tcBorders>
              <w:top w:val="nil"/>
              <w:left w:val="nil"/>
              <w:right w:val="nil"/>
            </w:tcBorders>
            <w:shd w:val="clear" w:color="auto" w:fill="auto"/>
            <w:noWrap/>
            <w:vAlign w:val="bottom"/>
            <w:hideMark/>
          </w:tcPr>
          <w:p w14:paraId="634511BB"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1,219</w:t>
            </w:r>
          </w:p>
        </w:tc>
      </w:tr>
      <w:tr w:rsidR="001C0F49" w:rsidRPr="00011FDA" w14:paraId="6E40776C" w14:textId="77777777" w:rsidTr="009C12D1">
        <w:trPr>
          <w:trHeight w:val="204"/>
        </w:trPr>
        <w:tc>
          <w:tcPr>
            <w:tcW w:w="2110" w:type="pct"/>
            <w:tcBorders>
              <w:top w:val="nil"/>
              <w:left w:val="nil"/>
              <w:bottom w:val="nil"/>
              <w:right w:val="nil"/>
            </w:tcBorders>
            <w:shd w:val="clear" w:color="auto" w:fill="auto"/>
            <w:noWrap/>
            <w:vAlign w:val="bottom"/>
            <w:hideMark/>
          </w:tcPr>
          <w:p w14:paraId="2C5166A6"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Total own-source revenue</w:t>
            </w:r>
          </w:p>
        </w:tc>
        <w:tc>
          <w:tcPr>
            <w:tcW w:w="605" w:type="pct"/>
            <w:tcBorders>
              <w:top w:val="single" w:sz="4" w:space="0" w:color="auto"/>
              <w:left w:val="nil"/>
              <w:bottom w:val="single" w:sz="4" w:space="0" w:color="auto"/>
              <w:right w:val="nil"/>
            </w:tcBorders>
            <w:shd w:val="clear" w:color="auto" w:fill="auto"/>
            <w:noWrap/>
            <w:vAlign w:val="bottom"/>
            <w:hideMark/>
          </w:tcPr>
          <w:p w14:paraId="49DBBB41"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14,197</w:t>
            </w:r>
          </w:p>
        </w:tc>
        <w:tc>
          <w:tcPr>
            <w:tcW w:w="571" w:type="pct"/>
            <w:tcBorders>
              <w:top w:val="single" w:sz="4" w:space="0" w:color="auto"/>
              <w:left w:val="nil"/>
              <w:bottom w:val="single" w:sz="4" w:space="0" w:color="auto"/>
              <w:right w:val="nil"/>
            </w:tcBorders>
            <w:shd w:val="clear" w:color="auto" w:fill="E6E6E6"/>
            <w:noWrap/>
            <w:vAlign w:val="bottom"/>
            <w:hideMark/>
          </w:tcPr>
          <w:p w14:paraId="0DAB9B5C"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8,780</w:t>
            </w:r>
          </w:p>
        </w:tc>
        <w:tc>
          <w:tcPr>
            <w:tcW w:w="572" w:type="pct"/>
            <w:tcBorders>
              <w:top w:val="single" w:sz="4" w:space="0" w:color="auto"/>
              <w:left w:val="nil"/>
              <w:bottom w:val="single" w:sz="4" w:space="0" w:color="auto"/>
              <w:right w:val="nil"/>
            </w:tcBorders>
            <w:shd w:val="clear" w:color="auto" w:fill="auto"/>
            <w:noWrap/>
            <w:vAlign w:val="bottom"/>
            <w:hideMark/>
          </w:tcPr>
          <w:p w14:paraId="0B73DDBC"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8,557</w:t>
            </w:r>
          </w:p>
        </w:tc>
        <w:tc>
          <w:tcPr>
            <w:tcW w:w="572" w:type="pct"/>
            <w:tcBorders>
              <w:top w:val="single" w:sz="4" w:space="0" w:color="auto"/>
              <w:left w:val="nil"/>
              <w:bottom w:val="single" w:sz="4" w:space="0" w:color="auto"/>
              <w:right w:val="nil"/>
            </w:tcBorders>
            <w:shd w:val="clear" w:color="auto" w:fill="auto"/>
            <w:noWrap/>
            <w:vAlign w:val="bottom"/>
            <w:hideMark/>
          </w:tcPr>
          <w:p w14:paraId="770E2972"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11,195</w:t>
            </w:r>
          </w:p>
        </w:tc>
        <w:tc>
          <w:tcPr>
            <w:tcW w:w="571" w:type="pct"/>
            <w:tcBorders>
              <w:top w:val="single" w:sz="4" w:space="0" w:color="auto"/>
              <w:left w:val="nil"/>
              <w:bottom w:val="single" w:sz="4" w:space="0" w:color="auto"/>
              <w:right w:val="nil"/>
            </w:tcBorders>
            <w:shd w:val="clear" w:color="auto" w:fill="auto"/>
            <w:noWrap/>
            <w:vAlign w:val="bottom"/>
            <w:hideMark/>
          </w:tcPr>
          <w:p w14:paraId="7558E46F"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11,407</w:t>
            </w:r>
          </w:p>
        </w:tc>
      </w:tr>
      <w:tr w:rsidR="001C0F49" w:rsidRPr="00011FDA" w14:paraId="62CB1782" w14:textId="77777777" w:rsidTr="009C12D1">
        <w:trPr>
          <w:trHeight w:val="204"/>
        </w:trPr>
        <w:tc>
          <w:tcPr>
            <w:tcW w:w="2110" w:type="pct"/>
            <w:tcBorders>
              <w:top w:val="nil"/>
              <w:left w:val="nil"/>
              <w:bottom w:val="nil"/>
              <w:right w:val="nil"/>
            </w:tcBorders>
            <w:shd w:val="clear" w:color="auto" w:fill="auto"/>
            <w:noWrap/>
            <w:vAlign w:val="bottom"/>
          </w:tcPr>
          <w:p w14:paraId="3A32693D" w14:textId="77777777" w:rsidR="001C0F49" w:rsidRPr="00011FDA" w:rsidRDefault="001C0F49" w:rsidP="00293BD0">
            <w:pPr>
              <w:spacing w:after="0" w:line="240" w:lineRule="auto"/>
              <w:rPr>
                <w:rFonts w:ascii="Arial" w:hAnsi="Arial" w:cs="Arial"/>
                <w:b/>
                <w:bCs/>
                <w:sz w:val="16"/>
                <w:szCs w:val="16"/>
              </w:rPr>
            </w:pPr>
            <w:r>
              <w:rPr>
                <w:rFonts w:ascii="Arial" w:hAnsi="Arial" w:cs="Arial"/>
                <w:b/>
                <w:bCs/>
                <w:sz w:val="16"/>
                <w:szCs w:val="16"/>
              </w:rPr>
              <w:t>Gains</w:t>
            </w:r>
          </w:p>
        </w:tc>
        <w:tc>
          <w:tcPr>
            <w:tcW w:w="605" w:type="pct"/>
            <w:tcBorders>
              <w:top w:val="single" w:sz="4" w:space="0" w:color="auto"/>
              <w:left w:val="nil"/>
              <w:right w:val="nil"/>
            </w:tcBorders>
            <w:shd w:val="clear" w:color="auto" w:fill="auto"/>
            <w:noWrap/>
            <w:vAlign w:val="bottom"/>
          </w:tcPr>
          <w:p w14:paraId="3AFC1E81" w14:textId="77777777" w:rsidR="001C0F49" w:rsidRPr="006A59C7" w:rsidRDefault="001C0F49" w:rsidP="00293BD0">
            <w:pPr>
              <w:spacing w:after="0" w:line="240" w:lineRule="auto"/>
              <w:jc w:val="right"/>
              <w:rPr>
                <w:rFonts w:ascii="Arial" w:hAnsi="Arial" w:cs="Arial"/>
                <w:b/>
                <w:bCs/>
                <w:sz w:val="16"/>
                <w:szCs w:val="16"/>
              </w:rPr>
            </w:pPr>
          </w:p>
        </w:tc>
        <w:tc>
          <w:tcPr>
            <w:tcW w:w="571" w:type="pct"/>
            <w:tcBorders>
              <w:top w:val="single" w:sz="4" w:space="0" w:color="auto"/>
              <w:left w:val="nil"/>
              <w:right w:val="nil"/>
            </w:tcBorders>
            <w:shd w:val="clear" w:color="auto" w:fill="E6E6E6"/>
            <w:noWrap/>
            <w:vAlign w:val="bottom"/>
          </w:tcPr>
          <w:p w14:paraId="752B106E" w14:textId="77777777" w:rsidR="001C0F49" w:rsidRPr="006A59C7" w:rsidRDefault="001C0F49" w:rsidP="00293BD0">
            <w:pPr>
              <w:spacing w:after="0" w:line="240" w:lineRule="auto"/>
              <w:jc w:val="right"/>
              <w:rPr>
                <w:rFonts w:ascii="Arial" w:hAnsi="Arial" w:cs="Arial"/>
                <w:b/>
                <w:bCs/>
                <w:sz w:val="16"/>
                <w:szCs w:val="16"/>
              </w:rPr>
            </w:pPr>
          </w:p>
        </w:tc>
        <w:tc>
          <w:tcPr>
            <w:tcW w:w="572" w:type="pct"/>
            <w:tcBorders>
              <w:top w:val="single" w:sz="4" w:space="0" w:color="auto"/>
              <w:left w:val="nil"/>
              <w:right w:val="nil"/>
            </w:tcBorders>
            <w:shd w:val="clear" w:color="auto" w:fill="auto"/>
            <w:noWrap/>
            <w:vAlign w:val="bottom"/>
          </w:tcPr>
          <w:p w14:paraId="10223670" w14:textId="77777777" w:rsidR="001C0F49" w:rsidRPr="006A59C7" w:rsidRDefault="001C0F49" w:rsidP="00293BD0">
            <w:pPr>
              <w:spacing w:after="0" w:line="240" w:lineRule="auto"/>
              <w:jc w:val="right"/>
              <w:rPr>
                <w:rFonts w:ascii="Arial" w:hAnsi="Arial" w:cs="Arial"/>
                <w:b/>
                <w:bCs/>
                <w:sz w:val="16"/>
                <w:szCs w:val="16"/>
              </w:rPr>
            </w:pPr>
          </w:p>
        </w:tc>
        <w:tc>
          <w:tcPr>
            <w:tcW w:w="572" w:type="pct"/>
            <w:tcBorders>
              <w:top w:val="single" w:sz="4" w:space="0" w:color="auto"/>
              <w:left w:val="nil"/>
              <w:right w:val="nil"/>
            </w:tcBorders>
            <w:shd w:val="clear" w:color="auto" w:fill="auto"/>
            <w:noWrap/>
            <w:vAlign w:val="bottom"/>
          </w:tcPr>
          <w:p w14:paraId="0B8F1E83" w14:textId="77777777" w:rsidR="001C0F49" w:rsidRPr="006A59C7" w:rsidRDefault="001C0F49" w:rsidP="00293BD0">
            <w:pPr>
              <w:spacing w:after="0" w:line="240" w:lineRule="auto"/>
              <w:jc w:val="right"/>
              <w:rPr>
                <w:rFonts w:ascii="Arial" w:hAnsi="Arial" w:cs="Arial"/>
                <w:b/>
                <w:bCs/>
                <w:sz w:val="16"/>
                <w:szCs w:val="16"/>
              </w:rPr>
            </w:pPr>
          </w:p>
        </w:tc>
        <w:tc>
          <w:tcPr>
            <w:tcW w:w="571" w:type="pct"/>
            <w:tcBorders>
              <w:top w:val="single" w:sz="4" w:space="0" w:color="auto"/>
              <w:left w:val="nil"/>
              <w:right w:val="nil"/>
            </w:tcBorders>
            <w:shd w:val="clear" w:color="auto" w:fill="auto"/>
            <w:noWrap/>
            <w:vAlign w:val="bottom"/>
          </w:tcPr>
          <w:p w14:paraId="0C92476F" w14:textId="77777777" w:rsidR="001C0F49" w:rsidRPr="006A59C7" w:rsidRDefault="001C0F49" w:rsidP="00293BD0">
            <w:pPr>
              <w:spacing w:after="0" w:line="240" w:lineRule="auto"/>
              <w:jc w:val="right"/>
              <w:rPr>
                <w:rFonts w:ascii="Arial" w:hAnsi="Arial" w:cs="Arial"/>
                <w:b/>
                <w:bCs/>
                <w:sz w:val="16"/>
                <w:szCs w:val="16"/>
              </w:rPr>
            </w:pPr>
          </w:p>
        </w:tc>
      </w:tr>
      <w:tr w:rsidR="001C0F49" w:rsidRPr="00011FDA" w14:paraId="07137B0C" w14:textId="77777777" w:rsidTr="009C12D1">
        <w:trPr>
          <w:trHeight w:val="204"/>
        </w:trPr>
        <w:tc>
          <w:tcPr>
            <w:tcW w:w="2110" w:type="pct"/>
            <w:tcBorders>
              <w:top w:val="nil"/>
              <w:left w:val="nil"/>
              <w:bottom w:val="nil"/>
              <w:right w:val="nil"/>
            </w:tcBorders>
            <w:shd w:val="clear" w:color="auto" w:fill="auto"/>
            <w:noWrap/>
            <w:vAlign w:val="bottom"/>
          </w:tcPr>
          <w:p w14:paraId="2451BA2F" w14:textId="77777777" w:rsidR="001C0F49" w:rsidRPr="001A310F" w:rsidRDefault="001C0F49" w:rsidP="00293BD0">
            <w:pPr>
              <w:spacing w:after="0" w:line="240" w:lineRule="auto"/>
              <w:ind w:left="179"/>
              <w:rPr>
                <w:rFonts w:ascii="Arial" w:hAnsi="Arial" w:cs="Arial"/>
                <w:bCs/>
                <w:sz w:val="16"/>
                <w:szCs w:val="16"/>
              </w:rPr>
            </w:pPr>
            <w:r>
              <w:rPr>
                <w:rFonts w:ascii="Arial" w:hAnsi="Arial" w:cs="Arial"/>
                <w:bCs/>
                <w:sz w:val="16"/>
                <w:szCs w:val="16"/>
              </w:rPr>
              <w:t>Other</w:t>
            </w:r>
          </w:p>
        </w:tc>
        <w:tc>
          <w:tcPr>
            <w:tcW w:w="605" w:type="pct"/>
            <w:tcBorders>
              <w:left w:val="nil"/>
              <w:bottom w:val="single" w:sz="4" w:space="0" w:color="auto"/>
              <w:right w:val="nil"/>
            </w:tcBorders>
            <w:shd w:val="clear" w:color="auto" w:fill="auto"/>
            <w:noWrap/>
            <w:vAlign w:val="bottom"/>
          </w:tcPr>
          <w:p w14:paraId="6E605C63" w14:textId="77777777" w:rsidR="001C0F49" w:rsidRPr="001A310F" w:rsidRDefault="001C0F49" w:rsidP="00293BD0">
            <w:pPr>
              <w:spacing w:after="0" w:line="240" w:lineRule="auto"/>
              <w:jc w:val="right"/>
              <w:rPr>
                <w:rFonts w:ascii="Arial" w:hAnsi="Arial" w:cs="Arial"/>
                <w:bCs/>
                <w:sz w:val="16"/>
                <w:szCs w:val="16"/>
              </w:rPr>
            </w:pPr>
            <w:r w:rsidRPr="001A310F">
              <w:rPr>
                <w:rFonts w:ascii="Arial" w:hAnsi="Arial" w:cs="Arial"/>
                <w:bCs/>
                <w:sz w:val="16"/>
                <w:szCs w:val="16"/>
              </w:rPr>
              <w:t>235</w:t>
            </w:r>
          </w:p>
        </w:tc>
        <w:tc>
          <w:tcPr>
            <w:tcW w:w="571" w:type="pct"/>
            <w:tcBorders>
              <w:left w:val="nil"/>
              <w:bottom w:val="single" w:sz="4" w:space="0" w:color="auto"/>
              <w:right w:val="nil"/>
            </w:tcBorders>
            <w:shd w:val="clear" w:color="auto" w:fill="E6E6E6"/>
            <w:noWrap/>
            <w:vAlign w:val="bottom"/>
          </w:tcPr>
          <w:p w14:paraId="01C52E77" w14:textId="77777777" w:rsidR="001C0F49" w:rsidRPr="001A310F" w:rsidRDefault="001C0F49" w:rsidP="00293BD0">
            <w:pPr>
              <w:spacing w:after="0" w:line="240" w:lineRule="auto"/>
              <w:jc w:val="right"/>
              <w:rPr>
                <w:rFonts w:ascii="Arial" w:hAnsi="Arial" w:cs="Arial"/>
                <w:bCs/>
                <w:sz w:val="16"/>
                <w:szCs w:val="16"/>
              </w:rPr>
            </w:pPr>
            <w:r w:rsidRPr="001A310F">
              <w:rPr>
                <w:rFonts w:ascii="Arial" w:hAnsi="Arial" w:cs="Arial"/>
                <w:bCs/>
                <w:sz w:val="16"/>
                <w:szCs w:val="16"/>
              </w:rPr>
              <w:t>-</w:t>
            </w:r>
          </w:p>
        </w:tc>
        <w:tc>
          <w:tcPr>
            <w:tcW w:w="572" w:type="pct"/>
            <w:tcBorders>
              <w:left w:val="nil"/>
              <w:bottom w:val="single" w:sz="4" w:space="0" w:color="auto"/>
              <w:right w:val="nil"/>
            </w:tcBorders>
            <w:shd w:val="clear" w:color="auto" w:fill="auto"/>
            <w:noWrap/>
            <w:vAlign w:val="bottom"/>
          </w:tcPr>
          <w:p w14:paraId="04943F4F" w14:textId="77777777" w:rsidR="001C0F49" w:rsidRPr="001A310F" w:rsidRDefault="001C0F49" w:rsidP="00293BD0">
            <w:pPr>
              <w:spacing w:after="0" w:line="240" w:lineRule="auto"/>
              <w:jc w:val="right"/>
              <w:rPr>
                <w:rFonts w:ascii="Arial" w:hAnsi="Arial" w:cs="Arial"/>
                <w:bCs/>
                <w:sz w:val="16"/>
                <w:szCs w:val="16"/>
              </w:rPr>
            </w:pPr>
            <w:r w:rsidRPr="001A310F">
              <w:rPr>
                <w:rFonts w:ascii="Arial" w:hAnsi="Arial" w:cs="Arial"/>
                <w:bCs/>
                <w:sz w:val="16"/>
                <w:szCs w:val="16"/>
              </w:rPr>
              <w:t>-</w:t>
            </w:r>
          </w:p>
        </w:tc>
        <w:tc>
          <w:tcPr>
            <w:tcW w:w="572" w:type="pct"/>
            <w:tcBorders>
              <w:left w:val="nil"/>
              <w:bottom w:val="single" w:sz="4" w:space="0" w:color="auto"/>
              <w:right w:val="nil"/>
            </w:tcBorders>
            <w:shd w:val="clear" w:color="auto" w:fill="auto"/>
            <w:noWrap/>
            <w:vAlign w:val="bottom"/>
          </w:tcPr>
          <w:p w14:paraId="464D7665" w14:textId="77777777" w:rsidR="001C0F49" w:rsidRPr="001A310F" w:rsidRDefault="001C0F49" w:rsidP="00293BD0">
            <w:pPr>
              <w:spacing w:after="0" w:line="240" w:lineRule="auto"/>
              <w:jc w:val="right"/>
              <w:rPr>
                <w:rFonts w:ascii="Arial" w:hAnsi="Arial" w:cs="Arial"/>
                <w:bCs/>
                <w:sz w:val="16"/>
                <w:szCs w:val="16"/>
              </w:rPr>
            </w:pPr>
            <w:r w:rsidRPr="001A310F">
              <w:rPr>
                <w:rFonts w:ascii="Arial" w:hAnsi="Arial" w:cs="Arial"/>
                <w:bCs/>
                <w:sz w:val="16"/>
                <w:szCs w:val="16"/>
              </w:rPr>
              <w:t>-</w:t>
            </w:r>
          </w:p>
        </w:tc>
        <w:tc>
          <w:tcPr>
            <w:tcW w:w="571" w:type="pct"/>
            <w:tcBorders>
              <w:left w:val="nil"/>
              <w:bottom w:val="single" w:sz="4" w:space="0" w:color="auto"/>
              <w:right w:val="nil"/>
            </w:tcBorders>
            <w:shd w:val="clear" w:color="auto" w:fill="auto"/>
            <w:noWrap/>
            <w:vAlign w:val="bottom"/>
          </w:tcPr>
          <w:p w14:paraId="24C3D01C" w14:textId="77777777" w:rsidR="001C0F49" w:rsidRPr="001A310F" w:rsidRDefault="001C0F49" w:rsidP="00293BD0">
            <w:pPr>
              <w:spacing w:after="0" w:line="240" w:lineRule="auto"/>
              <w:jc w:val="right"/>
              <w:rPr>
                <w:rFonts w:ascii="Arial" w:hAnsi="Arial" w:cs="Arial"/>
                <w:bCs/>
                <w:sz w:val="16"/>
                <w:szCs w:val="16"/>
              </w:rPr>
            </w:pPr>
            <w:r w:rsidRPr="001A310F">
              <w:rPr>
                <w:rFonts w:ascii="Arial" w:hAnsi="Arial" w:cs="Arial"/>
                <w:bCs/>
                <w:sz w:val="16"/>
                <w:szCs w:val="16"/>
              </w:rPr>
              <w:t>-</w:t>
            </w:r>
          </w:p>
        </w:tc>
      </w:tr>
      <w:tr w:rsidR="001C0F49" w:rsidRPr="00011FDA" w14:paraId="753FB07C" w14:textId="77777777" w:rsidTr="009C12D1">
        <w:trPr>
          <w:trHeight w:val="204"/>
        </w:trPr>
        <w:tc>
          <w:tcPr>
            <w:tcW w:w="2110" w:type="pct"/>
            <w:tcBorders>
              <w:top w:val="nil"/>
              <w:left w:val="nil"/>
              <w:bottom w:val="nil"/>
              <w:right w:val="nil"/>
            </w:tcBorders>
            <w:shd w:val="clear" w:color="auto" w:fill="auto"/>
            <w:noWrap/>
            <w:vAlign w:val="bottom"/>
            <w:hideMark/>
          </w:tcPr>
          <w:p w14:paraId="116429AB"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Total own-source income</w:t>
            </w:r>
          </w:p>
        </w:tc>
        <w:tc>
          <w:tcPr>
            <w:tcW w:w="605" w:type="pct"/>
            <w:tcBorders>
              <w:top w:val="single" w:sz="4" w:space="0" w:color="auto"/>
              <w:left w:val="nil"/>
              <w:bottom w:val="single" w:sz="4" w:space="0" w:color="auto"/>
              <w:right w:val="nil"/>
            </w:tcBorders>
            <w:shd w:val="clear" w:color="auto" w:fill="auto"/>
            <w:noWrap/>
            <w:vAlign w:val="bottom"/>
            <w:hideMark/>
          </w:tcPr>
          <w:p w14:paraId="4A9F4256"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14,</w:t>
            </w:r>
            <w:r>
              <w:rPr>
                <w:rFonts w:ascii="Arial" w:hAnsi="Arial" w:cs="Arial"/>
                <w:b/>
                <w:bCs/>
                <w:sz w:val="16"/>
                <w:szCs w:val="16"/>
              </w:rPr>
              <w:t>432</w:t>
            </w:r>
          </w:p>
        </w:tc>
        <w:tc>
          <w:tcPr>
            <w:tcW w:w="571" w:type="pct"/>
            <w:tcBorders>
              <w:top w:val="single" w:sz="4" w:space="0" w:color="auto"/>
              <w:left w:val="nil"/>
              <w:bottom w:val="single" w:sz="4" w:space="0" w:color="auto"/>
              <w:right w:val="nil"/>
            </w:tcBorders>
            <w:shd w:val="clear" w:color="auto" w:fill="E6E6E6"/>
            <w:noWrap/>
            <w:vAlign w:val="bottom"/>
            <w:hideMark/>
          </w:tcPr>
          <w:p w14:paraId="5AC0C671"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8,780</w:t>
            </w:r>
          </w:p>
        </w:tc>
        <w:tc>
          <w:tcPr>
            <w:tcW w:w="572" w:type="pct"/>
            <w:tcBorders>
              <w:top w:val="single" w:sz="4" w:space="0" w:color="auto"/>
              <w:left w:val="nil"/>
              <w:bottom w:val="single" w:sz="4" w:space="0" w:color="auto"/>
              <w:right w:val="nil"/>
            </w:tcBorders>
            <w:shd w:val="clear" w:color="auto" w:fill="auto"/>
            <w:noWrap/>
            <w:vAlign w:val="bottom"/>
            <w:hideMark/>
          </w:tcPr>
          <w:p w14:paraId="3089B7CA"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8,557</w:t>
            </w:r>
          </w:p>
        </w:tc>
        <w:tc>
          <w:tcPr>
            <w:tcW w:w="572" w:type="pct"/>
            <w:tcBorders>
              <w:top w:val="single" w:sz="4" w:space="0" w:color="auto"/>
              <w:left w:val="nil"/>
              <w:bottom w:val="single" w:sz="4" w:space="0" w:color="auto"/>
              <w:right w:val="nil"/>
            </w:tcBorders>
            <w:shd w:val="clear" w:color="auto" w:fill="auto"/>
            <w:noWrap/>
            <w:vAlign w:val="bottom"/>
            <w:hideMark/>
          </w:tcPr>
          <w:p w14:paraId="2E5C98F3"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11,195</w:t>
            </w:r>
          </w:p>
        </w:tc>
        <w:tc>
          <w:tcPr>
            <w:tcW w:w="571" w:type="pct"/>
            <w:tcBorders>
              <w:top w:val="single" w:sz="4" w:space="0" w:color="auto"/>
              <w:left w:val="nil"/>
              <w:bottom w:val="single" w:sz="4" w:space="0" w:color="auto"/>
              <w:right w:val="nil"/>
            </w:tcBorders>
            <w:shd w:val="clear" w:color="auto" w:fill="auto"/>
            <w:noWrap/>
            <w:vAlign w:val="bottom"/>
            <w:hideMark/>
          </w:tcPr>
          <w:p w14:paraId="31647094" w14:textId="77777777" w:rsidR="001C0F49" w:rsidRPr="009F6962" w:rsidRDefault="001C0F49" w:rsidP="00293BD0">
            <w:pPr>
              <w:spacing w:after="0" w:line="240" w:lineRule="auto"/>
              <w:jc w:val="right"/>
              <w:rPr>
                <w:rFonts w:ascii="Arial" w:hAnsi="Arial" w:cs="Arial"/>
                <w:b/>
                <w:bCs/>
                <w:sz w:val="16"/>
                <w:szCs w:val="16"/>
              </w:rPr>
            </w:pPr>
            <w:r w:rsidRPr="006A59C7">
              <w:rPr>
                <w:rFonts w:ascii="Arial" w:hAnsi="Arial" w:cs="Arial"/>
                <w:b/>
                <w:bCs/>
                <w:sz w:val="16"/>
                <w:szCs w:val="16"/>
              </w:rPr>
              <w:t>11,407</w:t>
            </w:r>
          </w:p>
        </w:tc>
      </w:tr>
      <w:tr w:rsidR="001C0F49" w:rsidRPr="00011FDA" w14:paraId="2FE82969" w14:textId="77777777" w:rsidTr="009C12D1">
        <w:trPr>
          <w:trHeight w:val="204"/>
        </w:trPr>
        <w:tc>
          <w:tcPr>
            <w:tcW w:w="2110" w:type="pct"/>
            <w:tcBorders>
              <w:top w:val="nil"/>
              <w:left w:val="nil"/>
              <w:bottom w:val="nil"/>
              <w:right w:val="nil"/>
            </w:tcBorders>
            <w:shd w:val="clear" w:color="auto" w:fill="auto"/>
            <w:vAlign w:val="bottom"/>
            <w:hideMark/>
          </w:tcPr>
          <w:p w14:paraId="27627345" w14:textId="77777777" w:rsidR="001C0F49" w:rsidRPr="00011FDA" w:rsidRDefault="001C0F49" w:rsidP="00293BD0">
            <w:pPr>
              <w:spacing w:after="0" w:line="240" w:lineRule="auto"/>
              <w:rPr>
                <w:rFonts w:ascii="Arial" w:hAnsi="Arial" w:cs="Arial"/>
                <w:b/>
                <w:bCs/>
                <w:color w:val="000000"/>
                <w:sz w:val="16"/>
                <w:szCs w:val="16"/>
              </w:rPr>
            </w:pPr>
            <w:r w:rsidRPr="00011FDA">
              <w:rPr>
                <w:rFonts w:ascii="Arial" w:hAnsi="Arial" w:cs="Arial"/>
                <w:b/>
                <w:bCs/>
                <w:color w:val="000000"/>
                <w:sz w:val="16"/>
                <w:szCs w:val="16"/>
              </w:rPr>
              <w:t>Net (cost of)/contribution by services</w:t>
            </w:r>
          </w:p>
        </w:tc>
        <w:tc>
          <w:tcPr>
            <w:tcW w:w="605" w:type="pct"/>
            <w:tcBorders>
              <w:top w:val="nil"/>
              <w:left w:val="nil"/>
              <w:bottom w:val="single" w:sz="4" w:space="0" w:color="auto"/>
              <w:right w:val="nil"/>
            </w:tcBorders>
            <w:shd w:val="clear" w:color="auto" w:fill="auto"/>
            <w:noWrap/>
            <w:vAlign w:val="bottom"/>
            <w:hideMark/>
          </w:tcPr>
          <w:p w14:paraId="06ECD90A"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43,668</w:t>
            </w:r>
            <w:r w:rsidRPr="009F6962">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474F063C"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(51,278)</w:t>
            </w:r>
          </w:p>
        </w:tc>
        <w:tc>
          <w:tcPr>
            <w:tcW w:w="572" w:type="pct"/>
            <w:tcBorders>
              <w:top w:val="nil"/>
              <w:left w:val="nil"/>
              <w:bottom w:val="single" w:sz="4" w:space="0" w:color="auto"/>
              <w:right w:val="nil"/>
            </w:tcBorders>
            <w:shd w:val="clear" w:color="auto" w:fill="auto"/>
            <w:noWrap/>
            <w:vAlign w:val="bottom"/>
            <w:hideMark/>
          </w:tcPr>
          <w:p w14:paraId="3DAF0F14"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(4</w:t>
            </w:r>
            <w:r>
              <w:rPr>
                <w:rFonts w:ascii="Arial" w:hAnsi="Arial" w:cs="Arial"/>
                <w:b/>
                <w:bCs/>
                <w:sz w:val="16"/>
                <w:szCs w:val="16"/>
              </w:rPr>
              <w:t>3,719</w:t>
            </w:r>
            <w:r w:rsidRPr="009F6962">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7FE23F97"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(4</w:t>
            </w:r>
            <w:r>
              <w:rPr>
                <w:rFonts w:ascii="Arial" w:hAnsi="Arial" w:cs="Arial"/>
                <w:b/>
                <w:bCs/>
                <w:sz w:val="16"/>
                <w:szCs w:val="16"/>
              </w:rPr>
              <w:t>4,070</w:t>
            </w:r>
            <w:r w:rsidRPr="009F6962">
              <w:rPr>
                <w:rFonts w:ascii="Arial" w:hAnsi="Arial" w:cs="Arial"/>
                <w:b/>
                <w:bCs/>
                <w:sz w:val="16"/>
                <w:szCs w:val="16"/>
              </w:rPr>
              <w:t>)</w:t>
            </w:r>
          </w:p>
        </w:tc>
        <w:tc>
          <w:tcPr>
            <w:tcW w:w="571" w:type="pct"/>
            <w:tcBorders>
              <w:top w:val="nil"/>
              <w:left w:val="nil"/>
              <w:bottom w:val="single" w:sz="4" w:space="0" w:color="auto"/>
              <w:right w:val="nil"/>
            </w:tcBorders>
            <w:shd w:val="clear" w:color="auto" w:fill="auto"/>
            <w:noWrap/>
            <w:vAlign w:val="bottom"/>
            <w:hideMark/>
          </w:tcPr>
          <w:p w14:paraId="25AE6F14"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(4</w:t>
            </w:r>
            <w:r>
              <w:rPr>
                <w:rFonts w:ascii="Arial" w:hAnsi="Arial" w:cs="Arial"/>
                <w:b/>
                <w:bCs/>
                <w:sz w:val="16"/>
                <w:szCs w:val="16"/>
              </w:rPr>
              <w:t>4,261</w:t>
            </w:r>
            <w:r w:rsidRPr="009F6962">
              <w:rPr>
                <w:rFonts w:ascii="Arial" w:hAnsi="Arial" w:cs="Arial"/>
                <w:b/>
                <w:bCs/>
                <w:sz w:val="16"/>
                <w:szCs w:val="16"/>
              </w:rPr>
              <w:t>)</w:t>
            </w:r>
          </w:p>
        </w:tc>
      </w:tr>
      <w:tr w:rsidR="001C0F49" w:rsidRPr="00011FDA" w14:paraId="4684A6C2" w14:textId="77777777" w:rsidTr="009C12D1">
        <w:trPr>
          <w:trHeight w:val="204"/>
        </w:trPr>
        <w:tc>
          <w:tcPr>
            <w:tcW w:w="2110" w:type="pct"/>
            <w:tcBorders>
              <w:top w:val="nil"/>
              <w:left w:val="nil"/>
              <w:bottom w:val="nil"/>
              <w:right w:val="nil"/>
            </w:tcBorders>
            <w:shd w:val="clear" w:color="auto" w:fill="auto"/>
            <w:noWrap/>
            <w:vAlign w:val="bottom"/>
            <w:hideMark/>
          </w:tcPr>
          <w:p w14:paraId="78895E22" w14:textId="77777777" w:rsidR="001C0F49" w:rsidRPr="00011FDA" w:rsidRDefault="001C0F49" w:rsidP="00293BD0">
            <w:pPr>
              <w:spacing w:after="0" w:line="240" w:lineRule="auto"/>
              <w:ind w:left="113"/>
              <w:rPr>
                <w:rFonts w:ascii="Arial" w:hAnsi="Arial" w:cs="Arial"/>
                <w:sz w:val="16"/>
                <w:szCs w:val="16"/>
              </w:rPr>
            </w:pPr>
            <w:r w:rsidRPr="00011FDA">
              <w:rPr>
                <w:rFonts w:ascii="Arial" w:hAnsi="Arial" w:cs="Arial"/>
                <w:sz w:val="16"/>
                <w:szCs w:val="16"/>
              </w:rPr>
              <w:t>Revenue from Government</w:t>
            </w:r>
          </w:p>
        </w:tc>
        <w:tc>
          <w:tcPr>
            <w:tcW w:w="605" w:type="pct"/>
            <w:tcBorders>
              <w:top w:val="nil"/>
              <w:left w:val="nil"/>
              <w:bottom w:val="single" w:sz="4" w:space="0" w:color="auto"/>
              <w:right w:val="nil"/>
            </w:tcBorders>
            <w:shd w:val="clear" w:color="auto" w:fill="auto"/>
            <w:noWrap/>
            <w:vAlign w:val="bottom"/>
            <w:hideMark/>
          </w:tcPr>
          <w:p w14:paraId="48ED3902"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41,383</w:t>
            </w:r>
          </w:p>
        </w:tc>
        <w:tc>
          <w:tcPr>
            <w:tcW w:w="571" w:type="pct"/>
            <w:tcBorders>
              <w:top w:val="nil"/>
              <w:left w:val="nil"/>
              <w:bottom w:val="single" w:sz="4" w:space="0" w:color="auto"/>
              <w:right w:val="nil"/>
            </w:tcBorders>
            <w:shd w:val="clear" w:color="auto" w:fill="E6E6E6"/>
            <w:noWrap/>
            <w:vAlign w:val="bottom"/>
            <w:hideMark/>
          </w:tcPr>
          <w:p w14:paraId="4FB0E8E7"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50,912</w:t>
            </w:r>
          </w:p>
        </w:tc>
        <w:tc>
          <w:tcPr>
            <w:tcW w:w="572" w:type="pct"/>
            <w:tcBorders>
              <w:top w:val="nil"/>
              <w:left w:val="nil"/>
              <w:bottom w:val="single" w:sz="4" w:space="0" w:color="auto"/>
              <w:right w:val="nil"/>
            </w:tcBorders>
            <w:shd w:val="clear" w:color="auto" w:fill="auto"/>
            <w:noWrap/>
            <w:vAlign w:val="bottom"/>
            <w:hideMark/>
          </w:tcPr>
          <w:p w14:paraId="50E3C454" w14:textId="77777777" w:rsidR="001C0F49" w:rsidRPr="009F6962" w:rsidRDefault="001C0F49" w:rsidP="00293BD0">
            <w:pPr>
              <w:spacing w:after="0" w:line="240" w:lineRule="auto"/>
              <w:jc w:val="right"/>
              <w:rPr>
                <w:rFonts w:ascii="Arial" w:hAnsi="Arial" w:cs="Arial"/>
                <w:sz w:val="16"/>
                <w:szCs w:val="16"/>
              </w:rPr>
            </w:pPr>
            <w:r w:rsidRPr="009F6962">
              <w:rPr>
                <w:rFonts w:ascii="Arial" w:hAnsi="Arial" w:cs="Arial"/>
                <w:sz w:val="16"/>
                <w:szCs w:val="16"/>
              </w:rPr>
              <w:t>3</w:t>
            </w:r>
            <w:r>
              <w:rPr>
                <w:rFonts w:ascii="Arial" w:hAnsi="Arial" w:cs="Arial"/>
                <w:sz w:val="16"/>
                <w:szCs w:val="16"/>
              </w:rPr>
              <w:t>9,687</w:t>
            </w:r>
          </w:p>
        </w:tc>
        <w:tc>
          <w:tcPr>
            <w:tcW w:w="572" w:type="pct"/>
            <w:tcBorders>
              <w:top w:val="nil"/>
              <w:left w:val="nil"/>
              <w:bottom w:val="single" w:sz="4" w:space="0" w:color="auto"/>
              <w:right w:val="nil"/>
            </w:tcBorders>
            <w:shd w:val="clear" w:color="auto" w:fill="auto"/>
            <w:noWrap/>
            <w:vAlign w:val="bottom"/>
            <w:hideMark/>
          </w:tcPr>
          <w:p w14:paraId="4CEF9F42" w14:textId="77777777" w:rsidR="001C0F49" w:rsidRPr="009F6962" w:rsidRDefault="001C0F49" w:rsidP="00293BD0">
            <w:pPr>
              <w:spacing w:after="0" w:line="240" w:lineRule="auto"/>
              <w:jc w:val="right"/>
              <w:rPr>
                <w:rFonts w:ascii="Arial" w:hAnsi="Arial" w:cs="Arial"/>
                <w:sz w:val="16"/>
                <w:szCs w:val="16"/>
              </w:rPr>
            </w:pPr>
            <w:r>
              <w:rPr>
                <w:rFonts w:ascii="Arial" w:hAnsi="Arial" w:cs="Arial"/>
                <w:sz w:val="16"/>
                <w:szCs w:val="16"/>
              </w:rPr>
              <w:t>39,982</w:t>
            </w:r>
          </w:p>
        </w:tc>
        <w:tc>
          <w:tcPr>
            <w:tcW w:w="571" w:type="pct"/>
            <w:tcBorders>
              <w:top w:val="nil"/>
              <w:left w:val="nil"/>
              <w:bottom w:val="single" w:sz="4" w:space="0" w:color="auto"/>
              <w:right w:val="nil"/>
            </w:tcBorders>
            <w:shd w:val="clear" w:color="auto" w:fill="auto"/>
            <w:noWrap/>
            <w:vAlign w:val="bottom"/>
            <w:hideMark/>
          </w:tcPr>
          <w:p w14:paraId="1FBD9187" w14:textId="77777777" w:rsidR="001C0F49" w:rsidRPr="009F6962" w:rsidRDefault="001C0F49" w:rsidP="00293BD0">
            <w:pPr>
              <w:spacing w:after="0" w:line="240" w:lineRule="auto"/>
              <w:jc w:val="right"/>
              <w:rPr>
                <w:rFonts w:ascii="Arial" w:hAnsi="Arial" w:cs="Arial"/>
                <w:sz w:val="16"/>
                <w:szCs w:val="16"/>
              </w:rPr>
            </w:pPr>
            <w:r>
              <w:rPr>
                <w:rFonts w:ascii="Arial" w:hAnsi="Arial" w:cs="Arial"/>
                <w:sz w:val="16"/>
                <w:szCs w:val="16"/>
              </w:rPr>
              <w:t>40,144</w:t>
            </w:r>
          </w:p>
        </w:tc>
      </w:tr>
      <w:tr w:rsidR="001C0F49" w:rsidRPr="00011FDA" w14:paraId="197E4CDC" w14:textId="77777777" w:rsidTr="009C12D1">
        <w:trPr>
          <w:trHeight w:val="204"/>
        </w:trPr>
        <w:tc>
          <w:tcPr>
            <w:tcW w:w="2110" w:type="pct"/>
            <w:tcBorders>
              <w:top w:val="nil"/>
              <w:left w:val="nil"/>
              <w:bottom w:val="nil"/>
              <w:right w:val="nil"/>
            </w:tcBorders>
            <w:shd w:val="clear" w:color="auto" w:fill="auto"/>
            <w:vAlign w:val="bottom"/>
            <w:hideMark/>
          </w:tcPr>
          <w:p w14:paraId="69FE3B96"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Surplus/(deficit)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5940E4E6" w14:textId="75727391" w:rsidR="001C0F49" w:rsidRPr="00BC3866" w:rsidRDefault="001C0F49" w:rsidP="00293BD0">
            <w:pPr>
              <w:spacing w:after="0" w:line="240" w:lineRule="auto"/>
              <w:jc w:val="right"/>
              <w:rPr>
                <w:rFonts w:ascii="Arial" w:hAnsi="Arial" w:cs="Arial"/>
                <w:b/>
                <w:bCs/>
                <w:sz w:val="16"/>
                <w:szCs w:val="16"/>
              </w:rPr>
            </w:pPr>
            <w:r w:rsidRPr="00BC3866">
              <w:rPr>
                <w:rFonts w:ascii="Arial" w:hAnsi="Arial" w:cs="Arial"/>
                <w:b/>
                <w:bCs/>
                <w:sz w:val="16"/>
                <w:szCs w:val="16"/>
              </w:rPr>
              <w:t>(</w:t>
            </w:r>
            <w:r w:rsidR="00BC3866" w:rsidRPr="00BC3866">
              <w:rPr>
                <w:rFonts w:ascii="Arial" w:hAnsi="Arial" w:cs="Arial"/>
                <w:b/>
                <w:bCs/>
                <w:sz w:val="16"/>
                <w:szCs w:val="16"/>
              </w:rPr>
              <w:t>2,285</w:t>
            </w:r>
            <w:r w:rsidRPr="00BC3866">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299A2B9D"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572" w:type="pct"/>
            <w:tcBorders>
              <w:top w:val="nil"/>
              <w:left w:val="nil"/>
              <w:bottom w:val="single" w:sz="4" w:space="0" w:color="auto"/>
              <w:right w:val="nil"/>
            </w:tcBorders>
            <w:shd w:val="clear" w:color="auto" w:fill="auto"/>
            <w:noWrap/>
            <w:vAlign w:val="bottom"/>
            <w:hideMark/>
          </w:tcPr>
          <w:p w14:paraId="1A87FAA2"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4,032</w:t>
            </w:r>
            <w:r w:rsidRPr="009F6962">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6DA6CF19"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4,088)</w:t>
            </w:r>
          </w:p>
        </w:tc>
        <w:tc>
          <w:tcPr>
            <w:tcW w:w="571" w:type="pct"/>
            <w:tcBorders>
              <w:top w:val="nil"/>
              <w:left w:val="nil"/>
              <w:bottom w:val="single" w:sz="4" w:space="0" w:color="auto"/>
              <w:right w:val="nil"/>
            </w:tcBorders>
            <w:shd w:val="clear" w:color="auto" w:fill="auto"/>
            <w:noWrap/>
            <w:vAlign w:val="bottom"/>
            <w:hideMark/>
          </w:tcPr>
          <w:p w14:paraId="3363DF67"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4,117)</w:t>
            </w:r>
          </w:p>
        </w:tc>
      </w:tr>
      <w:tr w:rsidR="001C0F49" w:rsidRPr="00011FDA" w14:paraId="76523434" w14:textId="77777777" w:rsidTr="009C12D1">
        <w:trPr>
          <w:trHeight w:val="204"/>
        </w:trPr>
        <w:tc>
          <w:tcPr>
            <w:tcW w:w="2110" w:type="pct"/>
            <w:tcBorders>
              <w:top w:val="nil"/>
              <w:left w:val="nil"/>
              <w:bottom w:val="nil"/>
              <w:right w:val="nil"/>
            </w:tcBorders>
            <w:shd w:val="clear" w:color="auto" w:fill="auto"/>
            <w:noWrap/>
            <w:vAlign w:val="bottom"/>
            <w:hideMark/>
          </w:tcPr>
          <w:p w14:paraId="1D57509E"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OTHER COMPREHENSIVE INCOME</w:t>
            </w:r>
          </w:p>
        </w:tc>
        <w:tc>
          <w:tcPr>
            <w:tcW w:w="605" w:type="pct"/>
            <w:tcBorders>
              <w:top w:val="single" w:sz="4" w:space="0" w:color="auto"/>
              <w:left w:val="nil"/>
              <w:right w:val="nil"/>
            </w:tcBorders>
            <w:shd w:val="clear" w:color="auto" w:fill="auto"/>
            <w:noWrap/>
            <w:vAlign w:val="bottom"/>
            <w:hideMark/>
          </w:tcPr>
          <w:p w14:paraId="39BC75D2" w14:textId="77777777" w:rsidR="001C0F49" w:rsidRPr="009F6962" w:rsidRDefault="001C0F49" w:rsidP="00293BD0">
            <w:pPr>
              <w:spacing w:after="0" w:line="240" w:lineRule="auto"/>
              <w:jc w:val="right"/>
              <w:rPr>
                <w:rFonts w:ascii="Arial" w:hAnsi="Arial" w:cs="Arial"/>
                <w:b/>
                <w:bCs/>
                <w:sz w:val="16"/>
                <w:szCs w:val="16"/>
              </w:rPr>
            </w:pPr>
          </w:p>
        </w:tc>
        <w:tc>
          <w:tcPr>
            <w:tcW w:w="571" w:type="pct"/>
            <w:tcBorders>
              <w:top w:val="single" w:sz="4" w:space="0" w:color="auto"/>
              <w:left w:val="nil"/>
              <w:right w:val="nil"/>
            </w:tcBorders>
            <w:shd w:val="clear" w:color="auto" w:fill="E6E6E6"/>
            <w:noWrap/>
            <w:vAlign w:val="bottom"/>
            <w:hideMark/>
          </w:tcPr>
          <w:p w14:paraId="0E00CA84"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single" w:sz="4" w:space="0" w:color="auto"/>
              <w:left w:val="nil"/>
              <w:right w:val="nil"/>
            </w:tcBorders>
            <w:shd w:val="clear" w:color="auto" w:fill="auto"/>
            <w:noWrap/>
            <w:vAlign w:val="bottom"/>
            <w:hideMark/>
          </w:tcPr>
          <w:p w14:paraId="4F65D988" w14:textId="77777777" w:rsidR="001C0F49" w:rsidRPr="009F6962" w:rsidRDefault="001C0F49" w:rsidP="00293BD0">
            <w:pPr>
              <w:spacing w:after="0" w:line="240" w:lineRule="auto"/>
              <w:jc w:val="right"/>
              <w:rPr>
                <w:rFonts w:ascii="Arial" w:hAnsi="Arial" w:cs="Arial"/>
                <w:b/>
                <w:bCs/>
                <w:sz w:val="16"/>
                <w:szCs w:val="16"/>
              </w:rPr>
            </w:pPr>
          </w:p>
        </w:tc>
        <w:tc>
          <w:tcPr>
            <w:tcW w:w="572" w:type="pct"/>
            <w:tcBorders>
              <w:top w:val="single" w:sz="4" w:space="0" w:color="auto"/>
              <w:left w:val="nil"/>
              <w:right w:val="nil"/>
            </w:tcBorders>
            <w:shd w:val="clear" w:color="auto" w:fill="auto"/>
            <w:noWrap/>
            <w:vAlign w:val="bottom"/>
            <w:hideMark/>
          </w:tcPr>
          <w:p w14:paraId="11571D5C" w14:textId="77777777" w:rsidR="001C0F49" w:rsidRPr="009F6962" w:rsidRDefault="001C0F49" w:rsidP="00293BD0">
            <w:pPr>
              <w:spacing w:after="0" w:line="240" w:lineRule="auto"/>
              <w:jc w:val="right"/>
              <w:rPr>
                <w:rFonts w:ascii="Times New Roman" w:hAnsi="Times New Roman"/>
                <w:sz w:val="16"/>
                <w:szCs w:val="16"/>
              </w:rPr>
            </w:pPr>
          </w:p>
        </w:tc>
        <w:tc>
          <w:tcPr>
            <w:tcW w:w="571" w:type="pct"/>
            <w:tcBorders>
              <w:top w:val="single" w:sz="4" w:space="0" w:color="auto"/>
              <w:left w:val="nil"/>
              <w:right w:val="nil"/>
            </w:tcBorders>
            <w:shd w:val="clear" w:color="auto" w:fill="auto"/>
            <w:noWrap/>
            <w:vAlign w:val="bottom"/>
            <w:hideMark/>
          </w:tcPr>
          <w:p w14:paraId="560E1BED" w14:textId="77777777" w:rsidR="001C0F49" w:rsidRPr="009F6962" w:rsidRDefault="001C0F49" w:rsidP="00293BD0">
            <w:pPr>
              <w:spacing w:after="0" w:line="240" w:lineRule="auto"/>
              <w:jc w:val="right"/>
              <w:rPr>
                <w:rFonts w:ascii="Times New Roman" w:hAnsi="Times New Roman"/>
                <w:sz w:val="16"/>
                <w:szCs w:val="16"/>
              </w:rPr>
            </w:pPr>
          </w:p>
        </w:tc>
      </w:tr>
      <w:tr w:rsidR="001C0F49" w:rsidRPr="00011FDA" w14:paraId="0BE2B58B" w14:textId="77777777" w:rsidTr="009C12D1">
        <w:trPr>
          <w:trHeight w:val="204"/>
        </w:trPr>
        <w:tc>
          <w:tcPr>
            <w:tcW w:w="2110" w:type="pct"/>
            <w:tcBorders>
              <w:top w:val="nil"/>
              <w:left w:val="nil"/>
              <w:bottom w:val="nil"/>
              <w:right w:val="nil"/>
            </w:tcBorders>
            <w:shd w:val="clear" w:color="auto" w:fill="auto"/>
            <w:noWrap/>
            <w:vAlign w:val="bottom"/>
          </w:tcPr>
          <w:p w14:paraId="4AA99850" w14:textId="77777777" w:rsidR="001C0F49" w:rsidRPr="001A310F" w:rsidRDefault="001C0F49" w:rsidP="00293BD0">
            <w:pPr>
              <w:spacing w:after="0" w:line="240" w:lineRule="auto"/>
              <w:ind w:left="179"/>
              <w:rPr>
                <w:rFonts w:ascii="Arial" w:hAnsi="Arial" w:cs="Arial"/>
                <w:bCs/>
                <w:sz w:val="16"/>
                <w:szCs w:val="16"/>
              </w:rPr>
            </w:pPr>
            <w:r w:rsidRPr="001A310F">
              <w:rPr>
                <w:rFonts w:ascii="Arial" w:hAnsi="Arial" w:cs="Arial"/>
                <w:bCs/>
                <w:sz w:val="16"/>
                <w:szCs w:val="16"/>
              </w:rPr>
              <w:t>Changes in asset revaluation surplus</w:t>
            </w:r>
          </w:p>
        </w:tc>
        <w:tc>
          <w:tcPr>
            <w:tcW w:w="605" w:type="pct"/>
            <w:tcBorders>
              <w:left w:val="nil"/>
              <w:bottom w:val="single" w:sz="4" w:space="0" w:color="auto"/>
              <w:right w:val="nil"/>
            </w:tcBorders>
            <w:shd w:val="clear" w:color="auto" w:fill="auto"/>
            <w:noWrap/>
            <w:vAlign w:val="bottom"/>
          </w:tcPr>
          <w:p w14:paraId="674524C7" w14:textId="77777777" w:rsidR="001C0F49" w:rsidRPr="001A310F" w:rsidRDefault="001C0F49" w:rsidP="00293BD0">
            <w:pPr>
              <w:spacing w:after="0" w:line="240" w:lineRule="auto"/>
              <w:jc w:val="right"/>
              <w:rPr>
                <w:rFonts w:ascii="Arial" w:hAnsi="Arial" w:cs="Arial"/>
                <w:bCs/>
                <w:sz w:val="16"/>
                <w:szCs w:val="16"/>
              </w:rPr>
            </w:pPr>
            <w:r>
              <w:rPr>
                <w:rFonts w:ascii="Arial" w:hAnsi="Arial" w:cs="Arial"/>
                <w:bCs/>
                <w:sz w:val="16"/>
                <w:szCs w:val="16"/>
              </w:rPr>
              <w:t>1,205</w:t>
            </w:r>
          </w:p>
        </w:tc>
        <w:tc>
          <w:tcPr>
            <w:tcW w:w="571" w:type="pct"/>
            <w:tcBorders>
              <w:left w:val="nil"/>
              <w:bottom w:val="single" w:sz="4" w:space="0" w:color="auto"/>
              <w:right w:val="nil"/>
            </w:tcBorders>
            <w:shd w:val="clear" w:color="auto" w:fill="E6E6E6"/>
            <w:noWrap/>
            <w:vAlign w:val="bottom"/>
          </w:tcPr>
          <w:p w14:paraId="62A0DFD3"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left w:val="nil"/>
              <w:bottom w:val="single" w:sz="4" w:space="0" w:color="auto"/>
              <w:right w:val="nil"/>
            </w:tcBorders>
            <w:shd w:val="clear" w:color="auto" w:fill="auto"/>
            <w:noWrap/>
            <w:vAlign w:val="bottom"/>
          </w:tcPr>
          <w:p w14:paraId="50B79351"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left w:val="nil"/>
              <w:bottom w:val="single" w:sz="4" w:space="0" w:color="auto"/>
              <w:right w:val="nil"/>
            </w:tcBorders>
            <w:shd w:val="clear" w:color="auto" w:fill="auto"/>
            <w:noWrap/>
            <w:vAlign w:val="bottom"/>
          </w:tcPr>
          <w:p w14:paraId="2D9B7952" w14:textId="77777777" w:rsidR="001C0F49" w:rsidRPr="009F6962"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c>
          <w:tcPr>
            <w:tcW w:w="571" w:type="pct"/>
            <w:tcBorders>
              <w:left w:val="nil"/>
              <w:bottom w:val="single" w:sz="4" w:space="0" w:color="auto"/>
              <w:right w:val="nil"/>
            </w:tcBorders>
            <w:shd w:val="clear" w:color="auto" w:fill="auto"/>
            <w:noWrap/>
            <w:vAlign w:val="bottom"/>
          </w:tcPr>
          <w:p w14:paraId="408A1209" w14:textId="77777777" w:rsidR="001C0F49" w:rsidRPr="009F6962"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r>
      <w:tr w:rsidR="001C0F49" w:rsidRPr="00011FDA" w14:paraId="38B61B78" w14:textId="77777777" w:rsidTr="009C12D1">
        <w:trPr>
          <w:trHeight w:val="204"/>
        </w:trPr>
        <w:tc>
          <w:tcPr>
            <w:tcW w:w="2110" w:type="pct"/>
            <w:tcBorders>
              <w:top w:val="nil"/>
              <w:left w:val="nil"/>
              <w:bottom w:val="nil"/>
              <w:right w:val="nil"/>
            </w:tcBorders>
            <w:shd w:val="clear" w:color="auto" w:fill="auto"/>
            <w:noWrap/>
            <w:vAlign w:val="bottom"/>
          </w:tcPr>
          <w:p w14:paraId="135B59E9" w14:textId="77777777" w:rsidR="001C0F49" w:rsidRPr="00011FDA" w:rsidRDefault="001C0F49" w:rsidP="00293BD0">
            <w:pPr>
              <w:spacing w:after="0" w:line="240" w:lineRule="auto"/>
              <w:rPr>
                <w:rFonts w:ascii="Arial" w:hAnsi="Arial" w:cs="Arial"/>
                <w:b/>
                <w:bCs/>
                <w:sz w:val="16"/>
                <w:szCs w:val="16"/>
              </w:rPr>
            </w:pPr>
            <w:r>
              <w:rPr>
                <w:rFonts w:ascii="Arial" w:hAnsi="Arial" w:cs="Arial"/>
                <w:b/>
                <w:bCs/>
                <w:sz w:val="16"/>
                <w:szCs w:val="16"/>
              </w:rPr>
              <w:t>Total other comprehensive income</w:t>
            </w:r>
          </w:p>
        </w:tc>
        <w:tc>
          <w:tcPr>
            <w:tcW w:w="605" w:type="pct"/>
            <w:tcBorders>
              <w:top w:val="single" w:sz="4" w:space="0" w:color="auto"/>
              <w:left w:val="nil"/>
              <w:bottom w:val="single" w:sz="4" w:space="0" w:color="auto"/>
              <w:right w:val="nil"/>
            </w:tcBorders>
            <w:shd w:val="clear" w:color="auto" w:fill="auto"/>
            <w:noWrap/>
            <w:vAlign w:val="bottom"/>
          </w:tcPr>
          <w:p w14:paraId="3294ECE7"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1,205</w:t>
            </w:r>
          </w:p>
        </w:tc>
        <w:tc>
          <w:tcPr>
            <w:tcW w:w="571" w:type="pct"/>
            <w:tcBorders>
              <w:top w:val="single" w:sz="4" w:space="0" w:color="auto"/>
              <w:left w:val="nil"/>
              <w:bottom w:val="single" w:sz="4" w:space="0" w:color="auto"/>
              <w:right w:val="nil"/>
            </w:tcBorders>
            <w:shd w:val="clear" w:color="auto" w:fill="E6E6E6"/>
            <w:noWrap/>
            <w:vAlign w:val="bottom"/>
          </w:tcPr>
          <w:p w14:paraId="165128AC"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tcPr>
          <w:p w14:paraId="4291FE4A" w14:textId="77777777" w:rsidR="001C0F49" w:rsidRPr="009F6962" w:rsidRDefault="001C0F49" w:rsidP="00293BD0">
            <w:pPr>
              <w:spacing w:after="0" w:line="240" w:lineRule="auto"/>
              <w:jc w:val="right"/>
              <w:rPr>
                <w:rFonts w:ascii="Arial" w:hAnsi="Arial" w:cs="Arial"/>
                <w:b/>
                <w:bCs/>
                <w:sz w:val="16"/>
                <w:szCs w:val="16"/>
              </w:rPr>
            </w:pPr>
            <w:r>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tcPr>
          <w:p w14:paraId="75D5325F" w14:textId="77777777" w:rsidR="001C0F49" w:rsidRPr="009F6962"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c>
          <w:tcPr>
            <w:tcW w:w="571" w:type="pct"/>
            <w:tcBorders>
              <w:top w:val="single" w:sz="4" w:space="0" w:color="auto"/>
              <w:left w:val="nil"/>
              <w:bottom w:val="single" w:sz="4" w:space="0" w:color="auto"/>
              <w:right w:val="nil"/>
            </w:tcBorders>
            <w:shd w:val="clear" w:color="auto" w:fill="auto"/>
            <w:noWrap/>
            <w:vAlign w:val="bottom"/>
          </w:tcPr>
          <w:p w14:paraId="0EFA7062" w14:textId="77777777" w:rsidR="001C0F49" w:rsidRPr="009F6962" w:rsidRDefault="001C0F49" w:rsidP="00293BD0">
            <w:pPr>
              <w:spacing w:after="0" w:line="240" w:lineRule="auto"/>
              <w:jc w:val="right"/>
              <w:rPr>
                <w:rFonts w:ascii="Times New Roman" w:hAnsi="Times New Roman"/>
                <w:sz w:val="16"/>
                <w:szCs w:val="16"/>
              </w:rPr>
            </w:pPr>
            <w:r>
              <w:rPr>
                <w:rFonts w:ascii="Times New Roman" w:hAnsi="Times New Roman"/>
                <w:sz w:val="16"/>
                <w:szCs w:val="16"/>
              </w:rPr>
              <w:t>-</w:t>
            </w:r>
          </w:p>
        </w:tc>
      </w:tr>
      <w:tr w:rsidR="001C0F49" w:rsidRPr="00011FDA" w14:paraId="459E916F" w14:textId="77777777" w:rsidTr="009C12D1">
        <w:trPr>
          <w:trHeight w:val="204"/>
        </w:trPr>
        <w:tc>
          <w:tcPr>
            <w:tcW w:w="2110" w:type="pct"/>
            <w:tcBorders>
              <w:top w:val="nil"/>
              <w:left w:val="nil"/>
              <w:bottom w:val="nil"/>
              <w:right w:val="nil"/>
            </w:tcBorders>
            <w:shd w:val="clear" w:color="auto" w:fill="auto"/>
            <w:noWrap/>
            <w:vAlign w:val="bottom"/>
            <w:hideMark/>
          </w:tcPr>
          <w:p w14:paraId="3D48A974"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Total comprehensive income/(loss)</w:t>
            </w:r>
          </w:p>
        </w:tc>
        <w:tc>
          <w:tcPr>
            <w:tcW w:w="605" w:type="pct"/>
            <w:tcBorders>
              <w:top w:val="single" w:sz="4" w:space="0" w:color="auto"/>
              <w:left w:val="nil"/>
              <w:bottom w:val="single" w:sz="4" w:space="0" w:color="auto"/>
              <w:right w:val="nil"/>
            </w:tcBorders>
            <w:shd w:val="clear" w:color="auto" w:fill="auto"/>
            <w:noWrap/>
            <w:vAlign w:val="bottom"/>
            <w:hideMark/>
          </w:tcPr>
          <w:p w14:paraId="27999F55"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1,080</w:t>
            </w:r>
            <w:r w:rsidRPr="009F6962">
              <w:rPr>
                <w:rFonts w:ascii="Arial" w:hAnsi="Arial" w:cs="Arial"/>
                <w:b/>
                <w:bCs/>
                <w:sz w:val="16"/>
                <w:szCs w:val="16"/>
              </w:rPr>
              <w:t>)</w:t>
            </w:r>
          </w:p>
        </w:tc>
        <w:tc>
          <w:tcPr>
            <w:tcW w:w="571" w:type="pct"/>
            <w:tcBorders>
              <w:top w:val="single" w:sz="4" w:space="0" w:color="auto"/>
              <w:left w:val="nil"/>
              <w:bottom w:val="single" w:sz="4" w:space="0" w:color="auto"/>
              <w:right w:val="nil"/>
            </w:tcBorders>
            <w:shd w:val="clear" w:color="auto" w:fill="E6E6E6"/>
            <w:noWrap/>
            <w:vAlign w:val="bottom"/>
            <w:hideMark/>
          </w:tcPr>
          <w:p w14:paraId="4B8251B3"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572" w:type="pct"/>
            <w:tcBorders>
              <w:top w:val="single" w:sz="4" w:space="0" w:color="auto"/>
              <w:left w:val="nil"/>
              <w:bottom w:val="single" w:sz="4" w:space="0" w:color="auto"/>
              <w:right w:val="nil"/>
            </w:tcBorders>
            <w:shd w:val="clear" w:color="auto" w:fill="auto"/>
            <w:noWrap/>
            <w:vAlign w:val="bottom"/>
            <w:hideMark/>
          </w:tcPr>
          <w:p w14:paraId="6185275A"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4,032</w:t>
            </w:r>
            <w:r w:rsidRPr="009F6962">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noWrap/>
            <w:vAlign w:val="bottom"/>
            <w:hideMark/>
          </w:tcPr>
          <w:p w14:paraId="4C43940B"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4,088)</w:t>
            </w:r>
          </w:p>
        </w:tc>
        <w:tc>
          <w:tcPr>
            <w:tcW w:w="571" w:type="pct"/>
            <w:tcBorders>
              <w:top w:val="single" w:sz="4" w:space="0" w:color="auto"/>
              <w:left w:val="nil"/>
              <w:bottom w:val="single" w:sz="4" w:space="0" w:color="auto"/>
              <w:right w:val="nil"/>
            </w:tcBorders>
            <w:shd w:val="clear" w:color="auto" w:fill="auto"/>
            <w:noWrap/>
            <w:vAlign w:val="bottom"/>
            <w:hideMark/>
          </w:tcPr>
          <w:p w14:paraId="5793367F"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4,117)</w:t>
            </w:r>
          </w:p>
        </w:tc>
      </w:tr>
      <w:tr w:rsidR="001C0F49" w:rsidRPr="00011FDA" w14:paraId="5EF4E4BC" w14:textId="77777777" w:rsidTr="009C12D1">
        <w:trPr>
          <w:trHeight w:val="204"/>
        </w:trPr>
        <w:tc>
          <w:tcPr>
            <w:tcW w:w="2110" w:type="pct"/>
            <w:tcBorders>
              <w:top w:val="nil"/>
              <w:left w:val="nil"/>
              <w:bottom w:val="single" w:sz="4" w:space="0" w:color="auto"/>
              <w:right w:val="nil"/>
            </w:tcBorders>
            <w:shd w:val="clear" w:color="auto" w:fill="auto"/>
            <w:vAlign w:val="bottom"/>
            <w:hideMark/>
          </w:tcPr>
          <w:p w14:paraId="6F3E2D5B" w14:textId="77777777" w:rsidR="001C0F49" w:rsidRPr="00011FDA" w:rsidRDefault="001C0F49" w:rsidP="00293BD0">
            <w:pPr>
              <w:spacing w:after="0" w:line="240" w:lineRule="auto"/>
              <w:rPr>
                <w:rFonts w:ascii="Arial" w:hAnsi="Arial" w:cs="Arial"/>
                <w:b/>
                <w:bCs/>
                <w:sz w:val="16"/>
                <w:szCs w:val="16"/>
              </w:rPr>
            </w:pPr>
            <w:r w:rsidRPr="00011FDA">
              <w:rPr>
                <w:rFonts w:ascii="Arial" w:hAnsi="Arial" w:cs="Arial"/>
                <w:b/>
                <w:bCs/>
                <w:sz w:val="16"/>
                <w:szCs w:val="16"/>
              </w:rPr>
              <w:t>Total comprehensive income/(loss) attributable to the Australian Government</w:t>
            </w:r>
          </w:p>
        </w:tc>
        <w:tc>
          <w:tcPr>
            <w:tcW w:w="605" w:type="pct"/>
            <w:tcBorders>
              <w:top w:val="nil"/>
              <w:left w:val="nil"/>
              <w:bottom w:val="single" w:sz="4" w:space="0" w:color="auto"/>
              <w:right w:val="nil"/>
            </w:tcBorders>
            <w:shd w:val="clear" w:color="auto" w:fill="auto"/>
            <w:noWrap/>
            <w:vAlign w:val="bottom"/>
            <w:hideMark/>
          </w:tcPr>
          <w:p w14:paraId="3F5EFAB0"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1,080</w:t>
            </w:r>
            <w:r w:rsidRPr="009F6962">
              <w:rPr>
                <w:rFonts w:ascii="Arial" w:hAnsi="Arial" w:cs="Arial"/>
                <w:b/>
                <w:bCs/>
                <w:sz w:val="16"/>
                <w:szCs w:val="16"/>
              </w:rPr>
              <w:t>)</w:t>
            </w:r>
          </w:p>
        </w:tc>
        <w:tc>
          <w:tcPr>
            <w:tcW w:w="571" w:type="pct"/>
            <w:tcBorders>
              <w:top w:val="nil"/>
              <w:left w:val="nil"/>
              <w:bottom w:val="single" w:sz="4" w:space="0" w:color="auto"/>
              <w:right w:val="nil"/>
            </w:tcBorders>
            <w:shd w:val="clear" w:color="auto" w:fill="E6E6E6"/>
            <w:noWrap/>
            <w:vAlign w:val="bottom"/>
            <w:hideMark/>
          </w:tcPr>
          <w:p w14:paraId="39C40AE1"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(366)</w:t>
            </w:r>
          </w:p>
        </w:tc>
        <w:tc>
          <w:tcPr>
            <w:tcW w:w="572" w:type="pct"/>
            <w:tcBorders>
              <w:top w:val="nil"/>
              <w:left w:val="nil"/>
              <w:bottom w:val="single" w:sz="4" w:space="0" w:color="auto"/>
              <w:right w:val="nil"/>
            </w:tcBorders>
            <w:shd w:val="clear" w:color="auto" w:fill="auto"/>
            <w:noWrap/>
            <w:vAlign w:val="bottom"/>
            <w:hideMark/>
          </w:tcPr>
          <w:p w14:paraId="30E22485"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4,032</w:t>
            </w:r>
            <w:r w:rsidRPr="009F6962">
              <w:rPr>
                <w:rFonts w:ascii="Arial" w:hAnsi="Arial" w:cs="Arial"/>
                <w:b/>
                <w:bCs/>
                <w:sz w:val="16"/>
                <w:szCs w:val="16"/>
              </w:rPr>
              <w:t>)</w:t>
            </w:r>
          </w:p>
        </w:tc>
        <w:tc>
          <w:tcPr>
            <w:tcW w:w="572" w:type="pct"/>
            <w:tcBorders>
              <w:top w:val="nil"/>
              <w:left w:val="nil"/>
              <w:bottom w:val="single" w:sz="4" w:space="0" w:color="auto"/>
              <w:right w:val="nil"/>
            </w:tcBorders>
            <w:shd w:val="clear" w:color="auto" w:fill="auto"/>
            <w:noWrap/>
            <w:vAlign w:val="bottom"/>
            <w:hideMark/>
          </w:tcPr>
          <w:p w14:paraId="6E9FC06E"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4,088)</w:t>
            </w:r>
          </w:p>
        </w:tc>
        <w:tc>
          <w:tcPr>
            <w:tcW w:w="571" w:type="pct"/>
            <w:tcBorders>
              <w:top w:val="nil"/>
              <w:left w:val="nil"/>
              <w:bottom w:val="single" w:sz="4" w:space="0" w:color="auto"/>
              <w:right w:val="nil"/>
            </w:tcBorders>
            <w:shd w:val="clear" w:color="auto" w:fill="auto"/>
            <w:noWrap/>
            <w:vAlign w:val="bottom"/>
            <w:hideMark/>
          </w:tcPr>
          <w:p w14:paraId="01A62C0F" w14:textId="77777777" w:rsidR="001C0F49" w:rsidRPr="009F6962" w:rsidRDefault="001C0F49" w:rsidP="00293BD0">
            <w:pPr>
              <w:spacing w:after="0" w:line="240" w:lineRule="auto"/>
              <w:jc w:val="right"/>
              <w:rPr>
                <w:rFonts w:ascii="Arial" w:hAnsi="Arial" w:cs="Arial"/>
                <w:b/>
                <w:bCs/>
                <w:sz w:val="16"/>
                <w:szCs w:val="16"/>
              </w:rPr>
            </w:pPr>
            <w:r w:rsidRPr="009F6962">
              <w:rPr>
                <w:rFonts w:ascii="Arial" w:hAnsi="Arial" w:cs="Arial"/>
                <w:b/>
                <w:bCs/>
                <w:sz w:val="16"/>
                <w:szCs w:val="16"/>
              </w:rPr>
              <w:t>(</w:t>
            </w:r>
            <w:r>
              <w:rPr>
                <w:rFonts w:ascii="Arial" w:hAnsi="Arial" w:cs="Arial"/>
                <w:b/>
                <w:bCs/>
                <w:sz w:val="16"/>
                <w:szCs w:val="16"/>
              </w:rPr>
              <w:t>4,117)</w:t>
            </w:r>
          </w:p>
        </w:tc>
      </w:tr>
      <w:tr w:rsidR="001C0F49" w:rsidRPr="00011FDA" w14:paraId="06F3E84B" w14:textId="77777777" w:rsidTr="00B46D7E">
        <w:trPr>
          <w:trHeight w:val="204"/>
        </w:trPr>
        <w:tc>
          <w:tcPr>
            <w:tcW w:w="5000" w:type="pct"/>
            <w:gridSpan w:val="6"/>
            <w:tcBorders>
              <w:top w:val="nil"/>
              <w:left w:val="nil"/>
              <w:bottom w:val="single" w:sz="4" w:space="0" w:color="auto"/>
              <w:right w:val="nil"/>
            </w:tcBorders>
            <w:shd w:val="clear" w:color="auto" w:fill="auto"/>
            <w:noWrap/>
            <w:vAlign w:val="bottom"/>
            <w:hideMark/>
          </w:tcPr>
          <w:p w14:paraId="73F7DD5B" w14:textId="77777777" w:rsidR="001C0F49" w:rsidRPr="00011FDA" w:rsidRDefault="001C0F49" w:rsidP="00293BD0">
            <w:pPr>
              <w:spacing w:after="0" w:line="240" w:lineRule="auto"/>
              <w:rPr>
                <w:rFonts w:ascii="Arial" w:hAnsi="Arial" w:cs="Arial"/>
                <w:sz w:val="16"/>
                <w:szCs w:val="16"/>
              </w:rPr>
            </w:pPr>
            <w:r w:rsidRPr="00011FDA">
              <w:rPr>
                <w:rFonts w:ascii="Arial" w:hAnsi="Arial" w:cs="Arial"/>
                <w:b/>
                <w:bCs/>
                <w:color w:val="000000"/>
                <w:sz w:val="16"/>
                <w:szCs w:val="16"/>
              </w:rPr>
              <w:t>Note: Impact of net cash appropriation arrangements</w:t>
            </w:r>
          </w:p>
        </w:tc>
      </w:tr>
      <w:tr w:rsidR="001C0F49" w:rsidRPr="00011FDA" w14:paraId="7A45EF48" w14:textId="77777777" w:rsidTr="009C12D1">
        <w:trPr>
          <w:trHeight w:val="204"/>
        </w:trPr>
        <w:tc>
          <w:tcPr>
            <w:tcW w:w="2110" w:type="pct"/>
            <w:tcBorders>
              <w:top w:val="nil"/>
              <w:left w:val="nil"/>
              <w:bottom w:val="nil"/>
              <w:right w:val="nil"/>
            </w:tcBorders>
            <w:shd w:val="clear" w:color="auto" w:fill="auto"/>
            <w:vAlign w:val="bottom"/>
            <w:hideMark/>
          </w:tcPr>
          <w:p w14:paraId="56233F04" w14:textId="77777777" w:rsidR="001C0F49" w:rsidRPr="00011FDA" w:rsidRDefault="001C0F49" w:rsidP="00293BD0">
            <w:pPr>
              <w:spacing w:after="0" w:line="240" w:lineRule="auto"/>
              <w:rPr>
                <w:rFonts w:ascii="Arial" w:hAnsi="Arial" w:cs="Arial"/>
                <w:b/>
                <w:bCs/>
                <w:color w:val="000000"/>
                <w:sz w:val="16"/>
                <w:szCs w:val="16"/>
              </w:rPr>
            </w:pPr>
            <w:r w:rsidRPr="00011FDA">
              <w:rPr>
                <w:rFonts w:ascii="Arial" w:hAnsi="Arial" w:cs="Arial"/>
                <w:b/>
                <w:bCs/>
                <w:color w:val="000000"/>
                <w:sz w:val="16"/>
                <w:szCs w:val="16"/>
              </w:rPr>
              <w:t>Total comprehensive income/(loss) - as per statement of comprehensive income</w:t>
            </w:r>
          </w:p>
        </w:tc>
        <w:tc>
          <w:tcPr>
            <w:tcW w:w="605" w:type="pct"/>
            <w:tcBorders>
              <w:top w:val="nil"/>
              <w:left w:val="nil"/>
              <w:bottom w:val="nil"/>
              <w:right w:val="nil"/>
            </w:tcBorders>
            <w:shd w:val="clear" w:color="auto" w:fill="auto"/>
            <w:noWrap/>
            <w:vAlign w:val="bottom"/>
            <w:hideMark/>
          </w:tcPr>
          <w:p w14:paraId="21355805" w14:textId="77777777" w:rsidR="001C0F49" w:rsidRPr="00011FDA" w:rsidRDefault="001C0F49" w:rsidP="00293BD0">
            <w:pPr>
              <w:spacing w:after="0" w:line="240" w:lineRule="auto"/>
              <w:jc w:val="right"/>
              <w:rPr>
                <w:rFonts w:ascii="Arial" w:hAnsi="Arial" w:cs="Arial"/>
                <w:b/>
                <w:bCs/>
                <w:color w:val="000000"/>
                <w:sz w:val="16"/>
                <w:szCs w:val="16"/>
              </w:rPr>
            </w:pPr>
            <w:r w:rsidRPr="009F6962">
              <w:rPr>
                <w:rFonts w:ascii="Arial" w:hAnsi="Arial" w:cs="Arial"/>
                <w:b/>
                <w:bCs/>
                <w:sz w:val="16"/>
                <w:szCs w:val="16"/>
              </w:rPr>
              <w:t>(</w:t>
            </w:r>
            <w:r>
              <w:rPr>
                <w:rFonts w:ascii="Arial" w:hAnsi="Arial" w:cs="Arial"/>
                <w:b/>
                <w:bCs/>
                <w:sz w:val="16"/>
                <w:szCs w:val="16"/>
              </w:rPr>
              <w:t>1,080</w:t>
            </w:r>
            <w:r w:rsidRPr="009F6962">
              <w:rPr>
                <w:rFonts w:ascii="Arial" w:hAnsi="Arial" w:cs="Arial"/>
                <w:b/>
                <w:bCs/>
                <w:sz w:val="16"/>
                <w:szCs w:val="16"/>
              </w:rPr>
              <w:t>)</w:t>
            </w:r>
          </w:p>
        </w:tc>
        <w:tc>
          <w:tcPr>
            <w:tcW w:w="571" w:type="pct"/>
            <w:tcBorders>
              <w:top w:val="nil"/>
              <w:left w:val="nil"/>
              <w:bottom w:val="nil"/>
              <w:right w:val="nil"/>
            </w:tcBorders>
            <w:shd w:val="clear" w:color="auto" w:fill="E6E6E6"/>
            <w:noWrap/>
            <w:vAlign w:val="bottom"/>
            <w:hideMark/>
          </w:tcPr>
          <w:p w14:paraId="167E69F2" w14:textId="77777777" w:rsidR="001C0F49" w:rsidRPr="00011FDA" w:rsidRDefault="001C0F49" w:rsidP="00293BD0">
            <w:pPr>
              <w:spacing w:after="0" w:line="240" w:lineRule="auto"/>
              <w:jc w:val="right"/>
              <w:rPr>
                <w:rFonts w:ascii="Arial" w:hAnsi="Arial" w:cs="Arial"/>
                <w:b/>
                <w:bCs/>
                <w:color w:val="000000"/>
                <w:sz w:val="16"/>
                <w:szCs w:val="16"/>
              </w:rPr>
            </w:pPr>
            <w:r w:rsidRPr="009F6962">
              <w:rPr>
                <w:rFonts w:ascii="Arial" w:hAnsi="Arial" w:cs="Arial"/>
                <w:b/>
                <w:bCs/>
                <w:sz w:val="16"/>
                <w:szCs w:val="16"/>
              </w:rPr>
              <w:t>(366)</w:t>
            </w:r>
          </w:p>
        </w:tc>
        <w:tc>
          <w:tcPr>
            <w:tcW w:w="572" w:type="pct"/>
            <w:tcBorders>
              <w:top w:val="nil"/>
              <w:left w:val="nil"/>
              <w:bottom w:val="nil"/>
              <w:right w:val="nil"/>
            </w:tcBorders>
            <w:shd w:val="clear" w:color="auto" w:fill="auto"/>
            <w:noWrap/>
            <w:vAlign w:val="bottom"/>
            <w:hideMark/>
          </w:tcPr>
          <w:p w14:paraId="0AB33040" w14:textId="77777777" w:rsidR="001C0F49" w:rsidRPr="00011FDA" w:rsidRDefault="001C0F49" w:rsidP="00293BD0">
            <w:pPr>
              <w:spacing w:after="0" w:line="240" w:lineRule="auto"/>
              <w:jc w:val="right"/>
              <w:rPr>
                <w:rFonts w:ascii="Arial" w:hAnsi="Arial" w:cs="Arial"/>
                <w:b/>
                <w:bCs/>
                <w:color w:val="000000"/>
                <w:sz w:val="16"/>
                <w:szCs w:val="16"/>
              </w:rPr>
            </w:pPr>
            <w:r w:rsidRPr="009F6962">
              <w:rPr>
                <w:rFonts w:ascii="Arial" w:hAnsi="Arial" w:cs="Arial"/>
                <w:b/>
                <w:bCs/>
                <w:sz w:val="16"/>
                <w:szCs w:val="16"/>
              </w:rPr>
              <w:t>(</w:t>
            </w:r>
            <w:r>
              <w:rPr>
                <w:rFonts w:ascii="Arial" w:hAnsi="Arial" w:cs="Arial"/>
                <w:b/>
                <w:bCs/>
                <w:sz w:val="16"/>
                <w:szCs w:val="16"/>
              </w:rPr>
              <w:t>4,032</w:t>
            </w:r>
            <w:r w:rsidRPr="009F6962">
              <w:rPr>
                <w:rFonts w:ascii="Arial" w:hAnsi="Arial" w:cs="Arial"/>
                <w:b/>
                <w:bCs/>
                <w:sz w:val="16"/>
                <w:szCs w:val="16"/>
              </w:rPr>
              <w:t>)</w:t>
            </w:r>
          </w:p>
        </w:tc>
        <w:tc>
          <w:tcPr>
            <w:tcW w:w="572" w:type="pct"/>
            <w:tcBorders>
              <w:top w:val="nil"/>
              <w:left w:val="nil"/>
              <w:bottom w:val="nil"/>
              <w:right w:val="nil"/>
            </w:tcBorders>
            <w:shd w:val="clear" w:color="auto" w:fill="auto"/>
            <w:noWrap/>
            <w:vAlign w:val="bottom"/>
            <w:hideMark/>
          </w:tcPr>
          <w:p w14:paraId="174EB7BB" w14:textId="77777777" w:rsidR="001C0F49" w:rsidRPr="00011FDA" w:rsidRDefault="001C0F49" w:rsidP="00293BD0">
            <w:pPr>
              <w:spacing w:after="0" w:line="240" w:lineRule="auto"/>
              <w:jc w:val="right"/>
              <w:rPr>
                <w:rFonts w:ascii="Arial" w:hAnsi="Arial" w:cs="Arial"/>
                <w:b/>
                <w:bCs/>
                <w:color w:val="000000"/>
                <w:sz w:val="16"/>
                <w:szCs w:val="16"/>
              </w:rPr>
            </w:pPr>
            <w:r w:rsidRPr="009F6962">
              <w:rPr>
                <w:rFonts w:ascii="Arial" w:hAnsi="Arial" w:cs="Arial"/>
                <w:b/>
                <w:bCs/>
                <w:sz w:val="16"/>
                <w:szCs w:val="16"/>
              </w:rPr>
              <w:t>(</w:t>
            </w:r>
            <w:r>
              <w:rPr>
                <w:rFonts w:ascii="Arial" w:hAnsi="Arial" w:cs="Arial"/>
                <w:b/>
                <w:bCs/>
                <w:sz w:val="16"/>
                <w:szCs w:val="16"/>
              </w:rPr>
              <w:t>4,088)</w:t>
            </w:r>
          </w:p>
        </w:tc>
        <w:tc>
          <w:tcPr>
            <w:tcW w:w="571" w:type="pct"/>
            <w:tcBorders>
              <w:top w:val="nil"/>
              <w:left w:val="nil"/>
              <w:bottom w:val="nil"/>
              <w:right w:val="nil"/>
            </w:tcBorders>
            <w:shd w:val="clear" w:color="auto" w:fill="auto"/>
            <w:noWrap/>
            <w:vAlign w:val="bottom"/>
            <w:hideMark/>
          </w:tcPr>
          <w:p w14:paraId="41EB486A" w14:textId="77777777" w:rsidR="001C0F49" w:rsidRPr="00011FDA" w:rsidRDefault="001C0F49" w:rsidP="00293BD0">
            <w:pPr>
              <w:spacing w:after="0" w:line="240" w:lineRule="auto"/>
              <w:jc w:val="right"/>
              <w:rPr>
                <w:rFonts w:ascii="Arial" w:hAnsi="Arial" w:cs="Arial"/>
                <w:b/>
                <w:bCs/>
                <w:color w:val="000000"/>
                <w:sz w:val="16"/>
                <w:szCs w:val="16"/>
              </w:rPr>
            </w:pPr>
            <w:r w:rsidRPr="009F6962">
              <w:rPr>
                <w:rFonts w:ascii="Arial" w:hAnsi="Arial" w:cs="Arial"/>
                <w:b/>
                <w:bCs/>
                <w:sz w:val="16"/>
                <w:szCs w:val="16"/>
              </w:rPr>
              <w:t>(</w:t>
            </w:r>
            <w:r>
              <w:rPr>
                <w:rFonts w:ascii="Arial" w:hAnsi="Arial" w:cs="Arial"/>
                <w:b/>
                <w:bCs/>
                <w:sz w:val="16"/>
                <w:szCs w:val="16"/>
              </w:rPr>
              <w:t>4,117)</w:t>
            </w:r>
          </w:p>
        </w:tc>
      </w:tr>
      <w:tr w:rsidR="001C0F49" w:rsidRPr="00011FDA" w14:paraId="362C9EF6" w14:textId="77777777" w:rsidTr="009C12D1">
        <w:trPr>
          <w:trHeight w:val="204"/>
        </w:trPr>
        <w:tc>
          <w:tcPr>
            <w:tcW w:w="2110" w:type="pct"/>
            <w:tcBorders>
              <w:top w:val="nil"/>
              <w:left w:val="nil"/>
              <w:bottom w:val="nil"/>
              <w:right w:val="nil"/>
            </w:tcBorders>
            <w:shd w:val="clear" w:color="auto" w:fill="auto"/>
            <w:vAlign w:val="bottom"/>
            <w:hideMark/>
          </w:tcPr>
          <w:p w14:paraId="67F9A91F" w14:textId="77777777" w:rsidR="001C0F49" w:rsidRPr="00011FDA" w:rsidRDefault="001C0F49" w:rsidP="00293BD0">
            <w:pPr>
              <w:spacing w:after="0" w:line="240" w:lineRule="auto"/>
              <w:ind w:left="113"/>
              <w:rPr>
                <w:rFonts w:ascii="Arial" w:hAnsi="Arial" w:cs="Arial"/>
                <w:color w:val="000000"/>
                <w:sz w:val="16"/>
                <w:szCs w:val="16"/>
              </w:rPr>
            </w:pPr>
            <w:r w:rsidRPr="009F6962">
              <w:rPr>
                <w:rFonts w:ascii="Arial" w:hAnsi="Arial" w:cs="Arial"/>
                <w:sz w:val="16"/>
                <w:szCs w:val="16"/>
              </w:rPr>
              <w:t>plus</w:t>
            </w:r>
            <w:r w:rsidRPr="00011FDA">
              <w:rPr>
                <w:rFonts w:ascii="Arial" w:hAnsi="Arial" w:cs="Arial"/>
                <w:color w:val="000000"/>
                <w:sz w:val="16"/>
                <w:szCs w:val="16"/>
              </w:rPr>
              <w:t>: heritage and cultural depreciation/amortisation expenses previously funded through revenue appropriations</w:t>
            </w:r>
            <w:r w:rsidRPr="00011FDA">
              <w:rPr>
                <w:rFonts w:ascii="Arial" w:hAnsi="Arial" w:cs="Arial"/>
                <w:color w:val="000000"/>
                <w:sz w:val="16"/>
                <w:szCs w:val="16"/>
                <w:vertAlign w:val="superscript"/>
              </w:rPr>
              <w:t xml:space="preserve"> (a)</w:t>
            </w:r>
          </w:p>
        </w:tc>
        <w:tc>
          <w:tcPr>
            <w:tcW w:w="605" w:type="pct"/>
            <w:tcBorders>
              <w:top w:val="nil"/>
              <w:left w:val="nil"/>
              <w:bottom w:val="nil"/>
              <w:right w:val="nil"/>
            </w:tcBorders>
            <w:shd w:val="clear" w:color="auto" w:fill="auto"/>
            <w:noWrap/>
            <w:vAlign w:val="bottom"/>
            <w:hideMark/>
          </w:tcPr>
          <w:p w14:paraId="6FD9EFC9"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1,436</w:t>
            </w:r>
          </w:p>
        </w:tc>
        <w:tc>
          <w:tcPr>
            <w:tcW w:w="571" w:type="pct"/>
            <w:tcBorders>
              <w:top w:val="nil"/>
              <w:left w:val="nil"/>
              <w:bottom w:val="nil"/>
              <w:right w:val="nil"/>
            </w:tcBorders>
            <w:shd w:val="clear" w:color="auto" w:fill="E6E6E6"/>
            <w:noWrap/>
            <w:vAlign w:val="bottom"/>
            <w:hideMark/>
          </w:tcPr>
          <w:p w14:paraId="16D0F6F2" w14:textId="77777777" w:rsidR="001C0F49" w:rsidRPr="009F6962" w:rsidRDefault="001C0F49" w:rsidP="00293BD0">
            <w:pPr>
              <w:spacing w:after="0" w:line="240" w:lineRule="auto"/>
              <w:jc w:val="right"/>
              <w:rPr>
                <w:rFonts w:ascii="Arial" w:hAnsi="Arial" w:cs="Arial"/>
                <w:bCs/>
                <w:sz w:val="16"/>
                <w:szCs w:val="16"/>
              </w:rPr>
            </w:pPr>
            <w:r w:rsidRPr="009F6962">
              <w:rPr>
                <w:rFonts w:ascii="Arial" w:hAnsi="Arial" w:cs="Arial"/>
                <w:bCs/>
                <w:sz w:val="16"/>
                <w:szCs w:val="16"/>
              </w:rPr>
              <w:t>1,464</w:t>
            </w:r>
          </w:p>
        </w:tc>
        <w:tc>
          <w:tcPr>
            <w:tcW w:w="572" w:type="pct"/>
            <w:tcBorders>
              <w:top w:val="nil"/>
              <w:left w:val="nil"/>
              <w:bottom w:val="nil"/>
              <w:right w:val="nil"/>
            </w:tcBorders>
            <w:shd w:val="clear" w:color="auto" w:fill="auto"/>
            <w:noWrap/>
            <w:vAlign w:val="bottom"/>
            <w:hideMark/>
          </w:tcPr>
          <w:p w14:paraId="699E5E61"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1,494</w:t>
            </w:r>
          </w:p>
        </w:tc>
        <w:tc>
          <w:tcPr>
            <w:tcW w:w="572" w:type="pct"/>
            <w:tcBorders>
              <w:top w:val="nil"/>
              <w:left w:val="nil"/>
              <w:bottom w:val="nil"/>
              <w:right w:val="nil"/>
            </w:tcBorders>
            <w:shd w:val="clear" w:color="auto" w:fill="auto"/>
            <w:noWrap/>
            <w:vAlign w:val="bottom"/>
            <w:hideMark/>
          </w:tcPr>
          <w:p w14:paraId="7B979F7A"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1,524</w:t>
            </w:r>
          </w:p>
        </w:tc>
        <w:tc>
          <w:tcPr>
            <w:tcW w:w="571" w:type="pct"/>
            <w:tcBorders>
              <w:top w:val="nil"/>
              <w:left w:val="nil"/>
              <w:bottom w:val="nil"/>
              <w:right w:val="nil"/>
            </w:tcBorders>
            <w:shd w:val="clear" w:color="auto" w:fill="auto"/>
            <w:noWrap/>
            <w:vAlign w:val="bottom"/>
            <w:hideMark/>
          </w:tcPr>
          <w:p w14:paraId="02CE0F46" w14:textId="77777777" w:rsidR="001C0F49" w:rsidRPr="00011FDA" w:rsidRDefault="001C0F49" w:rsidP="00293BD0">
            <w:pPr>
              <w:spacing w:after="0" w:line="240" w:lineRule="auto"/>
              <w:jc w:val="right"/>
              <w:rPr>
                <w:rFonts w:ascii="Arial" w:hAnsi="Arial" w:cs="Arial"/>
                <w:sz w:val="16"/>
                <w:szCs w:val="16"/>
              </w:rPr>
            </w:pPr>
            <w:r w:rsidRPr="00011FDA">
              <w:rPr>
                <w:rFonts w:ascii="Arial" w:hAnsi="Arial" w:cs="Arial"/>
                <w:sz w:val="16"/>
                <w:szCs w:val="16"/>
              </w:rPr>
              <w:t>1,554</w:t>
            </w:r>
          </w:p>
        </w:tc>
      </w:tr>
      <w:tr w:rsidR="001C0F49" w:rsidRPr="00011FDA" w14:paraId="26C5DECB" w14:textId="77777777" w:rsidTr="009C12D1">
        <w:trPr>
          <w:trHeight w:val="204"/>
        </w:trPr>
        <w:tc>
          <w:tcPr>
            <w:tcW w:w="2110" w:type="pct"/>
            <w:tcBorders>
              <w:top w:val="nil"/>
              <w:left w:val="nil"/>
              <w:bottom w:val="single" w:sz="4" w:space="0" w:color="auto"/>
              <w:right w:val="nil"/>
            </w:tcBorders>
            <w:shd w:val="clear" w:color="auto" w:fill="auto"/>
            <w:vAlign w:val="bottom"/>
            <w:hideMark/>
          </w:tcPr>
          <w:p w14:paraId="68DB157D" w14:textId="77777777" w:rsidR="001C0F49" w:rsidRPr="00011FDA" w:rsidRDefault="001C0F49" w:rsidP="00293BD0">
            <w:pPr>
              <w:spacing w:after="0" w:line="240" w:lineRule="auto"/>
              <w:rPr>
                <w:rFonts w:ascii="Arial" w:hAnsi="Arial" w:cs="Arial"/>
                <w:b/>
                <w:bCs/>
                <w:color w:val="000000"/>
                <w:sz w:val="16"/>
                <w:szCs w:val="16"/>
              </w:rPr>
            </w:pPr>
            <w:r w:rsidRPr="00011FDA">
              <w:rPr>
                <w:rFonts w:ascii="Arial" w:hAnsi="Arial" w:cs="Arial"/>
                <w:b/>
                <w:bCs/>
                <w:color w:val="000000"/>
                <w:sz w:val="16"/>
                <w:szCs w:val="16"/>
              </w:rPr>
              <w:t>Net cash operating surplus/ (deficit)</w:t>
            </w:r>
          </w:p>
        </w:tc>
        <w:tc>
          <w:tcPr>
            <w:tcW w:w="605" w:type="pct"/>
            <w:tcBorders>
              <w:top w:val="single" w:sz="4" w:space="0" w:color="auto"/>
              <w:left w:val="nil"/>
              <w:bottom w:val="single" w:sz="4" w:space="0" w:color="auto"/>
              <w:right w:val="nil"/>
            </w:tcBorders>
            <w:shd w:val="clear" w:color="auto" w:fill="auto"/>
            <w:vAlign w:val="bottom"/>
            <w:hideMark/>
          </w:tcPr>
          <w:p w14:paraId="37D45040" w14:textId="77777777" w:rsidR="001C0F49" w:rsidRPr="00011FDA" w:rsidRDefault="001C0F49" w:rsidP="00293BD0">
            <w:pPr>
              <w:spacing w:after="0" w:line="240" w:lineRule="auto"/>
              <w:jc w:val="right"/>
              <w:rPr>
                <w:rFonts w:ascii="Arial" w:hAnsi="Arial" w:cs="Arial"/>
                <w:b/>
                <w:bCs/>
                <w:sz w:val="16"/>
                <w:szCs w:val="16"/>
              </w:rPr>
            </w:pPr>
            <w:r>
              <w:rPr>
                <w:rFonts w:ascii="Arial" w:hAnsi="Arial" w:cs="Arial"/>
                <w:b/>
                <w:bCs/>
                <w:sz w:val="16"/>
                <w:szCs w:val="16"/>
              </w:rPr>
              <w:t>356</w:t>
            </w:r>
          </w:p>
        </w:tc>
        <w:tc>
          <w:tcPr>
            <w:tcW w:w="571" w:type="pct"/>
            <w:tcBorders>
              <w:top w:val="single" w:sz="4" w:space="0" w:color="auto"/>
              <w:left w:val="nil"/>
              <w:bottom w:val="single" w:sz="4" w:space="0" w:color="auto"/>
              <w:right w:val="nil"/>
            </w:tcBorders>
            <w:shd w:val="clear" w:color="auto" w:fill="E6E6E6"/>
            <w:vAlign w:val="bottom"/>
            <w:hideMark/>
          </w:tcPr>
          <w:p w14:paraId="67177A0B" w14:textId="77777777" w:rsidR="001C0F49" w:rsidRPr="00011FDA" w:rsidRDefault="001C0F49" w:rsidP="00293BD0">
            <w:pPr>
              <w:spacing w:after="0" w:line="240" w:lineRule="auto"/>
              <w:jc w:val="right"/>
              <w:rPr>
                <w:rFonts w:ascii="Arial" w:hAnsi="Arial" w:cs="Arial"/>
                <w:b/>
                <w:bCs/>
                <w:sz w:val="16"/>
                <w:szCs w:val="16"/>
              </w:rPr>
            </w:pPr>
            <w:r w:rsidRPr="00011FDA">
              <w:rPr>
                <w:rFonts w:ascii="Arial" w:hAnsi="Arial" w:cs="Arial"/>
                <w:b/>
                <w:bCs/>
                <w:sz w:val="16"/>
                <w:szCs w:val="16"/>
              </w:rPr>
              <w:t>1,098</w:t>
            </w:r>
          </w:p>
        </w:tc>
        <w:tc>
          <w:tcPr>
            <w:tcW w:w="572" w:type="pct"/>
            <w:tcBorders>
              <w:top w:val="single" w:sz="4" w:space="0" w:color="auto"/>
              <w:left w:val="nil"/>
              <w:bottom w:val="single" w:sz="4" w:space="0" w:color="auto"/>
              <w:right w:val="nil"/>
            </w:tcBorders>
            <w:shd w:val="clear" w:color="auto" w:fill="auto"/>
            <w:vAlign w:val="bottom"/>
            <w:hideMark/>
          </w:tcPr>
          <w:p w14:paraId="0AB1ED30" w14:textId="77777777" w:rsidR="001C0F49" w:rsidRPr="00011FDA" w:rsidRDefault="001C0F49" w:rsidP="00293BD0">
            <w:pPr>
              <w:spacing w:after="0" w:line="240" w:lineRule="auto"/>
              <w:jc w:val="right"/>
              <w:rPr>
                <w:rFonts w:ascii="Arial" w:hAnsi="Arial" w:cs="Arial"/>
                <w:b/>
                <w:bCs/>
                <w:sz w:val="16"/>
                <w:szCs w:val="16"/>
              </w:rPr>
            </w:pPr>
            <w:r w:rsidRPr="00011FDA">
              <w:rPr>
                <w:rFonts w:ascii="Arial" w:hAnsi="Arial" w:cs="Arial"/>
                <w:b/>
                <w:bCs/>
                <w:sz w:val="16"/>
                <w:szCs w:val="16"/>
              </w:rPr>
              <w:t>(2,</w:t>
            </w:r>
            <w:r>
              <w:rPr>
                <w:rFonts w:ascii="Arial" w:hAnsi="Arial" w:cs="Arial"/>
                <w:b/>
                <w:bCs/>
                <w:sz w:val="16"/>
                <w:szCs w:val="16"/>
              </w:rPr>
              <w:t>538</w:t>
            </w:r>
            <w:r w:rsidRPr="00011FDA">
              <w:rPr>
                <w:rFonts w:ascii="Arial" w:hAnsi="Arial" w:cs="Arial"/>
                <w:b/>
                <w:bCs/>
                <w:sz w:val="16"/>
                <w:szCs w:val="16"/>
              </w:rPr>
              <w:t>)</w:t>
            </w:r>
          </w:p>
        </w:tc>
        <w:tc>
          <w:tcPr>
            <w:tcW w:w="572" w:type="pct"/>
            <w:tcBorders>
              <w:top w:val="single" w:sz="4" w:space="0" w:color="auto"/>
              <w:left w:val="nil"/>
              <w:bottom w:val="single" w:sz="4" w:space="0" w:color="auto"/>
              <w:right w:val="nil"/>
            </w:tcBorders>
            <w:shd w:val="clear" w:color="auto" w:fill="auto"/>
            <w:vAlign w:val="bottom"/>
            <w:hideMark/>
          </w:tcPr>
          <w:p w14:paraId="66E50135" w14:textId="77777777" w:rsidR="001C0F49" w:rsidRPr="00011FDA" w:rsidRDefault="001C0F49" w:rsidP="00293BD0">
            <w:pPr>
              <w:spacing w:after="0" w:line="240" w:lineRule="auto"/>
              <w:jc w:val="right"/>
              <w:rPr>
                <w:rFonts w:ascii="Arial" w:hAnsi="Arial" w:cs="Arial"/>
                <w:b/>
                <w:bCs/>
                <w:sz w:val="16"/>
                <w:szCs w:val="16"/>
              </w:rPr>
            </w:pPr>
            <w:r w:rsidRPr="00011FDA">
              <w:rPr>
                <w:rFonts w:ascii="Arial" w:hAnsi="Arial" w:cs="Arial"/>
                <w:b/>
                <w:bCs/>
                <w:sz w:val="16"/>
                <w:szCs w:val="16"/>
              </w:rPr>
              <w:t>(2,</w:t>
            </w:r>
            <w:r>
              <w:rPr>
                <w:rFonts w:ascii="Arial" w:hAnsi="Arial" w:cs="Arial"/>
                <w:b/>
                <w:bCs/>
                <w:sz w:val="16"/>
                <w:szCs w:val="16"/>
              </w:rPr>
              <w:t>564</w:t>
            </w:r>
            <w:r w:rsidRPr="00011FDA">
              <w:rPr>
                <w:rFonts w:ascii="Arial" w:hAnsi="Arial" w:cs="Arial"/>
                <w:b/>
                <w:bCs/>
                <w:sz w:val="16"/>
                <w:szCs w:val="16"/>
              </w:rPr>
              <w:t>)</w:t>
            </w:r>
          </w:p>
        </w:tc>
        <w:tc>
          <w:tcPr>
            <w:tcW w:w="571" w:type="pct"/>
            <w:tcBorders>
              <w:top w:val="single" w:sz="4" w:space="0" w:color="auto"/>
              <w:left w:val="nil"/>
              <w:bottom w:val="single" w:sz="4" w:space="0" w:color="auto"/>
              <w:right w:val="nil"/>
            </w:tcBorders>
            <w:shd w:val="clear" w:color="auto" w:fill="auto"/>
            <w:vAlign w:val="bottom"/>
            <w:hideMark/>
          </w:tcPr>
          <w:p w14:paraId="7A6C45FC" w14:textId="77777777" w:rsidR="001C0F49" w:rsidRPr="00011FDA" w:rsidRDefault="001C0F49" w:rsidP="00293BD0">
            <w:pPr>
              <w:spacing w:after="0" w:line="240" w:lineRule="auto"/>
              <w:jc w:val="right"/>
              <w:rPr>
                <w:rFonts w:ascii="Arial" w:hAnsi="Arial" w:cs="Arial"/>
                <w:b/>
                <w:bCs/>
                <w:sz w:val="16"/>
                <w:szCs w:val="16"/>
              </w:rPr>
            </w:pPr>
            <w:r w:rsidRPr="00011FDA">
              <w:rPr>
                <w:rFonts w:ascii="Arial" w:hAnsi="Arial" w:cs="Arial"/>
                <w:b/>
                <w:bCs/>
                <w:sz w:val="16"/>
                <w:szCs w:val="16"/>
              </w:rPr>
              <w:t>(2,</w:t>
            </w:r>
            <w:r>
              <w:rPr>
                <w:rFonts w:ascii="Arial" w:hAnsi="Arial" w:cs="Arial"/>
                <w:b/>
                <w:bCs/>
                <w:sz w:val="16"/>
                <w:szCs w:val="16"/>
              </w:rPr>
              <w:t>563</w:t>
            </w:r>
            <w:r w:rsidRPr="00011FDA">
              <w:rPr>
                <w:rFonts w:ascii="Arial" w:hAnsi="Arial" w:cs="Arial"/>
                <w:b/>
                <w:bCs/>
                <w:sz w:val="16"/>
                <w:szCs w:val="16"/>
              </w:rPr>
              <w:t>)</w:t>
            </w:r>
          </w:p>
        </w:tc>
      </w:tr>
    </w:tbl>
    <w:p w14:paraId="1000CA2C" w14:textId="7C7A1A39" w:rsidR="001C0F49" w:rsidRPr="00B63C9D" w:rsidRDefault="001C0F49" w:rsidP="001C0F49">
      <w:pPr>
        <w:spacing w:before="60" w:after="0" w:line="240" w:lineRule="auto"/>
        <w:rPr>
          <w:rFonts w:ascii="Arial" w:hAnsi="Arial" w:cs="Arial"/>
          <w:color w:val="000000"/>
          <w:sz w:val="16"/>
          <w:szCs w:val="16"/>
        </w:rPr>
      </w:pPr>
      <w:r w:rsidRPr="00B63C9D">
        <w:rPr>
          <w:rFonts w:ascii="Arial" w:hAnsi="Arial" w:cs="Arial"/>
          <w:color w:val="000000"/>
          <w:sz w:val="16"/>
          <w:szCs w:val="16"/>
        </w:rPr>
        <w:t>Prepared on Australian Accounting Standards basis</w:t>
      </w:r>
      <w:r w:rsidR="00460546">
        <w:rPr>
          <w:rFonts w:ascii="Arial" w:hAnsi="Arial" w:cs="Arial"/>
          <w:color w:val="000000"/>
          <w:sz w:val="16"/>
          <w:szCs w:val="16"/>
        </w:rPr>
        <w:t>.</w:t>
      </w:r>
      <w:r w:rsidRPr="00B63C9D">
        <w:rPr>
          <w:rFonts w:ascii="Arial" w:hAnsi="Arial" w:cs="Arial"/>
          <w:color w:val="000000"/>
          <w:sz w:val="16"/>
          <w:szCs w:val="16"/>
        </w:rPr>
        <w:t xml:space="preserve"> </w:t>
      </w:r>
    </w:p>
    <w:p w14:paraId="0958A4D9" w14:textId="3ACC5FF3" w:rsidR="001C0F49" w:rsidRPr="00205D97" w:rsidRDefault="001C0F49" w:rsidP="008D0F63">
      <w:pPr>
        <w:pStyle w:val="ListParagraph"/>
        <w:numPr>
          <w:ilvl w:val="0"/>
          <w:numId w:val="80"/>
        </w:numPr>
        <w:spacing w:after="0" w:line="240" w:lineRule="auto"/>
        <w:ind w:left="426" w:hanging="426"/>
      </w:pPr>
      <w:r w:rsidRPr="0005145F">
        <w:rPr>
          <w:rFonts w:ascii="Arial" w:hAnsi="Arial" w:cs="Arial"/>
          <w:sz w:val="16"/>
          <w:szCs w:val="16"/>
        </w:rPr>
        <w:t xml:space="preserve">From 2009-10, the Government replaced Bill 1 revenue appropriations for the heritage and cultural depreciation expenses of designated Collection Institutions, with a separate capital budget (the Collection Development Acquisition Budget, or CDAB) provided through Bill 2 equity appropriations. For information regarding CDABs, please refer to Table 3.5 </w:t>
      </w:r>
      <w:r>
        <w:rPr>
          <w:rFonts w:ascii="Arial" w:hAnsi="Arial" w:cs="Arial"/>
          <w:sz w:val="16"/>
          <w:szCs w:val="16"/>
        </w:rPr>
        <w:t>Department</w:t>
      </w:r>
      <w:r w:rsidRPr="0005145F">
        <w:rPr>
          <w:rFonts w:ascii="Arial" w:hAnsi="Arial" w:cs="Arial"/>
          <w:sz w:val="16"/>
          <w:szCs w:val="16"/>
        </w:rPr>
        <w:t xml:space="preserve">al </w:t>
      </w:r>
      <w:r>
        <w:rPr>
          <w:rFonts w:ascii="Arial" w:hAnsi="Arial" w:cs="Arial"/>
          <w:sz w:val="16"/>
          <w:szCs w:val="16"/>
        </w:rPr>
        <w:t>c</w:t>
      </w:r>
      <w:r w:rsidRPr="0005145F">
        <w:rPr>
          <w:rFonts w:ascii="Arial" w:hAnsi="Arial" w:cs="Arial"/>
          <w:sz w:val="16"/>
          <w:szCs w:val="16"/>
        </w:rPr>
        <w:t xml:space="preserve">apital </w:t>
      </w:r>
      <w:r>
        <w:rPr>
          <w:rFonts w:ascii="Arial" w:hAnsi="Arial" w:cs="Arial"/>
          <w:sz w:val="16"/>
          <w:szCs w:val="16"/>
        </w:rPr>
        <w:t>b</w:t>
      </w:r>
      <w:r w:rsidRPr="0005145F">
        <w:rPr>
          <w:rFonts w:ascii="Arial" w:hAnsi="Arial" w:cs="Arial"/>
          <w:sz w:val="16"/>
          <w:szCs w:val="16"/>
        </w:rPr>
        <w:t xml:space="preserve">udget </w:t>
      </w:r>
      <w:r>
        <w:rPr>
          <w:rFonts w:ascii="Arial" w:hAnsi="Arial" w:cs="Arial"/>
          <w:sz w:val="16"/>
          <w:szCs w:val="16"/>
        </w:rPr>
        <w:t>s</w:t>
      </w:r>
      <w:r w:rsidRPr="0005145F">
        <w:rPr>
          <w:rFonts w:ascii="Arial" w:hAnsi="Arial" w:cs="Arial"/>
          <w:sz w:val="16"/>
          <w:szCs w:val="16"/>
        </w:rPr>
        <w:t>tatement</w:t>
      </w:r>
      <w:r w:rsidR="00460546">
        <w:rPr>
          <w:rFonts w:ascii="Arial" w:hAnsi="Arial" w:cs="Arial"/>
          <w:sz w:val="16"/>
          <w:szCs w:val="16"/>
        </w:rPr>
        <w:t>.</w:t>
      </w:r>
    </w:p>
    <w:p w14:paraId="28B8C86A" w14:textId="77777777" w:rsidR="001C0F49" w:rsidRDefault="001C0F49" w:rsidP="001C0F49">
      <w:pPr>
        <w:spacing w:after="0" w:line="240" w:lineRule="auto"/>
        <w:rPr>
          <w:rFonts w:ascii="Calibri" w:eastAsia="Calibri" w:hAnsi="Calibri"/>
          <w:sz w:val="22"/>
          <w:szCs w:val="22"/>
          <w:lang w:val="en-US" w:eastAsia="en-US"/>
        </w:rPr>
      </w:pPr>
      <w:r>
        <w:br w:type="page"/>
      </w:r>
    </w:p>
    <w:p w14:paraId="53ED4B18" w14:textId="77777777" w:rsidR="001C0F49" w:rsidRDefault="001C0F49" w:rsidP="001C0F49">
      <w:pPr>
        <w:pStyle w:val="TableHeadingcontinued"/>
      </w:pPr>
      <w:r w:rsidRPr="00BD210E">
        <w:lastRenderedPageBreak/>
        <w:t>Table</w:t>
      </w:r>
      <w:r>
        <w:t xml:space="preserve"> 3.</w:t>
      </w:r>
      <w:r w:rsidRPr="00BD210E">
        <w:t xml:space="preserve">2: Budgeted </w:t>
      </w:r>
      <w:r>
        <w:t>Department</w:t>
      </w:r>
      <w:r w:rsidRPr="00BD210E">
        <w:t>al balance sheet</w:t>
      </w:r>
      <w:r>
        <w:t xml:space="preserve"> </w:t>
      </w:r>
      <w:r w:rsidRPr="00BD210E">
        <w:t>(as at 30 June)</w:t>
      </w:r>
    </w:p>
    <w:tbl>
      <w:tblPr>
        <w:tblW w:w="5000" w:type="pct"/>
        <w:tblLook w:val="04A0" w:firstRow="1" w:lastRow="0" w:firstColumn="1" w:lastColumn="0" w:noHBand="0" w:noVBand="1"/>
      </w:tblPr>
      <w:tblGrid>
        <w:gridCol w:w="3189"/>
        <w:gridCol w:w="931"/>
        <w:gridCol w:w="921"/>
        <w:gridCol w:w="921"/>
        <w:gridCol w:w="921"/>
        <w:gridCol w:w="827"/>
      </w:tblGrid>
      <w:tr w:rsidR="001C0F49" w:rsidRPr="00B63C9D" w14:paraId="0DD3D697" w14:textId="77777777" w:rsidTr="009C12D1">
        <w:trPr>
          <w:trHeight w:val="204"/>
        </w:trPr>
        <w:tc>
          <w:tcPr>
            <w:tcW w:w="2069" w:type="pct"/>
            <w:tcBorders>
              <w:top w:val="single" w:sz="4" w:space="0" w:color="auto"/>
              <w:left w:val="nil"/>
              <w:bottom w:val="nil"/>
              <w:right w:val="nil"/>
            </w:tcBorders>
            <w:shd w:val="clear" w:color="auto" w:fill="auto"/>
            <w:noWrap/>
            <w:vAlign w:val="bottom"/>
            <w:hideMark/>
          </w:tcPr>
          <w:p w14:paraId="5166C796" w14:textId="77777777" w:rsidR="001C0F49" w:rsidRPr="00B63C9D" w:rsidRDefault="001C0F49" w:rsidP="00293BD0">
            <w:pPr>
              <w:spacing w:after="0" w:line="240" w:lineRule="auto"/>
              <w:rPr>
                <w:rFonts w:ascii="Arial" w:hAnsi="Arial" w:cs="Arial"/>
                <w:b/>
                <w:bCs/>
                <w:sz w:val="16"/>
                <w:szCs w:val="16"/>
              </w:rPr>
            </w:pPr>
            <w:r w:rsidRPr="00B63C9D">
              <w:rPr>
                <w:rFonts w:ascii="Arial" w:hAnsi="Arial" w:cs="Arial"/>
                <w:b/>
                <w:bCs/>
                <w:sz w:val="16"/>
                <w:szCs w:val="16"/>
              </w:rPr>
              <w:t> </w:t>
            </w:r>
          </w:p>
        </w:tc>
        <w:tc>
          <w:tcPr>
            <w:tcW w:w="604" w:type="pct"/>
            <w:tcBorders>
              <w:top w:val="single" w:sz="4" w:space="0" w:color="auto"/>
              <w:left w:val="nil"/>
              <w:bottom w:val="single" w:sz="4" w:space="0" w:color="auto"/>
              <w:right w:val="nil"/>
            </w:tcBorders>
            <w:shd w:val="clear" w:color="auto" w:fill="auto"/>
            <w:vAlign w:val="bottom"/>
            <w:hideMark/>
          </w:tcPr>
          <w:p w14:paraId="6F03A699"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2021-22 Estimated actual</w:t>
            </w:r>
            <w:r w:rsidRPr="00B63C9D">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E6E6E6"/>
            <w:vAlign w:val="bottom"/>
            <w:hideMark/>
          </w:tcPr>
          <w:p w14:paraId="7A1B2501"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2022-23</w:t>
            </w:r>
            <w:r w:rsidRPr="00B63C9D">
              <w:rPr>
                <w:rFonts w:ascii="Arial" w:hAnsi="Arial" w:cs="Arial"/>
                <w:sz w:val="16"/>
                <w:szCs w:val="16"/>
              </w:rPr>
              <w:br/>
              <w:t>Budget</w:t>
            </w:r>
            <w:r w:rsidRPr="00B63C9D">
              <w:rPr>
                <w:rFonts w:ascii="Arial" w:hAnsi="Arial" w:cs="Arial"/>
                <w:sz w:val="16"/>
                <w:szCs w:val="16"/>
              </w:rPr>
              <w:br/>
            </w:r>
            <w:r w:rsidRPr="00B63C9D">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7E678714"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2023-24 Forward estimate</w:t>
            </w:r>
            <w:r w:rsidRPr="00B63C9D">
              <w:rPr>
                <w:rFonts w:ascii="Arial" w:hAnsi="Arial" w:cs="Arial"/>
                <w:sz w:val="16"/>
                <w:szCs w:val="16"/>
              </w:rPr>
              <w:br/>
              <w:t>$'000</w:t>
            </w:r>
          </w:p>
        </w:tc>
        <w:tc>
          <w:tcPr>
            <w:tcW w:w="597" w:type="pct"/>
            <w:tcBorders>
              <w:top w:val="single" w:sz="4" w:space="0" w:color="auto"/>
              <w:left w:val="nil"/>
              <w:bottom w:val="single" w:sz="4" w:space="0" w:color="auto"/>
              <w:right w:val="nil"/>
            </w:tcBorders>
            <w:shd w:val="clear" w:color="auto" w:fill="auto"/>
            <w:vAlign w:val="bottom"/>
            <w:hideMark/>
          </w:tcPr>
          <w:p w14:paraId="64B603DF"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2024-25 Forward estimate</w:t>
            </w:r>
            <w:r w:rsidRPr="00B63C9D">
              <w:rPr>
                <w:rFonts w:ascii="Arial" w:hAnsi="Arial" w:cs="Arial"/>
                <w:sz w:val="16"/>
                <w:szCs w:val="16"/>
              </w:rPr>
              <w:br/>
              <w:t>$'000</w:t>
            </w:r>
          </w:p>
        </w:tc>
        <w:tc>
          <w:tcPr>
            <w:tcW w:w="537" w:type="pct"/>
            <w:tcBorders>
              <w:top w:val="single" w:sz="4" w:space="0" w:color="auto"/>
              <w:left w:val="nil"/>
              <w:bottom w:val="single" w:sz="4" w:space="0" w:color="auto"/>
              <w:right w:val="nil"/>
            </w:tcBorders>
            <w:shd w:val="clear" w:color="auto" w:fill="auto"/>
            <w:vAlign w:val="bottom"/>
            <w:hideMark/>
          </w:tcPr>
          <w:p w14:paraId="35BF7AB9"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2025-26</w:t>
            </w:r>
            <w:r w:rsidRPr="00B63C9D">
              <w:rPr>
                <w:rFonts w:ascii="Arial" w:hAnsi="Arial" w:cs="Arial"/>
                <w:sz w:val="16"/>
                <w:szCs w:val="16"/>
              </w:rPr>
              <w:br/>
              <w:t>Forward estimate</w:t>
            </w:r>
            <w:r w:rsidRPr="00B63C9D">
              <w:rPr>
                <w:rFonts w:ascii="Arial" w:hAnsi="Arial" w:cs="Arial"/>
                <w:sz w:val="16"/>
                <w:szCs w:val="16"/>
              </w:rPr>
              <w:br/>
              <w:t>$'000</w:t>
            </w:r>
          </w:p>
        </w:tc>
      </w:tr>
      <w:tr w:rsidR="001C0F49" w:rsidRPr="00B63C9D" w14:paraId="3EA1C59B" w14:textId="77777777" w:rsidTr="009C12D1">
        <w:trPr>
          <w:trHeight w:val="204"/>
        </w:trPr>
        <w:tc>
          <w:tcPr>
            <w:tcW w:w="2069" w:type="pct"/>
            <w:tcBorders>
              <w:top w:val="nil"/>
              <w:left w:val="nil"/>
              <w:bottom w:val="nil"/>
              <w:right w:val="nil"/>
            </w:tcBorders>
            <w:shd w:val="clear" w:color="auto" w:fill="auto"/>
            <w:noWrap/>
            <w:vAlign w:val="bottom"/>
            <w:hideMark/>
          </w:tcPr>
          <w:p w14:paraId="12DC07FF"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ASSETS</w:t>
            </w:r>
          </w:p>
        </w:tc>
        <w:tc>
          <w:tcPr>
            <w:tcW w:w="604" w:type="pct"/>
            <w:tcBorders>
              <w:top w:val="nil"/>
              <w:left w:val="nil"/>
              <w:bottom w:val="nil"/>
              <w:right w:val="nil"/>
            </w:tcBorders>
            <w:shd w:val="clear" w:color="auto" w:fill="auto"/>
            <w:noWrap/>
            <w:vAlign w:val="bottom"/>
            <w:hideMark/>
          </w:tcPr>
          <w:p w14:paraId="1E2B6A66"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029D9DB4"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3B7C347"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BCB602C"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74355F9B"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48E1DA00" w14:textId="77777777" w:rsidTr="009C12D1">
        <w:trPr>
          <w:trHeight w:val="204"/>
        </w:trPr>
        <w:tc>
          <w:tcPr>
            <w:tcW w:w="2069" w:type="pct"/>
            <w:tcBorders>
              <w:top w:val="nil"/>
              <w:left w:val="nil"/>
              <w:bottom w:val="nil"/>
              <w:right w:val="nil"/>
            </w:tcBorders>
            <w:shd w:val="clear" w:color="auto" w:fill="auto"/>
            <w:noWrap/>
            <w:vAlign w:val="bottom"/>
            <w:hideMark/>
          </w:tcPr>
          <w:p w14:paraId="5F268E5E"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Financial assets</w:t>
            </w:r>
          </w:p>
        </w:tc>
        <w:tc>
          <w:tcPr>
            <w:tcW w:w="604" w:type="pct"/>
            <w:tcBorders>
              <w:top w:val="nil"/>
              <w:left w:val="nil"/>
              <w:bottom w:val="nil"/>
              <w:right w:val="nil"/>
            </w:tcBorders>
            <w:shd w:val="clear" w:color="auto" w:fill="auto"/>
            <w:noWrap/>
            <w:vAlign w:val="bottom"/>
            <w:hideMark/>
          </w:tcPr>
          <w:p w14:paraId="65309BCA"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14D586F3"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EA6E7B3"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413AC8C"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41CF4DA0"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06BCC996" w14:textId="77777777" w:rsidTr="009C12D1">
        <w:trPr>
          <w:trHeight w:val="204"/>
        </w:trPr>
        <w:tc>
          <w:tcPr>
            <w:tcW w:w="2069" w:type="pct"/>
            <w:tcBorders>
              <w:top w:val="nil"/>
              <w:left w:val="nil"/>
              <w:bottom w:val="nil"/>
              <w:right w:val="nil"/>
            </w:tcBorders>
            <w:shd w:val="clear" w:color="auto" w:fill="auto"/>
            <w:noWrap/>
            <w:vAlign w:val="bottom"/>
            <w:hideMark/>
          </w:tcPr>
          <w:p w14:paraId="1B751AE7"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 xml:space="preserve">Cash </w:t>
            </w:r>
            <w:r w:rsidRPr="00B63C9D">
              <w:rPr>
                <w:rFonts w:ascii="Arial" w:hAnsi="Arial" w:cs="Arial"/>
                <w:sz w:val="16"/>
                <w:szCs w:val="16"/>
              </w:rPr>
              <w:t>and cash equivalents</w:t>
            </w:r>
          </w:p>
        </w:tc>
        <w:tc>
          <w:tcPr>
            <w:tcW w:w="604" w:type="pct"/>
            <w:tcBorders>
              <w:top w:val="nil"/>
              <w:left w:val="nil"/>
              <w:bottom w:val="nil"/>
              <w:right w:val="nil"/>
            </w:tcBorders>
            <w:shd w:val="clear" w:color="auto" w:fill="auto"/>
            <w:noWrap/>
            <w:vAlign w:val="bottom"/>
            <w:hideMark/>
          </w:tcPr>
          <w:p w14:paraId="7695CEC8"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6,603</w:t>
            </w:r>
          </w:p>
        </w:tc>
        <w:tc>
          <w:tcPr>
            <w:tcW w:w="597" w:type="pct"/>
            <w:tcBorders>
              <w:top w:val="nil"/>
              <w:left w:val="nil"/>
              <w:bottom w:val="nil"/>
              <w:right w:val="nil"/>
            </w:tcBorders>
            <w:shd w:val="clear" w:color="auto" w:fill="E6E6E6"/>
            <w:noWrap/>
            <w:vAlign w:val="bottom"/>
            <w:hideMark/>
          </w:tcPr>
          <w:p w14:paraId="6C2AB7B4"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10,173</w:t>
            </w:r>
          </w:p>
        </w:tc>
        <w:tc>
          <w:tcPr>
            <w:tcW w:w="597" w:type="pct"/>
            <w:tcBorders>
              <w:top w:val="nil"/>
              <w:left w:val="nil"/>
              <w:bottom w:val="nil"/>
              <w:right w:val="nil"/>
            </w:tcBorders>
            <w:shd w:val="clear" w:color="auto" w:fill="auto"/>
            <w:noWrap/>
            <w:vAlign w:val="bottom"/>
            <w:hideMark/>
          </w:tcPr>
          <w:p w14:paraId="3DD667B5"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10,195</w:t>
            </w:r>
          </w:p>
        </w:tc>
        <w:tc>
          <w:tcPr>
            <w:tcW w:w="597" w:type="pct"/>
            <w:tcBorders>
              <w:top w:val="nil"/>
              <w:left w:val="nil"/>
              <w:bottom w:val="nil"/>
              <w:right w:val="nil"/>
            </w:tcBorders>
            <w:shd w:val="clear" w:color="auto" w:fill="auto"/>
            <w:noWrap/>
            <w:vAlign w:val="bottom"/>
            <w:hideMark/>
          </w:tcPr>
          <w:p w14:paraId="65555335"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10,172</w:t>
            </w:r>
          </w:p>
        </w:tc>
        <w:tc>
          <w:tcPr>
            <w:tcW w:w="537" w:type="pct"/>
            <w:tcBorders>
              <w:top w:val="nil"/>
              <w:left w:val="nil"/>
              <w:bottom w:val="nil"/>
              <w:right w:val="nil"/>
            </w:tcBorders>
            <w:shd w:val="clear" w:color="auto" w:fill="auto"/>
            <w:noWrap/>
            <w:vAlign w:val="bottom"/>
            <w:hideMark/>
          </w:tcPr>
          <w:p w14:paraId="15660AE6"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10,100</w:t>
            </w:r>
          </w:p>
        </w:tc>
      </w:tr>
      <w:tr w:rsidR="001C0F49" w:rsidRPr="00B63C9D" w14:paraId="79E16499" w14:textId="77777777" w:rsidTr="009C12D1">
        <w:trPr>
          <w:trHeight w:val="204"/>
        </w:trPr>
        <w:tc>
          <w:tcPr>
            <w:tcW w:w="2069" w:type="pct"/>
            <w:tcBorders>
              <w:top w:val="nil"/>
              <w:left w:val="nil"/>
              <w:bottom w:val="nil"/>
              <w:right w:val="nil"/>
            </w:tcBorders>
            <w:shd w:val="clear" w:color="auto" w:fill="auto"/>
            <w:noWrap/>
            <w:vAlign w:val="bottom"/>
            <w:hideMark/>
          </w:tcPr>
          <w:p w14:paraId="138E4388" w14:textId="77777777" w:rsidR="001C0F49" w:rsidRPr="00B63C9D" w:rsidRDefault="001C0F49" w:rsidP="00293BD0">
            <w:pPr>
              <w:spacing w:after="0" w:line="240" w:lineRule="auto"/>
              <w:ind w:left="113"/>
              <w:rPr>
                <w:rFonts w:ascii="Arial" w:hAnsi="Arial" w:cs="Arial"/>
                <w:sz w:val="16"/>
                <w:szCs w:val="16"/>
              </w:rPr>
            </w:pPr>
            <w:r w:rsidRPr="00B63C9D">
              <w:rPr>
                <w:rFonts w:ascii="Arial" w:hAnsi="Arial" w:cs="Arial"/>
                <w:sz w:val="16"/>
                <w:szCs w:val="16"/>
              </w:rPr>
              <w:t>Trade and other receivables</w:t>
            </w:r>
          </w:p>
        </w:tc>
        <w:tc>
          <w:tcPr>
            <w:tcW w:w="604" w:type="pct"/>
            <w:tcBorders>
              <w:top w:val="nil"/>
              <w:left w:val="nil"/>
              <w:bottom w:val="nil"/>
              <w:right w:val="nil"/>
            </w:tcBorders>
            <w:shd w:val="clear" w:color="auto" w:fill="auto"/>
            <w:noWrap/>
            <w:vAlign w:val="bottom"/>
            <w:hideMark/>
          </w:tcPr>
          <w:p w14:paraId="53C1692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1,845</w:t>
            </w:r>
          </w:p>
        </w:tc>
        <w:tc>
          <w:tcPr>
            <w:tcW w:w="597" w:type="pct"/>
            <w:tcBorders>
              <w:top w:val="nil"/>
              <w:left w:val="nil"/>
              <w:bottom w:val="nil"/>
              <w:right w:val="nil"/>
            </w:tcBorders>
            <w:shd w:val="clear" w:color="auto" w:fill="E6E6E6"/>
            <w:noWrap/>
            <w:vAlign w:val="bottom"/>
            <w:hideMark/>
          </w:tcPr>
          <w:p w14:paraId="3DED136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1,845</w:t>
            </w:r>
          </w:p>
        </w:tc>
        <w:tc>
          <w:tcPr>
            <w:tcW w:w="597" w:type="pct"/>
            <w:tcBorders>
              <w:top w:val="nil"/>
              <w:left w:val="nil"/>
              <w:bottom w:val="nil"/>
              <w:right w:val="nil"/>
            </w:tcBorders>
            <w:shd w:val="clear" w:color="auto" w:fill="auto"/>
            <w:noWrap/>
            <w:vAlign w:val="bottom"/>
            <w:hideMark/>
          </w:tcPr>
          <w:p w14:paraId="4B0F3741"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1,845</w:t>
            </w:r>
          </w:p>
        </w:tc>
        <w:tc>
          <w:tcPr>
            <w:tcW w:w="597" w:type="pct"/>
            <w:tcBorders>
              <w:top w:val="nil"/>
              <w:left w:val="nil"/>
              <w:bottom w:val="nil"/>
              <w:right w:val="nil"/>
            </w:tcBorders>
            <w:shd w:val="clear" w:color="auto" w:fill="auto"/>
            <w:noWrap/>
            <w:vAlign w:val="bottom"/>
            <w:hideMark/>
          </w:tcPr>
          <w:p w14:paraId="21C79FB7"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1,845</w:t>
            </w:r>
          </w:p>
        </w:tc>
        <w:tc>
          <w:tcPr>
            <w:tcW w:w="537" w:type="pct"/>
            <w:tcBorders>
              <w:top w:val="nil"/>
              <w:left w:val="nil"/>
              <w:bottom w:val="nil"/>
              <w:right w:val="nil"/>
            </w:tcBorders>
            <w:shd w:val="clear" w:color="auto" w:fill="auto"/>
            <w:noWrap/>
            <w:vAlign w:val="bottom"/>
            <w:hideMark/>
          </w:tcPr>
          <w:p w14:paraId="024706E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1,845</w:t>
            </w:r>
          </w:p>
        </w:tc>
      </w:tr>
      <w:tr w:rsidR="001C0F49" w:rsidRPr="00B63C9D" w14:paraId="45BAB3E3" w14:textId="77777777" w:rsidTr="009C12D1">
        <w:trPr>
          <w:trHeight w:val="204"/>
        </w:trPr>
        <w:tc>
          <w:tcPr>
            <w:tcW w:w="2069" w:type="pct"/>
            <w:tcBorders>
              <w:top w:val="nil"/>
              <w:left w:val="nil"/>
              <w:bottom w:val="nil"/>
              <w:right w:val="nil"/>
            </w:tcBorders>
            <w:shd w:val="clear" w:color="auto" w:fill="auto"/>
            <w:noWrap/>
            <w:vAlign w:val="bottom"/>
            <w:hideMark/>
          </w:tcPr>
          <w:p w14:paraId="56DD2BC2"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financial assets</w:t>
            </w:r>
          </w:p>
        </w:tc>
        <w:tc>
          <w:tcPr>
            <w:tcW w:w="604" w:type="pct"/>
            <w:tcBorders>
              <w:top w:val="single" w:sz="4" w:space="0" w:color="000000"/>
              <w:left w:val="nil"/>
              <w:bottom w:val="single" w:sz="4" w:space="0" w:color="000000"/>
              <w:right w:val="nil"/>
            </w:tcBorders>
            <w:shd w:val="clear" w:color="auto" w:fill="auto"/>
            <w:noWrap/>
            <w:vAlign w:val="bottom"/>
            <w:hideMark/>
          </w:tcPr>
          <w:p w14:paraId="7DE48AB6"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4,448</w:t>
            </w:r>
          </w:p>
        </w:tc>
        <w:tc>
          <w:tcPr>
            <w:tcW w:w="597" w:type="pct"/>
            <w:tcBorders>
              <w:top w:val="single" w:sz="4" w:space="0" w:color="000000"/>
              <w:left w:val="nil"/>
              <w:bottom w:val="single" w:sz="4" w:space="0" w:color="000000"/>
              <w:right w:val="nil"/>
            </w:tcBorders>
            <w:shd w:val="clear" w:color="auto" w:fill="E6E6E6"/>
            <w:noWrap/>
            <w:vAlign w:val="bottom"/>
            <w:hideMark/>
          </w:tcPr>
          <w:p w14:paraId="43AA7522"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12,018</w:t>
            </w:r>
          </w:p>
        </w:tc>
        <w:tc>
          <w:tcPr>
            <w:tcW w:w="597" w:type="pct"/>
            <w:tcBorders>
              <w:top w:val="single" w:sz="4" w:space="0" w:color="000000"/>
              <w:left w:val="nil"/>
              <w:bottom w:val="single" w:sz="4" w:space="0" w:color="000000"/>
              <w:right w:val="nil"/>
            </w:tcBorders>
            <w:shd w:val="clear" w:color="auto" w:fill="auto"/>
            <w:noWrap/>
            <w:vAlign w:val="bottom"/>
            <w:hideMark/>
          </w:tcPr>
          <w:p w14:paraId="7D5C6D7E"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12,040</w:t>
            </w:r>
          </w:p>
        </w:tc>
        <w:tc>
          <w:tcPr>
            <w:tcW w:w="597" w:type="pct"/>
            <w:tcBorders>
              <w:top w:val="single" w:sz="4" w:space="0" w:color="000000"/>
              <w:left w:val="nil"/>
              <w:bottom w:val="single" w:sz="4" w:space="0" w:color="000000"/>
              <w:right w:val="nil"/>
            </w:tcBorders>
            <w:shd w:val="clear" w:color="auto" w:fill="auto"/>
            <w:noWrap/>
            <w:vAlign w:val="bottom"/>
            <w:hideMark/>
          </w:tcPr>
          <w:p w14:paraId="5DE17A4D"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12,017</w:t>
            </w:r>
          </w:p>
        </w:tc>
        <w:tc>
          <w:tcPr>
            <w:tcW w:w="537" w:type="pct"/>
            <w:tcBorders>
              <w:top w:val="single" w:sz="4" w:space="0" w:color="000000"/>
              <w:left w:val="nil"/>
              <w:bottom w:val="single" w:sz="4" w:space="0" w:color="000000"/>
              <w:right w:val="nil"/>
            </w:tcBorders>
            <w:shd w:val="clear" w:color="auto" w:fill="auto"/>
            <w:noWrap/>
            <w:vAlign w:val="bottom"/>
            <w:hideMark/>
          </w:tcPr>
          <w:p w14:paraId="2E1DBBCF"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11,945</w:t>
            </w:r>
          </w:p>
        </w:tc>
      </w:tr>
      <w:tr w:rsidR="001C0F49" w:rsidRPr="00B63C9D" w14:paraId="5F063FFE" w14:textId="77777777" w:rsidTr="009C12D1">
        <w:trPr>
          <w:trHeight w:val="204"/>
        </w:trPr>
        <w:tc>
          <w:tcPr>
            <w:tcW w:w="2069" w:type="pct"/>
            <w:tcBorders>
              <w:top w:val="nil"/>
              <w:left w:val="nil"/>
              <w:bottom w:val="nil"/>
              <w:right w:val="nil"/>
            </w:tcBorders>
            <w:shd w:val="clear" w:color="auto" w:fill="auto"/>
            <w:noWrap/>
            <w:vAlign w:val="bottom"/>
            <w:hideMark/>
          </w:tcPr>
          <w:p w14:paraId="2693F471"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Non-financial assets</w:t>
            </w:r>
          </w:p>
        </w:tc>
        <w:tc>
          <w:tcPr>
            <w:tcW w:w="604" w:type="pct"/>
            <w:tcBorders>
              <w:top w:val="nil"/>
              <w:left w:val="nil"/>
              <w:bottom w:val="nil"/>
              <w:right w:val="nil"/>
            </w:tcBorders>
            <w:shd w:val="clear" w:color="auto" w:fill="auto"/>
            <w:noWrap/>
            <w:vAlign w:val="bottom"/>
            <w:hideMark/>
          </w:tcPr>
          <w:p w14:paraId="151558E3"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6EFFBB07"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3B6EF15"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BFED610"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7A67110E"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6E17A9F5" w14:textId="77777777" w:rsidTr="009C12D1">
        <w:trPr>
          <w:trHeight w:val="204"/>
        </w:trPr>
        <w:tc>
          <w:tcPr>
            <w:tcW w:w="2069" w:type="pct"/>
            <w:tcBorders>
              <w:top w:val="nil"/>
              <w:left w:val="nil"/>
              <w:bottom w:val="nil"/>
              <w:right w:val="nil"/>
            </w:tcBorders>
            <w:shd w:val="clear" w:color="auto" w:fill="auto"/>
            <w:noWrap/>
            <w:vAlign w:val="bottom"/>
            <w:hideMark/>
          </w:tcPr>
          <w:p w14:paraId="0DD1E17F"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Land and buildings</w:t>
            </w:r>
          </w:p>
        </w:tc>
        <w:tc>
          <w:tcPr>
            <w:tcW w:w="604" w:type="pct"/>
            <w:tcBorders>
              <w:top w:val="nil"/>
              <w:left w:val="nil"/>
              <w:bottom w:val="nil"/>
              <w:right w:val="nil"/>
            </w:tcBorders>
            <w:shd w:val="clear" w:color="auto" w:fill="auto"/>
            <w:noWrap/>
            <w:vAlign w:val="bottom"/>
            <w:hideMark/>
          </w:tcPr>
          <w:p w14:paraId="47C48008"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124,976</w:t>
            </w:r>
          </w:p>
        </w:tc>
        <w:tc>
          <w:tcPr>
            <w:tcW w:w="597" w:type="pct"/>
            <w:tcBorders>
              <w:top w:val="nil"/>
              <w:left w:val="nil"/>
              <w:bottom w:val="nil"/>
              <w:right w:val="nil"/>
            </w:tcBorders>
            <w:shd w:val="clear" w:color="auto" w:fill="E6E6E6"/>
            <w:noWrap/>
            <w:vAlign w:val="bottom"/>
            <w:hideMark/>
          </w:tcPr>
          <w:p w14:paraId="587083E7"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123,076</w:t>
            </w:r>
          </w:p>
        </w:tc>
        <w:tc>
          <w:tcPr>
            <w:tcW w:w="597" w:type="pct"/>
            <w:tcBorders>
              <w:top w:val="nil"/>
              <w:left w:val="nil"/>
              <w:bottom w:val="nil"/>
              <w:right w:val="nil"/>
            </w:tcBorders>
            <w:shd w:val="clear" w:color="auto" w:fill="auto"/>
            <w:noWrap/>
            <w:vAlign w:val="bottom"/>
            <w:hideMark/>
          </w:tcPr>
          <w:p w14:paraId="6F811C51"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121,135</w:t>
            </w:r>
          </w:p>
        </w:tc>
        <w:tc>
          <w:tcPr>
            <w:tcW w:w="597" w:type="pct"/>
            <w:tcBorders>
              <w:top w:val="nil"/>
              <w:left w:val="nil"/>
              <w:bottom w:val="nil"/>
              <w:right w:val="nil"/>
            </w:tcBorders>
            <w:shd w:val="clear" w:color="auto" w:fill="auto"/>
            <w:noWrap/>
            <w:vAlign w:val="bottom"/>
            <w:hideMark/>
          </w:tcPr>
          <w:p w14:paraId="472842B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119,152</w:t>
            </w:r>
          </w:p>
        </w:tc>
        <w:tc>
          <w:tcPr>
            <w:tcW w:w="537" w:type="pct"/>
            <w:tcBorders>
              <w:top w:val="nil"/>
              <w:left w:val="nil"/>
              <w:bottom w:val="nil"/>
              <w:right w:val="nil"/>
            </w:tcBorders>
            <w:shd w:val="clear" w:color="auto" w:fill="auto"/>
            <w:noWrap/>
            <w:vAlign w:val="bottom"/>
            <w:hideMark/>
          </w:tcPr>
          <w:p w14:paraId="6E953B7A"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117,127</w:t>
            </w:r>
          </w:p>
        </w:tc>
      </w:tr>
      <w:tr w:rsidR="001C0F49" w:rsidRPr="00B63C9D" w14:paraId="18FF1589" w14:textId="77777777" w:rsidTr="009C12D1">
        <w:trPr>
          <w:trHeight w:val="204"/>
        </w:trPr>
        <w:tc>
          <w:tcPr>
            <w:tcW w:w="2069" w:type="pct"/>
            <w:tcBorders>
              <w:top w:val="nil"/>
              <w:left w:val="nil"/>
              <w:bottom w:val="nil"/>
              <w:right w:val="nil"/>
            </w:tcBorders>
            <w:shd w:val="clear" w:color="auto" w:fill="auto"/>
            <w:noWrap/>
            <w:vAlign w:val="bottom"/>
            <w:hideMark/>
          </w:tcPr>
          <w:p w14:paraId="1CE018E9"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Property, plant and equipment</w:t>
            </w:r>
          </w:p>
        </w:tc>
        <w:tc>
          <w:tcPr>
            <w:tcW w:w="604" w:type="pct"/>
            <w:tcBorders>
              <w:top w:val="nil"/>
              <w:left w:val="nil"/>
              <w:bottom w:val="nil"/>
              <w:right w:val="nil"/>
            </w:tcBorders>
            <w:shd w:val="clear" w:color="auto" w:fill="auto"/>
            <w:noWrap/>
            <w:vAlign w:val="bottom"/>
            <w:hideMark/>
          </w:tcPr>
          <w:p w14:paraId="5C2874B1"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73,332</w:t>
            </w:r>
          </w:p>
        </w:tc>
        <w:tc>
          <w:tcPr>
            <w:tcW w:w="597" w:type="pct"/>
            <w:tcBorders>
              <w:top w:val="nil"/>
              <w:left w:val="nil"/>
              <w:bottom w:val="nil"/>
              <w:right w:val="nil"/>
            </w:tcBorders>
            <w:shd w:val="clear" w:color="auto" w:fill="E6E6E6"/>
            <w:noWrap/>
            <w:vAlign w:val="bottom"/>
            <w:hideMark/>
          </w:tcPr>
          <w:p w14:paraId="1711802C"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70,644</w:t>
            </w:r>
          </w:p>
        </w:tc>
        <w:tc>
          <w:tcPr>
            <w:tcW w:w="597" w:type="pct"/>
            <w:tcBorders>
              <w:top w:val="nil"/>
              <w:left w:val="nil"/>
              <w:bottom w:val="nil"/>
              <w:right w:val="nil"/>
            </w:tcBorders>
            <w:shd w:val="clear" w:color="auto" w:fill="auto"/>
            <w:noWrap/>
            <w:vAlign w:val="bottom"/>
            <w:hideMark/>
          </w:tcPr>
          <w:p w14:paraId="156ED19B"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65,663</w:t>
            </w:r>
          </w:p>
        </w:tc>
        <w:tc>
          <w:tcPr>
            <w:tcW w:w="597" w:type="pct"/>
            <w:tcBorders>
              <w:top w:val="nil"/>
              <w:left w:val="nil"/>
              <w:bottom w:val="nil"/>
              <w:right w:val="nil"/>
            </w:tcBorders>
            <w:shd w:val="clear" w:color="auto" w:fill="auto"/>
            <w:noWrap/>
            <w:vAlign w:val="bottom"/>
            <w:hideMark/>
          </w:tcPr>
          <w:p w14:paraId="576BF4E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63,097</w:t>
            </w:r>
          </w:p>
        </w:tc>
        <w:tc>
          <w:tcPr>
            <w:tcW w:w="537" w:type="pct"/>
            <w:tcBorders>
              <w:top w:val="nil"/>
              <w:left w:val="nil"/>
              <w:bottom w:val="nil"/>
              <w:right w:val="nil"/>
            </w:tcBorders>
            <w:shd w:val="clear" w:color="auto" w:fill="auto"/>
            <w:noWrap/>
            <w:vAlign w:val="bottom"/>
            <w:hideMark/>
          </w:tcPr>
          <w:p w14:paraId="63A0558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60,592</w:t>
            </w:r>
          </w:p>
        </w:tc>
      </w:tr>
      <w:tr w:rsidR="001C0F49" w:rsidRPr="00B63C9D" w14:paraId="357288EF" w14:textId="77777777" w:rsidTr="009C12D1">
        <w:trPr>
          <w:trHeight w:val="204"/>
        </w:trPr>
        <w:tc>
          <w:tcPr>
            <w:tcW w:w="2069" w:type="pct"/>
            <w:tcBorders>
              <w:top w:val="nil"/>
              <w:left w:val="nil"/>
              <w:bottom w:val="nil"/>
              <w:right w:val="nil"/>
            </w:tcBorders>
            <w:shd w:val="clear" w:color="auto" w:fill="auto"/>
            <w:noWrap/>
            <w:vAlign w:val="bottom"/>
            <w:hideMark/>
          </w:tcPr>
          <w:p w14:paraId="0CE9E04B"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Heritage and Cultural</w:t>
            </w:r>
          </w:p>
        </w:tc>
        <w:tc>
          <w:tcPr>
            <w:tcW w:w="604" w:type="pct"/>
            <w:tcBorders>
              <w:top w:val="nil"/>
              <w:left w:val="nil"/>
              <w:bottom w:val="nil"/>
              <w:right w:val="nil"/>
            </w:tcBorders>
            <w:shd w:val="clear" w:color="auto" w:fill="auto"/>
            <w:noWrap/>
            <w:vAlign w:val="bottom"/>
            <w:hideMark/>
          </w:tcPr>
          <w:p w14:paraId="034E6794"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279,640</w:t>
            </w:r>
          </w:p>
        </w:tc>
        <w:tc>
          <w:tcPr>
            <w:tcW w:w="597" w:type="pct"/>
            <w:tcBorders>
              <w:top w:val="nil"/>
              <w:left w:val="nil"/>
              <w:bottom w:val="nil"/>
              <w:right w:val="nil"/>
            </w:tcBorders>
            <w:shd w:val="clear" w:color="auto" w:fill="E6E6E6"/>
            <w:noWrap/>
            <w:vAlign w:val="bottom"/>
            <w:hideMark/>
          </w:tcPr>
          <w:p w14:paraId="71E8536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280,407</w:t>
            </w:r>
          </w:p>
        </w:tc>
        <w:tc>
          <w:tcPr>
            <w:tcW w:w="597" w:type="pct"/>
            <w:tcBorders>
              <w:top w:val="nil"/>
              <w:left w:val="nil"/>
              <w:bottom w:val="nil"/>
              <w:right w:val="nil"/>
            </w:tcBorders>
            <w:shd w:val="clear" w:color="auto" w:fill="auto"/>
            <w:noWrap/>
            <w:vAlign w:val="bottom"/>
            <w:hideMark/>
          </w:tcPr>
          <w:p w14:paraId="78D5ABC7"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281,229</w:t>
            </w:r>
          </w:p>
        </w:tc>
        <w:tc>
          <w:tcPr>
            <w:tcW w:w="597" w:type="pct"/>
            <w:tcBorders>
              <w:top w:val="nil"/>
              <w:left w:val="nil"/>
              <w:bottom w:val="nil"/>
              <w:right w:val="nil"/>
            </w:tcBorders>
            <w:shd w:val="clear" w:color="auto" w:fill="auto"/>
            <w:noWrap/>
            <w:vAlign w:val="bottom"/>
            <w:hideMark/>
          </w:tcPr>
          <w:p w14:paraId="382BFC23"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282,053</w:t>
            </w:r>
          </w:p>
        </w:tc>
        <w:tc>
          <w:tcPr>
            <w:tcW w:w="537" w:type="pct"/>
            <w:tcBorders>
              <w:top w:val="nil"/>
              <w:left w:val="nil"/>
              <w:bottom w:val="nil"/>
              <w:right w:val="nil"/>
            </w:tcBorders>
            <w:shd w:val="clear" w:color="auto" w:fill="auto"/>
            <w:noWrap/>
            <w:vAlign w:val="bottom"/>
            <w:hideMark/>
          </w:tcPr>
          <w:p w14:paraId="0A749486"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282,870</w:t>
            </w:r>
          </w:p>
        </w:tc>
      </w:tr>
      <w:tr w:rsidR="001C0F49" w:rsidRPr="00B63C9D" w14:paraId="75F3F8FE" w14:textId="77777777" w:rsidTr="009C12D1">
        <w:trPr>
          <w:trHeight w:val="204"/>
        </w:trPr>
        <w:tc>
          <w:tcPr>
            <w:tcW w:w="2069" w:type="pct"/>
            <w:tcBorders>
              <w:top w:val="nil"/>
              <w:left w:val="nil"/>
              <w:bottom w:val="nil"/>
              <w:right w:val="nil"/>
            </w:tcBorders>
            <w:shd w:val="clear" w:color="auto" w:fill="auto"/>
            <w:noWrap/>
            <w:vAlign w:val="bottom"/>
            <w:hideMark/>
          </w:tcPr>
          <w:p w14:paraId="05FC11C5"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Intangibles</w:t>
            </w:r>
          </w:p>
        </w:tc>
        <w:tc>
          <w:tcPr>
            <w:tcW w:w="604" w:type="pct"/>
            <w:tcBorders>
              <w:top w:val="nil"/>
              <w:left w:val="nil"/>
              <w:bottom w:val="nil"/>
              <w:right w:val="nil"/>
            </w:tcBorders>
            <w:shd w:val="clear" w:color="auto" w:fill="auto"/>
            <w:noWrap/>
            <w:vAlign w:val="bottom"/>
            <w:hideMark/>
          </w:tcPr>
          <w:p w14:paraId="324256FC"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7,166</w:t>
            </w:r>
          </w:p>
        </w:tc>
        <w:tc>
          <w:tcPr>
            <w:tcW w:w="597" w:type="pct"/>
            <w:tcBorders>
              <w:top w:val="nil"/>
              <w:left w:val="nil"/>
              <w:bottom w:val="nil"/>
              <w:right w:val="nil"/>
            </w:tcBorders>
            <w:shd w:val="clear" w:color="auto" w:fill="E6E6E6"/>
            <w:noWrap/>
            <w:vAlign w:val="bottom"/>
            <w:hideMark/>
          </w:tcPr>
          <w:p w14:paraId="360FBFAA"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7,250</w:t>
            </w:r>
          </w:p>
        </w:tc>
        <w:tc>
          <w:tcPr>
            <w:tcW w:w="597" w:type="pct"/>
            <w:tcBorders>
              <w:top w:val="nil"/>
              <w:left w:val="nil"/>
              <w:bottom w:val="nil"/>
              <w:right w:val="nil"/>
            </w:tcBorders>
            <w:shd w:val="clear" w:color="auto" w:fill="auto"/>
            <w:noWrap/>
            <w:vAlign w:val="bottom"/>
            <w:hideMark/>
          </w:tcPr>
          <w:p w14:paraId="1538A67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7,315</w:t>
            </w:r>
          </w:p>
        </w:tc>
        <w:tc>
          <w:tcPr>
            <w:tcW w:w="597" w:type="pct"/>
            <w:tcBorders>
              <w:top w:val="nil"/>
              <w:left w:val="nil"/>
              <w:bottom w:val="nil"/>
              <w:right w:val="nil"/>
            </w:tcBorders>
            <w:shd w:val="clear" w:color="auto" w:fill="auto"/>
            <w:noWrap/>
            <w:vAlign w:val="bottom"/>
            <w:hideMark/>
          </w:tcPr>
          <w:p w14:paraId="3957D90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7,361</w:t>
            </w:r>
          </w:p>
        </w:tc>
        <w:tc>
          <w:tcPr>
            <w:tcW w:w="537" w:type="pct"/>
            <w:tcBorders>
              <w:top w:val="nil"/>
              <w:left w:val="nil"/>
              <w:bottom w:val="nil"/>
              <w:right w:val="nil"/>
            </w:tcBorders>
            <w:shd w:val="clear" w:color="auto" w:fill="auto"/>
            <w:noWrap/>
            <w:vAlign w:val="bottom"/>
            <w:hideMark/>
          </w:tcPr>
          <w:p w14:paraId="7A2EF182"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7,387</w:t>
            </w:r>
          </w:p>
        </w:tc>
      </w:tr>
      <w:tr w:rsidR="001C0F49" w:rsidRPr="00B63C9D" w14:paraId="076CAD56" w14:textId="77777777" w:rsidTr="009C12D1">
        <w:trPr>
          <w:trHeight w:val="204"/>
        </w:trPr>
        <w:tc>
          <w:tcPr>
            <w:tcW w:w="2069" w:type="pct"/>
            <w:tcBorders>
              <w:top w:val="nil"/>
              <w:left w:val="nil"/>
              <w:bottom w:val="nil"/>
              <w:right w:val="nil"/>
            </w:tcBorders>
            <w:shd w:val="clear" w:color="auto" w:fill="auto"/>
            <w:noWrap/>
            <w:vAlign w:val="bottom"/>
            <w:hideMark/>
          </w:tcPr>
          <w:p w14:paraId="2BA4105A"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Inventories</w:t>
            </w:r>
          </w:p>
        </w:tc>
        <w:tc>
          <w:tcPr>
            <w:tcW w:w="604" w:type="pct"/>
            <w:tcBorders>
              <w:top w:val="nil"/>
              <w:left w:val="nil"/>
              <w:bottom w:val="nil"/>
              <w:right w:val="nil"/>
            </w:tcBorders>
            <w:shd w:val="clear" w:color="auto" w:fill="auto"/>
            <w:noWrap/>
            <w:vAlign w:val="bottom"/>
            <w:hideMark/>
          </w:tcPr>
          <w:p w14:paraId="50140BB6"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828</w:t>
            </w:r>
          </w:p>
        </w:tc>
        <w:tc>
          <w:tcPr>
            <w:tcW w:w="597" w:type="pct"/>
            <w:tcBorders>
              <w:top w:val="nil"/>
              <w:left w:val="nil"/>
              <w:bottom w:val="nil"/>
              <w:right w:val="nil"/>
            </w:tcBorders>
            <w:shd w:val="clear" w:color="auto" w:fill="E6E6E6"/>
            <w:noWrap/>
            <w:vAlign w:val="bottom"/>
            <w:hideMark/>
          </w:tcPr>
          <w:p w14:paraId="2C1215B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828</w:t>
            </w:r>
          </w:p>
        </w:tc>
        <w:tc>
          <w:tcPr>
            <w:tcW w:w="597" w:type="pct"/>
            <w:tcBorders>
              <w:top w:val="nil"/>
              <w:left w:val="nil"/>
              <w:bottom w:val="nil"/>
              <w:right w:val="nil"/>
            </w:tcBorders>
            <w:shd w:val="clear" w:color="auto" w:fill="auto"/>
            <w:noWrap/>
            <w:vAlign w:val="bottom"/>
            <w:hideMark/>
          </w:tcPr>
          <w:p w14:paraId="4CD8DE95"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828</w:t>
            </w:r>
          </w:p>
        </w:tc>
        <w:tc>
          <w:tcPr>
            <w:tcW w:w="597" w:type="pct"/>
            <w:tcBorders>
              <w:top w:val="nil"/>
              <w:left w:val="nil"/>
              <w:bottom w:val="nil"/>
              <w:right w:val="nil"/>
            </w:tcBorders>
            <w:shd w:val="clear" w:color="auto" w:fill="auto"/>
            <w:noWrap/>
            <w:vAlign w:val="bottom"/>
            <w:hideMark/>
          </w:tcPr>
          <w:p w14:paraId="36DFDBB0"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828</w:t>
            </w:r>
          </w:p>
        </w:tc>
        <w:tc>
          <w:tcPr>
            <w:tcW w:w="537" w:type="pct"/>
            <w:tcBorders>
              <w:top w:val="nil"/>
              <w:left w:val="nil"/>
              <w:bottom w:val="nil"/>
              <w:right w:val="nil"/>
            </w:tcBorders>
            <w:shd w:val="clear" w:color="auto" w:fill="auto"/>
            <w:noWrap/>
            <w:vAlign w:val="bottom"/>
            <w:hideMark/>
          </w:tcPr>
          <w:p w14:paraId="44FBB572"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828</w:t>
            </w:r>
          </w:p>
        </w:tc>
      </w:tr>
      <w:tr w:rsidR="001C0F49" w:rsidRPr="00B63C9D" w14:paraId="279D087A" w14:textId="77777777" w:rsidTr="009C12D1">
        <w:trPr>
          <w:trHeight w:val="204"/>
        </w:trPr>
        <w:tc>
          <w:tcPr>
            <w:tcW w:w="2069" w:type="pct"/>
            <w:tcBorders>
              <w:top w:val="nil"/>
              <w:left w:val="nil"/>
              <w:bottom w:val="nil"/>
              <w:right w:val="nil"/>
            </w:tcBorders>
            <w:shd w:val="clear" w:color="auto" w:fill="auto"/>
            <w:noWrap/>
            <w:vAlign w:val="bottom"/>
            <w:hideMark/>
          </w:tcPr>
          <w:p w14:paraId="6F426454"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Prepayments</w:t>
            </w:r>
          </w:p>
        </w:tc>
        <w:tc>
          <w:tcPr>
            <w:tcW w:w="604" w:type="pct"/>
            <w:tcBorders>
              <w:top w:val="nil"/>
              <w:left w:val="nil"/>
              <w:bottom w:val="nil"/>
              <w:right w:val="nil"/>
            </w:tcBorders>
            <w:shd w:val="clear" w:color="auto" w:fill="auto"/>
            <w:noWrap/>
            <w:vAlign w:val="bottom"/>
            <w:hideMark/>
          </w:tcPr>
          <w:p w14:paraId="610FCB2C"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1,655</w:t>
            </w:r>
          </w:p>
        </w:tc>
        <w:tc>
          <w:tcPr>
            <w:tcW w:w="597" w:type="pct"/>
            <w:tcBorders>
              <w:top w:val="nil"/>
              <w:left w:val="nil"/>
              <w:bottom w:val="nil"/>
              <w:right w:val="nil"/>
            </w:tcBorders>
            <w:shd w:val="clear" w:color="auto" w:fill="E6E6E6"/>
            <w:noWrap/>
            <w:vAlign w:val="bottom"/>
            <w:hideMark/>
          </w:tcPr>
          <w:p w14:paraId="35F23D1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1,655</w:t>
            </w:r>
          </w:p>
        </w:tc>
        <w:tc>
          <w:tcPr>
            <w:tcW w:w="597" w:type="pct"/>
            <w:tcBorders>
              <w:top w:val="nil"/>
              <w:left w:val="nil"/>
              <w:bottom w:val="nil"/>
              <w:right w:val="nil"/>
            </w:tcBorders>
            <w:shd w:val="clear" w:color="auto" w:fill="auto"/>
            <w:noWrap/>
            <w:vAlign w:val="bottom"/>
            <w:hideMark/>
          </w:tcPr>
          <w:p w14:paraId="291F4B1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1,655</w:t>
            </w:r>
          </w:p>
        </w:tc>
        <w:tc>
          <w:tcPr>
            <w:tcW w:w="597" w:type="pct"/>
            <w:tcBorders>
              <w:top w:val="nil"/>
              <w:left w:val="nil"/>
              <w:bottom w:val="nil"/>
              <w:right w:val="nil"/>
            </w:tcBorders>
            <w:shd w:val="clear" w:color="auto" w:fill="auto"/>
            <w:noWrap/>
            <w:vAlign w:val="bottom"/>
            <w:hideMark/>
          </w:tcPr>
          <w:p w14:paraId="30917F9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1,655</w:t>
            </w:r>
          </w:p>
        </w:tc>
        <w:tc>
          <w:tcPr>
            <w:tcW w:w="537" w:type="pct"/>
            <w:tcBorders>
              <w:top w:val="nil"/>
              <w:left w:val="nil"/>
              <w:bottom w:val="nil"/>
              <w:right w:val="nil"/>
            </w:tcBorders>
            <w:shd w:val="clear" w:color="auto" w:fill="auto"/>
            <w:noWrap/>
            <w:vAlign w:val="bottom"/>
            <w:hideMark/>
          </w:tcPr>
          <w:p w14:paraId="58D968F9"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1,655</w:t>
            </w:r>
          </w:p>
        </w:tc>
      </w:tr>
      <w:tr w:rsidR="001C0F49" w:rsidRPr="00B63C9D" w14:paraId="24B572F5" w14:textId="77777777" w:rsidTr="009C12D1">
        <w:trPr>
          <w:trHeight w:val="204"/>
        </w:trPr>
        <w:tc>
          <w:tcPr>
            <w:tcW w:w="2069" w:type="pct"/>
            <w:tcBorders>
              <w:top w:val="nil"/>
              <w:left w:val="nil"/>
              <w:bottom w:val="nil"/>
              <w:right w:val="nil"/>
            </w:tcBorders>
            <w:shd w:val="clear" w:color="auto" w:fill="auto"/>
            <w:noWrap/>
            <w:vAlign w:val="bottom"/>
            <w:hideMark/>
          </w:tcPr>
          <w:p w14:paraId="4E5AF900"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non-financial assets</w:t>
            </w:r>
          </w:p>
        </w:tc>
        <w:tc>
          <w:tcPr>
            <w:tcW w:w="604" w:type="pct"/>
            <w:tcBorders>
              <w:top w:val="single" w:sz="4" w:space="0" w:color="000000"/>
              <w:left w:val="nil"/>
              <w:bottom w:val="single" w:sz="4" w:space="0" w:color="000000"/>
              <w:right w:val="nil"/>
            </w:tcBorders>
            <w:shd w:val="clear" w:color="auto" w:fill="auto"/>
            <w:noWrap/>
            <w:vAlign w:val="bottom"/>
            <w:hideMark/>
          </w:tcPr>
          <w:p w14:paraId="130F562F"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48</w:t>
            </w:r>
            <w:r>
              <w:rPr>
                <w:rFonts w:ascii="Arial" w:hAnsi="Arial" w:cs="Arial"/>
                <w:b/>
                <w:bCs/>
                <w:i/>
                <w:iCs/>
                <w:color w:val="000000"/>
                <w:sz w:val="16"/>
                <w:szCs w:val="16"/>
              </w:rPr>
              <w:t>7,597</w:t>
            </w:r>
          </w:p>
        </w:tc>
        <w:tc>
          <w:tcPr>
            <w:tcW w:w="597" w:type="pct"/>
            <w:tcBorders>
              <w:top w:val="single" w:sz="4" w:space="0" w:color="000000"/>
              <w:left w:val="nil"/>
              <w:bottom w:val="single" w:sz="4" w:space="0" w:color="000000"/>
              <w:right w:val="nil"/>
            </w:tcBorders>
            <w:shd w:val="clear" w:color="auto" w:fill="E6E6E6"/>
            <w:noWrap/>
            <w:vAlign w:val="bottom"/>
            <w:hideMark/>
          </w:tcPr>
          <w:p w14:paraId="4E6A131A"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483,860</w:t>
            </w:r>
          </w:p>
        </w:tc>
        <w:tc>
          <w:tcPr>
            <w:tcW w:w="597" w:type="pct"/>
            <w:tcBorders>
              <w:top w:val="single" w:sz="4" w:space="0" w:color="000000"/>
              <w:left w:val="nil"/>
              <w:bottom w:val="single" w:sz="4" w:space="0" w:color="000000"/>
              <w:right w:val="nil"/>
            </w:tcBorders>
            <w:shd w:val="clear" w:color="auto" w:fill="auto"/>
            <w:noWrap/>
            <w:vAlign w:val="bottom"/>
            <w:hideMark/>
          </w:tcPr>
          <w:p w14:paraId="566BB7F7"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477,825</w:t>
            </w:r>
          </w:p>
        </w:tc>
        <w:tc>
          <w:tcPr>
            <w:tcW w:w="597" w:type="pct"/>
            <w:tcBorders>
              <w:top w:val="single" w:sz="4" w:space="0" w:color="000000"/>
              <w:left w:val="nil"/>
              <w:bottom w:val="single" w:sz="4" w:space="0" w:color="000000"/>
              <w:right w:val="nil"/>
            </w:tcBorders>
            <w:shd w:val="clear" w:color="auto" w:fill="auto"/>
            <w:noWrap/>
            <w:vAlign w:val="bottom"/>
            <w:hideMark/>
          </w:tcPr>
          <w:p w14:paraId="7D7D71AB"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474,146</w:t>
            </w:r>
          </w:p>
        </w:tc>
        <w:tc>
          <w:tcPr>
            <w:tcW w:w="537" w:type="pct"/>
            <w:tcBorders>
              <w:top w:val="single" w:sz="4" w:space="0" w:color="000000"/>
              <w:left w:val="nil"/>
              <w:bottom w:val="single" w:sz="4" w:space="0" w:color="000000"/>
              <w:right w:val="nil"/>
            </w:tcBorders>
            <w:shd w:val="clear" w:color="auto" w:fill="auto"/>
            <w:noWrap/>
            <w:vAlign w:val="bottom"/>
            <w:hideMark/>
          </w:tcPr>
          <w:p w14:paraId="507E9F63"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470,459</w:t>
            </w:r>
          </w:p>
        </w:tc>
      </w:tr>
      <w:tr w:rsidR="001C0F49" w:rsidRPr="00B63C9D" w14:paraId="565F8427" w14:textId="77777777" w:rsidTr="009C12D1">
        <w:trPr>
          <w:trHeight w:val="204"/>
        </w:trPr>
        <w:tc>
          <w:tcPr>
            <w:tcW w:w="2069" w:type="pct"/>
            <w:tcBorders>
              <w:top w:val="nil"/>
              <w:left w:val="nil"/>
              <w:bottom w:val="nil"/>
              <w:right w:val="nil"/>
            </w:tcBorders>
            <w:shd w:val="clear" w:color="auto" w:fill="auto"/>
            <w:noWrap/>
            <w:vAlign w:val="bottom"/>
            <w:hideMark/>
          </w:tcPr>
          <w:p w14:paraId="6007DA3F"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Total assets</w:t>
            </w:r>
          </w:p>
        </w:tc>
        <w:tc>
          <w:tcPr>
            <w:tcW w:w="604" w:type="pct"/>
            <w:tcBorders>
              <w:top w:val="nil"/>
              <w:left w:val="nil"/>
              <w:bottom w:val="single" w:sz="4" w:space="0" w:color="000000"/>
              <w:right w:val="nil"/>
            </w:tcBorders>
            <w:shd w:val="clear" w:color="auto" w:fill="auto"/>
            <w:noWrap/>
            <w:vAlign w:val="bottom"/>
            <w:hideMark/>
          </w:tcPr>
          <w:p w14:paraId="284C9A66"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496,045</w:t>
            </w:r>
          </w:p>
        </w:tc>
        <w:tc>
          <w:tcPr>
            <w:tcW w:w="597" w:type="pct"/>
            <w:tcBorders>
              <w:top w:val="nil"/>
              <w:left w:val="nil"/>
              <w:bottom w:val="single" w:sz="4" w:space="0" w:color="000000"/>
              <w:right w:val="nil"/>
            </w:tcBorders>
            <w:shd w:val="clear" w:color="auto" w:fill="E6E6E6"/>
            <w:noWrap/>
            <w:vAlign w:val="bottom"/>
            <w:hideMark/>
          </w:tcPr>
          <w:p w14:paraId="1DCC0A08"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495,878</w:t>
            </w:r>
          </w:p>
        </w:tc>
        <w:tc>
          <w:tcPr>
            <w:tcW w:w="597" w:type="pct"/>
            <w:tcBorders>
              <w:top w:val="nil"/>
              <w:left w:val="nil"/>
              <w:bottom w:val="single" w:sz="4" w:space="0" w:color="000000"/>
              <w:right w:val="nil"/>
            </w:tcBorders>
            <w:shd w:val="clear" w:color="auto" w:fill="auto"/>
            <w:noWrap/>
            <w:vAlign w:val="bottom"/>
            <w:hideMark/>
          </w:tcPr>
          <w:p w14:paraId="37A9999E"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489,869</w:t>
            </w:r>
          </w:p>
        </w:tc>
        <w:tc>
          <w:tcPr>
            <w:tcW w:w="597" w:type="pct"/>
            <w:tcBorders>
              <w:top w:val="nil"/>
              <w:left w:val="nil"/>
              <w:bottom w:val="single" w:sz="4" w:space="0" w:color="000000"/>
              <w:right w:val="nil"/>
            </w:tcBorders>
            <w:shd w:val="clear" w:color="auto" w:fill="auto"/>
            <w:noWrap/>
            <w:vAlign w:val="bottom"/>
            <w:hideMark/>
          </w:tcPr>
          <w:p w14:paraId="00770B88"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486,163</w:t>
            </w:r>
          </w:p>
        </w:tc>
        <w:tc>
          <w:tcPr>
            <w:tcW w:w="537" w:type="pct"/>
            <w:tcBorders>
              <w:top w:val="nil"/>
              <w:left w:val="nil"/>
              <w:bottom w:val="single" w:sz="4" w:space="0" w:color="000000"/>
              <w:right w:val="nil"/>
            </w:tcBorders>
            <w:shd w:val="clear" w:color="auto" w:fill="auto"/>
            <w:noWrap/>
            <w:vAlign w:val="bottom"/>
            <w:hideMark/>
          </w:tcPr>
          <w:p w14:paraId="72021EAB"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482,404</w:t>
            </w:r>
          </w:p>
        </w:tc>
      </w:tr>
      <w:tr w:rsidR="001C0F49" w:rsidRPr="00B63C9D" w14:paraId="686ED03B" w14:textId="77777777" w:rsidTr="009C12D1">
        <w:trPr>
          <w:trHeight w:val="204"/>
        </w:trPr>
        <w:tc>
          <w:tcPr>
            <w:tcW w:w="2069" w:type="pct"/>
            <w:tcBorders>
              <w:top w:val="nil"/>
              <w:left w:val="nil"/>
              <w:bottom w:val="nil"/>
              <w:right w:val="nil"/>
            </w:tcBorders>
            <w:shd w:val="clear" w:color="auto" w:fill="auto"/>
            <w:noWrap/>
            <w:vAlign w:val="bottom"/>
            <w:hideMark/>
          </w:tcPr>
          <w:p w14:paraId="295D9F1E"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LIABILITIES</w:t>
            </w:r>
          </w:p>
        </w:tc>
        <w:tc>
          <w:tcPr>
            <w:tcW w:w="604" w:type="pct"/>
            <w:tcBorders>
              <w:top w:val="nil"/>
              <w:left w:val="nil"/>
              <w:bottom w:val="nil"/>
              <w:right w:val="nil"/>
            </w:tcBorders>
            <w:shd w:val="clear" w:color="auto" w:fill="auto"/>
            <w:noWrap/>
            <w:vAlign w:val="bottom"/>
            <w:hideMark/>
          </w:tcPr>
          <w:p w14:paraId="07ADF84D"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381B5081"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0AEC36FD"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3063E63"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41941177"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3EE5E667" w14:textId="77777777" w:rsidTr="009C12D1">
        <w:trPr>
          <w:trHeight w:val="204"/>
        </w:trPr>
        <w:tc>
          <w:tcPr>
            <w:tcW w:w="2069" w:type="pct"/>
            <w:tcBorders>
              <w:top w:val="nil"/>
              <w:left w:val="nil"/>
              <w:bottom w:val="nil"/>
              <w:right w:val="nil"/>
            </w:tcBorders>
            <w:shd w:val="clear" w:color="auto" w:fill="auto"/>
            <w:noWrap/>
            <w:vAlign w:val="bottom"/>
            <w:hideMark/>
          </w:tcPr>
          <w:p w14:paraId="7E3744A4"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Payables</w:t>
            </w:r>
          </w:p>
        </w:tc>
        <w:tc>
          <w:tcPr>
            <w:tcW w:w="604" w:type="pct"/>
            <w:tcBorders>
              <w:top w:val="nil"/>
              <w:left w:val="nil"/>
              <w:bottom w:val="nil"/>
              <w:right w:val="nil"/>
            </w:tcBorders>
            <w:shd w:val="clear" w:color="auto" w:fill="auto"/>
            <w:noWrap/>
            <w:vAlign w:val="bottom"/>
            <w:hideMark/>
          </w:tcPr>
          <w:p w14:paraId="29514649"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2E0217FE"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15F2AF7"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B000857"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2B4CDDCE"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4E88D396" w14:textId="77777777" w:rsidTr="009C12D1">
        <w:trPr>
          <w:trHeight w:val="204"/>
        </w:trPr>
        <w:tc>
          <w:tcPr>
            <w:tcW w:w="2069" w:type="pct"/>
            <w:tcBorders>
              <w:top w:val="nil"/>
              <w:left w:val="nil"/>
              <w:bottom w:val="nil"/>
              <w:right w:val="nil"/>
            </w:tcBorders>
            <w:shd w:val="clear" w:color="auto" w:fill="auto"/>
            <w:noWrap/>
            <w:vAlign w:val="bottom"/>
            <w:hideMark/>
          </w:tcPr>
          <w:p w14:paraId="14C4CA99"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Suppliers</w:t>
            </w:r>
          </w:p>
        </w:tc>
        <w:tc>
          <w:tcPr>
            <w:tcW w:w="604" w:type="pct"/>
            <w:tcBorders>
              <w:top w:val="nil"/>
              <w:left w:val="nil"/>
              <w:bottom w:val="nil"/>
              <w:right w:val="nil"/>
            </w:tcBorders>
            <w:shd w:val="clear" w:color="auto" w:fill="auto"/>
            <w:noWrap/>
            <w:vAlign w:val="bottom"/>
            <w:hideMark/>
          </w:tcPr>
          <w:p w14:paraId="5C9D0681"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6,795</w:t>
            </w:r>
          </w:p>
        </w:tc>
        <w:tc>
          <w:tcPr>
            <w:tcW w:w="597" w:type="pct"/>
            <w:tcBorders>
              <w:top w:val="nil"/>
              <w:left w:val="nil"/>
              <w:bottom w:val="nil"/>
              <w:right w:val="nil"/>
            </w:tcBorders>
            <w:shd w:val="clear" w:color="auto" w:fill="E6E6E6"/>
            <w:noWrap/>
            <w:vAlign w:val="bottom"/>
            <w:hideMark/>
          </w:tcPr>
          <w:p w14:paraId="0F0F622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6,575</w:t>
            </w:r>
          </w:p>
        </w:tc>
        <w:tc>
          <w:tcPr>
            <w:tcW w:w="597" w:type="pct"/>
            <w:tcBorders>
              <w:top w:val="nil"/>
              <w:left w:val="nil"/>
              <w:bottom w:val="nil"/>
              <w:right w:val="nil"/>
            </w:tcBorders>
            <w:shd w:val="clear" w:color="auto" w:fill="auto"/>
            <w:noWrap/>
            <w:vAlign w:val="bottom"/>
            <w:hideMark/>
          </w:tcPr>
          <w:p w14:paraId="5C360D9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4,000</w:t>
            </w:r>
          </w:p>
        </w:tc>
        <w:tc>
          <w:tcPr>
            <w:tcW w:w="597" w:type="pct"/>
            <w:tcBorders>
              <w:top w:val="nil"/>
              <w:left w:val="nil"/>
              <w:bottom w:val="nil"/>
              <w:right w:val="nil"/>
            </w:tcBorders>
            <w:shd w:val="clear" w:color="auto" w:fill="auto"/>
            <w:noWrap/>
            <w:vAlign w:val="bottom"/>
            <w:hideMark/>
          </w:tcPr>
          <w:p w14:paraId="20B56C39"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3,780</w:t>
            </w:r>
          </w:p>
        </w:tc>
        <w:tc>
          <w:tcPr>
            <w:tcW w:w="537" w:type="pct"/>
            <w:tcBorders>
              <w:top w:val="nil"/>
              <w:left w:val="nil"/>
              <w:bottom w:val="nil"/>
              <w:right w:val="nil"/>
            </w:tcBorders>
            <w:shd w:val="clear" w:color="auto" w:fill="auto"/>
            <w:noWrap/>
            <w:vAlign w:val="bottom"/>
            <w:hideMark/>
          </w:tcPr>
          <w:p w14:paraId="6B0589EA"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3,560</w:t>
            </w:r>
          </w:p>
        </w:tc>
      </w:tr>
      <w:tr w:rsidR="001C0F49" w:rsidRPr="00B63C9D" w14:paraId="10617445" w14:textId="77777777" w:rsidTr="009C12D1">
        <w:trPr>
          <w:trHeight w:val="204"/>
        </w:trPr>
        <w:tc>
          <w:tcPr>
            <w:tcW w:w="2069" w:type="pct"/>
            <w:tcBorders>
              <w:top w:val="nil"/>
              <w:left w:val="nil"/>
              <w:bottom w:val="nil"/>
              <w:right w:val="nil"/>
            </w:tcBorders>
            <w:shd w:val="clear" w:color="auto" w:fill="auto"/>
            <w:noWrap/>
            <w:vAlign w:val="bottom"/>
            <w:hideMark/>
          </w:tcPr>
          <w:p w14:paraId="722A0BD0"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Other payables</w:t>
            </w:r>
          </w:p>
        </w:tc>
        <w:tc>
          <w:tcPr>
            <w:tcW w:w="604" w:type="pct"/>
            <w:tcBorders>
              <w:top w:val="nil"/>
              <w:left w:val="nil"/>
              <w:bottom w:val="nil"/>
              <w:right w:val="nil"/>
            </w:tcBorders>
            <w:shd w:val="clear" w:color="auto" w:fill="auto"/>
            <w:noWrap/>
            <w:vAlign w:val="bottom"/>
            <w:hideMark/>
          </w:tcPr>
          <w:p w14:paraId="52142119"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2,671</w:t>
            </w:r>
          </w:p>
        </w:tc>
        <w:tc>
          <w:tcPr>
            <w:tcW w:w="597" w:type="pct"/>
            <w:tcBorders>
              <w:top w:val="nil"/>
              <w:left w:val="nil"/>
              <w:bottom w:val="nil"/>
              <w:right w:val="nil"/>
            </w:tcBorders>
            <w:shd w:val="clear" w:color="auto" w:fill="E6E6E6"/>
            <w:noWrap/>
            <w:vAlign w:val="bottom"/>
            <w:hideMark/>
          </w:tcPr>
          <w:p w14:paraId="6946A3B5"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2,671</w:t>
            </w:r>
          </w:p>
        </w:tc>
        <w:tc>
          <w:tcPr>
            <w:tcW w:w="597" w:type="pct"/>
            <w:tcBorders>
              <w:top w:val="nil"/>
              <w:left w:val="nil"/>
              <w:bottom w:val="nil"/>
              <w:right w:val="nil"/>
            </w:tcBorders>
            <w:shd w:val="clear" w:color="auto" w:fill="auto"/>
            <w:noWrap/>
            <w:vAlign w:val="bottom"/>
            <w:hideMark/>
          </w:tcPr>
          <w:p w14:paraId="5603389C"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2,671</w:t>
            </w:r>
          </w:p>
        </w:tc>
        <w:tc>
          <w:tcPr>
            <w:tcW w:w="597" w:type="pct"/>
            <w:tcBorders>
              <w:top w:val="nil"/>
              <w:left w:val="nil"/>
              <w:bottom w:val="nil"/>
              <w:right w:val="nil"/>
            </w:tcBorders>
            <w:shd w:val="clear" w:color="auto" w:fill="auto"/>
            <w:noWrap/>
            <w:vAlign w:val="bottom"/>
            <w:hideMark/>
          </w:tcPr>
          <w:p w14:paraId="549F9B0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2,670</w:t>
            </w:r>
          </w:p>
        </w:tc>
        <w:tc>
          <w:tcPr>
            <w:tcW w:w="537" w:type="pct"/>
            <w:tcBorders>
              <w:top w:val="nil"/>
              <w:left w:val="nil"/>
              <w:bottom w:val="nil"/>
              <w:right w:val="nil"/>
            </w:tcBorders>
            <w:shd w:val="clear" w:color="auto" w:fill="auto"/>
            <w:noWrap/>
            <w:vAlign w:val="bottom"/>
            <w:hideMark/>
          </w:tcPr>
          <w:p w14:paraId="0A0C2E86"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2,670</w:t>
            </w:r>
          </w:p>
        </w:tc>
      </w:tr>
      <w:tr w:rsidR="001C0F49" w:rsidRPr="00B63C9D" w14:paraId="7E0F1EBA" w14:textId="77777777" w:rsidTr="009C12D1">
        <w:trPr>
          <w:trHeight w:val="204"/>
        </w:trPr>
        <w:tc>
          <w:tcPr>
            <w:tcW w:w="2069" w:type="pct"/>
            <w:tcBorders>
              <w:top w:val="nil"/>
              <w:left w:val="nil"/>
              <w:bottom w:val="nil"/>
              <w:right w:val="nil"/>
            </w:tcBorders>
            <w:shd w:val="clear" w:color="auto" w:fill="auto"/>
            <w:noWrap/>
            <w:vAlign w:val="bottom"/>
            <w:hideMark/>
          </w:tcPr>
          <w:p w14:paraId="05B62747"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payables</w:t>
            </w:r>
          </w:p>
        </w:tc>
        <w:tc>
          <w:tcPr>
            <w:tcW w:w="604" w:type="pct"/>
            <w:tcBorders>
              <w:top w:val="single" w:sz="4" w:space="0" w:color="000000"/>
              <w:left w:val="nil"/>
              <w:bottom w:val="single" w:sz="4" w:space="0" w:color="000000"/>
              <w:right w:val="nil"/>
            </w:tcBorders>
            <w:shd w:val="clear" w:color="auto" w:fill="auto"/>
            <w:noWrap/>
            <w:vAlign w:val="bottom"/>
            <w:hideMark/>
          </w:tcPr>
          <w:p w14:paraId="380D88B7"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9,466</w:t>
            </w:r>
          </w:p>
        </w:tc>
        <w:tc>
          <w:tcPr>
            <w:tcW w:w="597" w:type="pct"/>
            <w:tcBorders>
              <w:top w:val="single" w:sz="4" w:space="0" w:color="000000"/>
              <w:left w:val="nil"/>
              <w:bottom w:val="single" w:sz="4" w:space="0" w:color="000000"/>
              <w:right w:val="nil"/>
            </w:tcBorders>
            <w:shd w:val="clear" w:color="auto" w:fill="E6E6E6"/>
            <w:noWrap/>
            <w:vAlign w:val="bottom"/>
            <w:hideMark/>
          </w:tcPr>
          <w:p w14:paraId="7A42979D"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9,246</w:t>
            </w:r>
          </w:p>
        </w:tc>
        <w:tc>
          <w:tcPr>
            <w:tcW w:w="597" w:type="pct"/>
            <w:tcBorders>
              <w:top w:val="single" w:sz="4" w:space="0" w:color="000000"/>
              <w:left w:val="nil"/>
              <w:bottom w:val="single" w:sz="4" w:space="0" w:color="000000"/>
              <w:right w:val="nil"/>
            </w:tcBorders>
            <w:shd w:val="clear" w:color="auto" w:fill="auto"/>
            <w:noWrap/>
            <w:vAlign w:val="bottom"/>
            <w:hideMark/>
          </w:tcPr>
          <w:p w14:paraId="67BF58A5"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6,671</w:t>
            </w:r>
          </w:p>
        </w:tc>
        <w:tc>
          <w:tcPr>
            <w:tcW w:w="597" w:type="pct"/>
            <w:tcBorders>
              <w:top w:val="single" w:sz="4" w:space="0" w:color="000000"/>
              <w:left w:val="nil"/>
              <w:bottom w:val="single" w:sz="4" w:space="0" w:color="000000"/>
              <w:right w:val="nil"/>
            </w:tcBorders>
            <w:shd w:val="clear" w:color="auto" w:fill="auto"/>
            <w:noWrap/>
            <w:vAlign w:val="bottom"/>
            <w:hideMark/>
          </w:tcPr>
          <w:p w14:paraId="32B8A076"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6,450</w:t>
            </w:r>
          </w:p>
        </w:tc>
        <w:tc>
          <w:tcPr>
            <w:tcW w:w="537" w:type="pct"/>
            <w:tcBorders>
              <w:top w:val="single" w:sz="4" w:space="0" w:color="000000"/>
              <w:left w:val="nil"/>
              <w:bottom w:val="single" w:sz="4" w:space="0" w:color="000000"/>
              <w:right w:val="nil"/>
            </w:tcBorders>
            <w:shd w:val="clear" w:color="auto" w:fill="auto"/>
            <w:noWrap/>
            <w:vAlign w:val="bottom"/>
            <w:hideMark/>
          </w:tcPr>
          <w:p w14:paraId="6FF0A5A2"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6,230</w:t>
            </w:r>
          </w:p>
        </w:tc>
      </w:tr>
      <w:tr w:rsidR="001C0F49" w:rsidRPr="00B63C9D" w14:paraId="5144CB9B" w14:textId="77777777" w:rsidTr="009C12D1">
        <w:trPr>
          <w:trHeight w:val="204"/>
        </w:trPr>
        <w:tc>
          <w:tcPr>
            <w:tcW w:w="2069" w:type="pct"/>
            <w:tcBorders>
              <w:top w:val="nil"/>
              <w:left w:val="nil"/>
              <w:bottom w:val="nil"/>
              <w:right w:val="nil"/>
            </w:tcBorders>
            <w:shd w:val="clear" w:color="auto" w:fill="auto"/>
            <w:noWrap/>
            <w:vAlign w:val="bottom"/>
            <w:hideMark/>
          </w:tcPr>
          <w:p w14:paraId="251AAE8C"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Interest bearing liabilities</w:t>
            </w:r>
          </w:p>
        </w:tc>
        <w:tc>
          <w:tcPr>
            <w:tcW w:w="604" w:type="pct"/>
            <w:tcBorders>
              <w:top w:val="nil"/>
              <w:left w:val="nil"/>
              <w:bottom w:val="nil"/>
              <w:right w:val="nil"/>
            </w:tcBorders>
            <w:shd w:val="clear" w:color="auto" w:fill="auto"/>
            <w:noWrap/>
            <w:vAlign w:val="bottom"/>
            <w:hideMark/>
          </w:tcPr>
          <w:p w14:paraId="0BA6F6C5"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1F55A91A"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34451380"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5909F329"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6DC247AE"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5BDA9667" w14:textId="77777777" w:rsidTr="009C12D1">
        <w:trPr>
          <w:trHeight w:val="204"/>
        </w:trPr>
        <w:tc>
          <w:tcPr>
            <w:tcW w:w="2069" w:type="pct"/>
            <w:tcBorders>
              <w:top w:val="nil"/>
              <w:left w:val="nil"/>
              <w:bottom w:val="nil"/>
              <w:right w:val="nil"/>
            </w:tcBorders>
            <w:shd w:val="clear" w:color="auto" w:fill="auto"/>
            <w:noWrap/>
            <w:vAlign w:val="bottom"/>
            <w:hideMark/>
          </w:tcPr>
          <w:p w14:paraId="5743DAA4"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Leases</w:t>
            </w:r>
          </w:p>
        </w:tc>
        <w:tc>
          <w:tcPr>
            <w:tcW w:w="604" w:type="pct"/>
            <w:tcBorders>
              <w:top w:val="nil"/>
              <w:left w:val="nil"/>
              <w:bottom w:val="nil"/>
              <w:right w:val="nil"/>
            </w:tcBorders>
            <w:shd w:val="clear" w:color="auto" w:fill="auto"/>
            <w:noWrap/>
            <w:vAlign w:val="bottom"/>
            <w:hideMark/>
          </w:tcPr>
          <w:p w14:paraId="61279D8B"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11,447</w:t>
            </w:r>
          </w:p>
        </w:tc>
        <w:tc>
          <w:tcPr>
            <w:tcW w:w="597" w:type="pct"/>
            <w:tcBorders>
              <w:top w:val="nil"/>
              <w:left w:val="nil"/>
              <w:bottom w:val="nil"/>
              <w:right w:val="nil"/>
            </w:tcBorders>
            <w:shd w:val="clear" w:color="auto" w:fill="E6E6E6"/>
            <w:noWrap/>
            <w:vAlign w:val="bottom"/>
            <w:hideMark/>
          </w:tcPr>
          <w:p w14:paraId="47D3C0C7"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9,918</w:t>
            </w:r>
          </w:p>
        </w:tc>
        <w:tc>
          <w:tcPr>
            <w:tcW w:w="597" w:type="pct"/>
            <w:tcBorders>
              <w:top w:val="nil"/>
              <w:left w:val="nil"/>
              <w:bottom w:val="nil"/>
              <w:right w:val="nil"/>
            </w:tcBorders>
            <w:shd w:val="clear" w:color="auto" w:fill="auto"/>
            <w:noWrap/>
            <w:vAlign w:val="bottom"/>
            <w:hideMark/>
          </w:tcPr>
          <w:p w14:paraId="21975F9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8,344</w:t>
            </w:r>
          </w:p>
        </w:tc>
        <w:tc>
          <w:tcPr>
            <w:tcW w:w="597" w:type="pct"/>
            <w:tcBorders>
              <w:top w:val="nil"/>
              <w:left w:val="nil"/>
              <w:bottom w:val="nil"/>
              <w:right w:val="nil"/>
            </w:tcBorders>
            <w:shd w:val="clear" w:color="auto" w:fill="auto"/>
            <w:noWrap/>
            <w:vAlign w:val="bottom"/>
            <w:hideMark/>
          </w:tcPr>
          <w:p w14:paraId="473C1B9F"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6,723</w:t>
            </w:r>
          </w:p>
        </w:tc>
        <w:tc>
          <w:tcPr>
            <w:tcW w:w="537" w:type="pct"/>
            <w:tcBorders>
              <w:top w:val="nil"/>
              <w:left w:val="nil"/>
              <w:bottom w:val="nil"/>
              <w:right w:val="nil"/>
            </w:tcBorders>
            <w:shd w:val="clear" w:color="auto" w:fill="auto"/>
            <w:noWrap/>
            <w:vAlign w:val="bottom"/>
            <w:hideMark/>
          </w:tcPr>
          <w:p w14:paraId="67FC79D4"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5,052</w:t>
            </w:r>
          </w:p>
        </w:tc>
      </w:tr>
      <w:tr w:rsidR="001C0F49" w:rsidRPr="00B63C9D" w14:paraId="324185E8" w14:textId="77777777" w:rsidTr="009C12D1">
        <w:trPr>
          <w:trHeight w:val="204"/>
        </w:trPr>
        <w:tc>
          <w:tcPr>
            <w:tcW w:w="2069" w:type="pct"/>
            <w:tcBorders>
              <w:top w:val="nil"/>
              <w:left w:val="nil"/>
              <w:bottom w:val="nil"/>
              <w:right w:val="nil"/>
            </w:tcBorders>
            <w:shd w:val="clear" w:color="auto" w:fill="auto"/>
            <w:noWrap/>
            <w:vAlign w:val="bottom"/>
            <w:hideMark/>
          </w:tcPr>
          <w:p w14:paraId="6BC8C5D5"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interest bearing liabilities</w:t>
            </w:r>
          </w:p>
        </w:tc>
        <w:tc>
          <w:tcPr>
            <w:tcW w:w="604" w:type="pct"/>
            <w:tcBorders>
              <w:top w:val="single" w:sz="4" w:space="0" w:color="000000"/>
              <w:left w:val="nil"/>
              <w:bottom w:val="single" w:sz="4" w:space="0" w:color="000000"/>
              <w:right w:val="nil"/>
            </w:tcBorders>
            <w:shd w:val="clear" w:color="auto" w:fill="auto"/>
            <w:noWrap/>
            <w:vAlign w:val="bottom"/>
            <w:hideMark/>
          </w:tcPr>
          <w:p w14:paraId="105A631C"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11,</w:t>
            </w:r>
            <w:r>
              <w:rPr>
                <w:rFonts w:ascii="Arial" w:hAnsi="Arial" w:cs="Arial"/>
                <w:b/>
                <w:bCs/>
                <w:i/>
                <w:iCs/>
                <w:color w:val="000000"/>
                <w:sz w:val="16"/>
                <w:szCs w:val="16"/>
              </w:rPr>
              <w:t>447</w:t>
            </w:r>
          </w:p>
        </w:tc>
        <w:tc>
          <w:tcPr>
            <w:tcW w:w="597" w:type="pct"/>
            <w:tcBorders>
              <w:top w:val="single" w:sz="4" w:space="0" w:color="000000"/>
              <w:left w:val="nil"/>
              <w:bottom w:val="single" w:sz="4" w:space="0" w:color="000000"/>
              <w:right w:val="nil"/>
            </w:tcBorders>
            <w:shd w:val="clear" w:color="auto" w:fill="E6E6E6"/>
            <w:noWrap/>
            <w:vAlign w:val="bottom"/>
            <w:hideMark/>
          </w:tcPr>
          <w:p w14:paraId="7698DDD8"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9</w:t>
            </w:r>
            <w:r>
              <w:rPr>
                <w:rFonts w:ascii="Arial" w:hAnsi="Arial" w:cs="Arial"/>
                <w:b/>
                <w:bCs/>
                <w:i/>
                <w:iCs/>
                <w:color w:val="000000"/>
                <w:sz w:val="16"/>
                <w:szCs w:val="16"/>
              </w:rPr>
              <w:t>,918</w:t>
            </w:r>
          </w:p>
        </w:tc>
        <w:tc>
          <w:tcPr>
            <w:tcW w:w="597" w:type="pct"/>
            <w:tcBorders>
              <w:top w:val="single" w:sz="4" w:space="0" w:color="000000"/>
              <w:left w:val="nil"/>
              <w:bottom w:val="single" w:sz="4" w:space="0" w:color="000000"/>
              <w:right w:val="nil"/>
            </w:tcBorders>
            <w:shd w:val="clear" w:color="auto" w:fill="auto"/>
            <w:noWrap/>
            <w:vAlign w:val="bottom"/>
            <w:hideMark/>
          </w:tcPr>
          <w:p w14:paraId="61839BE8"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8,</w:t>
            </w:r>
            <w:r>
              <w:rPr>
                <w:rFonts w:ascii="Arial" w:hAnsi="Arial" w:cs="Arial"/>
                <w:b/>
                <w:bCs/>
                <w:i/>
                <w:iCs/>
                <w:color w:val="000000"/>
                <w:sz w:val="16"/>
                <w:szCs w:val="16"/>
              </w:rPr>
              <w:t>344</w:t>
            </w:r>
          </w:p>
        </w:tc>
        <w:tc>
          <w:tcPr>
            <w:tcW w:w="597" w:type="pct"/>
            <w:tcBorders>
              <w:top w:val="single" w:sz="4" w:space="0" w:color="000000"/>
              <w:left w:val="nil"/>
              <w:bottom w:val="single" w:sz="4" w:space="0" w:color="000000"/>
              <w:right w:val="nil"/>
            </w:tcBorders>
            <w:shd w:val="clear" w:color="auto" w:fill="auto"/>
            <w:noWrap/>
            <w:vAlign w:val="bottom"/>
            <w:hideMark/>
          </w:tcPr>
          <w:p w14:paraId="1100F79D"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6,</w:t>
            </w:r>
            <w:r>
              <w:rPr>
                <w:rFonts w:ascii="Arial" w:hAnsi="Arial" w:cs="Arial"/>
                <w:b/>
                <w:bCs/>
                <w:i/>
                <w:iCs/>
                <w:color w:val="000000"/>
                <w:sz w:val="16"/>
                <w:szCs w:val="16"/>
              </w:rPr>
              <w:t>723</w:t>
            </w:r>
          </w:p>
        </w:tc>
        <w:tc>
          <w:tcPr>
            <w:tcW w:w="537" w:type="pct"/>
            <w:tcBorders>
              <w:top w:val="single" w:sz="4" w:space="0" w:color="000000"/>
              <w:left w:val="nil"/>
              <w:bottom w:val="single" w:sz="4" w:space="0" w:color="000000"/>
              <w:right w:val="nil"/>
            </w:tcBorders>
            <w:shd w:val="clear" w:color="auto" w:fill="auto"/>
            <w:noWrap/>
            <w:vAlign w:val="bottom"/>
            <w:hideMark/>
          </w:tcPr>
          <w:p w14:paraId="6D27FDD3" w14:textId="77777777" w:rsidR="001C0F49" w:rsidRPr="007C1BB2" w:rsidRDefault="001C0F49" w:rsidP="00CB491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5,502</w:t>
            </w:r>
          </w:p>
        </w:tc>
      </w:tr>
      <w:tr w:rsidR="001C0F49" w:rsidRPr="00B63C9D" w14:paraId="0E3A1787" w14:textId="77777777" w:rsidTr="009C12D1">
        <w:trPr>
          <w:trHeight w:val="204"/>
        </w:trPr>
        <w:tc>
          <w:tcPr>
            <w:tcW w:w="2069" w:type="pct"/>
            <w:tcBorders>
              <w:top w:val="nil"/>
              <w:left w:val="nil"/>
              <w:bottom w:val="nil"/>
              <w:right w:val="nil"/>
            </w:tcBorders>
            <w:shd w:val="clear" w:color="auto" w:fill="auto"/>
            <w:noWrap/>
            <w:vAlign w:val="bottom"/>
            <w:hideMark/>
          </w:tcPr>
          <w:p w14:paraId="16BAF1AC"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Provisions</w:t>
            </w:r>
          </w:p>
        </w:tc>
        <w:tc>
          <w:tcPr>
            <w:tcW w:w="604" w:type="pct"/>
            <w:tcBorders>
              <w:top w:val="nil"/>
              <w:left w:val="nil"/>
              <w:bottom w:val="nil"/>
              <w:right w:val="nil"/>
            </w:tcBorders>
            <w:shd w:val="clear" w:color="auto" w:fill="auto"/>
            <w:noWrap/>
            <w:vAlign w:val="bottom"/>
            <w:hideMark/>
          </w:tcPr>
          <w:p w14:paraId="1CD6058A"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599F3F7F"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D53C619"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21E39A8E"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33ACFB86"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0E705A4A" w14:textId="77777777" w:rsidTr="009C12D1">
        <w:trPr>
          <w:trHeight w:val="204"/>
        </w:trPr>
        <w:tc>
          <w:tcPr>
            <w:tcW w:w="2069" w:type="pct"/>
            <w:tcBorders>
              <w:top w:val="nil"/>
              <w:left w:val="nil"/>
              <w:bottom w:val="nil"/>
              <w:right w:val="nil"/>
            </w:tcBorders>
            <w:shd w:val="clear" w:color="auto" w:fill="auto"/>
            <w:noWrap/>
            <w:vAlign w:val="bottom"/>
            <w:hideMark/>
          </w:tcPr>
          <w:p w14:paraId="65A55355"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Employee provisions</w:t>
            </w:r>
          </w:p>
        </w:tc>
        <w:tc>
          <w:tcPr>
            <w:tcW w:w="604" w:type="pct"/>
            <w:tcBorders>
              <w:top w:val="nil"/>
              <w:left w:val="nil"/>
              <w:bottom w:val="nil"/>
              <w:right w:val="nil"/>
            </w:tcBorders>
            <w:shd w:val="clear" w:color="auto" w:fill="auto"/>
            <w:noWrap/>
            <w:vAlign w:val="bottom"/>
            <w:hideMark/>
          </w:tcPr>
          <w:p w14:paraId="127AD40D"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7,817</w:t>
            </w:r>
          </w:p>
        </w:tc>
        <w:tc>
          <w:tcPr>
            <w:tcW w:w="597" w:type="pct"/>
            <w:tcBorders>
              <w:top w:val="nil"/>
              <w:left w:val="nil"/>
              <w:bottom w:val="nil"/>
              <w:right w:val="nil"/>
            </w:tcBorders>
            <w:shd w:val="clear" w:color="auto" w:fill="E6E6E6"/>
            <w:noWrap/>
            <w:vAlign w:val="bottom"/>
            <w:hideMark/>
          </w:tcPr>
          <w:p w14:paraId="0D25A6FB"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7,817</w:t>
            </w:r>
          </w:p>
        </w:tc>
        <w:tc>
          <w:tcPr>
            <w:tcW w:w="597" w:type="pct"/>
            <w:tcBorders>
              <w:top w:val="nil"/>
              <w:left w:val="nil"/>
              <w:bottom w:val="nil"/>
              <w:right w:val="nil"/>
            </w:tcBorders>
            <w:shd w:val="clear" w:color="auto" w:fill="auto"/>
            <w:noWrap/>
            <w:vAlign w:val="bottom"/>
            <w:hideMark/>
          </w:tcPr>
          <w:p w14:paraId="78839DC2"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7,817</w:t>
            </w:r>
          </w:p>
        </w:tc>
        <w:tc>
          <w:tcPr>
            <w:tcW w:w="597" w:type="pct"/>
            <w:tcBorders>
              <w:top w:val="nil"/>
              <w:left w:val="nil"/>
              <w:bottom w:val="nil"/>
              <w:right w:val="nil"/>
            </w:tcBorders>
            <w:shd w:val="clear" w:color="auto" w:fill="auto"/>
            <w:noWrap/>
            <w:vAlign w:val="bottom"/>
            <w:hideMark/>
          </w:tcPr>
          <w:p w14:paraId="6C480C9E"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7,817</w:t>
            </w:r>
          </w:p>
        </w:tc>
        <w:tc>
          <w:tcPr>
            <w:tcW w:w="537" w:type="pct"/>
            <w:tcBorders>
              <w:top w:val="nil"/>
              <w:left w:val="nil"/>
              <w:bottom w:val="nil"/>
              <w:right w:val="nil"/>
            </w:tcBorders>
            <w:shd w:val="clear" w:color="auto" w:fill="auto"/>
            <w:noWrap/>
            <w:vAlign w:val="bottom"/>
            <w:hideMark/>
          </w:tcPr>
          <w:p w14:paraId="2318EE07" w14:textId="77777777" w:rsidR="001C0F49" w:rsidRPr="007C1BB2" w:rsidRDefault="001C0F49" w:rsidP="00CB4910">
            <w:pPr>
              <w:spacing w:after="0" w:line="240" w:lineRule="auto"/>
              <w:jc w:val="right"/>
              <w:rPr>
                <w:rFonts w:ascii="Arial" w:hAnsi="Arial" w:cs="Arial"/>
                <w:color w:val="000000"/>
                <w:sz w:val="16"/>
                <w:szCs w:val="16"/>
              </w:rPr>
            </w:pPr>
            <w:r w:rsidRPr="006A59C7">
              <w:rPr>
                <w:rFonts w:ascii="Arial" w:hAnsi="Arial" w:cs="Arial"/>
                <w:color w:val="000000"/>
                <w:sz w:val="16"/>
                <w:szCs w:val="16"/>
              </w:rPr>
              <w:t>7,817</w:t>
            </w:r>
          </w:p>
        </w:tc>
      </w:tr>
      <w:tr w:rsidR="001C0F49" w:rsidRPr="00B63C9D" w14:paraId="62F31599" w14:textId="77777777" w:rsidTr="009C12D1">
        <w:trPr>
          <w:trHeight w:val="204"/>
        </w:trPr>
        <w:tc>
          <w:tcPr>
            <w:tcW w:w="2069" w:type="pct"/>
            <w:tcBorders>
              <w:top w:val="nil"/>
              <w:left w:val="nil"/>
              <w:bottom w:val="nil"/>
              <w:right w:val="nil"/>
            </w:tcBorders>
            <w:shd w:val="clear" w:color="auto" w:fill="auto"/>
            <w:noWrap/>
            <w:vAlign w:val="bottom"/>
            <w:hideMark/>
          </w:tcPr>
          <w:p w14:paraId="074470E6"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provisions</w:t>
            </w:r>
          </w:p>
        </w:tc>
        <w:tc>
          <w:tcPr>
            <w:tcW w:w="604" w:type="pct"/>
            <w:tcBorders>
              <w:top w:val="single" w:sz="4" w:space="0" w:color="000000"/>
              <w:left w:val="nil"/>
              <w:bottom w:val="single" w:sz="4" w:space="0" w:color="000000"/>
              <w:right w:val="nil"/>
            </w:tcBorders>
            <w:shd w:val="clear" w:color="auto" w:fill="auto"/>
            <w:noWrap/>
            <w:vAlign w:val="bottom"/>
            <w:hideMark/>
          </w:tcPr>
          <w:p w14:paraId="67ABDAE1"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w:t>
            </w:r>
            <w:r>
              <w:rPr>
                <w:rFonts w:ascii="Arial" w:hAnsi="Arial" w:cs="Arial"/>
                <w:b/>
                <w:bCs/>
                <w:i/>
                <w:iCs/>
                <w:color w:val="000000"/>
                <w:sz w:val="16"/>
                <w:szCs w:val="16"/>
              </w:rPr>
              <w:t>817</w:t>
            </w:r>
          </w:p>
        </w:tc>
        <w:tc>
          <w:tcPr>
            <w:tcW w:w="597" w:type="pct"/>
            <w:tcBorders>
              <w:top w:val="single" w:sz="4" w:space="0" w:color="000000"/>
              <w:left w:val="nil"/>
              <w:bottom w:val="single" w:sz="4" w:space="0" w:color="000000"/>
              <w:right w:val="nil"/>
            </w:tcBorders>
            <w:shd w:val="clear" w:color="auto" w:fill="E6E6E6"/>
            <w:noWrap/>
            <w:vAlign w:val="bottom"/>
            <w:hideMark/>
          </w:tcPr>
          <w:p w14:paraId="46F8D3D6"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w:t>
            </w:r>
            <w:r>
              <w:rPr>
                <w:rFonts w:ascii="Arial" w:hAnsi="Arial" w:cs="Arial"/>
                <w:b/>
                <w:bCs/>
                <w:i/>
                <w:iCs/>
                <w:color w:val="000000"/>
                <w:sz w:val="16"/>
                <w:szCs w:val="16"/>
              </w:rPr>
              <w:t>817</w:t>
            </w:r>
          </w:p>
        </w:tc>
        <w:tc>
          <w:tcPr>
            <w:tcW w:w="597" w:type="pct"/>
            <w:tcBorders>
              <w:top w:val="single" w:sz="4" w:space="0" w:color="000000"/>
              <w:left w:val="nil"/>
              <w:bottom w:val="single" w:sz="4" w:space="0" w:color="000000"/>
              <w:right w:val="nil"/>
            </w:tcBorders>
            <w:shd w:val="clear" w:color="auto" w:fill="auto"/>
            <w:noWrap/>
            <w:vAlign w:val="bottom"/>
            <w:hideMark/>
          </w:tcPr>
          <w:p w14:paraId="52E39A5F"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w:t>
            </w:r>
            <w:r>
              <w:rPr>
                <w:rFonts w:ascii="Arial" w:hAnsi="Arial" w:cs="Arial"/>
                <w:b/>
                <w:bCs/>
                <w:i/>
                <w:iCs/>
                <w:color w:val="000000"/>
                <w:sz w:val="16"/>
                <w:szCs w:val="16"/>
              </w:rPr>
              <w:t>817</w:t>
            </w:r>
          </w:p>
        </w:tc>
        <w:tc>
          <w:tcPr>
            <w:tcW w:w="597" w:type="pct"/>
            <w:tcBorders>
              <w:top w:val="single" w:sz="4" w:space="0" w:color="000000"/>
              <w:left w:val="nil"/>
              <w:bottom w:val="single" w:sz="4" w:space="0" w:color="000000"/>
              <w:right w:val="nil"/>
            </w:tcBorders>
            <w:shd w:val="clear" w:color="auto" w:fill="auto"/>
            <w:noWrap/>
            <w:vAlign w:val="bottom"/>
            <w:hideMark/>
          </w:tcPr>
          <w:p w14:paraId="00A6225B"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w:t>
            </w:r>
            <w:r>
              <w:rPr>
                <w:rFonts w:ascii="Arial" w:hAnsi="Arial" w:cs="Arial"/>
                <w:b/>
                <w:bCs/>
                <w:i/>
                <w:iCs/>
                <w:color w:val="000000"/>
                <w:sz w:val="16"/>
                <w:szCs w:val="16"/>
              </w:rPr>
              <w:t>817</w:t>
            </w:r>
          </w:p>
        </w:tc>
        <w:tc>
          <w:tcPr>
            <w:tcW w:w="537" w:type="pct"/>
            <w:tcBorders>
              <w:top w:val="single" w:sz="4" w:space="0" w:color="000000"/>
              <w:left w:val="nil"/>
              <w:bottom w:val="single" w:sz="4" w:space="0" w:color="000000"/>
              <w:right w:val="nil"/>
            </w:tcBorders>
            <w:shd w:val="clear" w:color="auto" w:fill="auto"/>
            <w:noWrap/>
            <w:vAlign w:val="bottom"/>
            <w:hideMark/>
          </w:tcPr>
          <w:p w14:paraId="0080A97F" w14:textId="77777777" w:rsidR="001C0F49" w:rsidRPr="007C1BB2" w:rsidRDefault="001C0F49" w:rsidP="00CB491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7,</w:t>
            </w:r>
            <w:r>
              <w:rPr>
                <w:rFonts w:ascii="Arial" w:hAnsi="Arial" w:cs="Arial"/>
                <w:b/>
                <w:bCs/>
                <w:i/>
                <w:iCs/>
                <w:color w:val="000000"/>
                <w:sz w:val="16"/>
                <w:szCs w:val="16"/>
              </w:rPr>
              <w:t>817</w:t>
            </w:r>
          </w:p>
        </w:tc>
      </w:tr>
      <w:tr w:rsidR="001C0F49" w:rsidRPr="00B63C9D" w14:paraId="76F41E78" w14:textId="77777777" w:rsidTr="009C12D1">
        <w:trPr>
          <w:trHeight w:val="204"/>
        </w:trPr>
        <w:tc>
          <w:tcPr>
            <w:tcW w:w="2069" w:type="pct"/>
            <w:tcBorders>
              <w:top w:val="nil"/>
              <w:left w:val="nil"/>
              <w:right w:val="nil"/>
            </w:tcBorders>
            <w:shd w:val="clear" w:color="auto" w:fill="auto"/>
            <w:noWrap/>
            <w:vAlign w:val="bottom"/>
            <w:hideMark/>
          </w:tcPr>
          <w:p w14:paraId="22907738"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Total liabilities</w:t>
            </w:r>
          </w:p>
        </w:tc>
        <w:tc>
          <w:tcPr>
            <w:tcW w:w="604" w:type="pct"/>
            <w:tcBorders>
              <w:top w:val="nil"/>
              <w:left w:val="nil"/>
              <w:bottom w:val="single" w:sz="4" w:space="0" w:color="auto"/>
              <w:right w:val="nil"/>
            </w:tcBorders>
            <w:shd w:val="clear" w:color="auto" w:fill="auto"/>
            <w:noWrap/>
            <w:vAlign w:val="bottom"/>
            <w:hideMark/>
          </w:tcPr>
          <w:p w14:paraId="1B3A6867"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28,730</w:t>
            </w:r>
          </w:p>
        </w:tc>
        <w:tc>
          <w:tcPr>
            <w:tcW w:w="597" w:type="pct"/>
            <w:tcBorders>
              <w:top w:val="nil"/>
              <w:left w:val="nil"/>
              <w:bottom w:val="single" w:sz="4" w:space="0" w:color="auto"/>
              <w:right w:val="nil"/>
            </w:tcBorders>
            <w:shd w:val="clear" w:color="auto" w:fill="E6E6E6"/>
            <w:noWrap/>
            <w:vAlign w:val="bottom"/>
            <w:hideMark/>
          </w:tcPr>
          <w:p w14:paraId="2AC3EEB7"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26,981</w:t>
            </w:r>
          </w:p>
        </w:tc>
        <w:tc>
          <w:tcPr>
            <w:tcW w:w="597" w:type="pct"/>
            <w:tcBorders>
              <w:top w:val="nil"/>
              <w:left w:val="nil"/>
              <w:bottom w:val="single" w:sz="4" w:space="0" w:color="auto"/>
              <w:right w:val="nil"/>
            </w:tcBorders>
            <w:shd w:val="clear" w:color="auto" w:fill="auto"/>
            <w:noWrap/>
            <w:vAlign w:val="bottom"/>
            <w:hideMark/>
          </w:tcPr>
          <w:p w14:paraId="39A9BE45"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22,832</w:t>
            </w:r>
          </w:p>
        </w:tc>
        <w:tc>
          <w:tcPr>
            <w:tcW w:w="597" w:type="pct"/>
            <w:tcBorders>
              <w:top w:val="nil"/>
              <w:left w:val="nil"/>
              <w:bottom w:val="single" w:sz="4" w:space="0" w:color="auto"/>
              <w:right w:val="nil"/>
            </w:tcBorders>
            <w:shd w:val="clear" w:color="auto" w:fill="auto"/>
            <w:noWrap/>
            <w:vAlign w:val="bottom"/>
            <w:hideMark/>
          </w:tcPr>
          <w:p w14:paraId="3FF52419"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20,990</w:t>
            </w:r>
          </w:p>
        </w:tc>
        <w:tc>
          <w:tcPr>
            <w:tcW w:w="537" w:type="pct"/>
            <w:tcBorders>
              <w:top w:val="nil"/>
              <w:left w:val="nil"/>
              <w:bottom w:val="single" w:sz="4" w:space="0" w:color="auto"/>
              <w:right w:val="nil"/>
            </w:tcBorders>
            <w:shd w:val="clear" w:color="auto" w:fill="auto"/>
            <w:noWrap/>
            <w:vAlign w:val="bottom"/>
            <w:hideMark/>
          </w:tcPr>
          <w:p w14:paraId="3A76B46A"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19,099</w:t>
            </w:r>
          </w:p>
        </w:tc>
      </w:tr>
      <w:tr w:rsidR="001C0F49" w:rsidRPr="00B63C9D" w14:paraId="5350AB89" w14:textId="77777777" w:rsidTr="009C12D1">
        <w:trPr>
          <w:trHeight w:val="204"/>
        </w:trPr>
        <w:tc>
          <w:tcPr>
            <w:tcW w:w="2069" w:type="pct"/>
            <w:tcBorders>
              <w:top w:val="nil"/>
              <w:left w:val="nil"/>
              <w:right w:val="nil"/>
            </w:tcBorders>
            <w:shd w:val="clear" w:color="auto" w:fill="auto"/>
            <w:noWrap/>
            <w:vAlign w:val="bottom"/>
            <w:hideMark/>
          </w:tcPr>
          <w:p w14:paraId="0E41EB3E" w14:textId="77777777" w:rsidR="001C0F49" w:rsidRPr="00B63C9D" w:rsidRDefault="001C0F49" w:rsidP="00293BD0">
            <w:pPr>
              <w:spacing w:after="0" w:line="240" w:lineRule="auto"/>
              <w:rPr>
                <w:rFonts w:ascii="Arial" w:hAnsi="Arial" w:cs="Arial"/>
                <w:b/>
                <w:bCs/>
                <w:sz w:val="16"/>
                <w:szCs w:val="16"/>
              </w:rPr>
            </w:pPr>
            <w:r w:rsidRPr="00B63C9D">
              <w:rPr>
                <w:rFonts w:ascii="Arial" w:hAnsi="Arial" w:cs="Arial"/>
                <w:b/>
                <w:bCs/>
                <w:sz w:val="16"/>
                <w:szCs w:val="16"/>
              </w:rPr>
              <w:t>Net assets</w:t>
            </w:r>
          </w:p>
        </w:tc>
        <w:tc>
          <w:tcPr>
            <w:tcW w:w="604" w:type="pct"/>
            <w:tcBorders>
              <w:top w:val="nil"/>
              <w:left w:val="nil"/>
              <w:bottom w:val="single" w:sz="4" w:space="0" w:color="auto"/>
              <w:right w:val="nil"/>
            </w:tcBorders>
            <w:shd w:val="clear" w:color="auto" w:fill="auto"/>
            <w:noWrap/>
            <w:vAlign w:val="bottom"/>
            <w:hideMark/>
          </w:tcPr>
          <w:p w14:paraId="11EA5090"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467,315</w:t>
            </w:r>
          </w:p>
        </w:tc>
        <w:tc>
          <w:tcPr>
            <w:tcW w:w="597" w:type="pct"/>
            <w:tcBorders>
              <w:top w:val="nil"/>
              <w:left w:val="nil"/>
              <w:bottom w:val="single" w:sz="4" w:space="0" w:color="auto"/>
              <w:right w:val="nil"/>
            </w:tcBorders>
            <w:shd w:val="clear" w:color="auto" w:fill="E6E6E6"/>
            <w:noWrap/>
            <w:vAlign w:val="bottom"/>
            <w:hideMark/>
          </w:tcPr>
          <w:p w14:paraId="65217023"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468,897</w:t>
            </w:r>
          </w:p>
        </w:tc>
        <w:tc>
          <w:tcPr>
            <w:tcW w:w="597" w:type="pct"/>
            <w:tcBorders>
              <w:top w:val="nil"/>
              <w:left w:val="nil"/>
              <w:bottom w:val="single" w:sz="4" w:space="0" w:color="auto"/>
              <w:right w:val="nil"/>
            </w:tcBorders>
            <w:shd w:val="clear" w:color="auto" w:fill="auto"/>
            <w:noWrap/>
            <w:vAlign w:val="bottom"/>
            <w:hideMark/>
          </w:tcPr>
          <w:p w14:paraId="4ED7E806"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467,033</w:t>
            </w:r>
          </w:p>
        </w:tc>
        <w:tc>
          <w:tcPr>
            <w:tcW w:w="597" w:type="pct"/>
            <w:tcBorders>
              <w:top w:val="nil"/>
              <w:left w:val="nil"/>
              <w:bottom w:val="single" w:sz="4" w:space="0" w:color="auto"/>
              <w:right w:val="nil"/>
            </w:tcBorders>
            <w:shd w:val="clear" w:color="auto" w:fill="auto"/>
            <w:noWrap/>
            <w:vAlign w:val="bottom"/>
            <w:hideMark/>
          </w:tcPr>
          <w:p w14:paraId="4BED0AF1"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465,173</w:t>
            </w:r>
          </w:p>
        </w:tc>
        <w:tc>
          <w:tcPr>
            <w:tcW w:w="537" w:type="pct"/>
            <w:tcBorders>
              <w:top w:val="nil"/>
              <w:left w:val="nil"/>
              <w:bottom w:val="single" w:sz="4" w:space="0" w:color="auto"/>
              <w:right w:val="nil"/>
            </w:tcBorders>
            <w:shd w:val="clear" w:color="auto" w:fill="auto"/>
            <w:noWrap/>
            <w:vAlign w:val="bottom"/>
            <w:hideMark/>
          </w:tcPr>
          <w:p w14:paraId="5FC99471" w14:textId="77777777" w:rsidR="001C0F49" w:rsidRPr="007C1BB2" w:rsidRDefault="001C0F49" w:rsidP="00CB4910">
            <w:pPr>
              <w:spacing w:after="0" w:line="240" w:lineRule="auto"/>
              <w:jc w:val="right"/>
              <w:rPr>
                <w:rFonts w:ascii="Arial" w:hAnsi="Arial" w:cs="Arial"/>
                <w:b/>
                <w:bCs/>
                <w:color w:val="000000"/>
                <w:sz w:val="16"/>
                <w:szCs w:val="16"/>
              </w:rPr>
            </w:pPr>
            <w:r>
              <w:rPr>
                <w:rFonts w:ascii="Arial" w:hAnsi="Arial" w:cs="Arial"/>
                <w:b/>
                <w:bCs/>
                <w:color w:val="000000"/>
                <w:sz w:val="16"/>
                <w:szCs w:val="16"/>
              </w:rPr>
              <w:t>463,305</w:t>
            </w:r>
          </w:p>
        </w:tc>
      </w:tr>
      <w:tr w:rsidR="001C0F49" w:rsidRPr="00B63C9D" w14:paraId="5EA417C0" w14:textId="77777777" w:rsidTr="009C12D1">
        <w:trPr>
          <w:trHeight w:val="204"/>
        </w:trPr>
        <w:tc>
          <w:tcPr>
            <w:tcW w:w="2069" w:type="pct"/>
            <w:tcBorders>
              <w:top w:val="nil"/>
              <w:left w:val="nil"/>
              <w:bottom w:val="nil"/>
              <w:right w:val="nil"/>
            </w:tcBorders>
            <w:shd w:val="clear" w:color="auto" w:fill="auto"/>
            <w:noWrap/>
            <w:vAlign w:val="bottom"/>
            <w:hideMark/>
          </w:tcPr>
          <w:p w14:paraId="58D1839B"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EQUITY</w:t>
            </w:r>
          </w:p>
        </w:tc>
        <w:tc>
          <w:tcPr>
            <w:tcW w:w="604" w:type="pct"/>
            <w:tcBorders>
              <w:top w:val="nil"/>
              <w:left w:val="nil"/>
              <w:bottom w:val="nil"/>
              <w:right w:val="nil"/>
            </w:tcBorders>
            <w:shd w:val="clear" w:color="auto" w:fill="auto"/>
            <w:noWrap/>
            <w:vAlign w:val="bottom"/>
            <w:hideMark/>
          </w:tcPr>
          <w:p w14:paraId="78B2AD2B"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79AA3EFB"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133F26D6"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78C198C2"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360E5372"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270351F1" w14:textId="77777777" w:rsidTr="009C12D1">
        <w:trPr>
          <w:trHeight w:val="204"/>
        </w:trPr>
        <w:tc>
          <w:tcPr>
            <w:tcW w:w="2069" w:type="pct"/>
            <w:tcBorders>
              <w:top w:val="nil"/>
              <w:left w:val="nil"/>
              <w:bottom w:val="nil"/>
              <w:right w:val="nil"/>
            </w:tcBorders>
            <w:shd w:val="clear" w:color="auto" w:fill="auto"/>
            <w:noWrap/>
            <w:vAlign w:val="bottom"/>
            <w:hideMark/>
          </w:tcPr>
          <w:p w14:paraId="58300AB3"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Parent entity interest</w:t>
            </w:r>
          </w:p>
        </w:tc>
        <w:tc>
          <w:tcPr>
            <w:tcW w:w="604" w:type="pct"/>
            <w:tcBorders>
              <w:top w:val="nil"/>
              <w:left w:val="nil"/>
              <w:bottom w:val="nil"/>
              <w:right w:val="nil"/>
            </w:tcBorders>
            <w:shd w:val="clear" w:color="auto" w:fill="auto"/>
            <w:noWrap/>
            <w:vAlign w:val="bottom"/>
            <w:hideMark/>
          </w:tcPr>
          <w:p w14:paraId="461748B9" w14:textId="77777777" w:rsidR="001C0F49" w:rsidRPr="007C1BB2" w:rsidRDefault="001C0F49" w:rsidP="00CB4910">
            <w:pPr>
              <w:spacing w:after="0" w:line="240" w:lineRule="auto"/>
              <w:jc w:val="right"/>
              <w:rPr>
                <w:rFonts w:ascii="Arial" w:hAnsi="Arial" w:cs="Arial"/>
                <w:b/>
                <w:bCs/>
                <w:color w:val="000000"/>
                <w:sz w:val="16"/>
                <w:szCs w:val="16"/>
              </w:rPr>
            </w:pPr>
          </w:p>
        </w:tc>
        <w:tc>
          <w:tcPr>
            <w:tcW w:w="597" w:type="pct"/>
            <w:tcBorders>
              <w:top w:val="nil"/>
              <w:left w:val="nil"/>
              <w:bottom w:val="nil"/>
              <w:right w:val="nil"/>
            </w:tcBorders>
            <w:shd w:val="clear" w:color="auto" w:fill="E6E6E6"/>
            <w:noWrap/>
            <w:vAlign w:val="bottom"/>
            <w:hideMark/>
          </w:tcPr>
          <w:p w14:paraId="064DB6EE"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6E6F7424" w14:textId="77777777" w:rsidR="001C0F49" w:rsidRPr="007C1BB2" w:rsidRDefault="001C0F49" w:rsidP="00CB4910">
            <w:pPr>
              <w:spacing w:after="0" w:line="240" w:lineRule="auto"/>
              <w:jc w:val="right"/>
              <w:rPr>
                <w:rFonts w:ascii="Arial" w:hAnsi="Arial" w:cs="Arial"/>
                <w:color w:val="000000"/>
                <w:sz w:val="16"/>
                <w:szCs w:val="16"/>
              </w:rPr>
            </w:pPr>
          </w:p>
        </w:tc>
        <w:tc>
          <w:tcPr>
            <w:tcW w:w="597" w:type="pct"/>
            <w:tcBorders>
              <w:top w:val="nil"/>
              <w:left w:val="nil"/>
              <w:bottom w:val="nil"/>
              <w:right w:val="nil"/>
            </w:tcBorders>
            <w:shd w:val="clear" w:color="auto" w:fill="auto"/>
            <w:noWrap/>
            <w:vAlign w:val="bottom"/>
            <w:hideMark/>
          </w:tcPr>
          <w:p w14:paraId="44C7854F" w14:textId="77777777" w:rsidR="001C0F49" w:rsidRPr="00CF671E" w:rsidRDefault="001C0F49" w:rsidP="00CB4910">
            <w:pPr>
              <w:spacing w:after="0" w:line="240" w:lineRule="auto"/>
              <w:jc w:val="right"/>
              <w:rPr>
                <w:rFonts w:ascii="Arial" w:hAnsi="Arial" w:cs="Arial"/>
                <w:sz w:val="16"/>
                <w:szCs w:val="16"/>
              </w:rPr>
            </w:pPr>
          </w:p>
        </w:tc>
        <w:tc>
          <w:tcPr>
            <w:tcW w:w="537" w:type="pct"/>
            <w:tcBorders>
              <w:top w:val="nil"/>
              <w:left w:val="nil"/>
              <w:bottom w:val="nil"/>
              <w:right w:val="nil"/>
            </w:tcBorders>
            <w:shd w:val="clear" w:color="auto" w:fill="auto"/>
            <w:noWrap/>
            <w:vAlign w:val="bottom"/>
            <w:hideMark/>
          </w:tcPr>
          <w:p w14:paraId="355207D5" w14:textId="77777777" w:rsidR="001C0F49" w:rsidRPr="00CF671E" w:rsidRDefault="001C0F49" w:rsidP="00CB4910">
            <w:pPr>
              <w:spacing w:after="0" w:line="240" w:lineRule="auto"/>
              <w:jc w:val="right"/>
              <w:rPr>
                <w:rFonts w:ascii="Arial" w:hAnsi="Arial" w:cs="Arial"/>
                <w:sz w:val="16"/>
                <w:szCs w:val="16"/>
              </w:rPr>
            </w:pPr>
          </w:p>
        </w:tc>
      </w:tr>
      <w:tr w:rsidR="001C0F49" w:rsidRPr="00B63C9D" w14:paraId="655F933B" w14:textId="77777777" w:rsidTr="009C12D1">
        <w:trPr>
          <w:trHeight w:val="204"/>
        </w:trPr>
        <w:tc>
          <w:tcPr>
            <w:tcW w:w="2069" w:type="pct"/>
            <w:tcBorders>
              <w:top w:val="nil"/>
              <w:left w:val="nil"/>
              <w:bottom w:val="nil"/>
              <w:right w:val="nil"/>
            </w:tcBorders>
            <w:shd w:val="clear" w:color="auto" w:fill="auto"/>
            <w:noWrap/>
            <w:vAlign w:val="bottom"/>
            <w:hideMark/>
          </w:tcPr>
          <w:p w14:paraId="456B630B"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Contributed equity</w:t>
            </w:r>
          </w:p>
        </w:tc>
        <w:tc>
          <w:tcPr>
            <w:tcW w:w="604" w:type="pct"/>
            <w:tcBorders>
              <w:top w:val="nil"/>
              <w:left w:val="nil"/>
              <w:bottom w:val="nil"/>
              <w:right w:val="nil"/>
            </w:tcBorders>
            <w:shd w:val="clear" w:color="auto" w:fill="auto"/>
            <w:noWrap/>
            <w:vAlign w:val="bottom"/>
            <w:hideMark/>
          </w:tcPr>
          <w:p w14:paraId="43C36454" w14:textId="77777777" w:rsidR="001C0F49" w:rsidRPr="007C1BB2" w:rsidRDefault="001C0F49" w:rsidP="00CB4910">
            <w:pPr>
              <w:spacing w:after="0" w:line="240" w:lineRule="auto"/>
              <w:jc w:val="right"/>
              <w:rPr>
                <w:rFonts w:ascii="Arial" w:hAnsi="Arial" w:cs="Arial"/>
                <w:color w:val="000000"/>
                <w:sz w:val="16"/>
                <w:szCs w:val="16"/>
              </w:rPr>
            </w:pPr>
            <w:r w:rsidRPr="007C1BB2">
              <w:rPr>
                <w:rFonts w:ascii="Arial" w:hAnsi="Arial" w:cs="Arial"/>
                <w:color w:val="000000"/>
                <w:sz w:val="16"/>
                <w:szCs w:val="16"/>
              </w:rPr>
              <w:t>38,883</w:t>
            </w:r>
          </w:p>
        </w:tc>
        <w:tc>
          <w:tcPr>
            <w:tcW w:w="597" w:type="pct"/>
            <w:tcBorders>
              <w:top w:val="nil"/>
              <w:left w:val="nil"/>
              <w:bottom w:val="nil"/>
              <w:right w:val="nil"/>
            </w:tcBorders>
            <w:shd w:val="clear" w:color="auto" w:fill="E6E6E6"/>
            <w:noWrap/>
            <w:vAlign w:val="bottom"/>
            <w:hideMark/>
          </w:tcPr>
          <w:p w14:paraId="39ECC15C" w14:textId="77777777" w:rsidR="001C0F49" w:rsidRPr="007C1BB2" w:rsidRDefault="001C0F49" w:rsidP="00CB4910">
            <w:pPr>
              <w:spacing w:after="0" w:line="240" w:lineRule="auto"/>
              <w:jc w:val="right"/>
              <w:rPr>
                <w:rFonts w:ascii="Arial" w:hAnsi="Arial" w:cs="Arial"/>
                <w:color w:val="000000"/>
                <w:sz w:val="16"/>
                <w:szCs w:val="16"/>
              </w:rPr>
            </w:pPr>
            <w:r w:rsidRPr="007C1BB2">
              <w:rPr>
                <w:rFonts w:ascii="Arial" w:hAnsi="Arial" w:cs="Arial"/>
                <w:color w:val="000000"/>
                <w:sz w:val="16"/>
                <w:szCs w:val="16"/>
              </w:rPr>
              <w:t>40,831</w:t>
            </w:r>
          </w:p>
        </w:tc>
        <w:tc>
          <w:tcPr>
            <w:tcW w:w="597" w:type="pct"/>
            <w:tcBorders>
              <w:top w:val="nil"/>
              <w:left w:val="nil"/>
              <w:bottom w:val="nil"/>
              <w:right w:val="nil"/>
            </w:tcBorders>
            <w:shd w:val="clear" w:color="auto" w:fill="auto"/>
            <w:noWrap/>
            <w:vAlign w:val="bottom"/>
            <w:hideMark/>
          </w:tcPr>
          <w:p w14:paraId="4AC2ADE7" w14:textId="77777777" w:rsidR="001C0F49" w:rsidRPr="007C1BB2" w:rsidRDefault="001C0F49" w:rsidP="00CB4910">
            <w:pPr>
              <w:spacing w:after="0" w:line="240" w:lineRule="auto"/>
              <w:jc w:val="right"/>
              <w:rPr>
                <w:rFonts w:ascii="Arial" w:hAnsi="Arial" w:cs="Arial"/>
                <w:color w:val="000000"/>
                <w:sz w:val="16"/>
                <w:szCs w:val="16"/>
              </w:rPr>
            </w:pPr>
            <w:r w:rsidRPr="007C1BB2">
              <w:rPr>
                <w:rFonts w:ascii="Arial" w:hAnsi="Arial" w:cs="Arial"/>
                <w:color w:val="000000"/>
                <w:sz w:val="16"/>
                <w:szCs w:val="16"/>
              </w:rPr>
              <w:t>42,</w:t>
            </w:r>
            <w:r>
              <w:rPr>
                <w:rFonts w:ascii="Arial" w:hAnsi="Arial" w:cs="Arial"/>
                <w:color w:val="000000"/>
                <w:sz w:val="16"/>
                <w:szCs w:val="16"/>
              </w:rPr>
              <w:t>864</w:t>
            </w:r>
          </w:p>
        </w:tc>
        <w:tc>
          <w:tcPr>
            <w:tcW w:w="597" w:type="pct"/>
            <w:tcBorders>
              <w:top w:val="nil"/>
              <w:left w:val="nil"/>
              <w:bottom w:val="nil"/>
              <w:right w:val="nil"/>
            </w:tcBorders>
            <w:shd w:val="clear" w:color="auto" w:fill="auto"/>
            <w:noWrap/>
            <w:vAlign w:val="bottom"/>
            <w:hideMark/>
          </w:tcPr>
          <w:p w14:paraId="29965BB3" w14:textId="77777777" w:rsidR="001C0F49" w:rsidRPr="007C1BB2" w:rsidRDefault="001C0F49" w:rsidP="00CB4910">
            <w:pPr>
              <w:spacing w:after="0" w:line="240" w:lineRule="auto"/>
              <w:jc w:val="right"/>
              <w:rPr>
                <w:rFonts w:ascii="Arial" w:hAnsi="Arial" w:cs="Arial"/>
                <w:color w:val="000000"/>
                <w:sz w:val="16"/>
                <w:szCs w:val="16"/>
              </w:rPr>
            </w:pPr>
            <w:r w:rsidRPr="007C1BB2">
              <w:rPr>
                <w:rFonts w:ascii="Arial" w:hAnsi="Arial" w:cs="Arial"/>
                <w:color w:val="000000"/>
                <w:sz w:val="16"/>
                <w:szCs w:val="16"/>
              </w:rPr>
              <w:t>44,</w:t>
            </w:r>
            <w:r>
              <w:rPr>
                <w:rFonts w:ascii="Arial" w:hAnsi="Arial" w:cs="Arial"/>
                <w:color w:val="000000"/>
                <w:sz w:val="16"/>
                <w:szCs w:val="16"/>
              </w:rPr>
              <w:t>929</w:t>
            </w:r>
          </w:p>
        </w:tc>
        <w:tc>
          <w:tcPr>
            <w:tcW w:w="537" w:type="pct"/>
            <w:tcBorders>
              <w:top w:val="nil"/>
              <w:left w:val="nil"/>
              <w:bottom w:val="nil"/>
              <w:right w:val="nil"/>
            </w:tcBorders>
            <w:shd w:val="clear" w:color="auto" w:fill="auto"/>
            <w:noWrap/>
            <w:vAlign w:val="bottom"/>
            <w:hideMark/>
          </w:tcPr>
          <w:p w14:paraId="0848A145" w14:textId="77777777" w:rsidR="001C0F49" w:rsidRPr="007C1BB2" w:rsidRDefault="001C0F49" w:rsidP="00CB4910">
            <w:pPr>
              <w:spacing w:after="0" w:line="240" w:lineRule="auto"/>
              <w:jc w:val="right"/>
              <w:rPr>
                <w:rFonts w:ascii="Arial" w:hAnsi="Arial" w:cs="Arial"/>
                <w:color w:val="000000"/>
                <w:sz w:val="16"/>
                <w:szCs w:val="16"/>
              </w:rPr>
            </w:pPr>
            <w:r w:rsidRPr="007C1BB2">
              <w:rPr>
                <w:rFonts w:ascii="Arial" w:hAnsi="Arial" w:cs="Arial"/>
                <w:color w:val="000000"/>
                <w:sz w:val="16"/>
                <w:szCs w:val="16"/>
              </w:rPr>
              <w:t>4</w:t>
            </w:r>
            <w:r>
              <w:rPr>
                <w:rFonts w:ascii="Arial" w:hAnsi="Arial" w:cs="Arial"/>
                <w:color w:val="000000"/>
                <w:sz w:val="16"/>
                <w:szCs w:val="16"/>
              </w:rPr>
              <w:t>7,016</w:t>
            </w:r>
          </w:p>
        </w:tc>
      </w:tr>
      <w:tr w:rsidR="001C0F49" w:rsidRPr="00B63C9D" w14:paraId="6BA790CF" w14:textId="77777777" w:rsidTr="009C12D1">
        <w:trPr>
          <w:trHeight w:val="204"/>
        </w:trPr>
        <w:tc>
          <w:tcPr>
            <w:tcW w:w="2069" w:type="pct"/>
            <w:tcBorders>
              <w:top w:val="nil"/>
              <w:left w:val="nil"/>
              <w:bottom w:val="nil"/>
              <w:right w:val="nil"/>
            </w:tcBorders>
            <w:shd w:val="clear" w:color="auto" w:fill="auto"/>
            <w:noWrap/>
            <w:vAlign w:val="bottom"/>
            <w:hideMark/>
          </w:tcPr>
          <w:p w14:paraId="1EA01CFF"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Reserves</w:t>
            </w:r>
          </w:p>
        </w:tc>
        <w:tc>
          <w:tcPr>
            <w:tcW w:w="604" w:type="pct"/>
            <w:tcBorders>
              <w:top w:val="nil"/>
              <w:left w:val="nil"/>
              <w:bottom w:val="nil"/>
              <w:right w:val="nil"/>
            </w:tcBorders>
            <w:shd w:val="clear" w:color="auto" w:fill="auto"/>
            <w:noWrap/>
            <w:vAlign w:val="bottom"/>
            <w:hideMark/>
          </w:tcPr>
          <w:p w14:paraId="7F851EF3"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166,897</w:t>
            </w:r>
          </w:p>
        </w:tc>
        <w:tc>
          <w:tcPr>
            <w:tcW w:w="597" w:type="pct"/>
            <w:tcBorders>
              <w:top w:val="nil"/>
              <w:left w:val="nil"/>
              <w:bottom w:val="nil"/>
              <w:right w:val="nil"/>
            </w:tcBorders>
            <w:shd w:val="clear" w:color="auto" w:fill="E6E6E6"/>
            <w:noWrap/>
            <w:vAlign w:val="bottom"/>
            <w:hideMark/>
          </w:tcPr>
          <w:p w14:paraId="310158F3"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166,897</w:t>
            </w:r>
          </w:p>
        </w:tc>
        <w:tc>
          <w:tcPr>
            <w:tcW w:w="597" w:type="pct"/>
            <w:tcBorders>
              <w:top w:val="nil"/>
              <w:left w:val="nil"/>
              <w:bottom w:val="nil"/>
              <w:right w:val="nil"/>
            </w:tcBorders>
            <w:shd w:val="clear" w:color="auto" w:fill="auto"/>
            <w:noWrap/>
            <w:vAlign w:val="bottom"/>
            <w:hideMark/>
          </w:tcPr>
          <w:p w14:paraId="1BBE21BF"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166,897</w:t>
            </w:r>
          </w:p>
        </w:tc>
        <w:tc>
          <w:tcPr>
            <w:tcW w:w="597" w:type="pct"/>
            <w:tcBorders>
              <w:top w:val="nil"/>
              <w:left w:val="nil"/>
              <w:bottom w:val="nil"/>
              <w:right w:val="nil"/>
            </w:tcBorders>
            <w:shd w:val="clear" w:color="auto" w:fill="auto"/>
            <w:noWrap/>
            <w:vAlign w:val="bottom"/>
            <w:hideMark/>
          </w:tcPr>
          <w:p w14:paraId="68214A17"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166,897</w:t>
            </w:r>
          </w:p>
        </w:tc>
        <w:tc>
          <w:tcPr>
            <w:tcW w:w="537" w:type="pct"/>
            <w:tcBorders>
              <w:top w:val="nil"/>
              <w:left w:val="nil"/>
              <w:bottom w:val="nil"/>
              <w:right w:val="nil"/>
            </w:tcBorders>
            <w:shd w:val="clear" w:color="auto" w:fill="auto"/>
            <w:noWrap/>
            <w:vAlign w:val="bottom"/>
            <w:hideMark/>
          </w:tcPr>
          <w:p w14:paraId="60244CEA"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166,897</w:t>
            </w:r>
          </w:p>
        </w:tc>
      </w:tr>
      <w:tr w:rsidR="001C0F49" w:rsidRPr="00B63C9D" w14:paraId="56564DF6" w14:textId="77777777" w:rsidTr="009C12D1">
        <w:trPr>
          <w:trHeight w:val="204"/>
        </w:trPr>
        <w:tc>
          <w:tcPr>
            <w:tcW w:w="2069" w:type="pct"/>
            <w:tcBorders>
              <w:top w:val="nil"/>
              <w:left w:val="nil"/>
              <w:bottom w:val="nil"/>
              <w:right w:val="nil"/>
            </w:tcBorders>
            <w:shd w:val="clear" w:color="auto" w:fill="auto"/>
            <w:vAlign w:val="bottom"/>
            <w:hideMark/>
          </w:tcPr>
          <w:p w14:paraId="166B534E"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Retained surplus (accumulated deficit)</w:t>
            </w:r>
          </w:p>
        </w:tc>
        <w:tc>
          <w:tcPr>
            <w:tcW w:w="604" w:type="pct"/>
            <w:tcBorders>
              <w:top w:val="nil"/>
              <w:left w:val="nil"/>
              <w:bottom w:val="nil"/>
              <w:right w:val="nil"/>
            </w:tcBorders>
            <w:shd w:val="clear" w:color="auto" w:fill="auto"/>
            <w:noWrap/>
            <w:vAlign w:val="bottom"/>
            <w:hideMark/>
          </w:tcPr>
          <w:p w14:paraId="2E67A5CA"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261,535</w:t>
            </w:r>
          </w:p>
        </w:tc>
        <w:tc>
          <w:tcPr>
            <w:tcW w:w="597" w:type="pct"/>
            <w:tcBorders>
              <w:top w:val="nil"/>
              <w:left w:val="nil"/>
              <w:bottom w:val="nil"/>
              <w:right w:val="nil"/>
            </w:tcBorders>
            <w:shd w:val="clear" w:color="auto" w:fill="E6E6E6"/>
            <w:noWrap/>
            <w:vAlign w:val="bottom"/>
            <w:hideMark/>
          </w:tcPr>
          <w:p w14:paraId="594FF0AD"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261,169</w:t>
            </w:r>
          </w:p>
        </w:tc>
        <w:tc>
          <w:tcPr>
            <w:tcW w:w="597" w:type="pct"/>
            <w:tcBorders>
              <w:top w:val="nil"/>
              <w:left w:val="nil"/>
              <w:bottom w:val="nil"/>
              <w:right w:val="nil"/>
            </w:tcBorders>
            <w:shd w:val="clear" w:color="auto" w:fill="auto"/>
            <w:noWrap/>
            <w:vAlign w:val="bottom"/>
            <w:hideMark/>
          </w:tcPr>
          <w:p w14:paraId="6AD102D3"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257,272</w:t>
            </w:r>
          </w:p>
        </w:tc>
        <w:tc>
          <w:tcPr>
            <w:tcW w:w="597" w:type="pct"/>
            <w:tcBorders>
              <w:top w:val="nil"/>
              <w:left w:val="nil"/>
              <w:bottom w:val="nil"/>
              <w:right w:val="nil"/>
            </w:tcBorders>
            <w:shd w:val="clear" w:color="auto" w:fill="auto"/>
            <w:noWrap/>
            <w:vAlign w:val="bottom"/>
            <w:hideMark/>
          </w:tcPr>
          <w:p w14:paraId="6F663AA8"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253,347</w:t>
            </w:r>
          </w:p>
        </w:tc>
        <w:tc>
          <w:tcPr>
            <w:tcW w:w="537" w:type="pct"/>
            <w:tcBorders>
              <w:top w:val="nil"/>
              <w:left w:val="nil"/>
              <w:bottom w:val="nil"/>
              <w:right w:val="nil"/>
            </w:tcBorders>
            <w:shd w:val="clear" w:color="auto" w:fill="auto"/>
            <w:noWrap/>
            <w:vAlign w:val="bottom"/>
            <w:hideMark/>
          </w:tcPr>
          <w:p w14:paraId="3FE52F59" w14:textId="77777777" w:rsidR="001C0F49" w:rsidRPr="007C1BB2" w:rsidRDefault="001C0F49" w:rsidP="00CB4910">
            <w:pPr>
              <w:spacing w:after="0" w:line="240" w:lineRule="auto"/>
              <w:jc w:val="right"/>
              <w:rPr>
                <w:rFonts w:ascii="Arial" w:hAnsi="Arial" w:cs="Arial"/>
                <w:color w:val="000000"/>
                <w:sz w:val="16"/>
                <w:szCs w:val="16"/>
              </w:rPr>
            </w:pPr>
            <w:r>
              <w:rPr>
                <w:rFonts w:ascii="Arial" w:hAnsi="Arial" w:cs="Arial"/>
                <w:color w:val="000000"/>
                <w:sz w:val="16"/>
                <w:szCs w:val="16"/>
              </w:rPr>
              <w:t>249,392</w:t>
            </w:r>
          </w:p>
        </w:tc>
      </w:tr>
      <w:tr w:rsidR="001C0F49" w:rsidRPr="00B63C9D" w14:paraId="688F88F1" w14:textId="77777777" w:rsidTr="009C12D1">
        <w:trPr>
          <w:trHeight w:val="204"/>
        </w:trPr>
        <w:tc>
          <w:tcPr>
            <w:tcW w:w="2069" w:type="pct"/>
            <w:tcBorders>
              <w:top w:val="nil"/>
              <w:left w:val="nil"/>
              <w:bottom w:val="nil"/>
              <w:right w:val="nil"/>
            </w:tcBorders>
            <w:shd w:val="clear" w:color="auto" w:fill="auto"/>
            <w:noWrap/>
            <w:vAlign w:val="bottom"/>
            <w:hideMark/>
          </w:tcPr>
          <w:p w14:paraId="47F9AE08"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parent entity interest</w:t>
            </w:r>
          </w:p>
        </w:tc>
        <w:tc>
          <w:tcPr>
            <w:tcW w:w="604" w:type="pct"/>
            <w:tcBorders>
              <w:top w:val="single" w:sz="4" w:space="0" w:color="000000"/>
              <w:left w:val="nil"/>
              <w:bottom w:val="single" w:sz="4" w:space="0" w:color="000000"/>
              <w:right w:val="nil"/>
            </w:tcBorders>
            <w:shd w:val="clear" w:color="auto" w:fill="auto"/>
            <w:noWrap/>
            <w:vAlign w:val="bottom"/>
            <w:hideMark/>
          </w:tcPr>
          <w:p w14:paraId="509656AD" w14:textId="77777777" w:rsidR="001C0F49" w:rsidRPr="005B2406" w:rsidRDefault="001C0F49" w:rsidP="00CB4910">
            <w:pPr>
              <w:spacing w:after="0" w:line="240" w:lineRule="auto"/>
              <w:jc w:val="right"/>
              <w:rPr>
                <w:rFonts w:ascii="Arial" w:hAnsi="Arial" w:cs="Arial"/>
                <w:b/>
                <w:bCs/>
                <w:i/>
                <w:iCs/>
                <w:color w:val="000000"/>
                <w:sz w:val="16"/>
                <w:szCs w:val="16"/>
              </w:rPr>
            </w:pPr>
            <w:r w:rsidRPr="005B2406">
              <w:rPr>
                <w:rFonts w:ascii="Arial" w:hAnsi="Arial" w:cs="Arial"/>
                <w:b/>
                <w:bCs/>
                <w:i/>
                <w:color w:val="000000"/>
                <w:sz w:val="16"/>
                <w:szCs w:val="16"/>
              </w:rPr>
              <w:t>467,315</w:t>
            </w:r>
          </w:p>
        </w:tc>
        <w:tc>
          <w:tcPr>
            <w:tcW w:w="597" w:type="pct"/>
            <w:tcBorders>
              <w:top w:val="single" w:sz="4" w:space="0" w:color="000000"/>
              <w:left w:val="nil"/>
              <w:bottom w:val="single" w:sz="4" w:space="0" w:color="000000"/>
              <w:right w:val="nil"/>
            </w:tcBorders>
            <w:shd w:val="clear" w:color="auto" w:fill="E6E6E6"/>
            <w:noWrap/>
            <w:vAlign w:val="bottom"/>
            <w:hideMark/>
          </w:tcPr>
          <w:p w14:paraId="328808A9" w14:textId="77777777" w:rsidR="001C0F49" w:rsidRPr="005B2406" w:rsidRDefault="001C0F49" w:rsidP="00CB4910">
            <w:pPr>
              <w:spacing w:after="0" w:line="240" w:lineRule="auto"/>
              <w:jc w:val="right"/>
              <w:rPr>
                <w:rFonts w:ascii="Arial" w:hAnsi="Arial" w:cs="Arial"/>
                <w:b/>
                <w:bCs/>
                <w:i/>
                <w:iCs/>
                <w:color w:val="000000"/>
                <w:sz w:val="16"/>
                <w:szCs w:val="16"/>
              </w:rPr>
            </w:pPr>
            <w:r w:rsidRPr="005B2406">
              <w:rPr>
                <w:rFonts w:ascii="Arial" w:hAnsi="Arial" w:cs="Arial"/>
                <w:b/>
                <w:bCs/>
                <w:i/>
                <w:color w:val="000000"/>
                <w:sz w:val="16"/>
                <w:szCs w:val="16"/>
              </w:rPr>
              <w:t>468,897</w:t>
            </w:r>
          </w:p>
        </w:tc>
        <w:tc>
          <w:tcPr>
            <w:tcW w:w="597" w:type="pct"/>
            <w:tcBorders>
              <w:top w:val="single" w:sz="4" w:space="0" w:color="000000"/>
              <w:left w:val="nil"/>
              <w:bottom w:val="single" w:sz="4" w:space="0" w:color="000000"/>
              <w:right w:val="nil"/>
            </w:tcBorders>
            <w:shd w:val="clear" w:color="auto" w:fill="auto"/>
            <w:noWrap/>
            <w:vAlign w:val="bottom"/>
            <w:hideMark/>
          </w:tcPr>
          <w:p w14:paraId="27C0FEC2" w14:textId="77777777" w:rsidR="001C0F49" w:rsidRPr="005B2406" w:rsidRDefault="001C0F49" w:rsidP="00CB4910">
            <w:pPr>
              <w:spacing w:after="0" w:line="240" w:lineRule="auto"/>
              <w:jc w:val="right"/>
              <w:rPr>
                <w:rFonts w:ascii="Arial" w:hAnsi="Arial" w:cs="Arial"/>
                <w:b/>
                <w:bCs/>
                <w:i/>
                <w:iCs/>
                <w:color w:val="000000"/>
                <w:sz w:val="16"/>
                <w:szCs w:val="16"/>
              </w:rPr>
            </w:pPr>
            <w:r w:rsidRPr="005B2406">
              <w:rPr>
                <w:rFonts w:ascii="Arial" w:hAnsi="Arial" w:cs="Arial"/>
                <w:b/>
                <w:bCs/>
                <w:i/>
                <w:color w:val="000000"/>
                <w:sz w:val="16"/>
                <w:szCs w:val="16"/>
              </w:rPr>
              <w:t>467,033</w:t>
            </w:r>
          </w:p>
        </w:tc>
        <w:tc>
          <w:tcPr>
            <w:tcW w:w="597" w:type="pct"/>
            <w:tcBorders>
              <w:top w:val="single" w:sz="4" w:space="0" w:color="000000"/>
              <w:left w:val="nil"/>
              <w:bottom w:val="single" w:sz="4" w:space="0" w:color="000000"/>
              <w:right w:val="nil"/>
            </w:tcBorders>
            <w:shd w:val="clear" w:color="auto" w:fill="auto"/>
            <w:noWrap/>
            <w:vAlign w:val="bottom"/>
            <w:hideMark/>
          </w:tcPr>
          <w:p w14:paraId="31FA1745" w14:textId="77777777" w:rsidR="001C0F49" w:rsidRPr="005B2406" w:rsidRDefault="001C0F49" w:rsidP="00CB4910">
            <w:pPr>
              <w:spacing w:after="0" w:line="240" w:lineRule="auto"/>
              <w:jc w:val="right"/>
              <w:rPr>
                <w:rFonts w:ascii="Arial" w:hAnsi="Arial" w:cs="Arial"/>
                <w:b/>
                <w:bCs/>
                <w:i/>
                <w:iCs/>
                <w:color w:val="000000"/>
                <w:sz w:val="16"/>
                <w:szCs w:val="16"/>
              </w:rPr>
            </w:pPr>
            <w:r w:rsidRPr="005B2406">
              <w:rPr>
                <w:rFonts w:ascii="Arial" w:hAnsi="Arial" w:cs="Arial"/>
                <w:b/>
                <w:bCs/>
                <w:i/>
                <w:color w:val="000000"/>
                <w:sz w:val="16"/>
                <w:szCs w:val="16"/>
              </w:rPr>
              <w:t>465,173</w:t>
            </w:r>
          </w:p>
        </w:tc>
        <w:tc>
          <w:tcPr>
            <w:tcW w:w="537" w:type="pct"/>
            <w:tcBorders>
              <w:top w:val="single" w:sz="4" w:space="0" w:color="000000"/>
              <w:left w:val="nil"/>
              <w:bottom w:val="single" w:sz="4" w:space="0" w:color="000000"/>
              <w:right w:val="nil"/>
            </w:tcBorders>
            <w:shd w:val="clear" w:color="auto" w:fill="auto"/>
            <w:noWrap/>
            <w:vAlign w:val="bottom"/>
            <w:hideMark/>
          </w:tcPr>
          <w:p w14:paraId="625B6DC8" w14:textId="77777777" w:rsidR="001C0F49" w:rsidRPr="005B2406" w:rsidRDefault="001C0F49" w:rsidP="00CB4910">
            <w:pPr>
              <w:spacing w:after="0" w:line="240" w:lineRule="auto"/>
              <w:jc w:val="right"/>
              <w:rPr>
                <w:rFonts w:ascii="Arial" w:hAnsi="Arial" w:cs="Arial"/>
                <w:b/>
                <w:bCs/>
                <w:i/>
                <w:iCs/>
                <w:color w:val="000000"/>
                <w:sz w:val="16"/>
                <w:szCs w:val="16"/>
              </w:rPr>
            </w:pPr>
            <w:r w:rsidRPr="005B2406">
              <w:rPr>
                <w:rFonts w:ascii="Arial" w:hAnsi="Arial" w:cs="Arial"/>
                <w:b/>
                <w:bCs/>
                <w:i/>
                <w:color w:val="000000"/>
                <w:sz w:val="16"/>
                <w:szCs w:val="16"/>
              </w:rPr>
              <w:t>463,305</w:t>
            </w:r>
          </w:p>
        </w:tc>
      </w:tr>
      <w:tr w:rsidR="001C0F49" w:rsidRPr="00B63C9D" w14:paraId="0173868E" w14:textId="77777777" w:rsidTr="009C12D1">
        <w:trPr>
          <w:trHeight w:val="204"/>
        </w:trPr>
        <w:tc>
          <w:tcPr>
            <w:tcW w:w="2069" w:type="pct"/>
            <w:tcBorders>
              <w:top w:val="nil"/>
              <w:left w:val="nil"/>
              <w:bottom w:val="single" w:sz="4" w:space="0" w:color="000000"/>
              <w:right w:val="nil"/>
            </w:tcBorders>
            <w:shd w:val="clear" w:color="auto" w:fill="auto"/>
            <w:noWrap/>
            <w:vAlign w:val="bottom"/>
            <w:hideMark/>
          </w:tcPr>
          <w:p w14:paraId="658565FB"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Total equity</w:t>
            </w:r>
          </w:p>
        </w:tc>
        <w:tc>
          <w:tcPr>
            <w:tcW w:w="604" w:type="pct"/>
            <w:tcBorders>
              <w:top w:val="nil"/>
              <w:left w:val="nil"/>
              <w:bottom w:val="single" w:sz="4" w:space="0" w:color="000000"/>
              <w:right w:val="nil"/>
            </w:tcBorders>
            <w:shd w:val="clear" w:color="auto" w:fill="auto"/>
            <w:noWrap/>
            <w:vAlign w:val="bottom"/>
            <w:hideMark/>
          </w:tcPr>
          <w:p w14:paraId="49A6459E" w14:textId="77777777" w:rsidR="001C0F49" w:rsidRPr="005B2406" w:rsidRDefault="001C0F49" w:rsidP="00CB4910">
            <w:pPr>
              <w:spacing w:after="0" w:line="240" w:lineRule="auto"/>
              <w:jc w:val="right"/>
              <w:rPr>
                <w:rFonts w:ascii="Arial" w:hAnsi="Arial" w:cs="Arial"/>
                <w:b/>
                <w:bCs/>
                <w:color w:val="000000"/>
                <w:sz w:val="16"/>
                <w:szCs w:val="16"/>
              </w:rPr>
            </w:pPr>
            <w:r w:rsidRPr="005B2406">
              <w:rPr>
                <w:rFonts w:ascii="Arial" w:hAnsi="Arial" w:cs="Arial"/>
                <w:b/>
                <w:bCs/>
                <w:color w:val="000000"/>
                <w:sz w:val="16"/>
                <w:szCs w:val="16"/>
              </w:rPr>
              <w:t>467,315</w:t>
            </w:r>
          </w:p>
        </w:tc>
        <w:tc>
          <w:tcPr>
            <w:tcW w:w="597" w:type="pct"/>
            <w:tcBorders>
              <w:top w:val="nil"/>
              <w:left w:val="nil"/>
              <w:bottom w:val="single" w:sz="4" w:space="0" w:color="000000"/>
              <w:right w:val="nil"/>
            </w:tcBorders>
            <w:shd w:val="clear" w:color="auto" w:fill="E6E6E6"/>
            <w:noWrap/>
            <w:vAlign w:val="bottom"/>
            <w:hideMark/>
          </w:tcPr>
          <w:p w14:paraId="0AC9ACC5" w14:textId="77777777" w:rsidR="001C0F49" w:rsidRPr="005B2406" w:rsidRDefault="001C0F49" w:rsidP="00CB4910">
            <w:pPr>
              <w:spacing w:after="0" w:line="240" w:lineRule="auto"/>
              <w:jc w:val="right"/>
              <w:rPr>
                <w:rFonts w:ascii="Arial" w:hAnsi="Arial" w:cs="Arial"/>
                <w:b/>
                <w:bCs/>
                <w:color w:val="000000"/>
                <w:sz w:val="16"/>
                <w:szCs w:val="16"/>
              </w:rPr>
            </w:pPr>
            <w:r w:rsidRPr="005B2406">
              <w:rPr>
                <w:rFonts w:ascii="Arial" w:hAnsi="Arial" w:cs="Arial"/>
                <w:b/>
                <w:bCs/>
                <w:color w:val="000000"/>
                <w:sz w:val="16"/>
                <w:szCs w:val="16"/>
              </w:rPr>
              <w:t>468,897</w:t>
            </w:r>
          </w:p>
        </w:tc>
        <w:tc>
          <w:tcPr>
            <w:tcW w:w="597" w:type="pct"/>
            <w:tcBorders>
              <w:top w:val="nil"/>
              <w:left w:val="nil"/>
              <w:bottom w:val="single" w:sz="4" w:space="0" w:color="000000"/>
              <w:right w:val="nil"/>
            </w:tcBorders>
            <w:shd w:val="clear" w:color="auto" w:fill="auto"/>
            <w:noWrap/>
            <w:vAlign w:val="bottom"/>
            <w:hideMark/>
          </w:tcPr>
          <w:p w14:paraId="75F5CA65" w14:textId="77777777" w:rsidR="001C0F49" w:rsidRPr="005B2406" w:rsidRDefault="001C0F49" w:rsidP="00CB4910">
            <w:pPr>
              <w:spacing w:after="0" w:line="240" w:lineRule="auto"/>
              <w:jc w:val="right"/>
              <w:rPr>
                <w:rFonts w:ascii="Arial" w:hAnsi="Arial" w:cs="Arial"/>
                <w:b/>
                <w:bCs/>
                <w:color w:val="000000"/>
                <w:sz w:val="16"/>
                <w:szCs w:val="16"/>
              </w:rPr>
            </w:pPr>
            <w:r w:rsidRPr="005B2406">
              <w:rPr>
                <w:rFonts w:ascii="Arial" w:hAnsi="Arial" w:cs="Arial"/>
                <w:b/>
                <w:bCs/>
                <w:color w:val="000000"/>
                <w:sz w:val="16"/>
                <w:szCs w:val="16"/>
              </w:rPr>
              <w:t>467,033</w:t>
            </w:r>
          </w:p>
        </w:tc>
        <w:tc>
          <w:tcPr>
            <w:tcW w:w="597" w:type="pct"/>
            <w:tcBorders>
              <w:top w:val="nil"/>
              <w:left w:val="nil"/>
              <w:bottom w:val="single" w:sz="4" w:space="0" w:color="000000"/>
              <w:right w:val="nil"/>
            </w:tcBorders>
            <w:shd w:val="clear" w:color="auto" w:fill="auto"/>
            <w:noWrap/>
            <w:vAlign w:val="bottom"/>
            <w:hideMark/>
          </w:tcPr>
          <w:p w14:paraId="716273CF" w14:textId="77777777" w:rsidR="001C0F49" w:rsidRPr="005B2406" w:rsidRDefault="001C0F49" w:rsidP="00CB4910">
            <w:pPr>
              <w:spacing w:after="0" w:line="240" w:lineRule="auto"/>
              <w:jc w:val="right"/>
              <w:rPr>
                <w:rFonts w:ascii="Arial" w:hAnsi="Arial" w:cs="Arial"/>
                <w:b/>
                <w:bCs/>
                <w:color w:val="000000"/>
                <w:sz w:val="16"/>
                <w:szCs w:val="16"/>
              </w:rPr>
            </w:pPr>
            <w:r w:rsidRPr="005B2406">
              <w:rPr>
                <w:rFonts w:ascii="Arial" w:hAnsi="Arial" w:cs="Arial"/>
                <w:b/>
                <w:bCs/>
                <w:color w:val="000000"/>
                <w:sz w:val="16"/>
                <w:szCs w:val="16"/>
              </w:rPr>
              <w:t>465,173</w:t>
            </w:r>
          </w:p>
        </w:tc>
        <w:tc>
          <w:tcPr>
            <w:tcW w:w="537" w:type="pct"/>
            <w:tcBorders>
              <w:top w:val="nil"/>
              <w:left w:val="nil"/>
              <w:bottom w:val="single" w:sz="4" w:space="0" w:color="000000"/>
              <w:right w:val="nil"/>
            </w:tcBorders>
            <w:shd w:val="clear" w:color="auto" w:fill="auto"/>
            <w:noWrap/>
            <w:vAlign w:val="bottom"/>
            <w:hideMark/>
          </w:tcPr>
          <w:p w14:paraId="6901B46C" w14:textId="77777777" w:rsidR="001C0F49" w:rsidRPr="005B2406" w:rsidRDefault="001C0F49" w:rsidP="00CB4910">
            <w:pPr>
              <w:spacing w:after="0" w:line="240" w:lineRule="auto"/>
              <w:jc w:val="right"/>
              <w:rPr>
                <w:rFonts w:ascii="Arial" w:hAnsi="Arial" w:cs="Arial"/>
                <w:b/>
                <w:bCs/>
                <w:color w:val="000000"/>
                <w:sz w:val="16"/>
                <w:szCs w:val="16"/>
              </w:rPr>
            </w:pPr>
            <w:r w:rsidRPr="005B2406">
              <w:rPr>
                <w:rFonts w:ascii="Arial" w:hAnsi="Arial" w:cs="Arial"/>
                <w:b/>
                <w:bCs/>
                <w:color w:val="000000"/>
                <w:sz w:val="16"/>
                <w:szCs w:val="16"/>
              </w:rPr>
              <w:t>463,305</w:t>
            </w:r>
          </w:p>
        </w:tc>
      </w:tr>
    </w:tbl>
    <w:p w14:paraId="47FD979A" w14:textId="40CF25CE" w:rsidR="001C0F49" w:rsidRDefault="001C0F49" w:rsidP="00B46D7E">
      <w:pPr>
        <w:pStyle w:val="Source"/>
        <w:spacing w:before="60"/>
        <w:rPr>
          <w:rFonts w:cs="Arial"/>
        </w:rPr>
      </w:pPr>
      <w:r w:rsidRPr="00132F9E">
        <w:rPr>
          <w:rFonts w:cs="Arial"/>
        </w:rPr>
        <w:t>Prepared on Australian Accounting Standards basis</w:t>
      </w:r>
      <w:r w:rsidR="00460546">
        <w:rPr>
          <w:rFonts w:cs="Arial"/>
        </w:rPr>
        <w:t>.</w:t>
      </w:r>
    </w:p>
    <w:p w14:paraId="66ADDA9E" w14:textId="77777777" w:rsidR="001C0F49" w:rsidRDefault="001C0F49" w:rsidP="001C0F49">
      <w:pPr>
        <w:pStyle w:val="TableHeading"/>
      </w:pPr>
      <w:r>
        <w:br w:type="page"/>
      </w:r>
      <w:r w:rsidRPr="00AD42E2">
        <w:lastRenderedPageBreak/>
        <w:t xml:space="preserve">Table 3.3: </w:t>
      </w:r>
      <w:r>
        <w:t>Department</w:t>
      </w:r>
      <w:r w:rsidRPr="00AD42E2">
        <w:t>al statement of changes in equity — summary of</w:t>
      </w:r>
      <w:r>
        <w:t xml:space="preserve"> movement (Budget year </w:t>
      </w:r>
      <w:r>
        <w:rPr>
          <w:lang w:val="en-AU"/>
        </w:rPr>
        <w:t>2022-23</w:t>
      </w:r>
      <w:r w:rsidRPr="00D30CBA">
        <w:t>)</w:t>
      </w:r>
    </w:p>
    <w:tbl>
      <w:tblPr>
        <w:tblW w:w="5000" w:type="pct"/>
        <w:tblLook w:val="04A0" w:firstRow="1" w:lastRow="0" w:firstColumn="1" w:lastColumn="0" w:noHBand="0" w:noVBand="1"/>
      </w:tblPr>
      <w:tblGrid>
        <w:gridCol w:w="3872"/>
        <w:gridCol w:w="887"/>
        <w:gridCol w:w="1010"/>
        <w:gridCol w:w="1056"/>
        <w:gridCol w:w="885"/>
      </w:tblGrid>
      <w:tr w:rsidR="001C0F49" w:rsidRPr="00A04237" w14:paraId="14CA5511" w14:textId="77777777" w:rsidTr="00CB4910">
        <w:trPr>
          <w:trHeight w:val="204"/>
        </w:trPr>
        <w:tc>
          <w:tcPr>
            <w:tcW w:w="2511" w:type="pct"/>
            <w:tcBorders>
              <w:top w:val="single" w:sz="4" w:space="0" w:color="auto"/>
              <w:left w:val="nil"/>
              <w:bottom w:val="nil"/>
              <w:right w:val="nil"/>
            </w:tcBorders>
            <w:shd w:val="clear" w:color="auto" w:fill="auto"/>
            <w:noWrap/>
            <w:vAlign w:val="bottom"/>
            <w:hideMark/>
          </w:tcPr>
          <w:p w14:paraId="36A8C560" w14:textId="77777777" w:rsidR="001C0F49" w:rsidRPr="00A04237" w:rsidRDefault="001C0F49" w:rsidP="00293BD0">
            <w:pPr>
              <w:spacing w:after="0" w:line="240" w:lineRule="auto"/>
              <w:jc w:val="right"/>
              <w:rPr>
                <w:rFonts w:ascii="Arial" w:hAnsi="Arial" w:cs="Arial"/>
                <w:color w:val="000000"/>
                <w:sz w:val="16"/>
                <w:szCs w:val="16"/>
              </w:rPr>
            </w:pPr>
            <w:r w:rsidRPr="00A04237">
              <w:rPr>
                <w:rFonts w:ascii="Arial" w:hAnsi="Arial" w:cs="Arial"/>
                <w:color w:val="000000"/>
                <w:sz w:val="16"/>
                <w:szCs w:val="16"/>
              </w:rPr>
              <w:t> </w:t>
            </w:r>
          </w:p>
        </w:tc>
        <w:tc>
          <w:tcPr>
            <w:tcW w:w="575" w:type="pct"/>
            <w:tcBorders>
              <w:top w:val="single" w:sz="4" w:space="0" w:color="auto"/>
              <w:left w:val="nil"/>
              <w:bottom w:val="single" w:sz="4" w:space="0" w:color="000000"/>
              <w:right w:val="nil"/>
            </w:tcBorders>
            <w:shd w:val="clear" w:color="auto" w:fill="auto"/>
            <w:vAlign w:val="bottom"/>
            <w:hideMark/>
          </w:tcPr>
          <w:p w14:paraId="03A8D5E3" w14:textId="77777777" w:rsidR="001C0F49" w:rsidRPr="00A04237" w:rsidRDefault="001C0F49" w:rsidP="00293BD0">
            <w:pPr>
              <w:spacing w:after="0" w:line="240" w:lineRule="auto"/>
              <w:jc w:val="right"/>
              <w:rPr>
                <w:rFonts w:ascii="Arial" w:hAnsi="Arial" w:cs="Arial"/>
                <w:color w:val="000000"/>
                <w:sz w:val="16"/>
                <w:szCs w:val="16"/>
              </w:rPr>
            </w:pPr>
            <w:r w:rsidRPr="00A04237">
              <w:rPr>
                <w:rFonts w:ascii="Arial" w:hAnsi="Arial" w:cs="Arial"/>
                <w:color w:val="000000"/>
                <w:sz w:val="16"/>
                <w:szCs w:val="16"/>
              </w:rPr>
              <w:t>Retained</w:t>
            </w:r>
            <w:r w:rsidRPr="00A04237">
              <w:rPr>
                <w:rFonts w:ascii="Arial" w:hAnsi="Arial" w:cs="Arial"/>
                <w:color w:val="000000"/>
                <w:sz w:val="16"/>
                <w:szCs w:val="16"/>
              </w:rPr>
              <w:br/>
              <w:t>earnings</w:t>
            </w:r>
            <w:r w:rsidRPr="00A04237">
              <w:rPr>
                <w:rFonts w:ascii="Arial" w:hAnsi="Arial" w:cs="Arial"/>
                <w:color w:val="000000"/>
                <w:sz w:val="16"/>
                <w:szCs w:val="16"/>
              </w:rPr>
              <w:br/>
            </w:r>
            <w:r w:rsidRPr="00A04237">
              <w:rPr>
                <w:rFonts w:ascii="Arial" w:hAnsi="Arial" w:cs="Arial"/>
                <w:color w:val="000000"/>
                <w:sz w:val="16"/>
                <w:szCs w:val="16"/>
              </w:rPr>
              <w:br/>
              <w:t>$'000</w:t>
            </w:r>
          </w:p>
        </w:tc>
        <w:tc>
          <w:tcPr>
            <w:tcW w:w="655" w:type="pct"/>
            <w:tcBorders>
              <w:top w:val="single" w:sz="4" w:space="0" w:color="auto"/>
              <w:left w:val="nil"/>
              <w:bottom w:val="single" w:sz="4" w:space="0" w:color="000000"/>
              <w:right w:val="nil"/>
            </w:tcBorders>
            <w:shd w:val="clear" w:color="auto" w:fill="auto"/>
            <w:vAlign w:val="bottom"/>
            <w:hideMark/>
          </w:tcPr>
          <w:p w14:paraId="7F22090D" w14:textId="77777777" w:rsidR="001C0F49" w:rsidRPr="00A04237" w:rsidRDefault="001C0F49" w:rsidP="00293BD0">
            <w:pPr>
              <w:spacing w:after="0" w:line="240" w:lineRule="auto"/>
              <w:jc w:val="right"/>
              <w:rPr>
                <w:rFonts w:ascii="Arial" w:hAnsi="Arial" w:cs="Arial"/>
                <w:color w:val="000000"/>
                <w:sz w:val="16"/>
                <w:szCs w:val="16"/>
              </w:rPr>
            </w:pPr>
            <w:r w:rsidRPr="00A04237">
              <w:rPr>
                <w:rFonts w:ascii="Arial" w:hAnsi="Arial" w:cs="Arial"/>
                <w:color w:val="000000"/>
                <w:sz w:val="16"/>
                <w:szCs w:val="16"/>
              </w:rPr>
              <w:t>Asset</w:t>
            </w:r>
            <w:r w:rsidRPr="00A04237">
              <w:rPr>
                <w:rFonts w:ascii="Arial" w:hAnsi="Arial" w:cs="Arial"/>
                <w:color w:val="000000"/>
                <w:sz w:val="16"/>
                <w:szCs w:val="16"/>
              </w:rPr>
              <w:br/>
              <w:t>revaluation</w:t>
            </w:r>
            <w:r w:rsidRPr="00A04237">
              <w:rPr>
                <w:rFonts w:ascii="Arial" w:hAnsi="Arial" w:cs="Arial"/>
                <w:color w:val="000000"/>
                <w:sz w:val="16"/>
                <w:szCs w:val="16"/>
              </w:rPr>
              <w:br/>
              <w:t>reserve</w:t>
            </w:r>
            <w:r w:rsidRPr="00A04237">
              <w:rPr>
                <w:rFonts w:ascii="Arial" w:hAnsi="Arial" w:cs="Arial"/>
                <w:color w:val="000000"/>
                <w:sz w:val="16"/>
                <w:szCs w:val="16"/>
              </w:rPr>
              <w:br/>
              <w:t>$'000</w:t>
            </w:r>
          </w:p>
        </w:tc>
        <w:tc>
          <w:tcPr>
            <w:tcW w:w="685" w:type="pct"/>
            <w:tcBorders>
              <w:top w:val="single" w:sz="4" w:space="0" w:color="auto"/>
              <w:left w:val="nil"/>
              <w:bottom w:val="single" w:sz="4" w:space="0" w:color="000000"/>
              <w:right w:val="nil"/>
            </w:tcBorders>
            <w:shd w:val="clear" w:color="auto" w:fill="auto"/>
            <w:vAlign w:val="bottom"/>
            <w:hideMark/>
          </w:tcPr>
          <w:p w14:paraId="57C242A3" w14:textId="77777777" w:rsidR="001C0F49" w:rsidRPr="00A04237" w:rsidRDefault="001C0F49" w:rsidP="00293BD0">
            <w:pPr>
              <w:spacing w:after="0" w:line="240" w:lineRule="auto"/>
              <w:jc w:val="right"/>
              <w:rPr>
                <w:rFonts w:ascii="Arial" w:hAnsi="Arial" w:cs="Arial"/>
                <w:color w:val="000000"/>
                <w:sz w:val="16"/>
                <w:szCs w:val="16"/>
              </w:rPr>
            </w:pPr>
            <w:r w:rsidRPr="00A04237">
              <w:rPr>
                <w:rFonts w:ascii="Arial" w:hAnsi="Arial" w:cs="Arial"/>
                <w:color w:val="000000"/>
                <w:sz w:val="16"/>
                <w:szCs w:val="16"/>
              </w:rPr>
              <w:t>Contributed</w:t>
            </w:r>
            <w:r w:rsidRPr="00A04237">
              <w:rPr>
                <w:rFonts w:ascii="Arial" w:hAnsi="Arial" w:cs="Arial"/>
                <w:color w:val="000000"/>
                <w:sz w:val="16"/>
                <w:szCs w:val="16"/>
              </w:rPr>
              <w:br/>
              <w:t>equity/</w:t>
            </w:r>
            <w:r w:rsidRPr="00A04237">
              <w:rPr>
                <w:rFonts w:ascii="Arial" w:hAnsi="Arial" w:cs="Arial"/>
                <w:color w:val="000000"/>
                <w:sz w:val="16"/>
                <w:szCs w:val="16"/>
              </w:rPr>
              <w:br/>
              <w:t>capital</w:t>
            </w:r>
            <w:r w:rsidRPr="00A04237">
              <w:rPr>
                <w:rFonts w:ascii="Arial" w:hAnsi="Arial" w:cs="Arial"/>
                <w:color w:val="000000"/>
                <w:sz w:val="16"/>
                <w:szCs w:val="16"/>
              </w:rPr>
              <w:br/>
              <w:t>$'000</w:t>
            </w:r>
          </w:p>
        </w:tc>
        <w:tc>
          <w:tcPr>
            <w:tcW w:w="574" w:type="pct"/>
            <w:tcBorders>
              <w:top w:val="single" w:sz="4" w:space="0" w:color="auto"/>
              <w:left w:val="nil"/>
              <w:bottom w:val="single" w:sz="4" w:space="0" w:color="000000"/>
              <w:right w:val="nil"/>
            </w:tcBorders>
            <w:shd w:val="clear" w:color="auto" w:fill="auto"/>
            <w:vAlign w:val="bottom"/>
            <w:hideMark/>
          </w:tcPr>
          <w:p w14:paraId="52835E6D" w14:textId="77777777" w:rsidR="001C0F49" w:rsidRPr="00A04237" w:rsidRDefault="001C0F49" w:rsidP="00293BD0">
            <w:pPr>
              <w:spacing w:after="0" w:line="240" w:lineRule="auto"/>
              <w:jc w:val="right"/>
              <w:rPr>
                <w:rFonts w:ascii="Arial" w:hAnsi="Arial" w:cs="Arial"/>
                <w:color w:val="000000"/>
                <w:sz w:val="16"/>
                <w:szCs w:val="16"/>
              </w:rPr>
            </w:pPr>
            <w:r w:rsidRPr="00A04237">
              <w:rPr>
                <w:rFonts w:ascii="Arial" w:hAnsi="Arial" w:cs="Arial"/>
                <w:color w:val="000000"/>
                <w:sz w:val="16"/>
                <w:szCs w:val="16"/>
              </w:rPr>
              <w:t>Total</w:t>
            </w:r>
            <w:r w:rsidRPr="00A04237">
              <w:rPr>
                <w:rFonts w:ascii="Arial" w:hAnsi="Arial" w:cs="Arial"/>
                <w:color w:val="000000"/>
                <w:sz w:val="16"/>
                <w:szCs w:val="16"/>
              </w:rPr>
              <w:br/>
              <w:t xml:space="preserve">equity </w:t>
            </w:r>
            <w:r w:rsidRPr="00A04237">
              <w:rPr>
                <w:rFonts w:ascii="Arial" w:hAnsi="Arial" w:cs="Arial"/>
                <w:color w:val="000000"/>
                <w:sz w:val="16"/>
                <w:szCs w:val="16"/>
              </w:rPr>
              <w:br/>
            </w:r>
            <w:r w:rsidRPr="00A04237">
              <w:rPr>
                <w:rFonts w:ascii="Arial" w:hAnsi="Arial" w:cs="Arial"/>
                <w:color w:val="000000"/>
                <w:sz w:val="16"/>
                <w:szCs w:val="16"/>
              </w:rPr>
              <w:br/>
              <w:t>$'000</w:t>
            </w:r>
          </w:p>
        </w:tc>
      </w:tr>
      <w:tr w:rsidR="001C0F49" w:rsidRPr="00A04237" w14:paraId="54CE5F27" w14:textId="77777777" w:rsidTr="00CB4910">
        <w:trPr>
          <w:trHeight w:val="204"/>
        </w:trPr>
        <w:tc>
          <w:tcPr>
            <w:tcW w:w="2511" w:type="pct"/>
            <w:tcBorders>
              <w:top w:val="nil"/>
              <w:left w:val="nil"/>
              <w:bottom w:val="nil"/>
              <w:right w:val="nil"/>
            </w:tcBorders>
            <w:shd w:val="clear" w:color="auto" w:fill="auto"/>
            <w:vAlign w:val="bottom"/>
            <w:hideMark/>
          </w:tcPr>
          <w:p w14:paraId="312E1C02" w14:textId="77777777" w:rsidR="001C0F49" w:rsidRPr="00A04237" w:rsidRDefault="001C0F49" w:rsidP="00293BD0">
            <w:pPr>
              <w:spacing w:after="0" w:line="240" w:lineRule="auto"/>
              <w:rPr>
                <w:rFonts w:ascii="Arial" w:hAnsi="Arial" w:cs="Arial"/>
                <w:b/>
                <w:bCs/>
                <w:color w:val="000000"/>
                <w:sz w:val="16"/>
                <w:szCs w:val="16"/>
              </w:rPr>
            </w:pPr>
            <w:r w:rsidRPr="00A04237">
              <w:rPr>
                <w:rFonts w:ascii="Arial" w:hAnsi="Arial" w:cs="Arial"/>
                <w:b/>
                <w:bCs/>
                <w:color w:val="000000"/>
                <w:sz w:val="16"/>
                <w:szCs w:val="16"/>
              </w:rPr>
              <w:t>Opening balance as at 1 July 2022</w:t>
            </w:r>
          </w:p>
        </w:tc>
        <w:tc>
          <w:tcPr>
            <w:tcW w:w="575" w:type="pct"/>
            <w:tcBorders>
              <w:top w:val="nil"/>
              <w:left w:val="nil"/>
              <w:bottom w:val="nil"/>
              <w:right w:val="nil"/>
            </w:tcBorders>
            <w:shd w:val="clear" w:color="auto" w:fill="auto"/>
            <w:noWrap/>
            <w:vAlign w:val="bottom"/>
            <w:hideMark/>
          </w:tcPr>
          <w:p w14:paraId="50F5405B" w14:textId="77777777" w:rsidR="001C0F49" w:rsidRPr="007C1BB2" w:rsidRDefault="001C0F49" w:rsidP="00293BD0">
            <w:pPr>
              <w:spacing w:after="0" w:line="240" w:lineRule="auto"/>
              <w:jc w:val="righ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6BB2D5C5" w14:textId="77777777" w:rsidR="001C0F49" w:rsidRPr="00CF671E" w:rsidRDefault="001C0F49" w:rsidP="00293BD0">
            <w:pPr>
              <w:spacing w:after="0" w:line="240" w:lineRule="auto"/>
              <w:jc w:val="right"/>
              <w:rPr>
                <w:rFonts w:ascii="Arial" w:hAnsi="Arial" w:cs="Arial"/>
                <w:sz w:val="16"/>
                <w:szCs w:val="16"/>
              </w:rPr>
            </w:pPr>
          </w:p>
        </w:tc>
        <w:tc>
          <w:tcPr>
            <w:tcW w:w="685" w:type="pct"/>
            <w:tcBorders>
              <w:top w:val="nil"/>
              <w:left w:val="nil"/>
              <w:bottom w:val="nil"/>
              <w:right w:val="nil"/>
            </w:tcBorders>
            <w:shd w:val="clear" w:color="auto" w:fill="auto"/>
            <w:noWrap/>
            <w:vAlign w:val="bottom"/>
            <w:hideMark/>
          </w:tcPr>
          <w:p w14:paraId="46BFEA4A" w14:textId="77777777" w:rsidR="001C0F49" w:rsidRPr="00CF671E" w:rsidRDefault="001C0F49" w:rsidP="00293BD0">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4B8BFF4F" w14:textId="77777777" w:rsidR="001C0F49" w:rsidRPr="00CF671E" w:rsidRDefault="001C0F49" w:rsidP="00293BD0">
            <w:pPr>
              <w:spacing w:after="0" w:line="240" w:lineRule="auto"/>
              <w:jc w:val="right"/>
              <w:rPr>
                <w:rFonts w:ascii="Arial" w:hAnsi="Arial" w:cs="Arial"/>
                <w:sz w:val="16"/>
                <w:szCs w:val="16"/>
              </w:rPr>
            </w:pPr>
          </w:p>
        </w:tc>
      </w:tr>
      <w:tr w:rsidR="001C0F49" w:rsidRPr="00A04237" w14:paraId="7C1BB429" w14:textId="77777777" w:rsidTr="00CB4910">
        <w:trPr>
          <w:trHeight w:val="204"/>
        </w:trPr>
        <w:tc>
          <w:tcPr>
            <w:tcW w:w="2511" w:type="pct"/>
            <w:tcBorders>
              <w:top w:val="nil"/>
              <w:left w:val="nil"/>
              <w:bottom w:val="nil"/>
              <w:right w:val="nil"/>
            </w:tcBorders>
            <w:shd w:val="clear" w:color="auto" w:fill="auto"/>
            <w:vAlign w:val="bottom"/>
            <w:hideMark/>
          </w:tcPr>
          <w:p w14:paraId="0C2532C3" w14:textId="77777777" w:rsidR="001C0F49" w:rsidRPr="00A04237" w:rsidRDefault="001C0F49" w:rsidP="00293BD0">
            <w:pPr>
              <w:spacing w:after="0" w:line="240" w:lineRule="auto"/>
              <w:ind w:left="113"/>
              <w:rPr>
                <w:rFonts w:ascii="Arial" w:hAnsi="Arial" w:cs="Arial"/>
                <w:color w:val="000000"/>
                <w:sz w:val="16"/>
                <w:szCs w:val="16"/>
              </w:rPr>
            </w:pPr>
            <w:r w:rsidRPr="00A04237">
              <w:rPr>
                <w:rFonts w:ascii="Arial" w:hAnsi="Arial" w:cs="Arial"/>
                <w:color w:val="000000"/>
                <w:sz w:val="16"/>
                <w:szCs w:val="16"/>
              </w:rPr>
              <w:t>Balance carried forward from previous period</w:t>
            </w:r>
          </w:p>
        </w:tc>
        <w:tc>
          <w:tcPr>
            <w:tcW w:w="575" w:type="pct"/>
            <w:tcBorders>
              <w:top w:val="nil"/>
              <w:left w:val="nil"/>
              <w:bottom w:val="nil"/>
              <w:right w:val="nil"/>
            </w:tcBorders>
            <w:shd w:val="clear" w:color="auto" w:fill="auto"/>
            <w:noWrap/>
            <w:vAlign w:val="bottom"/>
            <w:hideMark/>
          </w:tcPr>
          <w:p w14:paraId="0A192348"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2</w:t>
            </w:r>
            <w:r>
              <w:rPr>
                <w:rFonts w:ascii="Arial" w:hAnsi="Arial" w:cs="Arial"/>
                <w:color w:val="000000"/>
                <w:sz w:val="16"/>
                <w:szCs w:val="16"/>
              </w:rPr>
              <w:t>61,535</w:t>
            </w:r>
          </w:p>
        </w:tc>
        <w:tc>
          <w:tcPr>
            <w:tcW w:w="655" w:type="pct"/>
            <w:tcBorders>
              <w:top w:val="nil"/>
              <w:left w:val="nil"/>
              <w:bottom w:val="nil"/>
              <w:right w:val="nil"/>
            </w:tcBorders>
            <w:shd w:val="clear" w:color="auto" w:fill="auto"/>
            <w:noWrap/>
            <w:vAlign w:val="bottom"/>
            <w:hideMark/>
          </w:tcPr>
          <w:p w14:paraId="016B3CBA"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16</w:t>
            </w:r>
            <w:r>
              <w:rPr>
                <w:rFonts w:ascii="Arial" w:hAnsi="Arial" w:cs="Arial"/>
                <w:color w:val="000000"/>
                <w:sz w:val="16"/>
                <w:szCs w:val="16"/>
              </w:rPr>
              <w:t>6,897</w:t>
            </w:r>
          </w:p>
        </w:tc>
        <w:tc>
          <w:tcPr>
            <w:tcW w:w="685" w:type="pct"/>
            <w:tcBorders>
              <w:top w:val="nil"/>
              <w:left w:val="nil"/>
              <w:bottom w:val="nil"/>
              <w:right w:val="nil"/>
            </w:tcBorders>
            <w:shd w:val="clear" w:color="auto" w:fill="auto"/>
            <w:noWrap/>
            <w:vAlign w:val="bottom"/>
            <w:hideMark/>
          </w:tcPr>
          <w:p w14:paraId="0A056E8F"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38,883</w:t>
            </w:r>
          </w:p>
        </w:tc>
        <w:tc>
          <w:tcPr>
            <w:tcW w:w="574" w:type="pct"/>
            <w:tcBorders>
              <w:top w:val="nil"/>
              <w:left w:val="nil"/>
              <w:bottom w:val="nil"/>
              <w:right w:val="nil"/>
            </w:tcBorders>
            <w:shd w:val="clear" w:color="auto" w:fill="auto"/>
            <w:noWrap/>
            <w:vAlign w:val="bottom"/>
            <w:hideMark/>
          </w:tcPr>
          <w:p w14:paraId="0D6F2644"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46</w:t>
            </w:r>
            <w:r>
              <w:rPr>
                <w:rFonts w:ascii="Arial" w:hAnsi="Arial" w:cs="Arial"/>
                <w:color w:val="000000"/>
                <w:sz w:val="16"/>
                <w:szCs w:val="16"/>
              </w:rPr>
              <w:t>7,315</w:t>
            </w:r>
          </w:p>
        </w:tc>
      </w:tr>
      <w:tr w:rsidR="001C0F49" w:rsidRPr="00A04237" w14:paraId="4CCA0163" w14:textId="77777777" w:rsidTr="00CB4910">
        <w:trPr>
          <w:trHeight w:val="204"/>
        </w:trPr>
        <w:tc>
          <w:tcPr>
            <w:tcW w:w="2511" w:type="pct"/>
            <w:tcBorders>
              <w:top w:val="nil"/>
              <w:left w:val="nil"/>
              <w:bottom w:val="nil"/>
              <w:right w:val="nil"/>
            </w:tcBorders>
            <w:shd w:val="clear" w:color="auto" w:fill="auto"/>
            <w:vAlign w:val="bottom"/>
            <w:hideMark/>
          </w:tcPr>
          <w:p w14:paraId="4DDB8CF5" w14:textId="77777777" w:rsidR="001C0F49" w:rsidRPr="00A04237" w:rsidRDefault="001C0F49" w:rsidP="00293BD0">
            <w:pPr>
              <w:spacing w:after="0" w:line="240" w:lineRule="auto"/>
              <w:rPr>
                <w:rFonts w:ascii="Arial" w:hAnsi="Arial" w:cs="Arial"/>
                <w:b/>
                <w:bCs/>
                <w:i/>
                <w:iCs/>
                <w:color w:val="000000"/>
                <w:sz w:val="16"/>
                <w:szCs w:val="16"/>
              </w:rPr>
            </w:pPr>
            <w:r w:rsidRPr="00A04237">
              <w:rPr>
                <w:rFonts w:ascii="Arial" w:hAnsi="Arial" w:cs="Arial"/>
                <w:b/>
                <w:bCs/>
                <w:i/>
                <w:iCs/>
                <w:color w:val="000000"/>
                <w:sz w:val="16"/>
                <w:szCs w:val="16"/>
              </w:rPr>
              <w:t>Adjusted opening balance</w:t>
            </w:r>
          </w:p>
        </w:tc>
        <w:tc>
          <w:tcPr>
            <w:tcW w:w="575" w:type="pct"/>
            <w:tcBorders>
              <w:top w:val="single" w:sz="4" w:space="0" w:color="000000"/>
              <w:left w:val="nil"/>
              <w:bottom w:val="single" w:sz="4" w:space="0" w:color="000000"/>
              <w:right w:val="nil"/>
            </w:tcBorders>
            <w:shd w:val="clear" w:color="auto" w:fill="auto"/>
            <w:noWrap/>
            <w:vAlign w:val="bottom"/>
            <w:hideMark/>
          </w:tcPr>
          <w:p w14:paraId="7ABB5F34" w14:textId="77777777" w:rsidR="001C0F49" w:rsidRPr="00E17EAA" w:rsidRDefault="001C0F49" w:rsidP="00293BD0">
            <w:pPr>
              <w:spacing w:after="0" w:line="240" w:lineRule="auto"/>
              <w:jc w:val="right"/>
              <w:rPr>
                <w:rFonts w:ascii="Arial" w:hAnsi="Arial" w:cs="Arial"/>
                <w:b/>
                <w:bCs/>
                <w:i/>
                <w:iCs/>
                <w:color w:val="000000"/>
                <w:sz w:val="16"/>
                <w:szCs w:val="16"/>
              </w:rPr>
            </w:pPr>
            <w:r w:rsidRPr="00E17EAA">
              <w:rPr>
                <w:rFonts w:ascii="Arial" w:hAnsi="Arial" w:cs="Arial"/>
                <w:b/>
                <w:i/>
                <w:color w:val="000000"/>
                <w:sz w:val="16"/>
                <w:szCs w:val="16"/>
              </w:rPr>
              <w:t>261,535</w:t>
            </w:r>
          </w:p>
        </w:tc>
        <w:tc>
          <w:tcPr>
            <w:tcW w:w="655" w:type="pct"/>
            <w:tcBorders>
              <w:top w:val="single" w:sz="4" w:space="0" w:color="000000"/>
              <w:left w:val="nil"/>
              <w:bottom w:val="single" w:sz="4" w:space="0" w:color="000000"/>
              <w:right w:val="nil"/>
            </w:tcBorders>
            <w:shd w:val="clear" w:color="auto" w:fill="auto"/>
            <w:noWrap/>
            <w:vAlign w:val="bottom"/>
            <w:hideMark/>
          </w:tcPr>
          <w:p w14:paraId="014043AF" w14:textId="77777777" w:rsidR="001C0F49" w:rsidRPr="00E17EAA" w:rsidRDefault="001C0F49" w:rsidP="00293BD0">
            <w:pPr>
              <w:spacing w:after="0" w:line="240" w:lineRule="auto"/>
              <w:jc w:val="right"/>
              <w:rPr>
                <w:rFonts w:ascii="Arial" w:hAnsi="Arial" w:cs="Arial"/>
                <w:b/>
                <w:bCs/>
                <w:i/>
                <w:iCs/>
                <w:color w:val="000000"/>
                <w:sz w:val="16"/>
                <w:szCs w:val="16"/>
              </w:rPr>
            </w:pPr>
            <w:r w:rsidRPr="00E17EAA">
              <w:rPr>
                <w:rFonts w:ascii="Arial" w:hAnsi="Arial" w:cs="Arial"/>
                <w:b/>
                <w:i/>
                <w:color w:val="000000"/>
                <w:sz w:val="16"/>
                <w:szCs w:val="16"/>
              </w:rPr>
              <w:t>166,897</w:t>
            </w:r>
          </w:p>
        </w:tc>
        <w:tc>
          <w:tcPr>
            <w:tcW w:w="685" w:type="pct"/>
            <w:tcBorders>
              <w:top w:val="single" w:sz="4" w:space="0" w:color="000000"/>
              <w:left w:val="nil"/>
              <w:bottom w:val="single" w:sz="4" w:space="0" w:color="000000"/>
              <w:right w:val="nil"/>
            </w:tcBorders>
            <w:shd w:val="clear" w:color="auto" w:fill="auto"/>
            <w:noWrap/>
            <w:vAlign w:val="bottom"/>
            <w:hideMark/>
          </w:tcPr>
          <w:p w14:paraId="1971325F" w14:textId="77777777" w:rsidR="001C0F49" w:rsidRPr="00E17EAA" w:rsidRDefault="001C0F49" w:rsidP="00293BD0">
            <w:pPr>
              <w:spacing w:after="0" w:line="240" w:lineRule="auto"/>
              <w:jc w:val="right"/>
              <w:rPr>
                <w:rFonts w:ascii="Arial" w:hAnsi="Arial" w:cs="Arial"/>
                <w:b/>
                <w:bCs/>
                <w:i/>
                <w:iCs/>
                <w:color w:val="000000"/>
                <w:sz w:val="16"/>
                <w:szCs w:val="16"/>
              </w:rPr>
            </w:pPr>
            <w:r w:rsidRPr="00E17EAA">
              <w:rPr>
                <w:rFonts w:ascii="Arial" w:hAnsi="Arial" w:cs="Arial"/>
                <w:b/>
                <w:i/>
                <w:color w:val="000000"/>
                <w:sz w:val="16"/>
                <w:szCs w:val="16"/>
              </w:rPr>
              <w:t>38,883</w:t>
            </w:r>
          </w:p>
        </w:tc>
        <w:tc>
          <w:tcPr>
            <w:tcW w:w="574" w:type="pct"/>
            <w:tcBorders>
              <w:top w:val="single" w:sz="4" w:space="0" w:color="000000"/>
              <w:left w:val="nil"/>
              <w:bottom w:val="single" w:sz="4" w:space="0" w:color="000000"/>
              <w:right w:val="nil"/>
            </w:tcBorders>
            <w:shd w:val="clear" w:color="auto" w:fill="auto"/>
            <w:noWrap/>
            <w:vAlign w:val="bottom"/>
            <w:hideMark/>
          </w:tcPr>
          <w:p w14:paraId="26A616EB" w14:textId="77777777" w:rsidR="001C0F49" w:rsidRPr="00E17EAA" w:rsidRDefault="001C0F49" w:rsidP="00293BD0">
            <w:pPr>
              <w:spacing w:after="0" w:line="240" w:lineRule="auto"/>
              <w:jc w:val="right"/>
              <w:rPr>
                <w:rFonts w:ascii="Arial" w:hAnsi="Arial" w:cs="Arial"/>
                <w:b/>
                <w:bCs/>
                <w:i/>
                <w:iCs/>
                <w:color w:val="000000"/>
                <w:sz w:val="16"/>
                <w:szCs w:val="16"/>
              </w:rPr>
            </w:pPr>
            <w:r w:rsidRPr="00E17EAA">
              <w:rPr>
                <w:rFonts w:ascii="Arial" w:hAnsi="Arial" w:cs="Arial"/>
                <w:b/>
                <w:i/>
                <w:color w:val="000000"/>
                <w:sz w:val="16"/>
                <w:szCs w:val="16"/>
              </w:rPr>
              <w:t>467,315</w:t>
            </w:r>
          </w:p>
        </w:tc>
      </w:tr>
      <w:tr w:rsidR="001C0F49" w:rsidRPr="00A04237" w14:paraId="0F337C57" w14:textId="77777777" w:rsidTr="00CB4910">
        <w:trPr>
          <w:trHeight w:val="204"/>
        </w:trPr>
        <w:tc>
          <w:tcPr>
            <w:tcW w:w="2511" w:type="pct"/>
            <w:tcBorders>
              <w:top w:val="nil"/>
              <w:left w:val="nil"/>
              <w:bottom w:val="nil"/>
              <w:right w:val="nil"/>
            </w:tcBorders>
            <w:shd w:val="clear" w:color="auto" w:fill="auto"/>
            <w:noWrap/>
            <w:vAlign w:val="bottom"/>
            <w:hideMark/>
          </w:tcPr>
          <w:p w14:paraId="7CA40425" w14:textId="77777777" w:rsidR="001C0F49" w:rsidRPr="00A04237" w:rsidRDefault="001C0F49" w:rsidP="00293BD0">
            <w:pPr>
              <w:spacing w:after="0" w:line="240" w:lineRule="auto"/>
              <w:rPr>
                <w:rFonts w:ascii="Arial" w:hAnsi="Arial" w:cs="Arial"/>
                <w:b/>
                <w:bCs/>
                <w:color w:val="000000"/>
                <w:sz w:val="16"/>
                <w:szCs w:val="16"/>
              </w:rPr>
            </w:pPr>
            <w:r w:rsidRPr="00A04237">
              <w:rPr>
                <w:rFonts w:ascii="Arial" w:hAnsi="Arial" w:cs="Arial"/>
                <w:b/>
                <w:bCs/>
                <w:color w:val="000000"/>
                <w:sz w:val="16"/>
                <w:szCs w:val="16"/>
              </w:rPr>
              <w:t>Comprehensive income</w:t>
            </w:r>
          </w:p>
        </w:tc>
        <w:tc>
          <w:tcPr>
            <w:tcW w:w="575" w:type="pct"/>
            <w:tcBorders>
              <w:top w:val="nil"/>
              <w:left w:val="nil"/>
              <w:bottom w:val="nil"/>
              <w:right w:val="nil"/>
            </w:tcBorders>
            <w:shd w:val="clear" w:color="auto" w:fill="auto"/>
            <w:noWrap/>
            <w:vAlign w:val="bottom"/>
            <w:hideMark/>
          </w:tcPr>
          <w:p w14:paraId="3B400B68" w14:textId="77777777" w:rsidR="001C0F49" w:rsidRPr="007C1BB2" w:rsidRDefault="001C0F49" w:rsidP="00293BD0">
            <w:pPr>
              <w:spacing w:after="0" w:line="240" w:lineRule="auto"/>
              <w:jc w:val="right"/>
              <w:rPr>
                <w:rFonts w:ascii="Arial" w:hAnsi="Arial" w:cs="Arial"/>
                <w:b/>
                <w:bCs/>
                <w:color w:val="000000"/>
                <w:sz w:val="16"/>
                <w:szCs w:val="16"/>
              </w:rPr>
            </w:pPr>
          </w:p>
        </w:tc>
        <w:tc>
          <w:tcPr>
            <w:tcW w:w="655" w:type="pct"/>
            <w:tcBorders>
              <w:top w:val="nil"/>
              <w:left w:val="nil"/>
              <w:bottom w:val="nil"/>
              <w:right w:val="nil"/>
            </w:tcBorders>
            <w:shd w:val="clear" w:color="auto" w:fill="auto"/>
            <w:noWrap/>
            <w:vAlign w:val="bottom"/>
            <w:hideMark/>
          </w:tcPr>
          <w:p w14:paraId="23027A50" w14:textId="77777777" w:rsidR="001C0F49" w:rsidRPr="00CF671E" w:rsidRDefault="001C0F49" w:rsidP="00293BD0">
            <w:pPr>
              <w:spacing w:after="0" w:line="240" w:lineRule="auto"/>
              <w:jc w:val="right"/>
              <w:rPr>
                <w:rFonts w:ascii="Arial" w:hAnsi="Arial" w:cs="Arial"/>
                <w:sz w:val="16"/>
                <w:szCs w:val="16"/>
              </w:rPr>
            </w:pPr>
          </w:p>
        </w:tc>
        <w:tc>
          <w:tcPr>
            <w:tcW w:w="685" w:type="pct"/>
            <w:tcBorders>
              <w:top w:val="nil"/>
              <w:left w:val="nil"/>
              <w:bottom w:val="nil"/>
              <w:right w:val="nil"/>
            </w:tcBorders>
            <w:shd w:val="clear" w:color="auto" w:fill="auto"/>
            <w:noWrap/>
            <w:vAlign w:val="bottom"/>
            <w:hideMark/>
          </w:tcPr>
          <w:p w14:paraId="311B0743" w14:textId="77777777" w:rsidR="001C0F49" w:rsidRPr="00CF671E" w:rsidRDefault="001C0F49" w:rsidP="00293BD0">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74F251A7" w14:textId="77777777" w:rsidR="001C0F49" w:rsidRPr="00CF671E" w:rsidRDefault="001C0F49" w:rsidP="00293BD0">
            <w:pPr>
              <w:spacing w:after="0" w:line="240" w:lineRule="auto"/>
              <w:jc w:val="right"/>
              <w:rPr>
                <w:rFonts w:ascii="Arial" w:hAnsi="Arial" w:cs="Arial"/>
                <w:sz w:val="16"/>
                <w:szCs w:val="16"/>
              </w:rPr>
            </w:pPr>
          </w:p>
        </w:tc>
      </w:tr>
      <w:tr w:rsidR="001C0F49" w:rsidRPr="00A04237" w14:paraId="31025A8D" w14:textId="77777777" w:rsidTr="00CB4910">
        <w:trPr>
          <w:trHeight w:val="204"/>
        </w:trPr>
        <w:tc>
          <w:tcPr>
            <w:tcW w:w="2511" w:type="pct"/>
            <w:tcBorders>
              <w:top w:val="nil"/>
              <w:left w:val="nil"/>
              <w:bottom w:val="nil"/>
              <w:right w:val="nil"/>
            </w:tcBorders>
            <w:shd w:val="clear" w:color="auto" w:fill="auto"/>
            <w:noWrap/>
            <w:vAlign w:val="bottom"/>
            <w:hideMark/>
          </w:tcPr>
          <w:p w14:paraId="4535D512" w14:textId="77777777" w:rsidR="001C0F49" w:rsidRPr="00A04237" w:rsidRDefault="001C0F49" w:rsidP="00293BD0">
            <w:pPr>
              <w:spacing w:after="0" w:line="240" w:lineRule="auto"/>
              <w:ind w:left="113"/>
              <w:rPr>
                <w:rFonts w:ascii="Arial" w:hAnsi="Arial" w:cs="Arial"/>
                <w:sz w:val="16"/>
                <w:szCs w:val="16"/>
              </w:rPr>
            </w:pPr>
            <w:r w:rsidRPr="009F6962">
              <w:rPr>
                <w:rFonts w:ascii="Arial" w:hAnsi="Arial" w:cs="Arial"/>
                <w:color w:val="000000"/>
                <w:sz w:val="16"/>
                <w:szCs w:val="16"/>
              </w:rPr>
              <w:t>Surplus</w:t>
            </w:r>
            <w:r w:rsidRPr="00A04237">
              <w:rPr>
                <w:rFonts w:ascii="Arial" w:hAnsi="Arial" w:cs="Arial"/>
                <w:sz w:val="16"/>
                <w:szCs w:val="16"/>
              </w:rPr>
              <w:t>/(deficit) for the period</w:t>
            </w:r>
          </w:p>
        </w:tc>
        <w:tc>
          <w:tcPr>
            <w:tcW w:w="575" w:type="pct"/>
            <w:tcBorders>
              <w:top w:val="nil"/>
              <w:left w:val="nil"/>
              <w:bottom w:val="single" w:sz="4" w:space="0" w:color="000000"/>
              <w:right w:val="nil"/>
            </w:tcBorders>
            <w:shd w:val="clear" w:color="auto" w:fill="auto"/>
            <w:noWrap/>
            <w:vAlign w:val="bottom"/>
            <w:hideMark/>
          </w:tcPr>
          <w:p w14:paraId="3D3BE79C"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(366)</w:t>
            </w:r>
          </w:p>
        </w:tc>
        <w:tc>
          <w:tcPr>
            <w:tcW w:w="655" w:type="pct"/>
            <w:tcBorders>
              <w:top w:val="nil"/>
              <w:left w:val="nil"/>
              <w:bottom w:val="single" w:sz="4" w:space="0" w:color="000000"/>
              <w:right w:val="nil"/>
            </w:tcBorders>
            <w:shd w:val="clear" w:color="auto" w:fill="auto"/>
            <w:noWrap/>
            <w:vAlign w:val="bottom"/>
            <w:hideMark/>
          </w:tcPr>
          <w:p w14:paraId="3E311DDE"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85" w:type="pct"/>
            <w:tcBorders>
              <w:top w:val="nil"/>
              <w:left w:val="nil"/>
              <w:bottom w:val="single" w:sz="4" w:space="0" w:color="000000"/>
              <w:right w:val="nil"/>
            </w:tcBorders>
            <w:shd w:val="clear" w:color="auto" w:fill="auto"/>
            <w:noWrap/>
            <w:vAlign w:val="bottom"/>
            <w:hideMark/>
          </w:tcPr>
          <w:p w14:paraId="7D53B173" w14:textId="77777777" w:rsidR="001C0F49" w:rsidRPr="00CF671E"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574" w:type="pct"/>
            <w:tcBorders>
              <w:top w:val="nil"/>
              <w:left w:val="nil"/>
              <w:bottom w:val="single" w:sz="4" w:space="0" w:color="000000"/>
              <w:right w:val="nil"/>
            </w:tcBorders>
            <w:shd w:val="clear" w:color="auto" w:fill="auto"/>
            <w:noWrap/>
            <w:vAlign w:val="bottom"/>
            <w:hideMark/>
          </w:tcPr>
          <w:p w14:paraId="0ECB86E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(366)</w:t>
            </w:r>
          </w:p>
        </w:tc>
      </w:tr>
      <w:tr w:rsidR="001C0F49" w:rsidRPr="00A04237" w14:paraId="55C5B574" w14:textId="77777777" w:rsidTr="00CB4910">
        <w:trPr>
          <w:trHeight w:val="204"/>
        </w:trPr>
        <w:tc>
          <w:tcPr>
            <w:tcW w:w="2511" w:type="pct"/>
            <w:tcBorders>
              <w:top w:val="nil"/>
              <w:left w:val="nil"/>
              <w:bottom w:val="nil"/>
              <w:right w:val="nil"/>
            </w:tcBorders>
            <w:shd w:val="clear" w:color="auto" w:fill="auto"/>
            <w:vAlign w:val="bottom"/>
            <w:hideMark/>
          </w:tcPr>
          <w:p w14:paraId="4258B3E1" w14:textId="77777777" w:rsidR="001C0F49" w:rsidRPr="00A04237" w:rsidRDefault="001C0F49" w:rsidP="00293BD0">
            <w:pPr>
              <w:spacing w:after="0" w:line="240" w:lineRule="auto"/>
              <w:rPr>
                <w:rFonts w:ascii="Arial" w:hAnsi="Arial" w:cs="Arial"/>
                <w:b/>
                <w:bCs/>
                <w:i/>
                <w:iCs/>
                <w:color w:val="000000"/>
                <w:sz w:val="16"/>
                <w:szCs w:val="16"/>
              </w:rPr>
            </w:pPr>
            <w:r w:rsidRPr="00A04237">
              <w:rPr>
                <w:rFonts w:ascii="Arial" w:hAnsi="Arial" w:cs="Arial"/>
                <w:b/>
                <w:bCs/>
                <w:i/>
                <w:iCs/>
                <w:color w:val="000000"/>
                <w:sz w:val="16"/>
                <w:szCs w:val="16"/>
              </w:rPr>
              <w:t>Total comprehensive income</w:t>
            </w:r>
          </w:p>
        </w:tc>
        <w:tc>
          <w:tcPr>
            <w:tcW w:w="575" w:type="pct"/>
            <w:tcBorders>
              <w:top w:val="single" w:sz="4" w:space="0" w:color="000000"/>
              <w:left w:val="nil"/>
              <w:bottom w:val="single" w:sz="4" w:space="0" w:color="auto"/>
              <w:right w:val="nil"/>
            </w:tcBorders>
            <w:shd w:val="clear" w:color="auto" w:fill="auto"/>
            <w:noWrap/>
            <w:vAlign w:val="bottom"/>
            <w:hideMark/>
          </w:tcPr>
          <w:p w14:paraId="5FF9A4B7"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(366)</w:t>
            </w:r>
          </w:p>
        </w:tc>
        <w:tc>
          <w:tcPr>
            <w:tcW w:w="655" w:type="pct"/>
            <w:tcBorders>
              <w:top w:val="single" w:sz="4" w:space="0" w:color="000000"/>
              <w:left w:val="nil"/>
              <w:bottom w:val="single" w:sz="4" w:space="0" w:color="auto"/>
              <w:right w:val="nil"/>
            </w:tcBorders>
            <w:shd w:val="clear" w:color="auto" w:fill="auto"/>
            <w:noWrap/>
            <w:vAlign w:val="bottom"/>
            <w:hideMark/>
          </w:tcPr>
          <w:p w14:paraId="0730E27E"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85" w:type="pct"/>
            <w:tcBorders>
              <w:top w:val="single" w:sz="4" w:space="0" w:color="000000"/>
              <w:left w:val="nil"/>
              <w:bottom w:val="single" w:sz="4" w:space="0" w:color="auto"/>
              <w:right w:val="nil"/>
            </w:tcBorders>
            <w:shd w:val="clear" w:color="auto" w:fill="auto"/>
            <w:noWrap/>
            <w:vAlign w:val="bottom"/>
            <w:hideMark/>
          </w:tcPr>
          <w:p w14:paraId="796D9F5C"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574" w:type="pct"/>
            <w:tcBorders>
              <w:top w:val="single" w:sz="4" w:space="0" w:color="000000"/>
              <w:left w:val="nil"/>
              <w:bottom w:val="single" w:sz="4" w:space="0" w:color="auto"/>
              <w:right w:val="nil"/>
            </w:tcBorders>
            <w:shd w:val="clear" w:color="auto" w:fill="auto"/>
            <w:noWrap/>
            <w:vAlign w:val="bottom"/>
            <w:hideMark/>
          </w:tcPr>
          <w:p w14:paraId="7D879756"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w:t>
            </w:r>
            <w:r>
              <w:rPr>
                <w:rFonts w:ascii="Arial" w:hAnsi="Arial" w:cs="Arial"/>
                <w:b/>
                <w:bCs/>
                <w:i/>
                <w:iCs/>
                <w:color w:val="000000"/>
                <w:sz w:val="16"/>
                <w:szCs w:val="16"/>
              </w:rPr>
              <w:t>6</w:t>
            </w:r>
            <w:r w:rsidRPr="007C1BB2">
              <w:rPr>
                <w:rFonts w:ascii="Arial" w:hAnsi="Arial" w:cs="Arial"/>
                <w:b/>
                <w:bCs/>
                <w:i/>
                <w:iCs/>
                <w:color w:val="000000"/>
                <w:sz w:val="16"/>
                <w:szCs w:val="16"/>
              </w:rPr>
              <w:t>6)</w:t>
            </w:r>
          </w:p>
        </w:tc>
      </w:tr>
      <w:tr w:rsidR="001C0F49" w:rsidRPr="00A04237" w14:paraId="16C571C1" w14:textId="77777777" w:rsidTr="00CB4910">
        <w:trPr>
          <w:trHeight w:val="204"/>
        </w:trPr>
        <w:tc>
          <w:tcPr>
            <w:tcW w:w="2511" w:type="pct"/>
            <w:tcBorders>
              <w:top w:val="nil"/>
              <w:left w:val="nil"/>
              <w:bottom w:val="nil"/>
              <w:right w:val="nil"/>
            </w:tcBorders>
            <w:shd w:val="clear" w:color="auto" w:fill="auto"/>
            <w:noWrap/>
            <w:vAlign w:val="bottom"/>
            <w:hideMark/>
          </w:tcPr>
          <w:p w14:paraId="1CCEFCAF" w14:textId="77777777" w:rsidR="001C0F49" w:rsidRPr="00A04237" w:rsidRDefault="001C0F49" w:rsidP="00293BD0">
            <w:pPr>
              <w:spacing w:after="0" w:line="240" w:lineRule="auto"/>
              <w:rPr>
                <w:rFonts w:ascii="Arial" w:hAnsi="Arial" w:cs="Arial"/>
                <w:b/>
                <w:bCs/>
                <w:color w:val="000000"/>
                <w:sz w:val="16"/>
                <w:szCs w:val="16"/>
              </w:rPr>
            </w:pPr>
            <w:r w:rsidRPr="00A04237">
              <w:rPr>
                <w:rFonts w:ascii="Arial" w:hAnsi="Arial" w:cs="Arial"/>
                <w:b/>
                <w:bCs/>
                <w:color w:val="000000"/>
                <w:sz w:val="16"/>
                <w:szCs w:val="16"/>
              </w:rPr>
              <w:t>Transactions with owners</w:t>
            </w:r>
          </w:p>
        </w:tc>
        <w:tc>
          <w:tcPr>
            <w:tcW w:w="575" w:type="pct"/>
            <w:tcBorders>
              <w:top w:val="single" w:sz="4" w:space="0" w:color="auto"/>
              <w:left w:val="nil"/>
              <w:bottom w:val="nil"/>
              <w:right w:val="nil"/>
            </w:tcBorders>
            <w:shd w:val="clear" w:color="auto" w:fill="auto"/>
            <w:noWrap/>
            <w:vAlign w:val="bottom"/>
            <w:hideMark/>
          </w:tcPr>
          <w:p w14:paraId="4BC07B5F" w14:textId="77777777" w:rsidR="001C0F49" w:rsidRPr="007C1BB2" w:rsidRDefault="001C0F49" w:rsidP="00293BD0">
            <w:pPr>
              <w:spacing w:after="0" w:line="240" w:lineRule="auto"/>
              <w:jc w:val="right"/>
              <w:rPr>
                <w:rFonts w:ascii="Arial" w:hAnsi="Arial" w:cs="Arial"/>
                <w:b/>
                <w:bCs/>
                <w:color w:val="000000"/>
                <w:sz w:val="16"/>
                <w:szCs w:val="16"/>
              </w:rPr>
            </w:pPr>
          </w:p>
        </w:tc>
        <w:tc>
          <w:tcPr>
            <w:tcW w:w="655" w:type="pct"/>
            <w:tcBorders>
              <w:top w:val="single" w:sz="4" w:space="0" w:color="auto"/>
              <w:left w:val="nil"/>
              <w:bottom w:val="nil"/>
              <w:right w:val="nil"/>
            </w:tcBorders>
            <w:shd w:val="clear" w:color="auto" w:fill="auto"/>
            <w:noWrap/>
            <w:vAlign w:val="bottom"/>
            <w:hideMark/>
          </w:tcPr>
          <w:p w14:paraId="3249D563" w14:textId="77777777" w:rsidR="001C0F49" w:rsidRPr="00CF671E" w:rsidRDefault="001C0F49" w:rsidP="00293BD0">
            <w:pPr>
              <w:spacing w:after="0" w:line="240" w:lineRule="auto"/>
              <w:jc w:val="right"/>
              <w:rPr>
                <w:rFonts w:ascii="Arial" w:hAnsi="Arial" w:cs="Arial"/>
                <w:sz w:val="16"/>
                <w:szCs w:val="16"/>
              </w:rPr>
            </w:pPr>
          </w:p>
        </w:tc>
        <w:tc>
          <w:tcPr>
            <w:tcW w:w="685" w:type="pct"/>
            <w:tcBorders>
              <w:top w:val="single" w:sz="4" w:space="0" w:color="auto"/>
              <w:left w:val="nil"/>
              <w:bottom w:val="nil"/>
              <w:right w:val="nil"/>
            </w:tcBorders>
            <w:shd w:val="clear" w:color="auto" w:fill="auto"/>
            <w:noWrap/>
            <w:vAlign w:val="bottom"/>
            <w:hideMark/>
          </w:tcPr>
          <w:p w14:paraId="558C03B1" w14:textId="77777777" w:rsidR="001C0F49" w:rsidRPr="00CF671E" w:rsidRDefault="001C0F49" w:rsidP="00293BD0">
            <w:pPr>
              <w:spacing w:after="0" w:line="240" w:lineRule="auto"/>
              <w:jc w:val="right"/>
              <w:rPr>
                <w:rFonts w:ascii="Arial" w:hAnsi="Arial" w:cs="Arial"/>
                <w:sz w:val="16"/>
                <w:szCs w:val="16"/>
              </w:rPr>
            </w:pPr>
          </w:p>
        </w:tc>
        <w:tc>
          <w:tcPr>
            <w:tcW w:w="574" w:type="pct"/>
            <w:tcBorders>
              <w:top w:val="single" w:sz="4" w:space="0" w:color="auto"/>
              <w:left w:val="nil"/>
              <w:bottom w:val="nil"/>
              <w:right w:val="nil"/>
            </w:tcBorders>
            <w:shd w:val="clear" w:color="auto" w:fill="auto"/>
            <w:noWrap/>
            <w:vAlign w:val="bottom"/>
            <w:hideMark/>
          </w:tcPr>
          <w:p w14:paraId="77767723" w14:textId="77777777" w:rsidR="001C0F49" w:rsidRPr="00CF671E" w:rsidRDefault="001C0F49" w:rsidP="00293BD0">
            <w:pPr>
              <w:spacing w:after="0" w:line="240" w:lineRule="auto"/>
              <w:jc w:val="right"/>
              <w:rPr>
                <w:rFonts w:ascii="Arial" w:hAnsi="Arial" w:cs="Arial"/>
                <w:sz w:val="16"/>
                <w:szCs w:val="16"/>
              </w:rPr>
            </w:pPr>
          </w:p>
        </w:tc>
      </w:tr>
      <w:tr w:rsidR="001C0F49" w:rsidRPr="00A04237" w14:paraId="1C38952D" w14:textId="77777777" w:rsidTr="00CB4910">
        <w:trPr>
          <w:trHeight w:val="204"/>
        </w:trPr>
        <w:tc>
          <w:tcPr>
            <w:tcW w:w="2511" w:type="pct"/>
            <w:tcBorders>
              <w:top w:val="nil"/>
              <w:left w:val="nil"/>
              <w:bottom w:val="nil"/>
              <w:right w:val="nil"/>
            </w:tcBorders>
            <w:shd w:val="clear" w:color="auto" w:fill="auto"/>
            <w:noWrap/>
            <w:vAlign w:val="bottom"/>
            <w:hideMark/>
          </w:tcPr>
          <w:p w14:paraId="2FA9AC4A" w14:textId="77777777" w:rsidR="001C0F49" w:rsidRPr="00A04237" w:rsidRDefault="001C0F49" w:rsidP="00293BD0">
            <w:pPr>
              <w:spacing w:after="0" w:line="240" w:lineRule="auto"/>
              <w:rPr>
                <w:rFonts w:ascii="Arial" w:hAnsi="Arial" w:cs="Arial"/>
                <w:b/>
                <w:bCs/>
                <w:i/>
                <w:iCs/>
                <w:color w:val="000000"/>
                <w:sz w:val="16"/>
                <w:szCs w:val="16"/>
              </w:rPr>
            </w:pPr>
            <w:r w:rsidRPr="00A04237">
              <w:rPr>
                <w:rFonts w:ascii="Arial" w:hAnsi="Arial" w:cs="Arial"/>
                <w:b/>
                <w:bCs/>
                <w:i/>
                <w:iCs/>
                <w:color w:val="000000"/>
                <w:sz w:val="16"/>
                <w:szCs w:val="16"/>
              </w:rPr>
              <w:t>Contributions by owners</w:t>
            </w:r>
          </w:p>
        </w:tc>
        <w:tc>
          <w:tcPr>
            <w:tcW w:w="575" w:type="pct"/>
            <w:tcBorders>
              <w:top w:val="nil"/>
              <w:left w:val="nil"/>
              <w:bottom w:val="nil"/>
              <w:right w:val="nil"/>
            </w:tcBorders>
            <w:shd w:val="clear" w:color="auto" w:fill="auto"/>
            <w:noWrap/>
            <w:vAlign w:val="bottom"/>
            <w:hideMark/>
          </w:tcPr>
          <w:p w14:paraId="1B436F0C" w14:textId="77777777" w:rsidR="001C0F49" w:rsidRPr="007C1BB2" w:rsidRDefault="001C0F49" w:rsidP="00293BD0">
            <w:pPr>
              <w:spacing w:after="0" w:line="240" w:lineRule="auto"/>
              <w:jc w:val="right"/>
              <w:rPr>
                <w:rFonts w:ascii="Arial" w:hAnsi="Arial" w:cs="Arial"/>
                <w:b/>
                <w:bCs/>
                <w:i/>
                <w:iCs/>
                <w:color w:val="000000"/>
                <w:sz w:val="16"/>
                <w:szCs w:val="16"/>
              </w:rPr>
            </w:pPr>
          </w:p>
        </w:tc>
        <w:tc>
          <w:tcPr>
            <w:tcW w:w="655" w:type="pct"/>
            <w:tcBorders>
              <w:top w:val="nil"/>
              <w:left w:val="nil"/>
              <w:bottom w:val="nil"/>
              <w:right w:val="nil"/>
            </w:tcBorders>
            <w:shd w:val="clear" w:color="auto" w:fill="auto"/>
            <w:noWrap/>
            <w:vAlign w:val="bottom"/>
            <w:hideMark/>
          </w:tcPr>
          <w:p w14:paraId="0507E2E0" w14:textId="77777777" w:rsidR="001C0F49" w:rsidRPr="00CF671E" w:rsidRDefault="001C0F49" w:rsidP="00293BD0">
            <w:pPr>
              <w:spacing w:after="0" w:line="240" w:lineRule="auto"/>
              <w:jc w:val="right"/>
              <w:rPr>
                <w:rFonts w:ascii="Arial" w:hAnsi="Arial" w:cs="Arial"/>
                <w:sz w:val="16"/>
                <w:szCs w:val="16"/>
              </w:rPr>
            </w:pPr>
          </w:p>
        </w:tc>
        <w:tc>
          <w:tcPr>
            <w:tcW w:w="685" w:type="pct"/>
            <w:tcBorders>
              <w:top w:val="nil"/>
              <w:left w:val="nil"/>
              <w:bottom w:val="nil"/>
              <w:right w:val="nil"/>
            </w:tcBorders>
            <w:shd w:val="clear" w:color="auto" w:fill="auto"/>
            <w:noWrap/>
            <w:vAlign w:val="bottom"/>
            <w:hideMark/>
          </w:tcPr>
          <w:p w14:paraId="1A9751BE" w14:textId="77777777" w:rsidR="001C0F49" w:rsidRPr="00CF671E" w:rsidRDefault="001C0F49" w:rsidP="00293BD0">
            <w:pPr>
              <w:spacing w:after="0" w:line="240" w:lineRule="auto"/>
              <w:jc w:val="right"/>
              <w:rPr>
                <w:rFonts w:ascii="Arial" w:hAnsi="Arial" w:cs="Arial"/>
                <w:sz w:val="16"/>
                <w:szCs w:val="16"/>
              </w:rPr>
            </w:pPr>
          </w:p>
        </w:tc>
        <w:tc>
          <w:tcPr>
            <w:tcW w:w="574" w:type="pct"/>
            <w:tcBorders>
              <w:top w:val="nil"/>
              <w:left w:val="nil"/>
              <w:bottom w:val="nil"/>
              <w:right w:val="nil"/>
            </w:tcBorders>
            <w:shd w:val="clear" w:color="auto" w:fill="auto"/>
            <w:noWrap/>
            <w:vAlign w:val="bottom"/>
            <w:hideMark/>
          </w:tcPr>
          <w:p w14:paraId="3A279980" w14:textId="77777777" w:rsidR="001C0F49" w:rsidRPr="00CF671E" w:rsidRDefault="001C0F49" w:rsidP="00293BD0">
            <w:pPr>
              <w:spacing w:after="0" w:line="240" w:lineRule="auto"/>
              <w:jc w:val="right"/>
              <w:rPr>
                <w:rFonts w:ascii="Arial" w:hAnsi="Arial" w:cs="Arial"/>
                <w:sz w:val="16"/>
                <w:szCs w:val="16"/>
              </w:rPr>
            </w:pPr>
          </w:p>
        </w:tc>
      </w:tr>
      <w:tr w:rsidR="001C0F49" w:rsidRPr="00A04237" w14:paraId="05D78EAC" w14:textId="77777777" w:rsidTr="00CB4910">
        <w:trPr>
          <w:trHeight w:val="204"/>
        </w:trPr>
        <w:tc>
          <w:tcPr>
            <w:tcW w:w="2511" w:type="pct"/>
            <w:tcBorders>
              <w:top w:val="nil"/>
              <w:left w:val="nil"/>
              <w:bottom w:val="nil"/>
              <w:right w:val="nil"/>
            </w:tcBorders>
            <w:shd w:val="clear" w:color="auto" w:fill="auto"/>
            <w:noWrap/>
            <w:vAlign w:val="bottom"/>
            <w:hideMark/>
          </w:tcPr>
          <w:p w14:paraId="41BF9260" w14:textId="77777777" w:rsidR="001C0F49" w:rsidRPr="00A04237" w:rsidRDefault="001C0F49" w:rsidP="00293BD0">
            <w:pPr>
              <w:spacing w:after="0" w:line="240" w:lineRule="auto"/>
              <w:ind w:left="113"/>
              <w:rPr>
                <w:rFonts w:ascii="Arial" w:hAnsi="Arial" w:cs="Arial"/>
                <w:color w:val="000000"/>
                <w:sz w:val="16"/>
                <w:szCs w:val="16"/>
              </w:rPr>
            </w:pPr>
            <w:r w:rsidRPr="00A04237">
              <w:rPr>
                <w:rFonts w:ascii="Arial" w:hAnsi="Arial" w:cs="Arial"/>
                <w:color w:val="000000"/>
                <w:sz w:val="16"/>
                <w:szCs w:val="16"/>
              </w:rPr>
              <w:t>Equity injection - Appropriation</w:t>
            </w:r>
          </w:p>
        </w:tc>
        <w:tc>
          <w:tcPr>
            <w:tcW w:w="575" w:type="pct"/>
            <w:tcBorders>
              <w:top w:val="nil"/>
              <w:left w:val="nil"/>
              <w:bottom w:val="nil"/>
              <w:right w:val="nil"/>
            </w:tcBorders>
            <w:shd w:val="clear" w:color="auto" w:fill="auto"/>
            <w:noWrap/>
            <w:vAlign w:val="bottom"/>
            <w:hideMark/>
          </w:tcPr>
          <w:p w14:paraId="6D5F3B19" w14:textId="77777777" w:rsidR="001C0F49" w:rsidRPr="007C1BB2" w:rsidRDefault="001C0F49" w:rsidP="00293BD0">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655" w:type="pct"/>
            <w:tcBorders>
              <w:top w:val="nil"/>
              <w:left w:val="nil"/>
              <w:bottom w:val="nil"/>
              <w:right w:val="nil"/>
            </w:tcBorders>
            <w:shd w:val="clear" w:color="auto" w:fill="auto"/>
            <w:noWrap/>
            <w:vAlign w:val="bottom"/>
            <w:hideMark/>
          </w:tcPr>
          <w:p w14:paraId="796B2032" w14:textId="77777777" w:rsidR="001C0F49" w:rsidRPr="00CF671E"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85" w:type="pct"/>
            <w:tcBorders>
              <w:top w:val="nil"/>
              <w:left w:val="nil"/>
              <w:bottom w:val="nil"/>
              <w:right w:val="nil"/>
            </w:tcBorders>
            <w:shd w:val="clear" w:color="auto" w:fill="auto"/>
            <w:noWrap/>
            <w:vAlign w:val="bottom"/>
            <w:hideMark/>
          </w:tcPr>
          <w:p w14:paraId="1DBF1095"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1,948</w:t>
            </w:r>
          </w:p>
        </w:tc>
        <w:tc>
          <w:tcPr>
            <w:tcW w:w="574" w:type="pct"/>
            <w:tcBorders>
              <w:top w:val="nil"/>
              <w:left w:val="nil"/>
              <w:bottom w:val="nil"/>
              <w:right w:val="nil"/>
            </w:tcBorders>
            <w:shd w:val="clear" w:color="auto" w:fill="auto"/>
            <w:noWrap/>
            <w:vAlign w:val="bottom"/>
            <w:hideMark/>
          </w:tcPr>
          <w:p w14:paraId="45EBE5B1"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1,948</w:t>
            </w:r>
          </w:p>
        </w:tc>
      </w:tr>
      <w:tr w:rsidR="001C0F49" w:rsidRPr="00A04237" w14:paraId="1DD4AFAB" w14:textId="77777777" w:rsidTr="00CB4910">
        <w:trPr>
          <w:trHeight w:val="204"/>
        </w:trPr>
        <w:tc>
          <w:tcPr>
            <w:tcW w:w="2511" w:type="pct"/>
            <w:tcBorders>
              <w:top w:val="nil"/>
              <w:left w:val="nil"/>
              <w:bottom w:val="nil"/>
              <w:right w:val="nil"/>
            </w:tcBorders>
            <w:shd w:val="clear" w:color="auto" w:fill="auto"/>
            <w:vAlign w:val="bottom"/>
            <w:hideMark/>
          </w:tcPr>
          <w:p w14:paraId="39890805" w14:textId="77777777" w:rsidR="001C0F49" w:rsidRPr="00A04237" w:rsidRDefault="001C0F49" w:rsidP="00293BD0">
            <w:pPr>
              <w:spacing w:after="0" w:line="240" w:lineRule="auto"/>
              <w:rPr>
                <w:rFonts w:ascii="Arial" w:hAnsi="Arial" w:cs="Arial"/>
                <w:b/>
                <w:bCs/>
                <w:i/>
                <w:iCs/>
                <w:color w:val="000000"/>
                <w:sz w:val="16"/>
                <w:szCs w:val="16"/>
              </w:rPr>
            </w:pPr>
            <w:r w:rsidRPr="00A04237">
              <w:rPr>
                <w:rFonts w:ascii="Arial" w:hAnsi="Arial" w:cs="Arial"/>
                <w:b/>
                <w:bCs/>
                <w:i/>
                <w:iCs/>
                <w:color w:val="000000"/>
                <w:sz w:val="16"/>
                <w:szCs w:val="16"/>
              </w:rPr>
              <w:t>Sub-total transactions with owners</w:t>
            </w:r>
          </w:p>
        </w:tc>
        <w:tc>
          <w:tcPr>
            <w:tcW w:w="575" w:type="pct"/>
            <w:tcBorders>
              <w:top w:val="single" w:sz="4" w:space="0" w:color="000000"/>
              <w:left w:val="nil"/>
              <w:bottom w:val="single" w:sz="4" w:space="0" w:color="000000"/>
              <w:right w:val="nil"/>
            </w:tcBorders>
            <w:shd w:val="clear" w:color="auto" w:fill="auto"/>
            <w:noWrap/>
            <w:vAlign w:val="bottom"/>
            <w:hideMark/>
          </w:tcPr>
          <w:p w14:paraId="59056FBF"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55" w:type="pct"/>
            <w:tcBorders>
              <w:top w:val="single" w:sz="4" w:space="0" w:color="000000"/>
              <w:left w:val="nil"/>
              <w:bottom w:val="single" w:sz="4" w:space="0" w:color="000000"/>
              <w:right w:val="nil"/>
            </w:tcBorders>
            <w:shd w:val="clear" w:color="auto" w:fill="auto"/>
            <w:noWrap/>
            <w:vAlign w:val="bottom"/>
            <w:hideMark/>
          </w:tcPr>
          <w:p w14:paraId="409CDA9D"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85" w:type="pct"/>
            <w:tcBorders>
              <w:top w:val="single" w:sz="4" w:space="0" w:color="000000"/>
              <w:left w:val="nil"/>
              <w:bottom w:val="single" w:sz="4" w:space="0" w:color="000000"/>
              <w:right w:val="nil"/>
            </w:tcBorders>
            <w:shd w:val="clear" w:color="auto" w:fill="auto"/>
            <w:noWrap/>
            <w:vAlign w:val="bottom"/>
            <w:hideMark/>
          </w:tcPr>
          <w:p w14:paraId="5C7B85E9"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1,948</w:t>
            </w:r>
          </w:p>
        </w:tc>
        <w:tc>
          <w:tcPr>
            <w:tcW w:w="574" w:type="pct"/>
            <w:tcBorders>
              <w:top w:val="single" w:sz="4" w:space="0" w:color="000000"/>
              <w:left w:val="nil"/>
              <w:bottom w:val="single" w:sz="4" w:space="0" w:color="000000"/>
              <w:right w:val="nil"/>
            </w:tcBorders>
            <w:shd w:val="clear" w:color="auto" w:fill="auto"/>
            <w:noWrap/>
            <w:vAlign w:val="bottom"/>
            <w:hideMark/>
          </w:tcPr>
          <w:p w14:paraId="09CD236D"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1,948</w:t>
            </w:r>
          </w:p>
        </w:tc>
      </w:tr>
      <w:tr w:rsidR="001C0F49" w:rsidRPr="00A04237" w14:paraId="14C7EF48" w14:textId="77777777" w:rsidTr="00CB4910">
        <w:trPr>
          <w:trHeight w:val="204"/>
        </w:trPr>
        <w:tc>
          <w:tcPr>
            <w:tcW w:w="2511" w:type="pct"/>
            <w:tcBorders>
              <w:top w:val="nil"/>
              <w:left w:val="nil"/>
              <w:bottom w:val="nil"/>
              <w:right w:val="nil"/>
            </w:tcBorders>
            <w:shd w:val="clear" w:color="auto" w:fill="auto"/>
            <w:vAlign w:val="bottom"/>
            <w:hideMark/>
          </w:tcPr>
          <w:p w14:paraId="0363E6E7" w14:textId="77777777" w:rsidR="001C0F49" w:rsidRPr="00A04237" w:rsidRDefault="001C0F49" w:rsidP="00293BD0">
            <w:pPr>
              <w:spacing w:after="0" w:line="240" w:lineRule="auto"/>
              <w:rPr>
                <w:rFonts w:ascii="Arial" w:hAnsi="Arial" w:cs="Arial"/>
                <w:b/>
                <w:bCs/>
                <w:color w:val="000000"/>
                <w:sz w:val="16"/>
                <w:szCs w:val="16"/>
              </w:rPr>
            </w:pPr>
            <w:r w:rsidRPr="00A04237">
              <w:rPr>
                <w:rFonts w:ascii="Arial" w:hAnsi="Arial" w:cs="Arial"/>
                <w:b/>
                <w:bCs/>
                <w:color w:val="000000"/>
                <w:sz w:val="16"/>
                <w:szCs w:val="16"/>
              </w:rPr>
              <w:t xml:space="preserve">Estimated closing balance as at </w:t>
            </w:r>
            <w:r>
              <w:rPr>
                <w:rFonts w:ascii="Arial" w:hAnsi="Arial" w:cs="Arial"/>
                <w:b/>
                <w:bCs/>
                <w:color w:val="000000"/>
                <w:sz w:val="16"/>
                <w:szCs w:val="16"/>
              </w:rPr>
              <w:t>30 </w:t>
            </w:r>
            <w:r w:rsidRPr="00A04237">
              <w:rPr>
                <w:rFonts w:ascii="Arial" w:hAnsi="Arial" w:cs="Arial"/>
                <w:b/>
                <w:bCs/>
                <w:color w:val="000000"/>
                <w:sz w:val="16"/>
                <w:szCs w:val="16"/>
              </w:rPr>
              <w:t>June 2023</w:t>
            </w:r>
          </w:p>
        </w:tc>
        <w:tc>
          <w:tcPr>
            <w:tcW w:w="575" w:type="pct"/>
            <w:tcBorders>
              <w:top w:val="nil"/>
              <w:left w:val="nil"/>
              <w:bottom w:val="single" w:sz="4" w:space="0" w:color="auto"/>
              <w:right w:val="nil"/>
            </w:tcBorders>
            <w:shd w:val="clear" w:color="auto" w:fill="auto"/>
            <w:noWrap/>
            <w:vAlign w:val="bottom"/>
            <w:hideMark/>
          </w:tcPr>
          <w:p w14:paraId="2A9DCCBD"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w:t>
            </w:r>
            <w:r>
              <w:rPr>
                <w:rFonts w:ascii="Arial" w:hAnsi="Arial" w:cs="Arial"/>
                <w:b/>
                <w:bCs/>
                <w:color w:val="000000"/>
                <w:sz w:val="16"/>
                <w:szCs w:val="16"/>
              </w:rPr>
              <w:t>61,169</w:t>
            </w:r>
          </w:p>
        </w:tc>
        <w:tc>
          <w:tcPr>
            <w:tcW w:w="655" w:type="pct"/>
            <w:tcBorders>
              <w:top w:val="nil"/>
              <w:left w:val="nil"/>
              <w:bottom w:val="single" w:sz="4" w:space="0" w:color="auto"/>
              <w:right w:val="nil"/>
            </w:tcBorders>
            <w:shd w:val="clear" w:color="auto" w:fill="auto"/>
            <w:noWrap/>
            <w:vAlign w:val="bottom"/>
            <w:hideMark/>
          </w:tcPr>
          <w:p w14:paraId="02C43792"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166,897</w:t>
            </w:r>
          </w:p>
        </w:tc>
        <w:tc>
          <w:tcPr>
            <w:tcW w:w="685" w:type="pct"/>
            <w:tcBorders>
              <w:top w:val="nil"/>
              <w:left w:val="nil"/>
              <w:bottom w:val="single" w:sz="4" w:space="0" w:color="auto"/>
              <w:right w:val="nil"/>
            </w:tcBorders>
            <w:shd w:val="clear" w:color="auto" w:fill="auto"/>
            <w:noWrap/>
            <w:vAlign w:val="bottom"/>
            <w:hideMark/>
          </w:tcPr>
          <w:p w14:paraId="3C948566"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40,831</w:t>
            </w:r>
          </w:p>
        </w:tc>
        <w:tc>
          <w:tcPr>
            <w:tcW w:w="574" w:type="pct"/>
            <w:tcBorders>
              <w:top w:val="nil"/>
              <w:left w:val="nil"/>
              <w:bottom w:val="single" w:sz="4" w:space="0" w:color="auto"/>
              <w:right w:val="nil"/>
            </w:tcBorders>
            <w:shd w:val="clear" w:color="auto" w:fill="auto"/>
            <w:noWrap/>
            <w:vAlign w:val="bottom"/>
            <w:hideMark/>
          </w:tcPr>
          <w:p w14:paraId="28CE7E17"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468,897</w:t>
            </w:r>
          </w:p>
        </w:tc>
      </w:tr>
      <w:tr w:rsidR="001C0F49" w:rsidRPr="00A04237" w14:paraId="0259A728" w14:textId="77777777" w:rsidTr="00CB4910">
        <w:trPr>
          <w:trHeight w:val="204"/>
        </w:trPr>
        <w:tc>
          <w:tcPr>
            <w:tcW w:w="2511" w:type="pct"/>
            <w:tcBorders>
              <w:top w:val="nil"/>
              <w:left w:val="nil"/>
              <w:bottom w:val="single" w:sz="4" w:space="0" w:color="000000"/>
              <w:right w:val="nil"/>
            </w:tcBorders>
            <w:shd w:val="clear" w:color="auto" w:fill="auto"/>
            <w:vAlign w:val="bottom"/>
            <w:hideMark/>
          </w:tcPr>
          <w:p w14:paraId="5533561A" w14:textId="77777777" w:rsidR="001C0F49" w:rsidRPr="00A04237" w:rsidRDefault="001C0F49" w:rsidP="00293BD0">
            <w:pPr>
              <w:spacing w:after="0" w:line="240" w:lineRule="auto"/>
              <w:rPr>
                <w:rFonts w:ascii="Arial" w:hAnsi="Arial" w:cs="Arial"/>
                <w:b/>
                <w:bCs/>
                <w:color w:val="000000"/>
                <w:sz w:val="16"/>
                <w:szCs w:val="16"/>
              </w:rPr>
            </w:pPr>
            <w:r w:rsidRPr="00A04237">
              <w:rPr>
                <w:rFonts w:ascii="Arial" w:hAnsi="Arial" w:cs="Arial"/>
                <w:b/>
                <w:bCs/>
                <w:color w:val="000000"/>
                <w:sz w:val="16"/>
                <w:szCs w:val="16"/>
              </w:rPr>
              <w:t>Closing balance attributable to the Australian Government</w:t>
            </w:r>
          </w:p>
        </w:tc>
        <w:tc>
          <w:tcPr>
            <w:tcW w:w="575" w:type="pct"/>
            <w:tcBorders>
              <w:top w:val="nil"/>
              <w:left w:val="nil"/>
              <w:bottom w:val="single" w:sz="4" w:space="0" w:color="auto"/>
              <w:right w:val="nil"/>
            </w:tcBorders>
            <w:shd w:val="clear" w:color="auto" w:fill="auto"/>
            <w:noWrap/>
            <w:vAlign w:val="bottom"/>
            <w:hideMark/>
          </w:tcPr>
          <w:p w14:paraId="2D7AFF16"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261,169</w:t>
            </w:r>
          </w:p>
        </w:tc>
        <w:tc>
          <w:tcPr>
            <w:tcW w:w="655" w:type="pct"/>
            <w:tcBorders>
              <w:top w:val="nil"/>
              <w:left w:val="nil"/>
              <w:bottom w:val="single" w:sz="4" w:space="0" w:color="auto"/>
              <w:right w:val="nil"/>
            </w:tcBorders>
            <w:shd w:val="clear" w:color="auto" w:fill="auto"/>
            <w:noWrap/>
            <w:vAlign w:val="bottom"/>
            <w:hideMark/>
          </w:tcPr>
          <w:p w14:paraId="6298A816"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166,897</w:t>
            </w:r>
          </w:p>
        </w:tc>
        <w:tc>
          <w:tcPr>
            <w:tcW w:w="685" w:type="pct"/>
            <w:tcBorders>
              <w:top w:val="nil"/>
              <w:left w:val="nil"/>
              <w:bottom w:val="single" w:sz="4" w:space="0" w:color="auto"/>
              <w:right w:val="nil"/>
            </w:tcBorders>
            <w:shd w:val="clear" w:color="auto" w:fill="auto"/>
            <w:noWrap/>
            <w:vAlign w:val="bottom"/>
            <w:hideMark/>
          </w:tcPr>
          <w:p w14:paraId="15753D92"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40,831</w:t>
            </w:r>
          </w:p>
        </w:tc>
        <w:tc>
          <w:tcPr>
            <w:tcW w:w="574" w:type="pct"/>
            <w:tcBorders>
              <w:top w:val="nil"/>
              <w:left w:val="nil"/>
              <w:bottom w:val="single" w:sz="4" w:space="0" w:color="auto"/>
              <w:right w:val="nil"/>
            </w:tcBorders>
            <w:shd w:val="clear" w:color="auto" w:fill="auto"/>
            <w:noWrap/>
            <w:vAlign w:val="bottom"/>
            <w:hideMark/>
          </w:tcPr>
          <w:p w14:paraId="4DC7BAE4"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468,897</w:t>
            </w:r>
          </w:p>
        </w:tc>
      </w:tr>
    </w:tbl>
    <w:p w14:paraId="446E5357" w14:textId="2E5333FB" w:rsidR="001C0F49" w:rsidRPr="00132F9E" w:rsidRDefault="001C0F49" w:rsidP="00B46D7E">
      <w:pPr>
        <w:pStyle w:val="TableGraphic"/>
        <w:spacing w:before="60"/>
        <w:ind w:right="0"/>
        <w:rPr>
          <w:rFonts w:ascii="Arial" w:hAnsi="Arial" w:cs="Arial"/>
          <w:sz w:val="16"/>
          <w:szCs w:val="16"/>
        </w:rPr>
      </w:pPr>
      <w:r w:rsidRPr="00D606C2">
        <w:rPr>
          <w:rFonts w:ascii="Arial" w:hAnsi="Arial" w:cs="Arial"/>
          <w:sz w:val="16"/>
        </w:rPr>
        <w:t>Prepared on Australian Accounting Standards basis</w:t>
      </w:r>
      <w:r w:rsidR="00460546">
        <w:rPr>
          <w:rFonts w:ascii="Arial" w:hAnsi="Arial" w:cs="Arial"/>
          <w:sz w:val="16"/>
        </w:rPr>
        <w:t>.</w:t>
      </w:r>
    </w:p>
    <w:p w14:paraId="57801815" w14:textId="77777777" w:rsidR="001C0F49" w:rsidRDefault="001C0F49" w:rsidP="001C0F49">
      <w:pPr>
        <w:pStyle w:val="TableHeading"/>
      </w:pPr>
      <w:r>
        <w:br w:type="page"/>
      </w:r>
      <w:r>
        <w:lastRenderedPageBreak/>
        <w:t xml:space="preserve">Table 3.4: </w:t>
      </w:r>
      <w:r w:rsidRPr="00D30CBA">
        <w:t xml:space="preserve">Budgeted </w:t>
      </w:r>
      <w:r>
        <w:t xml:space="preserve">Departmental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045"/>
        <w:gridCol w:w="933"/>
        <w:gridCol w:w="933"/>
        <w:gridCol w:w="933"/>
        <w:gridCol w:w="933"/>
        <w:gridCol w:w="933"/>
      </w:tblGrid>
      <w:tr w:rsidR="001C0F49" w:rsidRPr="00B63C9D" w14:paraId="7FFDE661" w14:textId="77777777" w:rsidTr="009C12D1">
        <w:trPr>
          <w:trHeight w:val="204"/>
        </w:trPr>
        <w:tc>
          <w:tcPr>
            <w:tcW w:w="1974" w:type="pct"/>
            <w:tcBorders>
              <w:top w:val="single" w:sz="4" w:space="0" w:color="auto"/>
              <w:left w:val="nil"/>
              <w:bottom w:val="nil"/>
              <w:right w:val="nil"/>
            </w:tcBorders>
            <w:shd w:val="clear" w:color="auto" w:fill="auto"/>
            <w:noWrap/>
            <w:vAlign w:val="bottom"/>
            <w:hideMark/>
          </w:tcPr>
          <w:p w14:paraId="6828C88D" w14:textId="77777777" w:rsidR="001C0F49" w:rsidRPr="00B63C9D" w:rsidRDefault="001C0F49" w:rsidP="00293BD0">
            <w:pPr>
              <w:spacing w:after="0" w:line="240" w:lineRule="auto"/>
              <w:rPr>
                <w:rFonts w:ascii="Arial" w:hAnsi="Arial" w:cs="Arial"/>
                <w:b/>
                <w:bCs/>
                <w:sz w:val="16"/>
                <w:szCs w:val="16"/>
              </w:rPr>
            </w:pPr>
            <w:r w:rsidRPr="00B63C9D">
              <w:rPr>
                <w:rFonts w:ascii="Arial" w:hAnsi="Arial" w:cs="Arial"/>
                <w:b/>
                <w:bCs/>
                <w:sz w:val="16"/>
                <w:szCs w:val="16"/>
              </w:rPr>
              <w:t> </w:t>
            </w:r>
          </w:p>
        </w:tc>
        <w:tc>
          <w:tcPr>
            <w:tcW w:w="605" w:type="pct"/>
            <w:tcBorders>
              <w:top w:val="single" w:sz="4" w:space="0" w:color="auto"/>
              <w:left w:val="nil"/>
              <w:bottom w:val="single" w:sz="4" w:space="0" w:color="auto"/>
              <w:right w:val="nil"/>
            </w:tcBorders>
            <w:shd w:val="clear" w:color="auto" w:fill="auto"/>
            <w:vAlign w:val="bottom"/>
            <w:hideMark/>
          </w:tcPr>
          <w:p w14:paraId="7FA2AAC7"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2021-22 Estimated actual</w:t>
            </w:r>
            <w:r w:rsidRPr="00B63C9D">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E6E6E6"/>
            <w:vAlign w:val="bottom"/>
            <w:hideMark/>
          </w:tcPr>
          <w:p w14:paraId="1E7E812B"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2022-23</w:t>
            </w:r>
            <w:r w:rsidRPr="00B63C9D">
              <w:rPr>
                <w:rFonts w:ascii="Arial" w:hAnsi="Arial" w:cs="Arial"/>
                <w:sz w:val="16"/>
                <w:szCs w:val="16"/>
              </w:rPr>
              <w:br/>
              <w:t>Budget</w:t>
            </w:r>
            <w:r w:rsidRPr="00B63C9D">
              <w:rPr>
                <w:rFonts w:ascii="Arial" w:hAnsi="Arial" w:cs="Arial"/>
                <w:sz w:val="16"/>
                <w:szCs w:val="16"/>
              </w:rPr>
              <w:br/>
            </w:r>
            <w:r w:rsidRPr="00B63C9D">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762DFF3F"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2023-24 Forward estimate</w:t>
            </w:r>
            <w:r w:rsidRPr="00B63C9D">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5DA60FAB"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2024-25 Forward estimate</w:t>
            </w:r>
            <w:r w:rsidRPr="00B63C9D">
              <w:rPr>
                <w:rFonts w:ascii="Arial" w:hAnsi="Arial" w:cs="Arial"/>
                <w:sz w:val="16"/>
                <w:szCs w:val="16"/>
              </w:rPr>
              <w:br/>
              <w:t>$'000</w:t>
            </w:r>
          </w:p>
        </w:tc>
        <w:tc>
          <w:tcPr>
            <w:tcW w:w="605" w:type="pct"/>
            <w:tcBorders>
              <w:top w:val="single" w:sz="4" w:space="0" w:color="auto"/>
              <w:left w:val="nil"/>
              <w:bottom w:val="single" w:sz="4" w:space="0" w:color="auto"/>
              <w:right w:val="nil"/>
            </w:tcBorders>
            <w:shd w:val="clear" w:color="auto" w:fill="auto"/>
            <w:vAlign w:val="bottom"/>
            <w:hideMark/>
          </w:tcPr>
          <w:p w14:paraId="46B3EFA8" w14:textId="77777777" w:rsidR="001C0F49" w:rsidRPr="00B63C9D" w:rsidRDefault="001C0F49" w:rsidP="00293BD0">
            <w:pPr>
              <w:spacing w:after="0" w:line="240" w:lineRule="auto"/>
              <w:jc w:val="right"/>
              <w:rPr>
                <w:rFonts w:ascii="Arial" w:hAnsi="Arial" w:cs="Arial"/>
                <w:sz w:val="16"/>
                <w:szCs w:val="16"/>
              </w:rPr>
            </w:pPr>
            <w:r w:rsidRPr="00B63C9D">
              <w:rPr>
                <w:rFonts w:ascii="Arial" w:hAnsi="Arial" w:cs="Arial"/>
                <w:sz w:val="16"/>
                <w:szCs w:val="16"/>
              </w:rPr>
              <w:t>2025-26</w:t>
            </w:r>
            <w:r w:rsidRPr="00B63C9D">
              <w:rPr>
                <w:rFonts w:ascii="Arial" w:hAnsi="Arial" w:cs="Arial"/>
                <w:sz w:val="16"/>
                <w:szCs w:val="16"/>
              </w:rPr>
              <w:br/>
              <w:t>Forward estimate</w:t>
            </w:r>
            <w:r w:rsidRPr="00B63C9D">
              <w:rPr>
                <w:rFonts w:ascii="Arial" w:hAnsi="Arial" w:cs="Arial"/>
                <w:sz w:val="16"/>
                <w:szCs w:val="16"/>
              </w:rPr>
              <w:br/>
              <w:t>$'000</w:t>
            </w:r>
          </w:p>
        </w:tc>
      </w:tr>
      <w:tr w:rsidR="001C0F49" w:rsidRPr="00B63C9D" w14:paraId="161EEEC4" w14:textId="77777777" w:rsidTr="009C12D1">
        <w:trPr>
          <w:trHeight w:val="204"/>
        </w:trPr>
        <w:tc>
          <w:tcPr>
            <w:tcW w:w="1974" w:type="pct"/>
            <w:tcBorders>
              <w:top w:val="nil"/>
              <w:left w:val="nil"/>
              <w:bottom w:val="nil"/>
              <w:right w:val="nil"/>
            </w:tcBorders>
            <w:shd w:val="clear" w:color="auto" w:fill="auto"/>
            <w:noWrap/>
            <w:vAlign w:val="bottom"/>
            <w:hideMark/>
          </w:tcPr>
          <w:p w14:paraId="4A7C1C16"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OPERATING ACTIVITIES</w:t>
            </w:r>
          </w:p>
        </w:tc>
        <w:tc>
          <w:tcPr>
            <w:tcW w:w="605" w:type="pct"/>
            <w:tcBorders>
              <w:top w:val="nil"/>
              <w:left w:val="nil"/>
              <w:bottom w:val="nil"/>
              <w:right w:val="nil"/>
            </w:tcBorders>
            <w:shd w:val="clear" w:color="auto" w:fill="auto"/>
            <w:noWrap/>
            <w:vAlign w:val="bottom"/>
            <w:hideMark/>
          </w:tcPr>
          <w:p w14:paraId="164E53C8"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5F0E6B0"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15CECF46"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39F26208"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22A7B030"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2D612E58" w14:textId="77777777" w:rsidTr="009C12D1">
        <w:trPr>
          <w:trHeight w:val="204"/>
        </w:trPr>
        <w:tc>
          <w:tcPr>
            <w:tcW w:w="1974" w:type="pct"/>
            <w:tcBorders>
              <w:top w:val="nil"/>
              <w:left w:val="nil"/>
              <w:bottom w:val="nil"/>
              <w:right w:val="nil"/>
            </w:tcBorders>
            <w:shd w:val="clear" w:color="auto" w:fill="auto"/>
            <w:noWrap/>
            <w:vAlign w:val="bottom"/>
            <w:hideMark/>
          </w:tcPr>
          <w:p w14:paraId="3BBA9A10"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00B52EE2"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41D44A20"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82C860C"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F1F1FD3"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5814B499"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2D69CF98" w14:textId="77777777" w:rsidTr="009C12D1">
        <w:trPr>
          <w:trHeight w:val="204"/>
        </w:trPr>
        <w:tc>
          <w:tcPr>
            <w:tcW w:w="1974" w:type="pct"/>
            <w:tcBorders>
              <w:top w:val="nil"/>
              <w:left w:val="nil"/>
              <w:bottom w:val="nil"/>
              <w:right w:val="nil"/>
            </w:tcBorders>
            <w:shd w:val="clear" w:color="auto" w:fill="auto"/>
            <w:noWrap/>
            <w:vAlign w:val="bottom"/>
            <w:hideMark/>
          </w:tcPr>
          <w:p w14:paraId="043BBADE"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Appropriations</w:t>
            </w:r>
          </w:p>
        </w:tc>
        <w:tc>
          <w:tcPr>
            <w:tcW w:w="605" w:type="pct"/>
            <w:tcBorders>
              <w:top w:val="nil"/>
              <w:left w:val="nil"/>
              <w:bottom w:val="nil"/>
              <w:right w:val="nil"/>
            </w:tcBorders>
            <w:shd w:val="clear" w:color="auto" w:fill="auto"/>
            <w:noWrap/>
            <w:vAlign w:val="bottom"/>
            <w:hideMark/>
          </w:tcPr>
          <w:p w14:paraId="027C8269"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41,383</w:t>
            </w:r>
          </w:p>
        </w:tc>
        <w:tc>
          <w:tcPr>
            <w:tcW w:w="605" w:type="pct"/>
            <w:tcBorders>
              <w:top w:val="nil"/>
              <w:left w:val="nil"/>
              <w:bottom w:val="nil"/>
              <w:right w:val="nil"/>
            </w:tcBorders>
            <w:shd w:val="clear" w:color="auto" w:fill="E6E6E6"/>
            <w:noWrap/>
            <w:vAlign w:val="bottom"/>
            <w:hideMark/>
          </w:tcPr>
          <w:p w14:paraId="7DA3AC9D"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50,912</w:t>
            </w:r>
          </w:p>
        </w:tc>
        <w:tc>
          <w:tcPr>
            <w:tcW w:w="605" w:type="pct"/>
            <w:tcBorders>
              <w:top w:val="nil"/>
              <w:left w:val="nil"/>
              <w:bottom w:val="nil"/>
              <w:right w:val="nil"/>
            </w:tcBorders>
            <w:shd w:val="clear" w:color="auto" w:fill="auto"/>
            <w:noWrap/>
            <w:vAlign w:val="bottom"/>
            <w:hideMark/>
          </w:tcPr>
          <w:p w14:paraId="0B220544"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39,687</w:t>
            </w:r>
          </w:p>
        </w:tc>
        <w:tc>
          <w:tcPr>
            <w:tcW w:w="605" w:type="pct"/>
            <w:tcBorders>
              <w:top w:val="nil"/>
              <w:left w:val="nil"/>
              <w:bottom w:val="nil"/>
              <w:right w:val="nil"/>
            </w:tcBorders>
            <w:shd w:val="clear" w:color="auto" w:fill="auto"/>
            <w:noWrap/>
            <w:vAlign w:val="bottom"/>
            <w:hideMark/>
          </w:tcPr>
          <w:p w14:paraId="3330C06B"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39,982</w:t>
            </w:r>
          </w:p>
        </w:tc>
        <w:tc>
          <w:tcPr>
            <w:tcW w:w="605" w:type="pct"/>
            <w:tcBorders>
              <w:top w:val="nil"/>
              <w:left w:val="nil"/>
              <w:bottom w:val="nil"/>
              <w:right w:val="nil"/>
            </w:tcBorders>
            <w:shd w:val="clear" w:color="auto" w:fill="auto"/>
            <w:noWrap/>
            <w:vAlign w:val="bottom"/>
            <w:hideMark/>
          </w:tcPr>
          <w:p w14:paraId="7052A3FB"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40,144</w:t>
            </w:r>
          </w:p>
        </w:tc>
      </w:tr>
      <w:tr w:rsidR="001C0F49" w:rsidRPr="00B63C9D" w14:paraId="031EFBCF" w14:textId="77777777" w:rsidTr="009C12D1">
        <w:trPr>
          <w:trHeight w:val="204"/>
        </w:trPr>
        <w:tc>
          <w:tcPr>
            <w:tcW w:w="1974" w:type="pct"/>
            <w:tcBorders>
              <w:top w:val="nil"/>
              <w:left w:val="nil"/>
              <w:bottom w:val="nil"/>
              <w:right w:val="nil"/>
            </w:tcBorders>
            <w:shd w:val="clear" w:color="auto" w:fill="auto"/>
            <w:noWrap/>
            <w:vAlign w:val="bottom"/>
            <w:hideMark/>
          </w:tcPr>
          <w:p w14:paraId="4F4DB3FD"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Receipts from Government</w:t>
            </w:r>
          </w:p>
        </w:tc>
        <w:tc>
          <w:tcPr>
            <w:tcW w:w="605" w:type="pct"/>
            <w:tcBorders>
              <w:top w:val="nil"/>
              <w:left w:val="nil"/>
              <w:bottom w:val="nil"/>
              <w:right w:val="nil"/>
            </w:tcBorders>
            <w:shd w:val="clear" w:color="auto" w:fill="auto"/>
            <w:noWrap/>
            <w:vAlign w:val="bottom"/>
            <w:hideMark/>
          </w:tcPr>
          <w:p w14:paraId="72FECC78"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500</w:t>
            </w:r>
          </w:p>
        </w:tc>
        <w:tc>
          <w:tcPr>
            <w:tcW w:w="605" w:type="pct"/>
            <w:tcBorders>
              <w:top w:val="nil"/>
              <w:left w:val="nil"/>
              <w:bottom w:val="nil"/>
              <w:right w:val="nil"/>
            </w:tcBorders>
            <w:shd w:val="clear" w:color="auto" w:fill="E6E6E6"/>
            <w:noWrap/>
            <w:vAlign w:val="bottom"/>
            <w:hideMark/>
          </w:tcPr>
          <w:p w14:paraId="33F7167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2,000</w:t>
            </w:r>
          </w:p>
        </w:tc>
        <w:tc>
          <w:tcPr>
            <w:tcW w:w="605" w:type="pct"/>
            <w:tcBorders>
              <w:top w:val="nil"/>
              <w:left w:val="nil"/>
              <w:bottom w:val="nil"/>
              <w:right w:val="nil"/>
            </w:tcBorders>
            <w:shd w:val="clear" w:color="auto" w:fill="auto"/>
            <w:noWrap/>
            <w:vAlign w:val="bottom"/>
            <w:hideMark/>
          </w:tcPr>
          <w:p w14:paraId="29250130"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0BAB45E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44A4D8D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r>
      <w:tr w:rsidR="001C0F49" w:rsidRPr="00B63C9D" w14:paraId="4DD20F69" w14:textId="77777777" w:rsidTr="009C12D1">
        <w:trPr>
          <w:trHeight w:val="204"/>
        </w:trPr>
        <w:tc>
          <w:tcPr>
            <w:tcW w:w="1974" w:type="pct"/>
            <w:tcBorders>
              <w:top w:val="nil"/>
              <w:left w:val="nil"/>
              <w:bottom w:val="nil"/>
              <w:right w:val="nil"/>
            </w:tcBorders>
            <w:shd w:val="clear" w:color="auto" w:fill="auto"/>
            <w:vAlign w:val="bottom"/>
            <w:hideMark/>
          </w:tcPr>
          <w:p w14:paraId="56AEEFEA"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Sale of goods and rendering of services</w:t>
            </w:r>
          </w:p>
        </w:tc>
        <w:tc>
          <w:tcPr>
            <w:tcW w:w="605" w:type="pct"/>
            <w:tcBorders>
              <w:top w:val="nil"/>
              <w:left w:val="nil"/>
              <w:bottom w:val="nil"/>
              <w:right w:val="nil"/>
            </w:tcBorders>
            <w:shd w:val="clear" w:color="auto" w:fill="auto"/>
            <w:noWrap/>
            <w:vAlign w:val="bottom"/>
            <w:hideMark/>
          </w:tcPr>
          <w:p w14:paraId="1036DB4D"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10,280</w:t>
            </w:r>
          </w:p>
        </w:tc>
        <w:tc>
          <w:tcPr>
            <w:tcW w:w="605" w:type="pct"/>
            <w:tcBorders>
              <w:top w:val="nil"/>
              <w:left w:val="nil"/>
              <w:bottom w:val="nil"/>
              <w:right w:val="nil"/>
            </w:tcBorders>
            <w:shd w:val="clear" w:color="auto" w:fill="E6E6E6"/>
            <w:noWrap/>
            <w:vAlign w:val="bottom"/>
            <w:hideMark/>
          </w:tcPr>
          <w:p w14:paraId="2387C3AF"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5,554</w:t>
            </w:r>
          </w:p>
        </w:tc>
        <w:tc>
          <w:tcPr>
            <w:tcW w:w="605" w:type="pct"/>
            <w:tcBorders>
              <w:top w:val="nil"/>
              <w:left w:val="nil"/>
              <w:bottom w:val="nil"/>
              <w:right w:val="nil"/>
            </w:tcBorders>
            <w:shd w:val="clear" w:color="auto" w:fill="auto"/>
            <w:noWrap/>
            <w:vAlign w:val="bottom"/>
            <w:hideMark/>
          </w:tcPr>
          <w:p w14:paraId="2A6AD895"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7,317</w:t>
            </w:r>
          </w:p>
        </w:tc>
        <w:tc>
          <w:tcPr>
            <w:tcW w:w="605" w:type="pct"/>
            <w:tcBorders>
              <w:top w:val="nil"/>
              <w:left w:val="nil"/>
              <w:bottom w:val="nil"/>
              <w:right w:val="nil"/>
            </w:tcBorders>
            <w:shd w:val="clear" w:color="auto" w:fill="auto"/>
            <w:noWrap/>
            <w:vAlign w:val="bottom"/>
            <w:hideMark/>
          </w:tcPr>
          <w:p w14:paraId="600394F5"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9,941</w:t>
            </w:r>
          </w:p>
        </w:tc>
        <w:tc>
          <w:tcPr>
            <w:tcW w:w="605" w:type="pct"/>
            <w:tcBorders>
              <w:top w:val="nil"/>
              <w:left w:val="nil"/>
              <w:bottom w:val="nil"/>
              <w:right w:val="nil"/>
            </w:tcBorders>
            <w:shd w:val="clear" w:color="auto" w:fill="auto"/>
            <w:noWrap/>
            <w:vAlign w:val="bottom"/>
            <w:hideMark/>
          </w:tcPr>
          <w:p w14:paraId="04766A20"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10,139</w:t>
            </w:r>
          </w:p>
        </w:tc>
      </w:tr>
      <w:tr w:rsidR="001C0F49" w:rsidRPr="00B63C9D" w14:paraId="45A5C739" w14:textId="77777777" w:rsidTr="009C12D1">
        <w:trPr>
          <w:trHeight w:val="204"/>
        </w:trPr>
        <w:tc>
          <w:tcPr>
            <w:tcW w:w="1974" w:type="pct"/>
            <w:tcBorders>
              <w:top w:val="nil"/>
              <w:left w:val="nil"/>
              <w:bottom w:val="nil"/>
              <w:right w:val="nil"/>
            </w:tcBorders>
            <w:shd w:val="clear" w:color="auto" w:fill="auto"/>
            <w:noWrap/>
            <w:vAlign w:val="bottom"/>
            <w:hideMark/>
          </w:tcPr>
          <w:p w14:paraId="0EA61B6B"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Interest</w:t>
            </w:r>
          </w:p>
        </w:tc>
        <w:tc>
          <w:tcPr>
            <w:tcW w:w="605" w:type="pct"/>
            <w:tcBorders>
              <w:top w:val="nil"/>
              <w:left w:val="nil"/>
              <w:bottom w:val="nil"/>
              <w:right w:val="nil"/>
            </w:tcBorders>
            <w:shd w:val="clear" w:color="auto" w:fill="auto"/>
            <w:noWrap/>
            <w:vAlign w:val="bottom"/>
            <w:hideMark/>
          </w:tcPr>
          <w:p w14:paraId="15769D68"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34</w:t>
            </w:r>
          </w:p>
        </w:tc>
        <w:tc>
          <w:tcPr>
            <w:tcW w:w="605" w:type="pct"/>
            <w:tcBorders>
              <w:top w:val="nil"/>
              <w:left w:val="nil"/>
              <w:bottom w:val="nil"/>
              <w:right w:val="nil"/>
            </w:tcBorders>
            <w:shd w:val="clear" w:color="auto" w:fill="E6E6E6"/>
            <w:noWrap/>
            <w:vAlign w:val="bottom"/>
            <w:hideMark/>
          </w:tcPr>
          <w:p w14:paraId="028167D7"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49</w:t>
            </w:r>
          </w:p>
        </w:tc>
        <w:tc>
          <w:tcPr>
            <w:tcW w:w="605" w:type="pct"/>
            <w:tcBorders>
              <w:top w:val="nil"/>
              <w:left w:val="nil"/>
              <w:bottom w:val="nil"/>
              <w:right w:val="nil"/>
            </w:tcBorders>
            <w:shd w:val="clear" w:color="auto" w:fill="auto"/>
            <w:noWrap/>
            <w:vAlign w:val="bottom"/>
            <w:hideMark/>
          </w:tcPr>
          <w:p w14:paraId="39795A67"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49</w:t>
            </w:r>
          </w:p>
        </w:tc>
        <w:tc>
          <w:tcPr>
            <w:tcW w:w="605" w:type="pct"/>
            <w:tcBorders>
              <w:top w:val="nil"/>
              <w:left w:val="nil"/>
              <w:bottom w:val="nil"/>
              <w:right w:val="nil"/>
            </w:tcBorders>
            <w:shd w:val="clear" w:color="auto" w:fill="auto"/>
            <w:noWrap/>
            <w:vAlign w:val="bottom"/>
            <w:hideMark/>
          </w:tcPr>
          <w:p w14:paraId="7F8DFD34"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49</w:t>
            </w:r>
          </w:p>
        </w:tc>
        <w:tc>
          <w:tcPr>
            <w:tcW w:w="605" w:type="pct"/>
            <w:tcBorders>
              <w:top w:val="nil"/>
              <w:left w:val="nil"/>
              <w:bottom w:val="nil"/>
              <w:right w:val="nil"/>
            </w:tcBorders>
            <w:shd w:val="clear" w:color="auto" w:fill="auto"/>
            <w:noWrap/>
            <w:vAlign w:val="bottom"/>
            <w:hideMark/>
          </w:tcPr>
          <w:p w14:paraId="0537B84B"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49</w:t>
            </w:r>
          </w:p>
        </w:tc>
      </w:tr>
      <w:tr w:rsidR="001C0F49" w:rsidRPr="00B63C9D" w14:paraId="59C6F8DC" w14:textId="77777777" w:rsidTr="009C12D1">
        <w:trPr>
          <w:trHeight w:val="204"/>
        </w:trPr>
        <w:tc>
          <w:tcPr>
            <w:tcW w:w="1974" w:type="pct"/>
            <w:tcBorders>
              <w:top w:val="nil"/>
              <w:left w:val="nil"/>
              <w:bottom w:val="nil"/>
              <w:right w:val="nil"/>
            </w:tcBorders>
            <w:shd w:val="clear" w:color="auto" w:fill="auto"/>
            <w:noWrap/>
            <w:vAlign w:val="bottom"/>
            <w:hideMark/>
          </w:tcPr>
          <w:p w14:paraId="03D8B578"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Net GST received</w:t>
            </w:r>
          </w:p>
        </w:tc>
        <w:tc>
          <w:tcPr>
            <w:tcW w:w="605" w:type="pct"/>
            <w:tcBorders>
              <w:top w:val="nil"/>
              <w:left w:val="nil"/>
              <w:bottom w:val="nil"/>
              <w:right w:val="nil"/>
            </w:tcBorders>
            <w:shd w:val="clear" w:color="auto" w:fill="auto"/>
            <w:noWrap/>
            <w:vAlign w:val="bottom"/>
            <w:hideMark/>
          </w:tcPr>
          <w:p w14:paraId="2BB67551"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2,393</w:t>
            </w:r>
          </w:p>
        </w:tc>
        <w:tc>
          <w:tcPr>
            <w:tcW w:w="605" w:type="pct"/>
            <w:tcBorders>
              <w:top w:val="nil"/>
              <w:left w:val="nil"/>
              <w:bottom w:val="nil"/>
              <w:right w:val="nil"/>
            </w:tcBorders>
            <w:shd w:val="clear" w:color="auto" w:fill="E6E6E6"/>
            <w:noWrap/>
            <w:vAlign w:val="bottom"/>
            <w:hideMark/>
          </w:tcPr>
          <w:p w14:paraId="11BF6B29"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2,800</w:t>
            </w:r>
          </w:p>
        </w:tc>
        <w:tc>
          <w:tcPr>
            <w:tcW w:w="605" w:type="pct"/>
            <w:tcBorders>
              <w:top w:val="nil"/>
              <w:left w:val="nil"/>
              <w:bottom w:val="nil"/>
              <w:right w:val="nil"/>
            </w:tcBorders>
            <w:shd w:val="clear" w:color="auto" w:fill="auto"/>
            <w:noWrap/>
            <w:vAlign w:val="bottom"/>
            <w:hideMark/>
          </w:tcPr>
          <w:p w14:paraId="777EC95A"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2,023</w:t>
            </w:r>
          </w:p>
        </w:tc>
        <w:tc>
          <w:tcPr>
            <w:tcW w:w="605" w:type="pct"/>
            <w:tcBorders>
              <w:top w:val="nil"/>
              <w:left w:val="nil"/>
              <w:bottom w:val="nil"/>
              <w:right w:val="nil"/>
            </w:tcBorders>
            <w:shd w:val="clear" w:color="auto" w:fill="auto"/>
            <w:noWrap/>
            <w:vAlign w:val="bottom"/>
            <w:hideMark/>
          </w:tcPr>
          <w:p w14:paraId="55FF6A25"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2,579</w:t>
            </w:r>
          </w:p>
        </w:tc>
        <w:tc>
          <w:tcPr>
            <w:tcW w:w="605" w:type="pct"/>
            <w:tcBorders>
              <w:top w:val="nil"/>
              <w:left w:val="nil"/>
              <w:bottom w:val="nil"/>
              <w:right w:val="nil"/>
            </w:tcBorders>
            <w:shd w:val="clear" w:color="auto" w:fill="auto"/>
            <w:noWrap/>
            <w:vAlign w:val="bottom"/>
            <w:hideMark/>
          </w:tcPr>
          <w:p w14:paraId="4297EF5F"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3,288</w:t>
            </w:r>
          </w:p>
        </w:tc>
      </w:tr>
      <w:tr w:rsidR="001C0F49" w:rsidRPr="00B63C9D" w14:paraId="61F0EADF" w14:textId="77777777" w:rsidTr="009C12D1">
        <w:trPr>
          <w:trHeight w:val="204"/>
        </w:trPr>
        <w:tc>
          <w:tcPr>
            <w:tcW w:w="1974" w:type="pct"/>
            <w:tcBorders>
              <w:top w:val="nil"/>
              <w:left w:val="nil"/>
              <w:bottom w:val="nil"/>
              <w:right w:val="nil"/>
            </w:tcBorders>
            <w:shd w:val="clear" w:color="auto" w:fill="auto"/>
            <w:noWrap/>
            <w:vAlign w:val="bottom"/>
            <w:hideMark/>
          </w:tcPr>
          <w:p w14:paraId="4145F899"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 xml:space="preserve">Other </w:t>
            </w:r>
          </w:p>
        </w:tc>
        <w:tc>
          <w:tcPr>
            <w:tcW w:w="605" w:type="pct"/>
            <w:tcBorders>
              <w:top w:val="nil"/>
              <w:left w:val="nil"/>
              <w:bottom w:val="nil"/>
              <w:right w:val="nil"/>
            </w:tcBorders>
            <w:shd w:val="clear" w:color="auto" w:fill="auto"/>
            <w:noWrap/>
            <w:vAlign w:val="bottom"/>
            <w:hideMark/>
          </w:tcPr>
          <w:p w14:paraId="345ED5E8"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4,012</w:t>
            </w:r>
          </w:p>
        </w:tc>
        <w:tc>
          <w:tcPr>
            <w:tcW w:w="605" w:type="pct"/>
            <w:tcBorders>
              <w:top w:val="nil"/>
              <w:left w:val="nil"/>
              <w:bottom w:val="nil"/>
              <w:right w:val="nil"/>
            </w:tcBorders>
            <w:shd w:val="clear" w:color="auto" w:fill="E6E6E6"/>
            <w:noWrap/>
            <w:vAlign w:val="bottom"/>
            <w:hideMark/>
          </w:tcPr>
          <w:p w14:paraId="3540F455"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1,177</w:t>
            </w:r>
          </w:p>
        </w:tc>
        <w:tc>
          <w:tcPr>
            <w:tcW w:w="605" w:type="pct"/>
            <w:tcBorders>
              <w:top w:val="nil"/>
              <w:left w:val="nil"/>
              <w:bottom w:val="nil"/>
              <w:right w:val="nil"/>
            </w:tcBorders>
            <w:shd w:val="clear" w:color="auto" w:fill="auto"/>
            <w:noWrap/>
            <w:vAlign w:val="bottom"/>
            <w:hideMark/>
          </w:tcPr>
          <w:p w14:paraId="17EA2C8F"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1,191</w:t>
            </w:r>
          </w:p>
        </w:tc>
        <w:tc>
          <w:tcPr>
            <w:tcW w:w="605" w:type="pct"/>
            <w:tcBorders>
              <w:top w:val="nil"/>
              <w:left w:val="nil"/>
              <w:bottom w:val="nil"/>
              <w:right w:val="nil"/>
            </w:tcBorders>
            <w:shd w:val="clear" w:color="auto" w:fill="auto"/>
            <w:noWrap/>
            <w:vAlign w:val="bottom"/>
            <w:hideMark/>
          </w:tcPr>
          <w:p w14:paraId="0DBC2EF6"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1,205</w:t>
            </w:r>
          </w:p>
        </w:tc>
        <w:tc>
          <w:tcPr>
            <w:tcW w:w="605" w:type="pct"/>
            <w:tcBorders>
              <w:top w:val="nil"/>
              <w:left w:val="nil"/>
              <w:bottom w:val="nil"/>
              <w:right w:val="nil"/>
            </w:tcBorders>
            <w:shd w:val="clear" w:color="auto" w:fill="auto"/>
            <w:noWrap/>
            <w:vAlign w:val="bottom"/>
            <w:hideMark/>
          </w:tcPr>
          <w:p w14:paraId="07625203"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1,219</w:t>
            </w:r>
          </w:p>
        </w:tc>
      </w:tr>
      <w:tr w:rsidR="001C0F49" w:rsidRPr="00B63C9D" w14:paraId="7C6A4083" w14:textId="77777777" w:rsidTr="009C12D1">
        <w:trPr>
          <w:trHeight w:val="204"/>
        </w:trPr>
        <w:tc>
          <w:tcPr>
            <w:tcW w:w="1974" w:type="pct"/>
            <w:tcBorders>
              <w:top w:val="nil"/>
              <w:left w:val="nil"/>
              <w:bottom w:val="nil"/>
              <w:right w:val="nil"/>
            </w:tcBorders>
            <w:shd w:val="clear" w:color="auto" w:fill="auto"/>
            <w:noWrap/>
            <w:vAlign w:val="bottom"/>
            <w:hideMark/>
          </w:tcPr>
          <w:p w14:paraId="726F462C"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31E40C08"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5</w:t>
            </w:r>
            <w:r>
              <w:rPr>
                <w:rFonts w:ascii="Arial" w:hAnsi="Arial" w:cs="Arial"/>
                <w:b/>
                <w:bCs/>
                <w:i/>
                <w:iCs/>
                <w:color w:val="000000"/>
                <w:sz w:val="16"/>
                <w:szCs w:val="16"/>
              </w:rPr>
              <w:t>8,602</w:t>
            </w:r>
          </w:p>
        </w:tc>
        <w:tc>
          <w:tcPr>
            <w:tcW w:w="605" w:type="pct"/>
            <w:tcBorders>
              <w:top w:val="single" w:sz="4" w:space="0" w:color="000000"/>
              <w:left w:val="nil"/>
              <w:bottom w:val="single" w:sz="4" w:space="0" w:color="000000"/>
              <w:right w:val="nil"/>
            </w:tcBorders>
            <w:shd w:val="clear" w:color="auto" w:fill="E6E6E6"/>
            <w:noWrap/>
            <w:vAlign w:val="bottom"/>
            <w:hideMark/>
          </w:tcPr>
          <w:p w14:paraId="14AE671A" w14:textId="77777777" w:rsidR="001C0F49" w:rsidRPr="007C1BB2"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62,492</w:t>
            </w:r>
          </w:p>
        </w:tc>
        <w:tc>
          <w:tcPr>
            <w:tcW w:w="605" w:type="pct"/>
            <w:tcBorders>
              <w:top w:val="single" w:sz="4" w:space="0" w:color="000000"/>
              <w:left w:val="nil"/>
              <w:bottom w:val="single" w:sz="4" w:space="0" w:color="000000"/>
              <w:right w:val="nil"/>
            </w:tcBorders>
            <w:shd w:val="clear" w:color="auto" w:fill="auto"/>
            <w:noWrap/>
            <w:vAlign w:val="bottom"/>
            <w:hideMark/>
          </w:tcPr>
          <w:p w14:paraId="01B5FBE8" w14:textId="77777777" w:rsidR="001C0F49" w:rsidRPr="007C1BB2"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50,267</w:t>
            </w:r>
          </w:p>
        </w:tc>
        <w:tc>
          <w:tcPr>
            <w:tcW w:w="605" w:type="pct"/>
            <w:tcBorders>
              <w:top w:val="single" w:sz="4" w:space="0" w:color="000000"/>
              <w:left w:val="nil"/>
              <w:bottom w:val="single" w:sz="4" w:space="0" w:color="000000"/>
              <w:right w:val="nil"/>
            </w:tcBorders>
            <w:shd w:val="clear" w:color="auto" w:fill="auto"/>
            <w:noWrap/>
            <w:vAlign w:val="bottom"/>
            <w:hideMark/>
          </w:tcPr>
          <w:p w14:paraId="3D8DB43F" w14:textId="77777777" w:rsidR="001C0F49" w:rsidRPr="007C1BB2"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53,756</w:t>
            </w:r>
          </w:p>
        </w:tc>
        <w:tc>
          <w:tcPr>
            <w:tcW w:w="605" w:type="pct"/>
            <w:tcBorders>
              <w:top w:val="single" w:sz="4" w:space="0" w:color="000000"/>
              <w:left w:val="nil"/>
              <w:bottom w:val="single" w:sz="4" w:space="0" w:color="000000"/>
              <w:right w:val="nil"/>
            </w:tcBorders>
            <w:shd w:val="clear" w:color="auto" w:fill="auto"/>
            <w:noWrap/>
            <w:vAlign w:val="bottom"/>
            <w:hideMark/>
          </w:tcPr>
          <w:p w14:paraId="00489AE0" w14:textId="77777777" w:rsidR="001C0F49" w:rsidRPr="007C1BB2"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54,839</w:t>
            </w:r>
          </w:p>
        </w:tc>
      </w:tr>
      <w:tr w:rsidR="001C0F49" w:rsidRPr="00B63C9D" w14:paraId="14928751" w14:textId="77777777" w:rsidTr="009C12D1">
        <w:trPr>
          <w:trHeight w:val="204"/>
        </w:trPr>
        <w:tc>
          <w:tcPr>
            <w:tcW w:w="1974" w:type="pct"/>
            <w:tcBorders>
              <w:top w:val="nil"/>
              <w:left w:val="nil"/>
              <w:bottom w:val="nil"/>
              <w:right w:val="nil"/>
            </w:tcBorders>
            <w:shd w:val="clear" w:color="auto" w:fill="auto"/>
            <w:noWrap/>
            <w:vAlign w:val="bottom"/>
            <w:hideMark/>
          </w:tcPr>
          <w:p w14:paraId="1339EA30"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2FD9FA65"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867CF0E"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17F282D"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63502E4"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5ABCB5AD"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52863E3A" w14:textId="77777777" w:rsidTr="009C12D1">
        <w:trPr>
          <w:trHeight w:val="204"/>
        </w:trPr>
        <w:tc>
          <w:tcPr>
            <w:tcW w:w="1974" w:type="pct"/>
            <w:tcBorders>
              <w:top w:val="nil"/>
              <w:left w:val="nil"/>
              <w:bottom w:val="nil"/>
              <w:right w:val="nil"/>
            </w:tcBorders>
            <w:shd w:val="clear" w:color="auto" w:fill="auto"/>
            <w:noWrap/>
            <w:vAlign w:val="bottom"/>
            <w:hideMark/>
          </w:tcPr>
          <w:p w14:paraId="545DDD41"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Employees</w:t>
            </w:r>
          </w:p>
        </w:tc>
        <w:tc>
          <w:tcPr>
            <w:tcW w:w="605" w:type="pct"/>
            <w:tcBorders>
              <w:top w:val="nil"/>
              <w:left w:val="nil"/>
              <w:bottom w:val="nil"/>
              <w:right w:val="nil"/>
            </w:tcBorders>
            <w:shd w:val="clear" w:color="auto" w:fill="auto"/>
            <w:noWrap/>
            <w:vAlign w:val="bottom"/>
            <w:hideMark/>
          </w:tcPr>
          <w:p w14:paraId="2FFDF49C"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23,292</w:t>
            </w:r>
          </w:p>
        </w:tc>
        <w:tc>
          <w:tcPr>
            <w:tcW w:w="605" w:type="pct"/>
            <w:tcBorders>
              <w:top w:val="nil"/>
              <w:left w:val="nil"/>
              <w:bottom w:val="nil"/>
              <w:right w:val="nil"/>
            </w:tcBorders>
            <w:shd w:val="clear" w:color="auto" w:fill="E6E6E6"/>
            <w:noWrap/>
            <w:vAlign w:val="bottom"/>
            <w:hideMark/>
          </w:tcPr>
          <w:p w14:paraId="3C9DD106"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21,835</w:t>
            </w:r>
          </w:p>
        </w:tc>
        <w:tc>
          <w:tcPr>
            <w:tcW w:w="605" w:type="pct"/>
            <w:tcBorders>
              <w:top w:val="nil"/>
              <w:left w:val="nil"/>
              <w:bottom w:val="nil"/>
              <w:right w:val="nil"/>
            </w:tcBorders>
            <w:shd w:val="clear" w:color="auto" w:fill="auto"/>
            <w:noWrap/>
            <w:vAlign w:val="bottom"/>
            <w:hideMark/>
          </w:tcPr>
          <w:p w14:paraId="0D68B08B"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20,089</w:t>
            </w:r>
          </w:p>
        </w:tc>
        <w:tc>
          <w:tcPr>
            <w:tcW w:w="605" w:type="pct"/>
            <w:tcBorders>
              <w:top w:val="nil"/>
              <w:left w:val="nil"/>
              <w:bottom w:val="nil"/>
              <w:right w:val="nil"/>
            </w:tcBorders>
            <w:shd w:val="clear" w:color="auto" w:fill="auto"/>
            <w:noWrap/>
            <w:vAlign w:val="bottom"/>
            <w:hideMark/>
          </w:tcPr>
          <w:p w14:paraId="0449846A"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22,321</w:t>
            </w:r>
          </w:p>
        </w:tc>
        <w:tc>
          <w:tcPr>
            <w:tcW w:w="605" w:type="pct"/>
            <w:tcBorders>
              <w:top w:val="nil"/>
              <w:left w:val="nil"/>
              <w:bottom w:val="nil"/>
              <w:right w:val="nil"/>
            </w:tcBorders>
            <w:shd w:val="clear" w:color="auto" w:fill="auto"/>
            <w:noWrap/>
            <w:vAlign w:val="bottom"/>
            <w:hideMark/>
          </w:tcPr>
          <w:p w14:paraId="136987AA"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22,093</w:t>
            </w:r>
          </w:p>
        </w:tc>
      </w:tr>
      <w:tr w:rsidR="001C0F49" w:rsidRPr="00B63C9D" w14:paraId="2FC2AF0A" w14:textId="77777777" w:rsidTr="009C12D1">
        <w:trPr>
          <w:trHeight w:val="204"/>
        </w:trPr>
        <w:tc>
          <w:tcPr>
            <w:tcW w:w="1974" w:type="pct"/>
            <w:tcBorders>
              <w:top w:val="nil"/>
              <w:left w:val="nil"/>
              <w:bottom w:val="nil"/>
              <w:right w:val="nil"/>
            </w:tcBorders>
            <w:shd w:val="clear" w:color="auto" w:fill="auto"/>
            <w:noWrap/>
            <w:vAlign w:val="bottom"/>
            <w:hideMark/>
          </w:tcPr>
          <w:p w14:paraId="030E1D20"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Suppliers</w:t>
            </w:r>
          </w:p>
        </w:tc>
        <w:tc>
          <w:tcPr>
            <w:tcW w:w="605" w:type="pct"/>
            <w:tcBorders>
              <w:top w:val="nil"/>
              <w:left w:val="nil"/>
              <w:bottom w:val="nil"/>
              <w:right w:val="nil"/>
            </w:tcBorders>
            <w:shd w:val="clear" w:color="auto" w:fill="auto"/>
            <w:noWrap/>
            <w:vAlign w:val="bottom"/>
            <w:hideMark/>
          </w:tcPr>
          <w:p w14:paraId="4F80173C"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26,530</w:t>
            </w:r>
          </w:p>
        </w:tc>
        <w:tc>
          <w:tcPr>
            <w:tcW w:w="605" w:type="pct"/>
            <w:tcBorders>
              <w:top w:val="nil"/>
              <w:left w:val="nil"/>
              <w:bottom w:val="nil"/>
              <w:right w:val="nil"/>
            </w:tcBorders>
            <w:shd w:val="clear" w:color="auto" w:fill="E6E6E6"/>
            <w:noWrap/>
            <w:vAlign w:val="bottom"/>
            <w:hideMark/>
          </w:tcPr>
          <w:p w14:paraId="00084500"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24,845</w:t>
            </w:r>
          </w:p>
        </w:tc>
        <w:tc>
          <w:tcPr>
            <w:tcW w:w="605" w:type="pct"/>
            <w:tcBorders>
              <w:top w:val="nil"/>
              <w:left w:val="nil"/>
              <w:bottom w:val="nil"/>
              <w:right w:val="nil"/>
            </w:tcBorders>
            <w:shd w:val="clear" w:color="auto" w:fill="auto"/>
            <w:noWrap/>
            <w:vAlign w:val="bottom"/>
            <w:hideMark/>
          </w:tcPr>
          <w:p w14:paraId="584BC034"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18,424</w:t>
            </w:r>
          </w:p>
        </w:tc>
        <w:tc>
          <w:tcPr>
            <w:tcW w:w="605" w:type="pct"/>
            <w:tcBorders>
              <w:top w:val="nil"/>
              <w:left w:val="nil"/>
              <w:bottom w:val="nil"/>
              <w:right w:val="nil"/>
            </w:tcBorders>
            <w:shd w:val="clear" w:color="auto" w:fill="auto"/>
            <w:noWrap/>
            <w:vAlign w:val="bottom"/>
            <w:hideMark/>
          </w:tcPr>
          <w:p w14:paraId="6D19755D"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18,901</w:t>
            </w:r>
          </w:p>
        </w:tc>
        <w:tc>
          <w:tcPr>
            <w:tcW w:w="605" w:type="pct"/>
            <w:tcBorders>
              <w:top w:val="nil"/>
              <w:left w:val="nil"/>
              <w:bottom w:val="nil"/>
              <w:right w:val="nil"/>
            </w:tcBorders>
            <w:shd w:val="clear" w:color="auto" w:fill="auto"/>
            <w:noWrap/>
            <w:vAlign w:val="bottom"/>
            <w:hideMark/>
          </w:tcPr>
          <w:p w14:paraId="04B85C89"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19,280</w:t>
            </w:r>
          </w:p>
        </w:tc>
      </w:tr>
      <w:tr w:rsidR="001C0F49" w:rsidRPr="00B63C9D" w14:paraId="79A90077" w14:textId="77777777" w:rsidTr="009C12D1">
        <w:trPr>
          <w:trHeight w:val="204"/>
        </w:trPr>
        <w:tc>
          <w:tcPr>
            <w:tcW w:w="1974" w:type="pct"/>
            <w:tcBorders>
              <w:top w:val="nil"/>
              <w:left w:val="nil"/>
              <w:bottom w:val="nil"/>
              <w:right w:val="nil"/>
            </w:tcBorders>
            <w:shd w:val="clear" w:color="auto" w:fill="auto"/>
            <w:noWrap/>
            <w:vAlign w:val="bottom"/>
            <w:hideMark/>
          </w:tcPr>
          <w:p w14:paraId="5AC1E01B" w14:textId="77777777" w:rsidR="001C0F49" w:rsidRPr="009F6962" w:rsidRDefault="001C0F49" w:rsidP="00293BD0">
            <w:pPr>
              <w:spacing w:after="0" w:line="240" w:lineRule="auto"/>
              <w:ind w:left="113"/>
              <w:rPr>
                <w:rFonts w:ascii="Arial" w:hAnsi="Arial" w:cs="Arial"/>
                <w:color w:val="000000"/>
                <w:sz w:val="16"/>
                <w:szCs w:val="16"/>
              </w:rPr>
            </w:pPr>
            <w:r w:rsidRPr="009F6962">
              <w:rPr>
                <w:rFonts w:ascii="Arial" w:hAnsi="Arial" w:cs="Arial"/>
                <w:color w:val="000000"/>
                <w:sz w:val="16"/>
                <w:szCs w:val="16"/>
              </w:rPr>
              <w:t>Net GST paid</w:t>
            </w:r>
          </w:p>
        </w:tc>
        <w:tc>
          <w:tcPr>
            <w:tcW w:w="605" w:type="pct"/>
            <w:tcBorders>
              <w:top w:val="nil"/>
              <w:left w:val="nil"/>
              <w:bottom w:val="nil"/>
              <w:right w:val="nil"/>
            </w:tcBorders>
            <w:shd w:val="clear" w:color="auto" w:fill="auto"/>
            <w:noWrap/>
            <w:vAlign w:val="bottom"/>
            <w:hideMark/>
          </w:tcPr>
          <w:p w14:paraId="5ABF64F7"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2,784</w:t>
            </w:r>
          </w:p>
        </w:tc>
        <w:tc>
          <w:tcPr>
            <w:tcW w:w="605" w:type="pct"/>
            <w:tcBorders>
              <w:top w:val="nil"/>
              <w:left w:val="nil"/>
              <w:bottom w:val="nil"/>
              <w:right w:val="nil"/>
            </w:tcBorders>
            <w:shd w:val="clear" w:color="auto" w:fill="E6E6E6"/>
            <w:noWrap/>
            <w:vAlign w:val="bottom"/>
            <w:hideMark/>
          </w:tcPr>
          <w:p w14:paraId="7B914CEA"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2,800</w:t>
            </w:r>
          </w:p>
        </w:tc>
        <w:tc>
          <w:tcPr>
            <w:tcW w:w="605" w:type="pct"/>
            <w:tcBorders>
              <w:top w:val="nil"/>
              <w:left w:val="nil"/>
              <w:bottom w:val="nil"/>
              <w:right w:val="nil"/>
            </w:tcBorders>
            <w:shd w:val="clear" w:color="auto" w:fill="auto"/>
            <w:noWrap/>
            <w:vAlign w:val="bottom"/>
            <w:hideMark/>
          </w:tcPr>
          <w:p w14:paraId="1040B083"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2,023</w:t>
            </w:r>
          </w:p>
        </w:tc>
        <w:tc>
          <w:tcPr>
            <w:tcW w:w="605" w:type="pct"/>
            <w:tcBorders>
              <w:top w:val="nil"/>
              <w:left w:val="nil"/>
              <w:bottom w:val="nil"/>
              <w:right w:val="nil"/>
            </w:tcBorders>
            <w:shd w:val="clear" w:color="auto" w:fill="auto"/>
            <w:noWrap/>
            <w:vAlign w:val="bottom"/>
            <w:hideMark/>
          </w:tcPr>
          <w:p w14:paraId="1CC03CAD"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2,579</w:t>
            </w:r>
          </w:p>
        </w:tc>
        <w:tc>
          <w:tcPr>
            <w:tcW w:w="605" w:type="pct"/>
            <w:tcBorders>
              <w:top w:val="nil"/>
              <w:left w:val="nil"/>
              <w:bottom w:val="nil"/>
              <w:right w:val="nil"/>
            </w:tcBorders>
            <w:shd w:val="clear" w:color="auto" w:fill="auto"/>
            <w:noWrap/>
            <w:vAlign w:val="bottom"/>
            <w:hideMark/>
          </w:tcPr>
          <w:p w14:paraId="15E47D56"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3,288</w:t>
            </w:r>
          </w:p>
        </w:tc>
      </w:tr>
      <w:tr w:rsidR="001C0F49" w:rsidRPr="00B63C9D" w14:paraId="3E53B0CE" w14:textId="77777777" w:rsidTr="009C12D1">
        <w:trPr>
          <w:trHeight w:val="204"/>
        </w:trPr>
        <w:tc>
          <w:tcPr>
            <w:tcW w:w="1974" w:type="pct"/>
            <w:tcBorders>
              <w:top w:val="nil"/>
              <w:left w:val="nil"/>
              <w:bottom w:val="nil"/>
              <w:right w:val="nil"/>
            </w:tcBorders>
            <w:shd w:val="clear" w:color="auto" w:fill="auto"/>
            <w:vAlign w:val="bottom"/>
            <w:hideMark/>
          </w:tcPr>
          <w:p w14:paraId="6383C638" w14:textId="77777777" w:rsidR="001C0F49" w:rsidRPr="009F6962" w:rsidRDefault="001C0F49" w:rsidP="00293BD0">
            <w:pPr>
              <w:spacing w:after="0" w:line="240" w:lineRule="auto"/>
              <w:ind w:left="113"/>
              <w:rPr>
                <w:rFonts w:ascii="Arial" w:hAnsi="Arial" w:cs="Arial"/>
                <w:color w:val="000000"/>
                <w:sz w:val="16"/>
                <w:szCs w:val="16"/>
              </w:rPr>
            </w:pPr>
            <w:r w:rsidRPr="009F6962">
              <w:rPr>
                <w:rFonts w:ascii="Arial" w:hAnsi="Arial" w:cs="Arial"/>
                <w:color w:val="000000"/>
                <w:sz w:val="16"/>
                <w:szCs w:val="16"/>
              </w:rPr>
              <w:t>Interest payments on lease liability</w:t>
            </w:r>
          </w:p>
        </w:tc>
        <w:tc>
          <w:tcPr>
            <w:tcW w:w="605" w:type="pct"/>
            <w:tcBorders>
              <w:top w:val="nil"/>
              <w:left w:val="nil"/>
              <w:bottom w:val="nil"/>
              <w:right w:val="nil"/>
            </w:tcBorders>
            <w:shd w:val="clear" w:color="auto" w:fill="auto"/>
            <w:noWrap/>
            <w:vAlign w:val="bottom"/>
            <w:hideMark/>
          </w:tcPr>
          <w:p w14:paraId="51584F40"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77</w:t>
            </w:r>
          </w:p>
        </w:tc>
        <w:tc>
          <w:tcPr>
            <w:tcW w:w="605" w:type="pct"/>
            <w:tcBorders>
              <w:top w:val="nil"/>
              <w:left w:val="nil"/>
              <w:bottom w:val="nil"/>
              <w:right w:val="nil"/>
            </w:tcBorders>
            <w:shd w:val="clear" w:color="auto" w:fill="E6E6E6"/>
            <w:noWrap/>
            <w:vAlign w:val="bottom"/>
            <w:hideMark/>
          </w:tcPr>
          <w:p w14:paraId="43E51C39"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94</w:t>
            </w:r>
          </w:p>
        </w:tc>
        <w:tc>
          <w:tcPr>
            <w:tcW w:w="605" w:type="pct"/>
            <w:tcBorders>
              <w:top w:val="nil"/>
              <w:left w:val="nil"/>
              <w:bottom w:val="nil"/>
              <w:right w:val="nil"/>
            </w:tcBorders>
            <w:shd w:val="clear" w:color="auto" w:fill="auto"/>
            <w:noWrap/>
            <w:vAlign w:val="bottom"/>
            <w:hideMark/>
          </w:tcPr>
          <w:p w14:paraId="4778859B"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80</w:t>
            </w:r>
          </w:p>
        </w:tc>
        <w:tc>
          <w:tcPr>
            <w:tcW w:w="605" w:type="pct"/>
            <w:tcBorders>
              <w:top w:val="nil"/>
              <w:left w:val="nil"/>
              <w:bottom w:val="nil"/>
              <w:right w:val="nil"/>
            </w:tcBorders>
            <w:shd w:val="clear" w:color="auto" w:fill="auto"/>
            <w:noWrap/>
            <w:vAlign w:val="bottom"/>
            <w:hideMark/>
          </w:tcPr>
          <w:p w14:paraId="75AA6F69"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60</w:t>
            </w:r>
          </w:p>
        </w:tc>
        <w:tc>
          <w:tcPr>
            <w:tcW w:w="605" w:type="pct"/>
            <w:tcBorders>
              <w:top w:val="nil"/>
              <w:left w:val="nil"/>
              <w:bottom w:val="nil"/>
              <w:right w:val="nil"/>
            </w:tcBorders>
            <w:shd w:val="clear" w:color="auto" w:fill="auto"/>
            <w:noWrap/>
            <w:vAlign w:val="bottom"/>
            <w:hideMark/>
          </w:tcPr>
          <w:p w14:paraId="268102C3" w14:textId="77777777" w:rsidR="001C0F49" w:rsidRPr="007C1BB2" w:rsidRDefault="001C0F49" w:rsidP="00293BD0">
            <w:pPr>
              <w:spacing w:after="0" w:line="240" w:lineRule="auto"/>
              <w:jc w:val="right"/>
              <w:rPr>
                <w:rFonts w:ascii="Arial" w:hAnsi="Arial" w:cs="Arial"/>
                <w:color w:val="000000"/>
                <w:sz w:val="16"/>
                <w:szCs w:val="16"/>
              </w:rPr>
            </w:pPr>
            <w:r w:rsidRPr="00EF1D6A">
              <w:rPr>
                <w:rFonts w:ascii="Arial" w:hAnsi="Arial" w:cs="Arial"/>
                <w:color w:val="000000"/>
                <w:sz w:val="16"/>
                <w:szCs w:val="16"/>
              </w:rPr>
              <w:t>36</w:t>
            </w:r>
          </w:p>
        </w:tc>
      </w:tr>
      <w:tr w:rsidR="001C0F49" w:rsidRPr="00B63C9D" w14:paraId="14697092" w14:textId="77777777" w:rsidTr="009C12D1">
        <w:trPr>
          <w:trHeight w:val="204"/>
        </w:trPr>
        <w:tc>
          <w:tcPr>
            <w:tcW w:w="1974" w:type="pct"/>
            <w:tcBorders>
              <w:top w:val="nil"/>
              <w:left w:val="nil"/>
              <w:bottom w:val="nil"/>
              <w:right w:val="nil"/>
            </w:tcBorders>
            <w:shd w:val="clear" w:color="auto" w:fill="auto"/>
            <w:noWrap/>
            <w:vAlign w:val="bottom"/>
            <w:hideMark/>
          </w:tcPr>
          <w:p w14:paraId="2BB2B0FE"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605" w:type="pct"/>
            <w:tcBorders>
              <w:top w:val="single" w:sz="4" w:space="0" w:color="000000"/>
              <w:left w:val="nil"/>
              <w:bottom w:val="nil"/>
              <w:right w:val="nil"/>
            </w:tcBorders>
            <w:shd w:val="clear" w:color="auto" w:fill="auto"/>
            <w:noWrap/>
            <w:vAlign w:val="bottom"/>
            <w:hideMark/>
          </w:tcPr>
          <w:p w14:paraId="013CD82B" w14:textId="77777777" w:rsidR="001C0F49" w:rsidRPr="007C1BB2" w:rsidRDefault="001C0F49" w:rsidP="00293BD0">
            <w:pPr>
              <w:spacing w:after="0" w:line="240" w:lineRule="auto"/>
              <w:jc w:val="right"/>
              <w:rPr>
                <w:rFonts w:ascii="Arial" w:hAnsi="Arial" w:cs="Arial"/>
                <w:b/>
                <w:bCs/>
                <w:i/>
                <w:iCs/>
                <w:color w:val="000000"/>
                <w:sz w:val="16"/>
                <w:szCs w:val="16"/>
              </w:rPr>
            </w:pPr>
            <w:r w:rsidRPr="00EF1D6A">
              <w:rPr>
                <w:rFonts w:ascii="Arial" w:hAnsi="Arial" w:cs="Arial"/>
                <w:b/>
                <w:bCs/>
                <w:i/>
                <w:iCs/>
                <w:color w:val="000000"/>
                <w:sz w:val="16"/>
                <w:szCs w:val="16"/>
              </w:rPr>
              <w:t>52,683</w:t>
            </w:r>
          </w:p>
        </w:tc>
        <w:tc>
          <w:tcPr>
            <w:tcW w:w="605" w:type="pct"/>
            <w:tcBorders>
              <w:top w:val="single" w:sz="4" w:space="0" w:color="000000"/>
              <w:left w:val="nil"/>
              <w:bottom w:val="nil"/>
              <w:right w:val="nil"/>
            </w:tcBorders>
            <w:shd w:val="clear" w:color="auto" w:fill="E6E6E6"/>
            <w:noWrap/>
            <w:vAlign w:val="bottom"/>
            <w:hideMark/>
          </w:tcPr>
          <w:p w14:paraId="163D9F93" w14:textId="77777777" w:rsidR="001C0F49" w:rsidRPr="007C1BB2" w:rsidRDefault="001C0F49" w:rsidP="00293BD0">
            <w:pPr>
              <w:spacing w:after="0" w:line="240" w:lineRule="auto"/>
              <w:jc w:val="right"/>
              <w:rPr>
                <w:rFonts w:ascii="Arial" w:hAnsi="Arial" w:cs="Arial"/>
                <w:b/>
                <w:bCs/>
                <w:i/>
                <w:iCs/>
                <w:color w:val="000000"/>
                <w:sz w:val="16"/>
                <w:szCs w:val="16"/>
              </w:rPr>
            </w:pPr>
            <w:r w:rsidRPr="00EF1D6A">
              <w:rPr>
                <w:rFonts w:ascii="Arial" w:hAnsi="Arial" w:cs="Arial"/>
                <w:b/>
                <w:bCs/>
                <w:i/>
                <w:iCs/>
                <w:color w:val="000000"/>
                <w:sz w:val="16"/>
                <w:szCs w:val="16"/>
              </w:rPr>
              <w:t>49,574</w:t>
            </w:r>
          </w:p>
        </w:tc>
        <w:tc>
          <w:tcPr>
            <w:tcW w:w="605" w:type="pct"/>
            <w:tcBorders>
              <w:top w:val="single" w:sz="4" w:space="0" w:color="000000"/>
              <w:left w:val="nil"/>
              <w:bottom w:val="nil"/>
              <w:right w:val="nil"/>
            </w:tcBorders>
            <w:shd w:val="clear" w:color="auto" w:fill="auto"/>
            <w:noWrap/>
            <w:vAlign w:val="bottom"/>
            <w:hideMark/>
          </w:tcPr>
          <w:p w14:paraId="551F757C" w14:textId="77777777" w:rsidR="001C0F49" w:rsidRPr="007C1BB2" w:rsidRDefault="001C0F49" w:rsidP="00293BD0">
            <w:pPr>
              <w:spacing w:after="0" w:line="240" w:lineRule="auto"/>
              <w:jc w:val="right"/>
              <w:rPr>
                <w:rFonts w:ascii="Arial" w:hAnsi="Arial" w:cs="Arial"/>
                <w:b/>
                <w:bCs/>
                <w:i/>
                <w:iCs/>
                <w:color w:val="000000"/>
                <w:sz w:val="16"/>
                <w:szCs w:val="16"/>
              </w:rPr>
            </w:pPr>
            <w:r w:rsidRPr="00EF1D6A">
              <w:rPr>
                <w:rFonts w:ascii="Arial" w:hAnsi="Arial" w:cs="Arial"/>
                <w:b/>
                <w:bCs/>
                <w:i/>
                <w:iCs/>
                <w:color w:val="000000"/>
                <w:sz w:val="16"/>
                <w:szCs w:val="16"/>
              </w:rPr>
              <w:t>40,616</w:t>
            </w:r>
          </w:p>
        </w:tc>
        <w:tc>
          <w:tcPr>
            <w:tcW w:w="605" w:type="pct"/>
            <w:tcBorders>
              <w:top w:val="single" w:sz="4" w:space="0" w:color="000000"/>
              <w:left w:val="nil"/>
              <w:bottom w:val="nil"/>
              <w:right w:val="nil"/>
            </w:tcBorders>
            <w:shd w:val="clear" w:color="auto" w:fill="auto"/>
            <w:noWrap/>
            <w:vAlign w:val="bottom"/>
            <w:hideMark/>
          </w:tcPr>
          <w:p w14:paraId="32EB0C66" w14:textId="77777777" w:rsidR="001C0F49" w:rsidRPr="007C1BB2" w:rsidRDefault="001C0F49" w:rsidP="00293BD0">
            <w:pPr>
              <w:spacing w:after="0" w:line="240" w:lineRule="auto"/>
              <w:jc w:val="right"/>
              <w:rPr>
                <w:rFonts w:ascii="Arial" w:hAnsi="Arial" w:cs="Arial"/>
                <w:b/>
                <w:bCs/>
                <w:i/>
                <w:iCs/>
                <w:color w:val="000000"/>
                <w:sz w:val="16"/>
                <w:szCs w:val="16"/>
              </w:rPr>
            </w:pPr>
            <w:r w:rsidRPr="00EF1D6A">
              <w:rPr>
                <w:rFonts w:ascii="Arial" w:hAnsi="Arial" w:cs="Arial"/>
                <w:b/>
                <w:bCs/>
                <w:i/>
                <w:iCs/>
                <w:color w:val="000000"/>
                <w:sz w:val="16"/>
                <w:szCs w:val="16"/>
              </w:rPr>
              <w:t>43,861</w:t>
            </w:r>
          </w:p>
        </w:tc>
        <w:tc>
          <w:tcPr>
            <w:tcW w:w="605" w:type="pct"/>
            <w:tcBorders>
              <w:top w:val="single" w:sz="4" w:space="0" w:color="000000"/>
              <w:left w:val="nil"/>
              <w:bottom w:val="nil"/>
              <w:right w:val="nil"/>
            </w:tcBorders>
            <w:shd w:val="clear" w:color="auto" w:fill="auto"/>
            <w:noWrap/>
            <w:vAlign w:val="bottom"/>
            <w:hideMark/>
          </w:tcPr>
          <w:p w14:paraId="7E4767E3" w14:textId="77777777" w:rsidR="001C0F49" w:rsidRPr="007C1BB2" w:rsidRDefault="001C0F49" w:rsidP="00293BD0">
            <w:pPr>
              <w:spacing w:after="0" w:line="240" w:lineRule="auto"/>
              <w:jc w:val="right"/>
              <w:rPr>
                <w:rFonts w:ascii="Arial" w:hAnsi="Arial" w:cs="Arial"/>
                <w:b/>
                <w:bCs/>
                <w:i/>
                <w:iCs/>
                <w:color w:val="000000"/>
                <w:sz w:val="16"/>
                <w:szCs w:val="16"/>
              </w:rPr>
            </w:pPr>
            <w:r w:rsidRPr="00EF1D6A">
              <w:rPr>
                <w:rFonts w:ascii="Arial" w:hAnsi="Arial" w:cs="Arial"/>
                <w:b/>
                <w:bCs/>
                <w:i/>
                <w:iCs/>
                <w:color w:val="000000"/>
                <w:sz w:val="16"/>
                <w:szCs w:val="16"/>
              </w:rPr>
              <w:t>44,697</w:t>
            </w:r>
          </w:p>
        </w:tc>
      </w:tr>
      <w:tr w:rsidR="001C0F49" w:rsidRPr="00B63C9D" w14:paraId="485CF6D1" w14:textId="77777777" w:rsidTr="009C12D1">
        <w:trPr>
          <w:trHeight w:val="204"/>
        </w:trPr>
        <w:tc>
          <w:tcPr>
            <w:tcW w:w="1974" w:type="pct"/>
            <w:tcBorders>
              <w:top w:val="nil"/>
              <w:left w:val="nil"/>
              <w:bottom w:val="nil"/>
              <w:right w:val="nil"/>
            </w:tcBorders>
            <w:shd w:val="clear" w:color="auto" w:fill="auto"/>
            <w:vAlign w:val="bottom"/>
            <w:hideMark/>
          </w:tcPr>
          <w:p w14:paraId="2C104351"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Net cash from/(used by) operating activities</w:t>
            </w:r>
          </w:p>
        </w:tc>
        <w:tc>
          <w:tcPr>
            <w:tcW w:w="605" w:type="pct"/>
            <w:tcBorders>
              <w:top w:val="single" w:sz="4" w:space="0" w:color="auto"/>
              <w:left w:val="nil"/>
              <w:bottom w:val="single" w:sz="4" w:space="0" w:color="auto"/>
              <w:right w:val="nil"/>
            </w:tcBorders>
            <w:shd w:val="clear" w:color="auto" w:fill="auto"/>
            <w:noWrap/>
            <w:vAlign w:val="bottom"/>
            <w:hideMark/>
          </w:tcPr>
          <w:p w14:paraId="06F34FB3"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5,919</w:t>
            </w:r>
          </w:p>
        </w:tc>
        <w:tc>
          <w:tcPr>
            <w:tcW w:w="605" w:type="pct"/>
            <w:tcBorders>
              <w:top w:val="single" w:sz="4" w:space="0" w:color="auto"/>
              <w:left w:val="nil"/>
              <w:bottom w:val="single" w:sz="4" w:space="0" w:color="auto"/>
              <w:right w:val="nil"/>
            </w:tcBorders>
            <w:shd w:val="clear" w:color="auto" w:fill="E6E6E6"/>
            <w:noWrap/>
            <w:vAlign w:val="bottom"/>
            <w:hideMark/>
          </w:tcPr>
          <w:p w14:paraId="3F452E44"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12</w:t>
            </w:r>
            <w:r w:rsidRPr="007C1BB2">
              <w:rPr>
                <w:rFonts w:ascii="Arial" w:hAnsi="Arial" w:cs="Arial"/>
                <w:b/>
                <w:bCs/>
                <w:color w:val="000000"/>
                <w:sz w:val="16"/>
                <w:szCs w:val="16"/>
              </w:rPr>
              <w:t>,</w:t>
            </w:r>
            <w:r>
              <w:rPr>
                <w:rFonts w:ascii="Arial" w:hAnsi="Arial" w:cs="Arial"/>
                <w:b/>
                <w:bCs/>
                <w:color w:val="000000"/>
                <w:sz w:val="16"/>
                <w:szCs w:val="16"/>
              </w:rPr>
              <w:t>9</w:t>
            </w:r>
            <w:r w:rsidRPr="007C1BB2">
              <w:rPr>
                <w:rFonts w:ascii="Arial" w:hAnsi="Arial" w:cs="Arial"/>
                <w:b/>
                <w:bCs/>
                <w:color w:val="000000"/>
                <w:sz w:val="16"/>
                <w:szCs w:val="16"/>
              </w:rPr>
              <w:t>18</w:t>
            </w:r>
          </w:p>
        </w:tc>
        <w:tc>
          <w:tcPr>
            <w:tcW w:w="605" w:type="pct"/>
            <w:tcBorders>
              <w:top w:val="single" w:sz="4" w:space="0" w:color="auto"/>
              <w:left w:val="nil"/>
              <w:bottom w:val="single" w:sz="4" w:space="0" w:color="auto"/>
              <w:right w:val="nil"/>
            </w:tcBorders>
            <w:shd w:val="clear" w:color="auto" w:fill="auto"/>
            <w:noWrap/>
            <w:vAlign w:val="bottom"/>
            <w:hideMark/>
          </w:tcPr>
          <w:p w14:paraId="5C0CAEEF"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9,651</w:t>
            </w:r>
          </w:p>
        </w:tc>
        <w:tc>
          <w:tcPr>
            <w:tcW w:w="605" w:type="pct"/>
            <w:tcBorders>
              <w:top w:val="single" w:sz="4" w:space="0" w:color="auto"/>
              <w:left w:val="nil"/>
              <w:bottom w:val="single" w:sz="4" w:space="0" w:color="auto"/>
              <w:right w:val="nil"/>
            </w:tcBorders>
            <w:shd w:val="clear" w:color="auto" w:fill="auto"/>
            <w:noWrap/>
            <w:vAlign w:val="bottom"/>
            <w:hideMark/>
          </w:tcPr>
          <w:p w14:paraId="6D9FE48F"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9,895</w:t>
            </w:r>
          </w:p>
        </w:tc>
        <w:tc>
          <w:tcPr>
            <w:tcW w:w="605" w:type="pct"/>
            <w:tcBorders>
              <w:top w:val="single" w:sz="4" w:space="0" w:color="auto"/>
              <w:left w:val="nil"/>
              <w:bottom w:val="single" w:sz="4" w:space="0" w:color="auto"/>
              <w:right w:val="nil"/>
            </w:tcBorders>
            <w:shd w:val="clear" w:color="auto" w:fill="auto"/>
            <w:noWrap/>
            <w:vAlign w:val="bottom"/>
            <w:hideMark/>
          </w:tcPr>
          <w:p w14:paraId="2A1024B5"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10,142</w:t>
            </w:r>
          </w:p>
        </w:tc>
      </w:tr>
      <w:tr w:rsidR="001C0F49" w:rsidRPr="00B63C9D" w14:paraId="4097D6AF" w14:textId="77777777" w:rsidTr="009C12D1">
        <w:trPr>
          <w:trHeight w:val="204"/>
        </w:trPr>
        <w:tc>
          <w:tcPr>
            <w:tcW w:w="1974" w:type="pct"/>
            <w:tcBorders>
              <w:top w:val="nil"/>
              <w:left w:val="nil"/>
              <w:bottom w:val="nil"/>
              <w:right w:val="nil"/>
            </w:tcBorders>
            <w:shd w:val="clear" w:color="auto" w:fill="auto"/>
            <w:noWrap/>
            <w:vAlign w:val="bottom"/>
            <w:hideMark/>
          </w:tcPr>
          <w:p w14:paraId="31757935"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INVESTING ACTIVITIES</w:t>
            </w:r>
          </w:p>
        </w:tc>
        <w:tc>
          <w:tcPr>
            <w:tcW w:w="605" w:type="pct"/>
            <w:tcBorders>
              <w:top w:val="nil"/>
              <w:left w:val="nil"/>
              <w:bottom w:val="nil"/>
              <w:right w:val="nil"/>
            </w:tcBorders>
            <w:shd w:val="clear" w:color="auto" w:fill="auto"/>
            <w:noWrap/>
            <w:vAlign w:val="bottom"/>
            <w:hideMark/>
          </w:tcPr>
          <w:p w14:paraId="02B7B276"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C4601ED"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4C4CFA0"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0D5DCE2C"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62BB256E"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6137F2EB" w14:textId="77777777" w:rsidTr="009C12D1">
        <w:trPr>
          <w:trHeight w:val="204"/>
        </w:trPr>
        <w:tc>
          <w:tcPr>
            <w:tcW w:w="1974" w:type="pct"/>
            <w:tcBorders>
              <w:top w:val="nil"/>
              <w:left w:val="nil"/>
              <w:bottom w:val="nil"/>
              <w:right w:val="nil"/>
            </w:tcBorders>
            <w:shd w:val="clear" w:color="auto" w:fill="auto"/>
            <w:noWrap/>
            <w:vAlign w:val="bottom"/>
            <w:hideMark/>
          </w:tcPr>
          <w:p w14:paraId="1C13DCBB"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107ADA7"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E9DB097"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628C7149"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40E2F4F5"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5DDC2302"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22DB7C42" w14:textId="77777777" w:rsidTr="009C12D1">
        <w:trPr>
          <w:trHeight w:val="204"/>
        </w:trPr>
        <w:tc>
          <w:tcPr>
            <w:tcW w:w="1974" w:type="pct"/>
            <w:tcBorders>
              <w:top w:val="nil"/>
              <w:left w:val="nil"/>
              <w:bottom w:val="nil"/>
              <w:right w:val="nil"/>
            </w:tcBorders>
            <w:shd w:val="clear" w:color="auto" w:fill="auto"/>
            <w:noWrap/>
            <w:vAlign w:val="bottom"/>
            <w:hideMark/>
          </w:tcPr>
          <w:p w14:paraId="3A6F107E"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Investments</w:t>
            </w:r>
          </w:p>
        </w:tc>
        <w:tc>
          <w:tcPr>
            <w:tcW w:w="605" w:type="pct"/>
            <w:tcBorders>
              <w:top w:val="nil"/>
              <w:left w:val="nil"/>
              <w:bottom w:val="nil"/>
              <w:right w:val="nil"/>
            </w:tcBorders>
            <w:shd w:val="clear" w:color="auto" w:fill="auto"/>
            <w:noWrap/>
            <w:vAlign w:val="bottom"/>
            <w:hideMark/>
          </w:tcPr>
          <w:p w14:paraId="51D8738F"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3,500</w:t>
            </w:r>
          </w:p>
        </w:tc>
        <w:tc>
          <w:tcPr>
            <w:tcW w:w="605" w:type="pct"/>
            <w:tcBorders>
              <w:top w:val="nil"/>
              <w:left w:val="nil"/>
              <w:bottom w:val="nil"/>
              <w:right w:val="nil"/>
            </w:tcBorders>
            <w:shd w:val="clear" w:color="auto" w:fill="E6E6E6"/>
            <w:noWrap/>
            <w:vAlign w:val="bottom"/>
            <w:hideMark/>
          </w:tcPr>
          <w:p w14:paraId="77D62138"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6CC54D3D"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68310C94"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c>
          <w:tcPr>
            <w:tcW w:w="605" w:type="pct"/>
            <w:tcBorders>
              <w:top w:val="nil"/>
              <w:left w:val="nil"/>
              <w:bottom w:val="nil"/>
              <w:right w:val="nil"/>
            </w:tcBorders>
            <w:shd w:val="clear" w:color="auto" w:fill="auto"/>
            <w:noWrap/>
            <w:vAlign w:val="bottom"/>
            <w:hideMark/>
          </w:tcPr>
          <w:p w14:paraId="3CBC6780"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w:t>
            </w:r>
          </w:p>
        </w:tc>
      </w:tr>
      <w:tr w:rsidR="001C0F49" w:rsidRPr="00B63C9D" w14:paraId="6D51DE64" w14:textId="77777777" w:rsidTr="009C12D1">
        <w:trPr>
          <w:trHeight w:val="204"/>
        </w:trPr>
        <w:tc>
          <w:tcPr>
            <w:tcW w:w="1974" w:type="pct"/>
            <w:tcBorders>
              <w:top w:val="nil"/>
              <w:left w:val="nil"/>
              <w:bottom w:val="nil"/>
              <w:right w:val="nil"/>
            </w:tcBorders>
            <w:shd w:val="clear" w:color="auto" w:fill="auto"/>
            <w:noWrap/>
            <w:vAlign w:val="bottom"/>
            <w:hideMark/>
          </w:tcPr>
          <w:p w14:paraId="593AB2E3"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3BED902C"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3,500</w:t>
            </w:r>
          </w:p>
        </w:tc>
        <w:tc>
          <w:tcPr>
            <w:tcW w:w="605" w:type="pct"/>
            <w:tcBorders>
              <w:top w:val="single" w:sz="4" w:space="0" w:color="000000"/>
              <w:left w:val="nil"/>
              <w:bottom w:val="single" w:sz="4" w:space="0" w:color="000000"/>
              <w:right w:val="nil"/>
            </w:tcBorders>
            <w:shd w:val="clear" w:color="auto" w:fill="E6E6E6"/>
            <w:noWrap/>
            <w:vAlign w:val="bottom"/>
            <w:hideMark/>
          </w:tcPr>
          <w:p w14:paraId="23C0BC6E"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05" w:type="pct"/>
            <w:tcBorders>
              <w:top w:val="single" w:sz="4" w:space="0" w:color="000000"/>
              <w:left w:val="nil"/>
              <w:bottom w:val="single" w:sz="4" w:space="0" w:color="000000"/>
              <w:right w:val="nil"/>
            </w:tcBorders>
            <w:shd w:val="clear" w:color="auto" w:fill="auto"/>
            <w:noWrap/>
            <w:vAlign w:val="bottom"/>
            <w:hideMark/>
          </w:tcPr>
          <w:p w14:paraId="340996A3"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05" w:type="pct"/>
            <w:tcBorders>
              <w:top w:val="single" w:sz="4" w:space="0" w:color="000000"/>
              <w:left w:val="nil"/>
              <w:bottom w:val="single" w:sz="4" w:space="0" w:color="000000"/>
              <w:right w:val="nil"/>
            </w:tcBorders>
            <w:shd w:val="clear" w:color="auto" w:fill="auto"/>
            <w:noWrap/>
            <w:vAlign w:val="bottom"/>
            <w:hideMark/>
          </w:tcPr>
          <w:p w14:paraId="6EE4BA69"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c>
          <w:tcPr>
            <w:tcW w:w="605" w:type="pct"/>
            <w:tcBorders>
              <w:top w:val="single" w:sz="4" w:space="0" w:color="000000"/>
              <w:left w:val="nil"/>
              <w:bottom w:val="single" w:sz="4" w:space="0" w:color="000000"/>
              <w:right w:val="nil"/>
            </w:tcBorders>
            <w:shd w:val="clear" w:color="auto" w:fill="auto"/>
            <w:noWrap/>
            <w:vAlign w:val="bottom"/>
            <w:hideMark/>
          </w:tcPr>
          <w:p w14:paraId="57D04E1F"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w:t>
            </w:r>
          </w:p>
        </w:tc>
      </w:tr>
      <w:tr w:rsidR="001C0F49" w:rsidRPr="00B63C9D" w14:paraId="3FC0DE21" w14:textId="77777777" w:rsidTr="009C12D1">
        <w:trPr>
          <w:trHeight w:val="204"/>
        </w:trPr>
        <w:tc>
          <w:tcPr>
            <w:tcW w:w="1974" w:type="pct"/>
            <w:tcBorders>
              <w:top w:val="nil"/>
              <w:left w:val="nil"/>
              <w:bottom w:val="nil"/>
              <w:right w:val="nil"/>
            </w:tcBorders>
            <w:shd w:val="clear" w:color="auto" w:fill="auto"/>
            <w:noWrap/>
            <w:vAlign w:val="bottom"/>
            <w:hideMark/>
          </w:tcPr>
          <w:p w14:paraId="78CD8814"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7FEA5AE0"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5CAD4E11"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7F98C467"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2B3A8A5"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615973EB"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5EDDD00A" w14:textId="77777777" w:rsidTr="009C12D1">
        <w:trPr>
          <w:trHeight w:val="204"/>
        </w:trPr>
        <w:tc>
          <w:tcPr>
            <w:tcW w:w="1974" w:type="pct"/>
            <w:tcBorders>
              <w:top w:val="nil"/>
              <w:left w:val="nil"/>
              <w:bottom w:val="nil"/>
              <w:right w:val="nil"/>
            </w:tcBorders>
            <w:shd w:val="clear" w:color="auto" w:fill="auto"/>
            <w:vAlign w:val="bottom"/>
            <w:hideMark/>
          </w:tcPr>
          <w:p w14:paraId="65167712"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Purchase of property, plant and equipment and intangibles</w:t>
            </w:r>
          </w:p>
        </w:tc>
        <w:tc>
          <w:tcPr>
            <w:tcW w:w="605" w:type="pct"/>
            <w:tcBorders>
              <w:top w:val="nil"/>
              <w:left w:val="nil"/>
              <w:bottom w:val="nil"/>
              <w:right w:val="nil"/>
            </w:tcBorders>
            <w:shd w:val="clear" w:color="auto" w:fill="auto"/>
            <w:noWrap/>
            <w:vAlign w:val="bottom"/>
            <w:hideMark/>
          </w:tcPr>
          <w:p w14:paraId="29E2DAA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13,</w:t>
            </w:r>
            <w:r>
              <w:rPr>
                <w:rFonts w:ascii="Arial" w:hAnsi="Arial" w:cs="Arial"/>
                <w:color w:val="000000"/>
                <w:sz w:val="16"/>
                <w:szCs w:val="16"/>
              </w:rPr>
              <w:t>872</w:t>
            </w:r>
          </w:p>
        </w:tc>
        <w:tc>
          <w:tcPr>
            <w:tcW w:w="605" w:type="pct"/>
            <w:tcBorders>
              <w:top w:val="nil"/>
              <w:left w:val="nil"/>
              <w:bottom w:val="nil"/>
              <w:right w:val="nil"/>
            </w:tcBorders>
            <w:shd w:val="clear" w:color="auto" w:fill="E6E6E6"/>
            <w:noWrap/>
            <w:vAlign w:val="bottom"/>
            <w:hideMark/>
          </w:tcPr>
          <w:p w14:paraId="7EEA64AB"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9,767</w:t>
            </w:r>
          </w:p>
        </w:tc>
        <w:tc>
          <w:tcPr>
            <w:tcW w:w="605" w:type="pct"/>
            <w:tcBorders>
              <w:top w:val="nil"/>
              <w:left w:val="nil"/>
              <w:bottom w:val="nil"/>
              <w:right w:val="nil"/>
            </w:tcBorders>
            <w:shd w:val="clear" w:color="auto" w:fill="auto"/>
            <w:noWrap/>
            <w:vAlign w:val="bottom"/>
            <w:hideMark/>
          </w:tcPr>
          <w:p w14:paraId="012502F0"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10,0</w:t>
            </w:r>
            <w:r>
              <w:rPr>
                <w:rFonts w:ascii="Arial" w:hAnsi="Arial" w:cs="Arial"/>
                <w:color w:val="000000"/>
                <w:sz w:val="16"/>
                <w:szCs w:val="16"/>
              </w:rPr>
              <w:t>8</w:t>
            </w:r>
            <w:r w:rsidRPr="007C1BB2">
              <w:rPr>
                <w:rFonts w:ascii="Arial" w:hAnsi="Arial" w:cs="Arial"/>
                <w:color w:val="000000"/>
                <w:sz w:val="16"/>
                <w:szCs w:val="16"/>
              </w:rPr>
              <w:t>8</w:t>
            </w:r>
          </w:p>
        </w:tc>
        <w:tc>
          <w:tcPr>
            <w:tcW w:w="605" w:type="pct"/>
            <w:tcBorders>
              <w:top w:val="nil"/>
              <w:left w:val="nil"/>
              <w:bottom w:val="nil"/>
              <w:right w:val="nil"/>
            </w:tcBorders>
            <w:shd w:val="clear" w:color="auto" w:fill="auto"/>
            <w:noWrap/>
            <w:vAlign w:val="bottom"/>
            <w:hideMark/>
          </w:tcPr>
          <w:p w14:paraId="03EE6CC2"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10,</w:t>
            </w:r>
            <w:r>
              <w:rPr>
                <w:rFonts w:ascii="Arial" w:hAnsi="Arial" w:cs="Arial"/>
                <w:color w:val="000000"/>
                <w:sz w:val="16"/>
                <w:szCs w:val="16"/>
              </w:rPr>
              <w:t>362</w:t>
            </w:r>
          </w:p>
        </w:tc>
        <w:tc>
          <w:tcPr>
            <w:tcW w:w="605" w:type="pct"/>
            <w:tcBorders>
              <w:top w:val="nil"/>
              <w:left w:val="nil"/>
              <w:bottom w:val="nil"/>
              <w:right w:val="nil"/>
            </w:tcBorders>
            <w:shd w:val="clear" w:color="auto" w:fill="auto"/>
            <w:noWrap/>
            <w:vAlign w:val="bottom"/>
            <w:hideMark/>
          </w:tcPr>
          <w:p w14:paraId="6CCF1176"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10,</w:t>
            </w:r>
            <w:r>
              <w:rPr>
                <w:rFonts w:ascii="Arial" w:hAnsi="Arial" w:cs="Arial"/>
                <w:color w:val="000000"/>
                <w:sz w:val="16"/>
                <w:szCs w:val="16"/>
              </w:rPr>
              <w:t>630</w:t>
            </w:r>
          </w:p>
        </w:tc>
      </w:tr>
      <w:tr w:rsidR="001C0F49" w:rsidRPr="00B63C9D" w14:paraId="4A211F0F" w14:textId="77777777" w:rsidTr="009C12D1">
        <w:trPr>
          <w:trHeight w:val="204"/>
        </w:trPr>
        <w:tc>
          <w:tcPr>
            <w:tcW w:w="1974" w:type="pct"/>
            <w:tcBorders>
              <w:top w:val="nil"/>
              <w:left w:val="nil"/>
              <w:bottom w:val="nil"/>
              <w:right w:val="nil"/>
            </w:tcBorders>
            <w:shd w:val="clear" w:color="auto" w:fill="auto"/>
            <w:noWrap/>
            <w:vAlign w:val="bottom"/>
            <w:hideMark/>
          </w:tcPr>
          <w:p w14:paraId="7E82E712"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7EE79CC4"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13,</w:t>
            </w:r>
            <w:r>
              <w:rPr>
                <w:rFonts w:ascii="Arial" w:hAnsi="Arial" w:cs="Arial"/>
                <w:b/>
                <w:bCs/>
                <w:i/>
                <w:iCs/>
                <w:color w:val="000000"/>
                <w:sz w:val="16"/>
                <w:szCs w:val="16"/>
              </w:rPr>
              <w:t>872</w:t>
            </w:r>
          </w:p>
        </w:tc>
        <w:tc>
          <w:tcPr>
            <w:tcW w:w="605" w:type="pct"/>
            <w:tcBorders>
              <w:top w:val="single" w:sz="4" w:space="0" w:color="000000"/>
              <w:left w:val="nil"/>
              <w:bottom w:val="single" w:sz="4" w:space="0" w:color="000000"/>
              <w:right w:val="nil"/>
            </w:tcBorders>
            <w:shd w:val="clear" w:color="auto" w:fill="E6E6E6"/>
            <w:noWrap/>
            <w:vAlign w:val="bottom"/>
            <w:hideMark/>
          </w:tcPr>
          <w:p w14:paraId="1675F587"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9,767</w:t>
            </w:r>
          </w:p>
        </w:tc>
        <w:tc>
          <w:tcPr>
            <w:tcW w:w="605" w:type="pct"/>
            <w:tcBorders>
              <w:top w:val="single" w:sz="4" w:space="0" w:color="000000"/>
              <w:left w:val="nil"/>
              <w:bottom w:val="single" w:sz="4" w:space="0" w:color="000000"/>
              <w:right w:val="nil"/>
            </w:tcBorders>
            <w:shd w:val="clear" w:color="auto" w:fill="auto"/>
            <w:noWrap/>
            <w:vAlign w:val="bottom"/>
            <w:hideMark/>
          </w:tcPr>
          <w:p w14:paraId="46590C4B"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10,0</w:t>
            </w:r>
            <w:r>
              <w:rPr>
                <w:rFonts w:ascii="Arial" w:hAnsi="Arial" w:cs="Arial"/>
                <w:b/>
                <w:bCs/>
                <w:i/>
                <w:iCs/>
                <w:color w:val="000000"/>
                <w:sz w:val="16"/>
                <w:szCs w:val="16"/>
              </w:rPr>
              <w:t>8</w:t>
            </w:r>
            <w:r w:rsidRPr="007C1BB2">
              <w:rPr>
                <w:rFonts w:ascii="Arial" w:hAnsi="Arial" w:cs="Arial"/>
                <w:b/>
                <w:bCs/>
                <w:i/>
                <w:iCs/>
                <w:color w:val="000000"/>
                <w:sz w:val="16"/>
                <w:szCs w:val="16"/>
              </w:rPr>
              <w:t>8</w:t>
            </w:r>
          </w:p>
        </w:tc>
        <w:tc>
          <w:tcPr>
            <w:tcW w:w="605" w:type="pct"/>
            <w:tcBorders>
              <w:top w:val="single" w:sz="4" w:space="0" w:color="000000"/>
              <w:left w:val="nil"/>
              <w:bottom w:val="single" w:sz="4" w:space="0" w:color="000000"/>
              <w:right w:val="nil"/>
            </w:tcBorders>
            <w:shd w:val="clear" w:color="auto" w:fill="auto"/>
            <w:noWrap/>
            <w:vAlign w:val="bottom"/>
            <w:hideMark/>
          </w:tcPr>
          <w:p w14:paraId="61396153" w14:textId="77777777" w:rsidR="001C0F49" w:rsidRPr="007C1BB2" w:rsidRDefault="001C0F49" w:rsidP="00293BD0">
            <w:pPr>
              <w:spacing w:after="0" w:line="240" w:lineRule="auto"/>
              <w:jc w:val="right"/>
              <w:rPr>
                <w:rFonts w:ascii="Arial" w:hAnsi="Arial" w:cs="Arial"/>
                <w:b/>
                <w:bCs/>
                <w:i/>
                <w:iCs/>
                <w:color w:val="000000"/>
                <w:sz w:val="16"/>
                <w:szCs w:val="16"/>
              </w:rPr>
            </w:pPr>
            <w:r w:rsidRPr="007C1BB2">
              <w:rPr>
                <w:rFonts w:ascii="Arial" w:hAnsi="Arial" w:cs="Arial"/>
                <w:b/>
                <w:bCs/>
                <w:i/>
                <w:iCs/>
                <w:color w:val="000000"/>
                <w:sz w:val="16"/>
                <w:szCs w:val="16"/>
              </w:rPr>
              <w:t>10,</w:t>
            </w:r>
            <w:r>
              <w:rPr>
                <w:rFonts w:ascii="Arial" w:hAnsi="Arial" w:cs="Arial"/>
                <w:b/>
                <w:bCs/>
                <w:i/>
                <w:iCs/>
                <w:color w:val="000000"/>
                <w:sz w:val="16"/>
                <w:szCs w:val="16"/>
              </w:rPr>
              <w:t>36</w:t>
            </w:r>
            <w:r w:rsidRPr="007C1BB2">
              <w:rPr>
                <w:rFonts w:ascii="Arial" w:hAnsi="Arial" w:cs="Arial"/>
                <w:b/>
                <w:bCs/>
                <w:i/>
                <w:iCs/>
                <w:color w:val="000000"/>
                <w:sz w:val="16"/>
                <w:szCs w:val="16"/>
              </w:rPr>
              <w:t>2</w:t>
            </w:r>
          </w:p>
        </w:tc>
        <w:tc>
          <w:tcPr>
            <w:tcW w:w="605" w:type="pct"/>
            <w:tcBorders>
              <w:top w:val="single" w:sz="4" w:space="0" w:color="000000"/>
              <w:left w:val="nil"/>
              <w:bottom w:val="single" w:sz="4" w:space="0" w:color="000000"/>
              <w:right w:val="nil"/>
            </w:tcBorders>
            <w:shd w:val="clear" w:color="auto" w:fill="auto"/>
            <w:noWrap/>
            <w:vAlign w:val="bottom"/>
            <w:hideMark/>
          </w:tcPr>
          <w:p w14:paraId="7157A350" w14:textId="77777777" w:rsidR="001C0F49" w:rsidRPr="007C1BB2" w:rsidRDefault="001C0F49" w:rsidP="00293BD0">
            <w:pPr>
              <w:spacing w:after="0" w:line="240" w:lineRule="auto"/>
              <w:jc w:val="right"/>
              <w:rPr>
                <w:rFonts w:ascii="Arial" w:hAnsi="Arial" w:cs="Arial"/>
                <w:b/>
                <w:bCs/>
                <w:i/>
                <w:iCs/>
                <w:color w:val="000000"/>
                <w:sz w:val="16"/>
                <w:szCs w:val="16"/>
              </w:rPr>
            </w:pPr>
            <w:r>
              <w:rPr>
                <w:rFonts w:ascii="Arial" w:hAnsi="Arial" w:cs="Arial"/>
                <w:b/>
                <w:bCs/>
                <w:i/>
                <w:iCs/>
                <w:color w:val="000000"/>
                <w:sz w:val="16"/>
                <w:szCs w:val="16"/>
              </w:rPr>
              <w:t>10,630</w:t>
            </w:r>
          </w:p>
        </w:tc>
      </w:tr>
      <w:tr w:rsidR="001C0F49" w:rsidRPr="00B63C9D" w14:paraId="4A0448C3" w14:textId="77777777" w:rsidTr="009C12D1">
        <w:trPr>
          <w:trHeight w:val="204"/>
        </w:trPr>
        <w:tc>
          <w:tcPr>
            <w:tcW w:w="1974" w:type="pct"/>
            <w:tcBorders>
              <w:top w:val="nil"/>
              <w:left w:val="nil"/>
              <w:bottom w:val="nil"/>
              <w:right w:val="nil"/>
            </w:tcBorders>
            <w:shd w:val="clear" w:color="auto" w:fill="auto"/>
            <w:vAlign w:val="bottom"/>
            <w:hideMark/>
          </w:tcPr>
          <w:p w14:paraId="73B16AF9"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Net cash from/(used by) investing activities</w:t>
            </w:r>
          </w:p>
        </w:tc>
        <w:tc>
          <w:tcPr>
            <w:tcW w:w="605" w:type="pct"/>
            <w:tcBorders>
              <w:top w:val="single" w:sz="4" w:space="0" w:color="000000"/>
              <w:left w:val="nil"/>
              <w:bottom w:val="single" w:sz="4" w:space="0" w:color="auto"/>
              <w:right w:val="nil"/>
            </w:tcBorders>
            <w:shd w:val="clear" w:color="auto" w:fill="auto"/>
            <w:noWrap/>
            <w:vAlign w:val="bottom"/>
            <w:hideMark/>
          </w:tcPr>
          <w:p w14:paraId="7861BB34"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w:t>
            </w:r>
            <w:r>
              <w:rPr>
                <w:rFonts w:ascii="Arial" w:hAnsi="Arial" w:cs="Arial"/>
                <w:b/>
                <w:bCs/>
                <w:color w:val="000000"/>
                <w:sz w:val="16"/>
                <w:szCs w:val="16"/>
              </w:rPr>
              <w:t>10,372</w:t>
            </w:r>
            <w:r w:rsidRPr="007C1BB2">
              <w:rPr>
                <w:rFonts w:ascii="Arial" w:hAnsi="Arial" w:cs="Arial"/>
                <w:b/>
                <w:bCs/>
                <w:color w:val="000000"/>
                <w:sz w:val="16"/>
                <w:szCs w:val="16"/>
              </w:rPr>
              <w:t>)</w:t>
            </w:r>
          </w:p>
        </w:tc>
        <w:tc>
          <w:tcPr>
            <w:tcW w:w="605" w:type="pct"/>
            <w:tcBorders>
              <w:top w:val="single" w:sz="4" w:space="0" w:color="000000"/>
              <w:left w:val="nil"/>
              <w:bottom w:val="single" w:sz="4" w:space="0" w:color="auto"/>
              <w:right w:val="nil"/>
            </w:tcBorders>
            <w:shd w:val="clear" w:color="auto" w:fill="E6E6E6"/>
            <w:noWrap/>
            <w:vAlign w:val="bottom"/>
            <w:hideMark/>
          </w:tcPr>
          <w:p w14:paraId="5857B7B2"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(9,767)</w:t>
            </w:r>
          </w:p>
        </w:tc>
        <w:tc>
          <w:tcPr>
            <w:tcW w:w="605" w:type="pct"/>
            <w:tcBorders>
              <w:top w:val="single" w:sz="4" w:space="0" w:color="000000"/>
              <w:left w:val="nil"/>
              <w:bottom w:val="single" w:sz="4" w:space="0" w:color="auto"/>
              <w:right w:val="nil"/>
            </w:tcBorders>
            <w:shd w:val="clear" w:color="auto" w:fill="auto"/>
            <w:noWrap/>
            <w:vAlign w:val="bottom"/>
            <w:hideMark/>
          </w:tcPr>
          <w:p w14:paraId="382F009B"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(10,0</w:t>
            </w:r>
            <w:r>
              <w:rPr>
                <w:rFonts w:ascii="Arial" w:hAnsi="Arial" w:cs="Arial"/>
                <w:b/>
                <w:bCs/>
                <w:color w:val="000000"/>
                <w:sz w:val="16"/>
                <w:szCs w:val="16"/>
              </w:rPr>
              <w:t>8</w:t>
            </w:r>
            <w:r w:rsidRPr="007C1BB2">
              <w:rPr>
                <w:rFonts w:ascii="Arial" w:hAnsi="Arial" w:cs="Arial"/>
                <w:b/>
                <w:bCs/>
                <w:color w:val="000000"/>
                <w:sz w:val="16"/>
                <w:szCs w:val="16"/>
              </w:rPr>
              <w:t>8)</w:t>
            </w:r>
          </w:p>
        </w:tc>
        <w:tc>
          <w:tcPr>
            <w:tcW w:w="605" w:type="pct"/>
            <w:tcBorders>
              <w:top w:val="single" w:sz="4" w:space="0" w:color="000000"/>
              <w:left w:val="nil"/>
              <w:bottom w:val="single" w:sz="4" w:space="0" w:color="auto"/>
              <w:right w:val="nil"/>
            </w:tcBorders>
            <w:shd w:val="clear" w:color="auto" w:fill="auto"/>
            <w:noWrap/>
            <w:vAlign w:val="bottom"/>
            <w:hideMark/>
          </w:tcPr>
          <w:p w14:paraId="7E370515"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w:t>
            </w:r>
            <w:r>
              <w:rPr>
                <w:rFonts w:ascii="Arial" w:hAnsi="Arial" w:cs="Arial"/>
                <w:b/>
                <w:bCs/>
                <w:color w:val="000000"/>
                <w:sz w:val="16"/>
                <w:szCs w:val="16"/>
              </w:rPr>
              <w:t>36</w:t>
            </w:r>
            <w:r w:rsidRPr="007C1BB2">
              <w:rPr>
                <w:rFonts w:ascii="Arial" w:hAnsi="Arial" w:cs="Arial"/>
                <w:b/>
                <w:bCs/>
                <w:color w:val="000000"/>
                <w:sz w:val="16"/>
                <w:szCs w:val="16"/>
              </w:rPr>
              <w:t>2)</w:t>
            </w:r>
          </w:p>
        </w:tc>
        <w:tc>
          <w:tcPr>
            <w:tcW w:w="605" w:type="pct"/>
            <w:tcBorders>
              <w:top w:val="single" w:sz="4" w:space="0" w:color="000000"/>
              <w:left w:val="nil"/>
              <w:bottom w:val="single" w:sz="4" w:space="0" w:color="auto"/>
              <w:right w:val="nil"/>
            </w:tcBorders>
            <w:shd w:val="clear" w:color="auto" w:fill="auto"/>
            <w:noWrap/>
            <w:vAlign w:val="bottom"/>
            <w:hideMark/>
          </w:tcPr>
          <w:p w14:paraId="1FCB0179"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(10,</w:t>
            </w:r>
            <w:r>
              <w:rPr>
                <w:rFonts w:ascii="Arial" w:hAnsi="Arial" w:cs="Arial"/>
                <w:b/>
                <w:bCs/>
                <w:color w:val="000000"/>
                <w:sz w:val="16"/>
                <w:szCs w:val="16"/>
              </w:rPr>
              <w:t>630</w:t>
            </w:r>
            <w:r w:rsidRPr="007C1BB2">
              <w:rPr>
                <w:rFonts w:ascii="Arial" w:hAnsi="Arial" w:cs="Arial"/>
                <w:b/>
                <w:bCs/>
                <w:color w:val="000000"/>
                <w:sz w:val="16"/>
                <w:szCs w:val="16"/>
              </w:rPr>
              <w:t>)</w:t>
            </w:r>
          </w:p>
        </w:tc>
      </w:tr>
      <w:tr w:rsidR="001C0F49" w:rsidRPr="00B63C9D" w14:paraId="1697DC99" w14:textId="77777777" w:rsidTr="009C12D1">
        <w:trPr>
          <w:trHeight w:val="204"/>
        </w:trPr>
        <w:tc>
          <w:tcPr>
            <w:tcW w:w="1974" w:type="pct"/>
            <w:tcBorders>
              <w:top w:val="nil"/>
              <w:left w:val="nil"/>
              <w:bottom w:val="nil"/>
              <w:right w:val="nil"/>
            </w:tcBorders>
            <w:shd w:val="clear" w:color="auto" w:fill="auto"/>
            <w:noWrap/>
            <w:vAlign w:val="bottom"/>
            <w:hideMark/>
          </w:tcPr>
          <w:p w14:paraId="21683776"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FINANCING ACTIVITIES</w:t>
            </w:r>
          </w:p>
        </w:tc>
        <w:tc>
          <w:tcPr>
            <w:tcW w:w="605" w:type="pct"/>
            <w:tcBorders>
              <w:top w:val="single" w:sz="4" w:space="0" w:color="auto"/>
              <w:left w:val="nil"/>
              <w:bottom w:val="nil"/>
              <w:right w:val="nil"/>
            </w:tcBorders>
            <w:shd w:val="clear" w:color="auto" w:fill="auto"/>
            <w:noWrap/>
            <w:vAlign w:val="bottom"/>
            <w:hideMark/>
          </w:tcPr>
          <w:p w14:paraId="36245C72"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single" w:sz="4" w:space="0" w:color="auto"/>
              <w:left w:val="nil"/>
              <w:bottom w:val="nil"/>
              <w:right w:val="nil"/>
            </w:tcBorders>
            <w:shd w:val="clear" w:color="auto" w:fill="E6E6E6"/>
            <w:noWrap/>
            <w:vAlign w:val="bottom"/>
            <w:hideMark/>
          </w:tcPr>
          <w:p w14:paraId="2BFB4C32"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single" w:sz="4" w:space="0" w:color="auto"/>
              <w:left w:val="nil"/>
              <w:bottom w:val="nil"/>
              <w:right w:val="nil"/>
            </w:tcBorders>
            <w:shd w:val="clear" w:color="auto" w:fill="auto"/>
            <w:noWrap/>
            <w:vAlign w:val="bottom"/>
            <w:hideMark/>
          </w:tcPr>
          <w:p w14:paraId="62A6D847"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single" w:sz="4" w:space="0" w:color="auto"/>
              <w:left w:val="nil"/>
              <w:bottom w:val="nil"/>
              <w:right w:val="nil"/>
            </w:tcBorders>
            <w:shd w:val="clear" w:color="auto" w:fill="auto"/>
            <w:noWrap/>
            <w:vAlign w:val="bottom"/>
            <w:hideMark/>
          </w:tcPr>
          <w:p w14:paraId="35C40BE3"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single" w:sz="4" w:space="0" w:color="auto"/>
              <w:left w:val="nil"/>
              <w:bottom w:val="nil"/>
              <w:right w:val="nil"/>
            </w:tcBorders>
            <w:shd w:val="clear" w:color="auto" w:fill="auto"/>
            <w:noWrap/>
            <w:vAlign w:val="bottom"/>
            <w:hideMark/>
          </w:tcPr>
          <w:p w14:paraId="3D08D31D"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3C1BADFA" w14:textId="77777777" w:rsidTr="009C12D1">
        <w:trPr>
          <w:trHeight w:val="204"/>
        </w:trPr>
        <w:tc>
          <w:tcPr>
            <w:tcW w:w="1974" w:type="pct"/>
            <w:tcBorders>
              <w:top w:val="nil"/>
              <w:left w:val="nil"/>
              <w:bottom w:val="nil"/>
              <w:right w:val="nil"/>
            </w:tcBorders>
            <w:shd w:val="clear" w:color="auto" w:fill="auto"/>
            <w:noWrap/>
            <w:vAlign w:val="bottom"/>
            <w:hideMark/>
          </w:tcPr>
          <w:p w14:paraId="5AF6A3FC"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received</w:t>
            </w:r>
          </w:p>
        </w:tc>
        <w:tc>
          <w:tcPr>
            <w:tcW w:w="605" w:type="pct"/>
            <w:tcBorders>
              <w:top w:val="nil"/>
              <w:left w:val="nil"/>
              <w:bottom w:val="nil"/>
              <w:right w:val="nil"/>
            </w:tcBorders>
            <w:shd w:val="clear" w:color="auto" w:fill="auto"/>
            <w:noWrap/>
            <w:vAlign w:val="bottom"/>
            <w:hideMark/>
          </w:tcPr>
          <w:p w14:paraId="42FDE28C"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20E8F332"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23C692F1"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13FFEFDC"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5CA18943"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0A557B43" w14:textId="77777777" w:rsidTr="009C12D1">
        <w:trPr>
          <w:trHeight w:val="204"/>
        </w:trPr>
        <w:tc>
          <w:tcPr>
            <w:tcW w:w="1974" w:type="pct"/>
            <w:tcBorders>
              <w:top w:val="nil"/>
              <w:left w:val="nil"/>
              <w:bottom w:val="nil"/>
              <w:right w:val="nil"/>
            </w:tcBorders>
            <w:shd w:val="clear" w:color="auto" w:fill="auto"/>
            <w:noWrap/>
            <w:vAlign w:val="bottom"/>
            <w:hideMark/>
          </w:tcPr>
          <w:p w14:paraId="0CEE131C" w14:textId="77777777" w:rsidR="001C0F49" w:rsidRPr="00B63C9D" w:rsidRDefault="001C0F49" w:rsidP="00293BD0">
            <w:pPr>
              <w:spacing w:after="0" w:line="240" w:lineRule="auto"/>
              <w:ind w:left="113"/>
              <w:rPr>
                <w:rFonts w:ascii="Arial" w:hAnsi="Arial" w:cs="Arial"/>
                <w:color w:val="000000"/>
                <w:sz w:val="16"/>
                <w:szCs w:val="16"/>
              </w:rPr>
            </w:pPr>
            <w:r w:rsidRPr="00B63C9D">
              <w:rPr>
                <w:rFonts w:ascii="Arial" w:hAnsi="Arial" w:cs="Arial"/>
                <w:color w:val="000000"/>
                <w:sz w:val="16"/>
                <w:szCs w:val="16"/>
              </w:rPr>
              <w:t>Contributed equity</w:t>
            </w:r>
          </w:p>
        </w:tc>
        <w:tc>
          <w:tcPr>
            <w:tcW w:w="605" w:type="pct"/>
            <w:tcBorders>
              <w:top w:val="nil"/>
              <w:left w:val="nil"/>
              <w:bottom w:val="nil"/>
              <w:right w:val="nil"/>
            </w:tcBorders>
            <w:shd w:val="clear" w:color="auto" w:fill="auto"/>
            <w:noWrap/>
            <w:vAlign w:val="bottom"/>
            <w:hideMark/>
          </w:tcPr>
          <w:p w14:paraId="245FD0FF"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1,924</w:t>
            </w:r>
          </w:p>
        </w:tc>
        <w:tc>
          <w:tcPr>
            <w:tcW w:w="605" w:type="pct"/>
            <w:tcBorders>
              <w:top w:val="nil"/>
              <w:left w:val="nil"/>
              <w:bottom w:val="nil"/>
              <w:right w:val="nil"/>
            </w:tcBorders>
            <w:shd w:val="clear" w:color="auto" w:fill="E6E6E6"/>
            <w:noWrap/>
            <w:vAlign w:val="bottom"/>
            <w:hideMark/>
          </w:tcPr>
          <w:p w14:paraId="0AE1867B"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1,948</w:t>
            </w:r>
          </w:p>
        </w:tc>
        <w:tc>
          <w:tcPr>
            <w:tcW w:w="605" w:type="pct"/>
            <w:tcBorders>
              <w:top w:val="nil"/>
              <w:left w:val="nil"/>
              <w:bottom w:val="nil"/>
              <w:right w:val="nil"/>
            </w:tcBorders>
            <w:shd w:val="clear" w:color="auto" w:fill="auto"/>
            <w:noWrap/>
            <w:vAlign w:val="bottom"/>
            <w:hideMark/>
          </w:tcPr>
          <w:p w14:paraId="08F0C6DF"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2,03</w:t>
            </w:r>
            <w:r w:rsidRPr="007C1BB2">
              <w:rPr>
                <w:rFonts w:ascii="Arial" w:hAnsi="Arial" w:cs="Arial"/>
                <w:color w:val="000000"/>
                <w:sz w:val="16"/>
                <w:szCs w:val="16"/>
              </w:rPr>
              <w:t>3</w:t>
            </w:r>
          </w:p>
        </w:tc>
        <w:tc>
          <w:tcPr>
            <w:tcW w:w="605" w:type="pct"/>
            <w:tcBorders>
              <w:top w:val="nil"/>
              <w:left w:val="nil"/>
              <w:bottom w:val="nil"/>
              <w:right w:val="nil"/>
            </w:tcBorders>
            <w:shd w:val="clear" w:color="auto" w:fill="auto"/>
            <w:noWrap/>
            <w:vAlign w:val="bottom"/>
            <w:hideMark/>
          </w:tcPr>
          <w:p w14:paraId="180A169B"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2,065</w:t>
            </w:r>
          </w:p>
        </w:tc>
        <w:tc>
          <w:tcPr>
            <w:tcW w:w="605" w:type="pct"/>
            <w:tcBorders>
              <w:top w:val="nil"/>
              <w:left w:val="nil"/>
              <w:bottom w:val="nil"/>
              <w:right w:val="nil"/>
            </w:tcBorders>
            <w:shd w:val="clear" w:color="auto" w:fill="auto"/>
            <w:noWrap/>
            <w:vAlign w:val="bottom"/>
            <w:hideMark/>
          </w:tcPr>
          <w:p w14:paraId="5611F79F"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2,087</w:t>
            </w:r>
          </w:p>
        </w:tc>
      </w:tr>
      <w:tr w:rsidR="001C0F49" w:rsidRPr="00B63C9D" w14:paraId="077879E5" w14:textId="77777777" w:rsidTr="009C12D1">
        <w:trPr>
          <w:trHeight w:val="204"/>
        </w:trPr>
        <w:tc>
          <w:tcPr>
            <w:tcW w:w="1974" w:type="pct"/>
            <w:tcBorders>
              <w:top w:val="nil"/>
              <w:left w:val="nil"/>
              <w:bottom w:val="nil"/>
              <w:right w:val="nil"/>
            </w:tcBorders>
            <w:shd w:val="clear" w:color="auto" w:fill="auto"/>
            <w:noWrap/>
            <w:vAlign w:val="bottom"/>
            <w:hideMark/>
          </w:tcPr>
          <w:p w14:paraId="0C666D6B"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received</w:t>
            </w:r>
          </w:p>
        </w:tc>
        <w:tc>
          <w:tcPr>
            <w:tcW w:w="605" w:type="pct"/>
            <w:tcBorders>
              <w:top w:val="single" w:sz="4" w:space="0" w:color="000000"/>
              <w:left w:val="nil"/>
              <w:bottom w:val="single" w:sz="4" w:space="0" w:color="000000"/>
              <w:right w:val="nil"/>
            </w:tcBorders>
            <w:shd w:val="clear" w:color="auto" w:fill="auto"/>
            <w:noWrap/>
            <w:vAlign w:val="bottom"/>
            <w:hideMark/>
          </w:tcPr>
          <w:p w14:paraId="50805E90"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1,924</w:t>
            </w:r>
          </w:p>
        </w:tc>
        <w:tc>
          <w:tcPr>
            <w:tcW w:w="605" w:type="pct"/>
            <w:tcBorders>
              <w:top w:val="single" w:sz="4" w:space="0" w:color="000000"/>
              <w:left w:val="nil"/>
              <w:bottom w:val="single" w:sz="4" w:space="0" w:color="000000"/>
              <w:right w:val="nil"/>
            </w:tcBorders>
            <w:shd w:val="clear" w:color="auto" w:fill="E6E6E6"/>
            <w:noWrap/>
            <w:vAlign w:val="bottom"/>
            <w:hideMark/>
          </w:tcPr>
          <w:p w14:paraId="67B89918"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1,948</w:t>
            </w:r>
          </w:p>
        </w:tc>
        <w:tc>
          <w:tcPr>
            <w:tcW w:w="605" w:type="pct"/>
            <w:tcBorders>
              <w:top w:val="single" w:sz="4" w:space="0" w:color="000000"/>
              <w:left w:val="nil"/>
              <w:bottom w:val="single" w:sz="4" w:space="0" w:color="000000"/>
              <w:right w:val="nil"/>
            </w:tcBorders>
            <w:shd w:val="clear" w:color="auto" w:fill="auto"/>
            <w:noWrap/>
            <w:vAlign w:val="bottom"/>
            <w:hideMark/>
          </w:tcPr>
          <w:p w14:paraId="2FD6254E"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2,033</w:t>
            </w:r>
          </w:p>
        </w:tc>
        <w:tc>
          <w:tcPr>
            <w:tcW w:w="605" w:type="pct"/>
            <w:tcBorders>
              <w:top w:val="single" w:sz="4" w:space="0" w:color="000000"/>
              <w:left w:val="nil"/>
              <w:bottom w:val="single" w:sz="4" w:space="0" w:color="000000"/>
              <w:right w:val="nil"/>
            </w:tcBorders>
            <w:shd w:val="clear" w:color="auto" w:fill="auto"/>
            <w:noWrap/>
            <w:vAlign w:val="bottom"/>
            <w:hideMark/>
          </w:tcPr>
          <w:p w14:paraId="4561F747"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2,065</w:t>
            </w:r>
          </w:p>
        </w:tc>
        <w:tc>
          <w:tcPr>
            <w:tcW w:w="605" w:type="pct"/>
            <w:tcBorders>
              <w:top w:val="single" w:sz="4" w:space="0" w:color="000000"/>
              <w:left w:val="nil"/>
              <w:bottom w:val="single" w:sz="4" w:space="0" w:color="000000"/>
              <w:right w:val="nil"/>
            </w:tcBorders>
            <w:shd w:val="clear" w:color="auto" w:fill="auto"/>
            <w:noWrap/>
            <w:vAlign w:val="bottom"/>
            <w:hideMark/>
          </w:tcPr>
          <w:p w14:paraId="5A5845BE"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2,087</w:t>
            </w:r>
          </w:p>
        </w:tc>
      </w:tr>
      <w:tr w:rsidR="001C0F49" w:rsidRPr="00B63C9D" w14:paraId="136892D2" w14:textId="77777777" w:rsidTr="009C12D1">
        <w:trPr>
          <w:trHeight w:val="204"/>
        </w:trPr>
        <w:tc>
          <w:tcPr>
            <w:tcW w:w="1974" w:type="pct"/>
            <w:tcBorders>
              <w:top w:val="nil"/>
              <w:left w:val="nil"/>
              <w:bottom w:val="nil"/>
              <w:right w:val="nil"/>
            </w:tcBorders>
            <w:shd w:val="clear" w:color="auto" w:fill="auto"/>
            <w:noWrap/>
            <w:vAlign w:val="bottom"/>
            <w:hideMark/>
          </w:tcPr>
          <w:p w14:paraId="33E900F0"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used</w:t>
            </w:r>
          </w:p>
        </w:tc>
        <w:tc>
          <w:tcPr>
            <w:tcW w:w="605" w:type="pct"/>
            <w:tcBorders>
              <w:top w:val="nil"/>
              <w:left w:val="nil"/>
              <w:bottom w:val="nil"/>
              <w:right w:val="nil"/>
            </w:tcBorders>
            <w:shd w:val="clear" w:color="auto" w:fill="auto"/>
            <w:noWrap/>
            <w:vAlign w:val="bottom"/>
            <w:hideMark/>
          </w:tcPr>
          <w:p w14:paraId="0CD5BA40" w14:textId="77777777" w:rsidR="001C0F49" w:rsidRPr="007C1BB2" w:rsidRDefault="001C0F49" w:rsidP="00293BD0">
            <w:pPr>
              <w:spacing w:after="0" w:line="240" w:lineRule="auto"/>
              <w:jc w:val="right"/>
              <w:rPr>
                <w:rFonts w:ascii="Arial" w:hAnsi="Arial" w:cs="Arial"/>
                <w:b/>
                <w:bCs/>
                <w:color w:val="000000"/>
                <w:sz w:val="16"/>
                <w:szCs w:val="16"/>
              </w:rPr>
            </w:pPr>
          </w:p>
        </w:tc>
        <w:tc>
          <w:tcPr>
            <w:tcW w:w="605" w:type="pct"/>
            <w:tcBorders>
              <w:top w:val="nil"/>
              <w:left w:val="nil"/>
              <w:bottom w:val="nil"/>
              <w:right w:val="nil"/>
            </w:tcBorders>
            <w:shd w:val="clear" w:color="auto" w:fill="E6E6E6"/>
            <w:noWrap/>
            <w:vAlign w:val="bottom"/>
            <w:hideMark/>
          </w:tcPr>
          <w:p w14:paraId="7E56F287"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68A3179B" w14:textId="77777777" w:rsidR="001C0F49" w:rsidRPr="007C1BB2" w:rsidRDefault="001C0F49" w:rsidP="00293BD0">
            <w:pPr>
              <w:spacing w:after="0" w:line="240" w:lineRule="auto"/>
              <w:jc w:val="right"/>
              <w:rPr>
                <w:rFonts w:ascii="Arial" w:hAnsi="Arial" w:cs="Arial"/>
                <w:color w:val="000000"/>
                <w:sz w:val="16"/>
                <w:szCs w:val="16"/>
              </w:rPr>
            </w:pPr>
          </w:p>
        </w:tc>
        <w:tc>
          <w:tcPr>
            <w:tcW w:w="605" w:type="pct"/>
            <w:tcBorders>
              <w:top w:val="nil"/>
              <w:left w:val="nil"/>
              <w:bottom w:val="nil"/>
              <w:right w:val="nil"/>
            </w:tcBorders>
            <w:shd w:val="clear" w:color="auto" w:fill="auto"/>
            <w:noWrap/>
            <w:vAlign w:val="bottom"/>
            <w:hideMark/>
          </w:tcPr>
          <w:p w14:paraId="53CD8B2B" w14:textId="77777777" w:rsidR="001C0F49" w:rsidRPr="00CF671E" w:rsidRDefault="001C0F49" w:rsidP="00293BD0">
            <w:pPr>
              <w:spacing w:after="0" w:line="240" w:lineRule="auto"/>
              <w:jc w:val="right"/>
              <w:rPr>
                <w:rFonts w:ascii="Arial" w:hAnsi="Arial" w:cs="Arial"/>
                <w:sz w:val="16"/>
                <w:szCs w:val="16"/>
              </w:rPr>
            </w:pPr>
          </w:p>
        </w:tc>
        <w:tc>
          <w:tcPr>
            <w:tcW w:w="605" w:type="pct"/>
            <w:tcBorders>
              <w:top w:val="nil"/>
              <w:left w:val="nil"/>
              <w:bottom w:val="nil"/>
              <w:right w:val="nil"/>
            </w:tcBorders>
            <w:shd w:val="clear" w:color="auto" w:fill="auto"/>
            <w:noWrap/>
            <w:vAlign w:val="bottom"/>
            <w:hideMark/>
          </w:tcPr>
          <w:p w14:paraId="0F60E61D" w14:textId="77777777" w:rsidR="001C0F49" w:rsidRPr="00CF671E" w:rsidRDefault="001C0F49" w:rsidP="00293BD0">
            <w:pPr>
              <w:spacing w:after="0" w:line="240" w:lineRule="auto"/>
              <w:jc w:val="right"/>
              <w:rPr>
                <w:rFonts w:ascii="Arial" w:hAnsi="Arial" w:cs="Arial"/>
                <w:sz w:val="16"/>
                <w:szCs w:val="16"/>
              </w:rPr>
            </w:pPr>
          </w:p>
        </w:tc>
      </w:tr>
      <w:tr w:rsidR="001C0F49" w:rsidRPr="00B63C9D" w14:paraId="0FAAE41D" w14:textId="77777777" w:rsidTr="009C12D1">
        <w:trPr>
          <w:trHeight w:val="204"/>
        </w:trPr>
        <w:tc>
          <w:tcPr>
            <w:tcW w:w="1974" w:type="pct"/>
            <w:tcBorders>
              <w:top w:val="nil"/>
              <w:left w:val="nil"/>
              <w:bottom w:val="nil"/>
              <w:right w:val="nil"/>
            </w:tcBorders>
            <w:shd w:val="clear" w:color="auto" w:fill="auto"/>
            <w:noWrap/>
            <w:vAlign w:val="bottom"/>
            <w:hideMark/>
          </w:tcPr>
          <w:p w14:paraId="2DD5432E" w14:textId="77777777" w:rsidR="001C0F49" w:rsidRPr="00B63C9D" w:rsidRDefault="001C0F49" w:rsidP="00293BD0">
            <w:pPr>
              <w:spacing w:after="0" w:line="240" w:lineRule="auto"/>
              <w:ind w:left="113"/>
              <w:rPr>
                <w:rFonts w:ascii="Arial" w:hAnsi="Arial" w:cs="Arial"/>
                <w:sz w:val="16"/>
                <w:szCs w:val="16"/>
              </w:rPr>
            </w:pPr>
            <w:r w:rsidRPr="009F6962">
              <w:rPr>
                <w:rFonts w:ascii="Arial" w:hAnsi="Arial" w:cs="Arial"/>
                <w:color w:val="000000"/>
                <w:sz w:val="16"/>
                <w:szCs w:val="16"/>
              </w:rPr>
              <w:t>Principal</w:t>
            </w:r>
            <w:r w:rsidRPr="00B63C9D">
              <w:rPr>
                <w:rFonts w:ascii="Arial" w:hAnsi="Arial" w:cs="Arial"/>
                <w:sz w:val="16"/>
                <w:szCs w:val="16"/>
              </w:rPr>
              <w:t xml:space="preserve"> payments on lease liability</w:t>
            </w:r>
          </w:p>
        </w:tc>
        <w:tc>
          <w:tcPr>
            <w:tcW w:w="605" w:type="pct"/>
            <w:tcBorders>
              <w:top w:val="nil"/>
              <w:left w:val="nil"/>
              <w:bottom w:val="nil"/>
              <w:right w:val="nil"/>
            </w:tcBorders>
            <w:shd w:val="clear" w:color="auto" w:fill="auto"/>
            <w:noWrap/>
            <w:vAlign w:val="bottom"/>
            <w:hideMark/>
          </w:tcPr>
          <w:p w14:paraId="697EFAB9"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w:t>
            </w:r>
            <w:r>
              <w:rPr>
                <w:rFonts w:ascii="Arial" w:hAnsi="Arial" w:cs="Arial"/>
                <w:color w:val="000000"/>
                <w:sz w:val="16"/>
                <w:szCs w:val="16"/>
              </w:rPr>
              <w:t>422</w:t>
            </w:r>
          </w:p>
        </w:tc>
        <w:tc>
          <w:tcPr>
            <w:tcW w:w="605" w:type="pct"/>
            <w:tcBorders>
              <w:top w:val="nil"/>
              <w:left w:val="nil"/>
              <w:bottom w:val="nil"/>
              <w:right w:val="nil"/>
            </w:tcBorders>
            <w:shd w:val="clear" w:color="auto" w:fill="E6E6E6"/>
            <w:noWrap/>
            <w:vAlign w:val="bottom"/>
            <w:hideMark/>
          </w:tcPr>
          <w:p w14:paraId="47658231"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1,529</w:t>
            </w:r>
          </w:p>
        </w:tc>
        <w:tc>
          <w:tcPr>
            <w:tcW w:w="605" w:type="pct"/>
            <w:tcBorders>
              <w:top w:val="nil"/>
              <w:left w:val="nil"/>
              <w:bottom w:val="nil"/>
              <w:right w:val="nil"/>
            </w:tcBorders>
            <w:shd w:val="clear" w:color="auto" w:fill="auto"/>
            <w:noWrap/>
            <w:vAlign w:val="bottom"/>
            <w:hideMark/>
          </w:tcPr>
          <w:p w14:paraId="1C407CBA"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1,574</w:t>
            </w:r>
          </w:p>
        </w:tc>
        <w:tc>
          <w:tcPr>
            <w:tcW w:w="605" w:type="pct"/>
            <w:tcBorders>
              <w:top w:val="nil"/>
              <w:left w:val="nil"/>
              <w:bottom w:val="nil"/>
              <w:right w:val="nil"/>
            </w:tcBorders>
            <w:shd w:val="clear" w:color="auto" w:fill="auto"/>
            <w:noWrap/>
            <w:vAlign w:val="bottom"/>
            <w:hideMark/>
          </w:tcPr>
          <w:p w14:paraId="70FDA6C3"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1,621</w:t>
            </w:r>
          </w:p>
        </w:tc>
        <w:tc>
          <w:tcPr>
            <w:tcW w:w="605" w:type="pct"/>
            <w:tcBorders>
              <w:top w:val="nil"/>
              <w:left w:val="nil"/>
              <w:bottom w:val="nil"/>
              <w:right w:val="nil"/>
            </w:tcBorders>
            <w:shd w:val="clear" w:color="auto" w:fill="auto"/>
            <w:noWrap/>
            <w:vAlign w:val="bottom"/>
            <w:hideMark/>
          </w:tcPr>
          <w:p w14:paraId="4DF373B6"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1,671</w:t>
            </w:r>
          </w:p>
        </w:tc>
      </w:tr>
      <w:tr w:rsidR="001C0F49" w:rsidRPr="00B63C9D" w14:paraId="7367266D" w14:textId="77777777" w:rsidTr="009C12D1">
        <w:trPr>
          <w:trHeight w:val="204"/>
        </w:trPr>
        <w:tc>
          <w:tcPr>
            <w:tcW w:w="1974" w:type="pct"/>
            <w:tcBorders>
              <w:top w:val="nil"/>
              <w:left w:val="nil"/>
              <w:bottom w:val="nil"/>
              <w:right w:val="nil"/>
            </w:tcBorders>
            <w:shd w:val="clear" w:color="auto" w:fill="auto"/>
            <w:noWrap/>
            <w:vAlign w:val="bottom"/>
            <w:hideMark/>
          </w:tcPr>
          <w:p w14:paraId="29FDDB98" w14:textId="77777777" w:rsidR="001C0F49" w:rsidRPr="00B63C9D" w:rsidRDefault="001C0F49" w:rsidP="00293BD0">
            <w:pPr>
              <w:spacing w:after="0" w:line="240" w:lineRule="auto"/>
              <w:rPr>
                <w:rFonts w:ascii="Arial" w:hAnsi="Arial" w:cs="Arial"/>
                <w:b/>
                <w:bCs/>
                <w:i/>
                <w:iCs/>
                <w:color w:val="000000"/>
                <w:sz w:val="16"/>
                <w:szCs w:val="16"/>
              </w:rPr>
            </w:pPr>
            <w:r w:rsidRPr="00B63C9D">
              <w:rPr>
                <w:rFonts w:ascii="Arial" w:hAnsi="Arial" w:cs="Arial"/>
                <w:b/>
                <w:bCs/>
                <w:i/>
                <w:iCs/>
                <w:color w:val="000000"/>
                <w:sz w:val="16"/>
                <w:szCs w:val="16"/>
              </w:rPr>
              <w:t>Total cash used</w:t>
            </w:r>
          </w:p>
        </w:tc>
        <w:tc>
          <w:tcPr>
            <w:tcW w:w="605" w:type="pct"/>
            <w:tcBorders>
              <w:top w:val="single" w:sz="4" w:space="0" w:color="000000"/>
              <w:left w:val="nil"/>
              <w:bottom w:val="single" w:sz="4" w:space="0" w:color="000000"/>
              <w:right w:val="nil"/>
            </w:tcBorders>
            <w:shd w:val="clear" w:color="auto" w:fill="auto"/>
            <w:noWrap/>
            <w:vAlign w:val="bottom"/>
            <w:hideMark/>
          </w:tcPr>
          <w:p w14:paraId="0ADE0C65"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1,422</w:t>
            </w:r>
          </w:p>
        </w:tc>
        <w:tc>
          <w:tcPr>
            <w:tcW w:w="605" w:type="pct"/>
            <w:tcBorders>
              <w:top w:val="single" w:sz="4" w:space="0" w:color="000000"/>
              <w:left w:val="nil"/>
              <w:bottom w:val="single" w:sz="4" w:space="0" w:color="000000"/>
              <w:right w:val="nil"/>
            </w:tcBorders>
            <w:shd w:val="clear" w:color="auto" w:fill="E6E6E6"/>
            <w:noWrap/>
            <w:vAlign w:val="bottom"/>
            <w:hideMark/>
          </w:tcPr>
          <w:p w14:paraId="038E3EAF"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1,529</w:t>
            </w:r>
          </w:p>
        </w:tc>
        <w:tc>
          <w:tcPr>
            <w:tcW w:w="605" w:type="pct"/>
            <w:tcBorders>
              <w:top w:val="single" w:sz="4" w:space="0" w:color="000000"/>
              <w:left w:val="nil"/>
              <w:bottom w:val="single" w:sz="4" w:space="0" w:color="000000"/>
              <w:right w:val="nil"/>
            </w:tcBorders>
            <w:shd w:val="clear" w:color="auto" w:fill="auto"/>
            <w:noWrap/>
            <w:vAlign w:val="bottom"/>
            <w:hideMark/>
          </w:tcPr>
          <w:p w14:paraId="030777B3"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1,574</w:t>
            </w:r>
          </w:p>
        </w:tc>
        <w:tc>
          <w:tcPr>
            <w:tcW w:w="605" w:type="pct"/>
            <w:tcBorders>
              <w:top w:val="single" w:sz="4" w:space="0" w:color="000000"/>
              <w:left w:val="nil"/>
              <w:bottom w:val="single" w:sz="4" w:space="0" w:color="000000"/>
              <w:right w:val="nil"/>
            </w:tcBorders>
            <w:shd w:val="clear" w:color="auto" w:fill="auto"/>
            <w:noWrap/>
            <w:vAlign w:val="bottom"/>
            <w:hideMark/>
          </w:tcPr>
          <w:p w14:paraId="5087C360"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1,621</w:t>
            </w:r>
          </w:p>
        </w:tc>
        <w:tc>
          <w:tcPr>
            <w:tcW w:w="605" w:type="pct"/>
            <w:tcBorders>
              <w:top w:val="single" w:sz="4" w:space="0" w:color="000000"/>
              <w:left w:val="nil"/>
              <w:bottom w:val="single" w:sz="4" w:space="0" w:color="000000"/>
              <w:right w:val="nil"/>
            </w:tcBorders>
            <w:shd w:val="clear" w:color="auto" w:fill="auto"/>
            <w:noWrap/>
            <w:vAlign w:val="bottom"/>
            <w:hideMark/>
          </w:tcPr>
          <w:p w14:paraId="035F204F" w14:textId="77777777" w:rsidR="001C0F49" w:rsidRPr="00C171B2" w:rsidRDefault="001C0F49" w:rsidP="00293BD0">
            <w:pPr>
              <w:spacing w:after="0" w:line="240" w:lineRule="auto"/>
              <w:jc w:val="right"/>
              <w:rPr>
                <w:rFonts w:ascii="Arial" w:hAnsi="Arial" w:cs="Arial"/>
                <w:b/>
                <w:bCs/>
                <w:i/>
                <w:iCs/>
                <w:color w:val="000000"/>
                <w:sz w:val="16"/>
                <w:szCs w:val="16"/>
              </w:rPr>
            </w:pPr>
            <w:r w:rsidRPr="00C171B2">
              <w:rPr>
                <w:rFonts w:ascii="Arial" w:hAnsi="Arial" w:cs="Arial"/>
                <w:b/>
                <w:i/>
                <w:color w:val="000000"/>
                <w:sz w:val="16"/>
                <w:szCs w:val="16"/>
              </w:rPr>
              <w:t>1,671</w:t>
            </w:r>
          </w:p>
        </w:tc>
      </w:tr>
      <w:tr w:rsidR="001C0F49" w:rsidRPr="00B63C9D" w14:paraId="50736059" w14:textId="77777777" w:rsidTr="009C12D1">
        <w:trPr>
          <w:trHeight w:val="204"/>
        </w:trPr>
        <w:tc>
          <w:tcPr>
            <w:tcW w:w="1974" w:type="pct"/>
            <w:tcBorders>
              <w:top w:val="nil"/>
              <w:left w:val="nil"/>
              <w:bottom w:val="nil"/>
              <w:right w:val="nil"/>
            </w:tcBorders>
            <w:shd w:val="clear" w:color="auto" w:fill="auto"/>
            <w:vAlign w:val="bottom"/>
            <w:hideMark/>
          </w:tcPr>
          <w:p w14:paraId="573A187C"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Net cash from/(used by) financing activities</w:t>
            </w:r>
          </w:p>
        </w:tc>
        <w:tc>
          <w:tcPr>
            <w:tcW w:w="605" w:type="pct"/>
            <w:tcBorders>
              <w:top w:val="nil"/>
              <w:left w:val="nil"/>
              <w:bottom w:val="single" w:sz="4" w:space="0" w:color="000000"/>
              <w:right w:val="nil"/>
            </w:tcBorders>
            <w:shd w:val="clear" w:color="auto" w:fill="auto"/>
            <w:noWrap/>
            <w:vAlign w:val="bottom"/>
            <w:hideMark/>
          </w:tcPr>
          <w:p w14:paraId="6ACA34AC"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502</w:t>
            </w:r>
          </w:p>
        </w:tc>
        <w:tc>
          <w:tcPr>
            <w:tcW w:w="605" w:type="pct"/>
            <w:tcBorders>
              <w:top w:val="nil"/>
              <w:left w:val="nil"/>
              <w:bottom w:val="single" w:sz="4" w:space="0" w:color="000000"/>
              <w:right w:val="nil"/>
            </w:tcBorders>
            <w:shd w:val="clear" w:color="auto" w:fill="E6E6E6"/>
            <w:noWrap/>
            <w:vAlign w:val="bottom"/>
            <w:hideMark/>
          </w:tcPr>
          <w:p w14:paraId="6A538C57"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419</w:t>
            </w:r>
          </w:p>
        </w:tc>
        <w:tc>
          <w:tcPr>
            <w:tcW w:w="605" w:type="pct"/>
            <w:tcBorders>
              <w:top w:val="nil"/>
              <w:left w:val="nil"/>
              <w:bottom w:val="single" w:sz="4" w:space="0" w:color="000000"/>
              <w:right w:val="nil"/>
            </w:tcBorders>
            <w:shd w:val="clear" w:color="auto" w:fill="auto"/>
            <w:noWrap/>
            <w:vAlign w:val="bottom"/>
            <w:hideMark/>
          </w:tcPr>
          <w:p w14:paraId="223BC823"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459</w:t>
            </w:r>
          </w:p>
        </w:tc>
        <w:tc>
          <w:tcPr>
            <w:tcW w:w="605" w:type="pct"/>
            <w:tcBorders>
              <w:top w:val="nil"/>
              <w:left w:val="nil"/>
              <w:bottom w:val="single" w:sz="4" w:space="0" w:color="000000"/>
              <w:right w:val="nil"/>
            </w:tcBorders>
            <w:shd w:val="clear" w:color="auto" w:fill="auto"/>
            <w:noWrap/>
            <w:vAlign w:val="bottom"/>
            <w:hideMark/>
          </w:tcPr>
          <w:p w14:paraId="6A79BB15"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444</w:t>
            </w:r>
          </w:p>
        </w:tc>
        <w:tc>
          <w:tcPr>
            <w:tcW w:w="605" w:type="pct"/>
            <w:tcBorders>
              <w:top w:val="nil"/>
              <w:left w:val="nil"/>
              <w:bottom w:val="single" w:sz="4" w:space="0" w:color="000000"/>
              <w:right w:val="nil"/>
            </w:tcBorders>
            <w:shd w:val="clear" w:color="auto" w:fill="auto"/>
            <w:noWrap/>
            <w:vAlign w:val="bottom"/>
            <w:hideMark/>
          </w:tcPr>
          <w:p w14:paraId="5B0B02B2"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416</w:t>
            </w:r>
          </w:p>
        </w:tc>
      </w:tr>
      <w:tr w:rsidR="001C0F49" w:rsidRPr="00B63C9D" w14:paraId="18140A0C" w14:textId="77777777" w:rsidTr="009C12D1">
        <w:trPr>
          <w:trHeight w:val="204"/>
        </w:trPr>
        <w:tc>
          <w:tcPr>
            <w:tcW w:w="1974" w:type="pct"/>
            <w:tcBorders>
              <w:top w:val="nil"/>
              <w:left w:val="nil"/>
              <w:bottom w:val="nil"/>
              <w:right w:val="nil"/>
            </w:tcBorders>
            <w:shd w:val="clear" w:color="auto" w:fill="auto"/>
            <w:vAlign w:val="bottom"/>
            <w:hideMark/>
          </w:tcPr>
          <w:p w14:paraId="75440F92"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Net increase/(decrease) in cash held</w:t>
            </w:r>
          </w:p>
        </w:tc>
        <w:tc>
          <w:tcPr>
            <w:tcW w:w="605" w:type="pct"/>
            <w:tcBorders>
              <w:top w:val="nil"/>
              <w:left w:val="nil"/>
              <w:bottom w:val="single" w:sz="4" w:space="0" w:color="000000"/>
              <w:right w:val="nil"/>
            </w:tcBorders>
            <w:shd w:val="clear" w:color="auto" w:fill="auto"/>
            <w:noWrap/>
            <w:vAlign w:val="bottom"/>
            <w:hideMark/>
          </w:tcPr>
          <w:p w14:paraId="4F163AB1"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w:t>
            </w:r>
            <w:r>
              <w:rPr>
                <w:rFonts w:ascii="Arial" w:hAnsi="Arial" w:cs="Arial"/>
                <w:b/>
                <w:bCs/>
                <w:color w:val="000000"/>
                <w:sz w:val="16"/>
                <w:szCs w:val="16"/>
              </w:rPr>
              <w:t>3,951</w:t>
            </w:r>
            <w:r w:rsidRPr="007C1BB2">
              <w:rPr>
                <w:rFonts w:ascii="Arial" w:hAnsi="Arial" w:cs="Arial"/>
                <w:b/>
                <w:bCs/>
                <w:color w:val="000000"/>
                <w:sz w:val="16"/>
                <w:szCs w:val="16"/>
              </w:rPr>
              <w:t>)</w:t>
            </w:r>
          </w:p>
        </w:tc>
        <w:tc>
          <w:tcPr>
            <w:tcW w:w="605" w:type="pct"/>
            <w:tcBorders>
              <w:top w:val="nil"/>
              <w:left w:val="nil"/>
              <w:bottom w:val="single" w:sz="4" w:space="0" w:color="000000"/>
              <w:right w:val="nil"/>
            </w:tcBorders>
            <w:shd w:val="clear" w:color="auto" w:fill="E6E6E6"/>
            <w:noWrap/>
            <w:vAlign w:val="bottom"/>
            <w:hideMark/>
          </w:tcPr>
          <w:p w14:paraId="22D66C73" w14:textId="77777777" w:rsidR="001C0F49" w:rsidRPr="007C1BB2" w:rsidRDefault="001C0F49" w:rsidP="00293BD0">
            <w:pPr>
              <w:spacing w:after="0" w:line="240" w:lineRule="auto"/>
              <w:jc w:val="right"/>
              <w:rPr>
                <w:rFonts w:ascii="Arial" w:hAnsi="Arial" w:cs="Arial"/>
                <w:b/>
                <w:bCs/>
                <w:color w:val="000000"/>
                <w:sz w:val="16"/>
                <w:szCs w:val="16"/>
              </w:rPr>
            </w:pPr>
            <w:r>
              <w:rPr>
                <w:rFonts w:ascii="Arial" w:hAnsi="Arial" w:cs="Arial"/>
                <w:b/>
                <w:bCs/>
                <w:color w:val="000000"/>
                <w:sz w:val="16"/>
                <w:szCs w:val="16"/>
              </w:rPr>
              <w:t>3,570</w:t>
            </w:r>
          </w:p>
        </w:tc>
        <w:tc>
          <w:tcPr>
            <w:tcW w:w="605" w:type="pct"/>
            <w:tcBorders>
              <w:top w:val="nil"/>
              <w:left w:val="nil"/>
              <w:bottom w:val="single" w:sz="4" w:space="0" w:color="000000"/>
              <w:right w:val="nil"/>
            </w:tcBorders>
            <w:shd w:val="clear" w:color="auto" w:fill="auto"/>
            <w:noWrap/>
            <w:vAlign w:val="bottom"/>
            <w:hideMark/>
          </w:tcPr>
          <w:p w14:paraId="170B2A95"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22</w:t>
            </w:r>
          </w:p>
        </w:tc>
        <w:tc>
          <w:tcPr>
            <w:tcW w:w="605" w:type="pct"/>
            <w:tcBorders>
              <w:top w:val="nil"/>
              <w:left w:val="nil"/>
              <w:bottom w:val="single" w:sz="4" w:space="0" w:color="000000"/>
              <w:right w:val="nil"/>
            </w:tcBorders>
            <w:shd w:val="clear" w:color="auto" w:fill="auto"/>
            <w:noWrap/>
            <w:vAlign w:val="bottom"/>
            <w:hideMark/>
          </w:tcPr>
          <w:p w14:paraId="226D4F74"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(23)</w:t>
            </w:r>
          </w:p>
        </w:tc>
        <w:tc>
          <w:tcPr>
            <w:tcW w:w="605" w:type="pct"/>
            <w:tcBorders>
              <w:top w:val="nil"/>
              <w:left w:val="nil"/>
              <w:bottom w:val="single" w:sz="4" w:space="0" w:color="000000"/>
              <w:right w:val="nil"/>
            </w:tcBorders>
            <w:shd w:val="clear" w:color="auto" w:fill="auto"/>
            <w:noWrap/>
            <w:vAlign w:val="bottom"/>
            <w:hideMark/>
          </w:tcPr>
          <w:p w14:paraId="568DC6E4" w14:textId="77777777" w:rsidR="001C0F49" w:rsidRPr="007C1BB2" w:rsidRDefault="001C0F49" w:rsidP="00293BD0">
            <w:pPr>
              <w:spacing w:after="0" w:line="240" w:lineRule="auto"/>
              <w:jc w:val="right"/>
              <w:rPr>
                <w:rFonts w:ascii="Arial" w:hAnsi="Arial" w:cs="Arial"/>
                <w:b/>
                <w:bCs/>
                <w:color w:val="000000"/>
                <w:sz w:val="16"/>
                <w:szCs w:val="16"/>
              </w:rPr>
            </w:pPr>
            <w:r w:rsidRPr="007C1BB2">
              <w:rPr>
                <w:rFonts w:ascii="Arial" w:hAnsi="Arial" w:cs="Arial"/>
                <w:b/>
                <w:bCs/>
                <w:color w:val="000000"/>
                <w:sz w:val="16"/>
                <w:szCs w:val="16"/>
              </w:rPr>
              <w:t>(72)</w:t>
            </w:r>
          </w:p>
        </w:tc>
      </w:tr>
      <w:tr w:rsidR="001C0F49" w:rsidRPr="00B63C9D" w14:paraId="1D570456" w14:textId="77777777" w:rsidTr="009C12D1">
        <w:trPr>
          <w:trHeight w:val="204"/>
        </w:trPr>
        <w:tc>
          <w:tcPr>
            <w:tcW w:w="1974" w:type="pct"/>
            <w:tcBorders>
              <w:top w:val="nil"/>
              <w:left w:val="nil"/>
              <w:bottom w:val="nil"/>
              <w:right w:val="nil"/>
            </w:tcBorders>
            <w:shd w:val="clear" w:color="auto" w:fill="auto"/>
            <w:vAlign w:val="bottom"/>
            <w:hideMark/>
          </w:tcPr>
          <w:p w14:paraId="53D23371" w14:textId="77777777" w:rsidR="001C0F49" w:rsidRPr="00B63C9D" w:rsidRDefault="001C0F49" w:rsidP="00293BD0">
            <w:pPr>
              <w:spacing w:before="60" w:after="0" w:line="240" w:lineRule="auto"/>
              <w:rPr>
                <w:rFonts w:ascii="Arial" w:hAnsi="Arial" w:cs="Arial"/>
                <w:color w:val="000000"/>
                <w:sz w:val="16"/>
                <w:szCs w:val="16"/>
              </w:rPr>
            </w:pPr>
            <w:r w:rsidRPr="00B63C9D">
              <w:rPr>
                <w:rFonts w:ascii="Arial" w:hAnsi="Arial" w:cs="Arial"/>
                <w:color w:val="000000"/>
                <w:sz w:val="16"/>
                <w:szCs w:val="16"/>
              </w:rPr>
              <w:t>Cash and cash equivalents at the</w:t>
            </w:r>
            <w:r>
              <w:rPr>
                <w:rFonts w:ascii="Arial" w:hAnsi="Arial" w:cs="Arial"/>
                <w:color w:val="000000"/>
                <w:sz w:val="16"/>
                <w:szCs w:val="16"/>
              </w:rPr>
              <w:t xml:space="preserve"> </w:t>
            </w:r>
            <w:r w:rsidRPr="00B63C9D">
              <w:rPr>
                <w:rFonts w:ascii="Arial" w:hAnsi="Arial" w:cs="Arial"/>
                <w:color w:val="000000"/>
                <w:sz w:val="16"/>
                <w:szCs w:val="16"/>
              </w:rPr>
              <w:t>beginning of the reporting period</w:t>
            </w:r>
          </w:p>
        </w:tc>
        <w:tc>
          <w:tcPr>
            <w:tcW w:w="605" w:type="pct"/>
            <w:tcBorders>
              <w:top w:val="nil"/>
              <w:left w:val="nil"/>
              <w:bottom w:val="nil"/>
              <w:right w:val="nil"/>
            </w:tcBorders>
            <w:shd w:val="clear" w:color="auto" w:fill="auto"/>
            <w:noWrap/>
            <w:vAlign w:val="bottom"/>
            <w:hideMark/>
          </w:tcPr>
          <w:p w14:paraId="420C6206" w14:textId="77777777" w:rsidR="001C0F49" w:rsidRPr="007C1BB2" w:rsidRDefault="001C0F49" w:rsidP="00293BD0">
            <w:pPr>
              <w:spacing w:after="0" w:line="240" w:lineRule="auto"/>
              <w:jc w:val="right"/>
              <w:rPr>
                <w:rFonts w:ascii="Arial" w:hAnsi="Arial" w:cs="Arial"/>
                <w:color w:val="000000"/>
                <w:sz w:val="16"/>
                <w:szCs w:val="16"/>
              </w:rPr>
            </w:pPr>
            <w:r w:rsidRPr="007C1BB2">
              <w:rPr>
                <w:rFonts w:ascii="Arial" w:hAnsi="Arial" w:cs="Arial"/>
                <w:color w:val="000000"/>
                <w:sz w:val="16"/>
                <w:szCs w:val="16"/>
              </w:rPr>
              <w:t>10,554</w:t>
            </w:r>
          </w:p>
        </w:tc>
        <w:tc>
          <w:tcPr>
            <w:tcW w:w="605" w:type="pct"/>
            <w:tcBorders>
              <w:top w:val="nil"/>
              <w:left w:val="nil"/>
              <w:bottom w:val="nil"/>
              <w:right w:val="nil"/>
            </w:tcBorders>
            <w:shd w:val="clear" w:color="auto" w:fill="E6E6E6"/>
            <w:noWrap/>
            <w:vAlign w:val="bottom"/>
            <w:hideMark/>
          </w:tcPr>
          <w:p w14:paraId="70195033"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6,603</w:t>
            </w:r>
          </w:p>
        </w:tc>
        <w:tc>
          <w:tcPr>
            <w:tcW w:w="605" w:type="pct"/>
            <w:tcBorders>
              <w:top w:val="nil"/>
              <w:left w:val="nil"/>
              <w:bottom w:val="nil"/>
              <w:right w:val="nil"/>
            </w:tcBorders>
            <w:shd w:val="clear" w:color="auto" w:fill="auto"/>
            <w:noWrap/>
            <w:vAlign w:val="bottom"/>
            <w:hideMark/>
          </w:tcPr>
          <w:p w14:paraId="1626B46F"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10,173</w:t>
            </w:r>
          </w:p>
        </w:tc>
        <w:tc>
          <w:tcPr>
            <w:tcW w:w="605" w:type="pct"/>
            <w:tcBorders>
              <w:top w:val="nil"/>
              <w:left w:val="nil"/>
              <w:bottom w:val="nil"/>
              <w:right w:val="nil"/>
            </w:tcBorders>
            <w:shd w:val="clear" w:color="auto" w:fill="auto"/>
            <w:noWrap/>
            <w:vAlign w:val="bottom"/>
            <w:hideMark/>
          </w:tcPr>
          <w:p w14:paraId="65E4BC32"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10,195</w:t>
            </w:r>
          </w:p>
        </w:tc>
        <w:tc>
          <w:tcPr>
            <w:tcW w:w="605" w:type="pct"/>
            <w:tcBorders>
              <w:top w:val="nil"/>
              <w:left w:val="nil"/>
              <w:bottom w:val="nil"/>
              <w:right w:val="nil"/>
            </w:tcBorders>
            <w:shd w:val="clear" w:color="auto" w:fill="auto"/>
            <w:noWrap/>
            <w:vAlign w:val="bottom"/>
            <w:hideMark/>
          </w:tcPr>
          <w:p w14:paraId="1314BB02" w14:textId="77777777" w:rsidR="001C0F49" w:rsidRPr="007C1BB2" w:rsidRDefault="001C0F49" w:rsidP="00293BD0">
            <w:pPr>
              <w:spacing w:after="0" w:line="240" w:lineRule="auto"/>
              <w:jc w:val="right"/>
              <w:rPr>
                <w:rFonts w:ascii="Arial" w:hAnsi="Arial" w:cs="Arial"/>
                <w:color w:val="000000"/>
                <w:sz w:val="16"/>
                <w:szCs w:val="16"/>
              </w:rPr>
            </w:pPr>
            <w:r>
              <w:rPr>
                <w:rFonts w:ascii="Arial" w:hAnsi="Arial" w:cs="Arial"/>
                <w:color w:val="000000"/>
                <w:sz w:val="16"/>
                <w:szCs w:val="16"/>
              </w:rPr>
              <w:t>10,172</w:t>
            </w:r>
          </w:p>
        </w:tc>
      </w:tr>
      <w:tr w:rsidR="001C0F49" w:rsidRPr="00B63C9D" w14:paraId="7198516B" w14:textId="77777777" w:rsidTr="009C12D1">
        <w:trPr>
          <w:trHeight w:val="204"/>
        </w:trPr>
        <w:tc>
          <w:tcPr>
            <w:tcW w:w="1974" w:type="pct"/>
            <w:tcBorders>
              <w:top w:val="nil"/>
              <w:left w:val="nil"/>
              <w:bottom w:val="single" w:sz="4" w:space="0" w:color="auto"/>
              <w:right w:val="nil"/>
            </w:tcBorders>
            <w:shd w:val="clear" w:color="auto" w:fill="auto"/>
            <w:vAlign w:val="bottom"/>
            <w:hideMark/>
          </w:tcPr>
          <w:p w14:paraId="2E4E0B18" w14:textId="77777777" w:rsidR="001C0F49" w:rsidRPr="00B63C9D" w:rsidRDefault="001C0F49" w:rsidP="00293BD0">
            <w:pPr>
              <w:spacing w:after="0" w:line="240" w:lineRule="auto"/>
              <w:rPr>
                <w:rFonts w:ascii="Arial" w:hAnsi="Arial" w:cs="Arial"/>
                <w:b/>
                <w:bCs/>
                <w:color w:val="000000"/>
                <w:sz w:val="16"/>
                <w:szCs w:val="16"/>
              </w:rPr>
            </w:pPr>
            <w:r w:rsidRPr="00B63C9D">
              <w:rPr>
                <w:rFonts w:ascii="Arial" w:hAnsi="Arial" w:cs="Arial"/>
                <w:b/>
                <w:bCs/>
                <w:color w:val="000000"/>
                <w:sz w:val="16"/>
                <w:szCs w:val="16"/>
              </w:rPr>
              <w:t>Cash and cash equivalents at</w:t>
            </w:r>
            <w:r>
              <w:rPr>
                <w:rFonts w:ascii="Arial" w:hAnsi="Arial" w:cs="Arial"/>
                <w:b/>
                <w:bCs/>
                <w:color w:val="000000"/>
                <w:sz w:val="16"/>
                <w:szCs w:val="16"/>
              </w:rPr>
              <w:t xml:space="preserve"> </w:t>
            </w:r>
            <w:r w:rsidRPr="00B63C9D">
              <w:rPr>
                <w:rFonts w:ascii="Arial" w:hAnsi="Arial" w:cs="Arial"/>
                <w:b/>
                <w:bCs/>
                <w:color w:val="000000"/>
                <w:sz w:val="16"/>
                <w:szCs w:val="16"/>
              </w:rPr>
              <w:t>the end of the reporting period</w:t>
            </w:r>
          </w:p>
        </w:tc>
        <w:tc>
          <w:tcPr>
            <w:tcW w:w="605" w:type="pct"/>
            <w:tcBorders>
              <w:top w:val="single" w:sz="4" w:space="0" w:color="000000"/>
              <w:left w:val="nil"/>
              <w:bottom w:val="single" w:sz="4" w:space="0" w:color="auto"/>
              <w:right w:val="nil"/>
            </w:tcBorders>
            <w:shd w:val="clear" w:color="auto" w:fill="auto"/>
            <w:noWrap/>
            <w:vAlign w:val="bottom"/>
            <w:hideMark/>
          </w:tcPr>
          <w:p w14:paraId="030C65DF" w14:textId="77777777" w:rsidR="001C0F49" w:rsidRPr="00CF671E" w:rsidRDefault="001C0F49" w:rsidP="00293BD0">
            <w:pPr>
              <w:spacing w:after="0" w:line="240" w:lineRule="auto"/>
              <w:jc w:val="right"/>
              <w:rPr>
                <w:rFonts w:ascii="Arial" w:hAnsi="Arial" w:cs="Arial"/>
                <w:b/>
                <w:color w:val="000000"/>
                <w:sz w:val="16"/>
                <w:szCs w:val="16"/>
              </w:rPr>
            </w:pPr>
            <w:r>
              <w:rPr>
                <w:rFonts w:ascii="Arial" w:hAnsi="Arial" w:cs="Arial"/>
                <w:b/>
                <w:color w:val="000000"/>
                <w:sz w:val="16"/>
                <w:szCs w:val="16"/>
              </w:rPr>
              <w:t>6,603</w:t>
            </w:r>
          </w:p>
        </w:tc>
        <w:tc>
          <w:tcPr>
            <w:tcW w:w="605" w:type="pct"/>
            <w:tcBorders>
              <w:top w:val="single" w:sz="4" w:space="0" w:color="000000"/>
              <w:left w:val="nil"/>
              <w:bottom w:val="single" w:sz="4" w:space="0" w:color="auto"/>
              <w:right w:val="nil"/>
            </w:tcBorders>
            <w:shd w:val="clear" w:color="auto" w:fill="E6E6E6"/>
            <w:noWrap/>
            <w:vAlign w:val="bottom"/>
            <w:hideMark/>
          </w:tcPr>
          <w:p w14:paraId="0DACE0CD" w14:textId="77777777" w:rsidR="001C0F49" w:rsidRPr="00CF671E" w:rsidRDefault="001C0F49" w:rsidP="00293BD0">
            <w:pPr>
              <w:spacing w:after="0" w:line="240" w:lineRule="auto"/>
              <w:jc w:val="right"/>
              <w:rPr>
                <w:rFonts w:ascii="Arial" w:hAnsi="Arial" w:cs="Arial"/>
                <w:b/>
                <w:color w:val="000000"/>
                <w:sz w:val="16"/>
                <w:szCs w:val="16"/>
              </w:rPr>
            </w:pPr>
            <w:r>
              <w:rPr>
                <w:rFonts w:ascii="Arial" w:hAnsi="Arial" w:cs="Arial"/>
                <w:b/>
                <w:color w:val="000000"/>
                <w:sz w:val="16"/>
                <w:szCs w:val="16"/>
              </w:rPr>
              <w:t>10,173</w:t>
            </w:r>
          </w:p>
        </w:tc>
        <w:tc>
          <w:tcPr>
            <w:tcW w:w="605" w:type="pct"/>
            <w:tcBorders>
              <w:top w:val="single" w:sz="4" w:space="0" w:color="000000"/>
              <w:left w:val="nil"/>
              <w:bottom w:val="single" w:sz="4" w:space="0" w:color="auto"/>
              <w:right w:val="nil"/>
            </w:tcBorders>
            <w:shd w:val="clear" w:color="auto" w:fill="auto"/>
            <w:noWrap/>
            <w:vAlign w:val="bottom"/>
            <w:hideMark/>
          </w:tcPr>
          <w:p w14:paraId="3C38C236" w14:textId="77777777" w:rsidR="001C0F49" w:rsidRPr="00CF671E" w:rsidRDefault="001C0F49" w:rsidP="00293BD0">
            <w:pPr>
              <w:spacing w:after="0" w:line="240" w:lineRule="auto"/>
              <w:jc w:val="right"/>
              <w:rPr>
                <w:rFonts w:ascii="Arial" w:hAnsi="Arial" w:cs="Arial"/>
                <w:b/>
                <w:color w:val="000000"/>
                <w:sz w:val="16"/>
                <w:szCs w:val="16"/>
              </w:rPr>
            </w:pPr>
            <w:r>
              <w:rPr>
                <w:rFonts w:ascii="Arial" w:hAnsi="Arial" w:cs="Arial"/>
                <w:b/>
                <w:color w:val="000000"/>
                <w:sz w:val="16"/>
                <w:szCs w:val="16"/>
              </w:rPr>
              <w:t>10,195</w:t>
            </w:r>
          </w:p>
        </w:tc>
        <w:tc>
          <w:tcPr>
            <w:tcW w:w="605" w:type="pct"/>
            <w:tcBorders>
              <w:top w:val="single" w:sz="4" w:space="0" w:color="000000"/>
              <w:left w:val="nil"/>
              <w:bottom w:val="single" w:sz="4" w:space="0" w:color="auto"/>
              <w:right w:val="nil"/>
            </w:tcBorders>
            <w:shd w:val="clear" w:color="auto" w:fill="auto"/>
            <w:noWrap/>
            <w:vAlign w:val="bottom"/>
            <w:hideMark/>
          </w:tcPr>
          <w:p w14:paraId="687F62C3" w14:textId="77777777" w:rsidR="001C0F49" w:rsidRPr="00CF671E" w:rsidRDefault="001C0F49" w:rsidP="00293BD0">
            <w:pPr>
              <w:spacing w:after="0" w:line="240" w:lineRule="auto"/>
              <w:jc w:val="right"/>
              <w:rPr>
                <w:rFonts w:ascii="Arial" w:hAnsi="Arial" w:cs="Arial"/>
                <w:b/>
                <w:color w:val="000000"/>
                <w:sz w:val="16"/>
                <w:szCs w:val="16"/>
              </w:rPr>
            </w:pPr>
            <w:r>
              <w:rPr>
                <w:rFonts w:ascii="Arial" w:hAnsi="Arial" w:cs="Arial"/>
                <w:b/>
                <w:color w:val="000000"/>
                <w:sz w:val="16"/>
                <w:szCs w:val="16"/>
              </w:rPr>
              <w:t>10,172</w:t>
            </w:r>
          </w:p>
        </w:tc>
        <w:tc>
          <w:tcPr>
            <w:tcW w:w="605" w:type="pct"/>
            <w:tcBorders>
              <w:top w:val="single" w:sz="4" w:space="0" w:color="000000"/>
              <w:left w:val="nil"/>
              <w:bottom w:val="single" w:sz="4" w:space="0" w:color="auto"/>
              <w:right w:val="nil"/>
            </w:tcBorders>
            <w:shd w:val="clear" w:color="auto" w:fill="auto"/>
            <w:noWrap/>
            <w:vAlign w:val="bottom"/>
            <w:hideMark/>
          </w:tcPr>
          <w:p w14:paraId="79FCC82D" w14:textId="77777777" w:rsidR="001C0F49" w:rsidRPr="00CF671E" w:rsidRDefault="001C0F49" w:rsidP="00293BD0">
            <w:pPr>
              <w:spacing w:after="0" w:line="240" w:lineRule="auto"/>
              <w:jc w:val="right"/>
              <w:rPr>
                <w:rFonts w:ascii="Arial" w:hAnsi="Arial" w:cs="Arial"/>
                <w:b/>
                <w:color w:val="000000"/>
                <w:sz w:val="16"/>
                <w:szCs w:val="16"/>
              </w:rPr>
            </w:pPr>
            <w:r>
              <w:rPr>
                <w:rFonts w:ascii="Arial" w:hAnsi="Arial" w:cs="Arial"/>
                <w:b/>
                <w:color w:val="000000"/>
                <w:sz w:val="16"/>
                <w:szCs w:val="16"/>
              </w:rPr>
              <w:t>10,100</w:t>
            </w:r>
          </w:p>
        </w:tc>
      </w:tr>
    </w:tbl>
    <w:p w14:paraId="7B786570" w14:textId="73E0EAEB" w:rsidR="001C0F49" w:rsidRPr="00132F9E" w:rsidRDefault="001C0F49" w:rsidP="00B46D7E">
      <w:pPr>
        <w:pStyle w:val="TableGraphic"/>
        <w:spacing w:before="60"/>
        <w:ind w:right="0"/>
        <w:rPr>
          <w:rFonts w:ascii="Arial" w:hAnsi="Arial" w:cs="Arial"/>
          <w:sz w:val="16"/>
          <w:szCs w:val="16"/>
        </w:rPr>
      </w:pPr>
      <w:r w:rsidRPr="00132F9E">
        <w:rPr>
          <w:rFonts w:ascii="Arial" w:hAnsi="Arial" w:cs="Arial"/>
          <w:sz w:val="16"/>
          <w:szCs w:val="16"/>
        </w:rPr>
        <w:t>Prepared on Australian Accounting Standards basis</w:t>
      </w:r>
      <w:r w:rsidR="00460546">
        <w:rPr>
          <w:rFonts w:ascii="Arial" w:hAnsi="Arial" w:cs="Arial"/>
          <w:sz w:val="16"/>
          <w:szCs w:val="16"/>
        </w:rPr>
        <w:t>.</w:t>
      </w:r>
    </w:p>
    <w:p w14:paraId="54D8655C" w14:textId="77777777" w:rsidR="001C0F49" w:rsidRDefault="001C0F49" w:rsidP="001C0F49">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118"/>
        <w:gridCol w:w="928"/>
        <w:gridCol w:w="916"/>
        <w:gridCol w:w="916"/>
        <w:gridCol w:w="916"/>
        <w:gridCol w:w="916"/>
      </w:tblGrid>
      <w:tr w:rsidR="001C0F49" w:rsidRPr="00A04237" w14:paraId="37A01434" w14:textId="77777777" w:rsidTr="009C12D1">
        <w:trPr>
          <w:trHeight w:val="204"/>
        </w:trPr>
        <w:tc>
          <w:tcPr>
            <w:tcW w:w="2022" w:type="pct"/>
            <w:tcBorders>
              <w:top w:val="single" w:sz="4" w:space="0" w:color="auto"/>
              <w:left w:val="nil"/>
              <w:bottom w:val="nil"/>
              <w:right w:val="nil"/>
            </w:tcBorders>
            <w:shd w:val="clear" w:color="auto" w:fill="auto"/>
            <w:noWrap/>
            <w:vAlign w:val="bottom"/>
            <w:hideMark/>
          </w:tcPr>
          <w:p w14:paraId="0CB55503"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 </w:t>
            </w:r>
          </w:p>
        </w:tc>
        <w:tc>
          <w:tcPr>
            <w:tcW w:w="602" w:type="pct"/>
            <w:tcBorders>
              <w:top w:val="single" w:sz="4" w:space="0" w:color="auto"/>
              <w:left w:val="nil"/>
              <w:bottom w:val="single" w:sz="4" w:space="0" w:color="auto"/>
              <w:right w:val="nil"/>
            </w:tcBorders>
            <w:shd w:val="clear" w:color="auto" w:fill="auto"/>
            <w:vAlign w:val="bottom"/>
            <w:hideMark/>
          </w:tcPr>
          <w:p w14:paraId="238B1EB8"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2021-22 Estimated actual</w:t>
            </w:r>
            <w:r w:rsidRPr="00A0423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E6E6E6"/>
            <w:vAlign w:val="bottom"/>
            <w:hideMark/>
          </w:tcPr>
          <w:p w14:paraId="2B264F63"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2022-23</w:t>
            </w:r>
            <w:r w:rsidRPr="00A04237">
              <w:rPr>
                <w:rFonts w:ascii="Arial" w:hAnsi="Arial" w:cs="Arial"/>
                <w:sz w:val="16"/>
                <w:szCs w:val="16"/>
              </w:rPr>
              <w:br/>
              <w:t>Budget</w:t>
            </w:r>
            <w:r w:rsidRPr="00A04237">
              <w:rPr>
                <w:rFonts w:ascii="Arial" w:hAnsi="Arial" w:cs="Arial"/>
                <w:sz w:val="16"/>
                <w:szCs w:val="16"/>
              </w:rPr>
              <w:br/>
            </w:r>
            <w:r w:rsidRPr="00A0423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77C05AEF"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2023-24 Forward estimate</w:t>
            </w:r>
            <w:r w:rsidRPr="00A0423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296D7817"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2024-25 Forward estimate</w:t>
            </w:r>
            <w:r w:rsidRPr="00A04237">
              <w:rPr>
                <w:rFonts w:ascii="Arial" w:hAnsi="Arial" w:cs="Arial"/>
                <w:sz w:val="16"/>
                <w:szCs w:val="16"/>
              </w:rPr>
              <w:br/>
              <w:t>$'000</w:t>
            </w:r>
          </w:p>
        </w:tc>
        <w:tc>
          <w:tcPr>
            <w:tcW w:w="594" w:type="pct"/>
            <w:tcBorders>
              <w:top w:val="single" w:sz="4" w:space="0" w:color="auto"/>
              <w:left w:val="nil"/>
              <w:bottom w:val="single" w:sz="4" w:space="0" w:color="auto"/>
              <w:right w:val="nil"/>
            </w:tcBorders>
            <w:shd w:val="clear" w:color="auto" w:fill="auto"/>
            <w:vAlign w:val="bottom"/>
            <w:hideMark/>
          </w:tcPr>
          <w:p w14:paraId="67A4C82B"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2025-26</w:t>
            </w:r>
            <w:r w:rsidRPr="00A04237">
              <w:rPr>
                <w:rFonts w:ascii="Arial" w:hAnsi="Arial" w:cs="Arial"/>
                <w:sz w:val="16"/>
                <w:szCs w:val="16"/>
              </w:rPr>
              <w:br/>
              <w:t>Forward estimate</w:t>
            </w:r>
            <w:r w:rsidRPr="00A04237">
              <w:rPr>
                <w:rFonts w:ascii="Arial" w:hAnsi="Arial" w:cs="Arial"/>
                <w:sz w:val="16"/>
                <w:szCs w:val="16"/>
              </w:rPr>
              <w:br/>
              <w:t>$'000</w:t>
            </w:r>
          </w:p>
        </w:tc>
      </w:tr>
      <w:tr w:rsidR="001C0F49" w:rsidRPr="00A04237" w14:paraId="08F59F5B" w14:textId="77777777" w:rsidTr="009C12D1">
        <w:trPr>
          <w:trHeight w:val="204"/>
        </w:trPr>
        <w:tc>
          <w:tcPr>
            <w:tcW w:w="2022" w:type="pct"/>
            <w:tcBorders>
              <w:top w:val="nil"/>
              <w:left w:val="nil"/>
              <w:bottom w:val="nil"/>
              <w:right w:val="nil"/>
            </w:tcBorders>
            <w:shd w:val="clear" w:color="auto" w:fill="auto"/>
            <w:noWrap/>
            <w:vAlign w:val="bottom"/>
            <w:hideMark/>
          </w:tcPr>
          <w:p w14:paraId="1333EF07"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NEW CAPITAL APPROPRIATIONS</w:t>
            </w:r>
          </w:p>
        </w:tc>
        <w:tc>
          <w:tcPr>
            <w:tcW w:w="602" w:type="pct"/>
            <w:tcBorders>
              <w:top w:val="nil"/>
              <w:left w:val="nil"/>
              <w:bottom w:val="nil"/>
              <w:right w:val="nil"/>
            </w:tcBorders>
            <w:shd w:val="clear" w:color="auto" w:fill="auto"/>
            <w:noWrap/>
            <w:vAlign w:val="bottom"/>
            <w:hideMark/>
          </w:tcPr>
          <w:p w14:paraId="4A6594BE" w14:textId="77777777" w:rsidR="001C0F49" w:rsidRPr="00416F20" w:rsidRDefault="001C0F49" w:rsidP="00B46D7E">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36081584"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6F2E3048"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9FF375C" w14:textId="77777777" w:rsidR="001C0F49" w:rsidRPr="00CF671E"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2EFBB258" w14:textId="77777777" w:rsidR="001C0F49" w:rsidRPr="00CF671E" w:rsidRDefault="001C0F49" w:rsidP="00B46D7E">
            <w:pPr>
              <w:spacing w:after="0" w:line="240" w:lineRule="auto"/>
              <w:jc w:val="right"/>
              <w:rPr>
                <w:rFonts w:ascii="Arial" w:hAnsi="Arial" w:cs="Arial"/>
                <w:sz w:val="16"/>
                <w:szCs w:val="16"/>
              </w:rPr>
            </w:pPr>
          </w:p>
        </w:tc>
      </w:tr>
      <w:tr w:rsidR="001C0F49" w:rsidRPr="00A04237" w14:paraId="6B5D6660" w14:textId="77777777" w:rsidTr="009C12D1">
        <w:trPr>
          <w:trHeight w:val="204"/>
        </w:trPr>
        <w:tc>
          <w:tcPr>
            <w:tcW w:w="2022" w:type="pct"/>
            <w:tcBorders>
              <w:top w:val="nil"/>
              <w:left w:val="nil"/>
              <w:bottom w:val="nil"/>
              <w:right w:val="nil"/>
            </w:tcBorders>
            <w:shd w:val="clear" w:color="auto" w:fill="auto"/>
            <w:noWrap/>
            <w:vAlign w:val="bottom"/>
            <w:hideMark/>
          </w:tcPr>
          <w:p w14:paraId="51EF212D" w14:textId="77777777" w:rsidR="001C0F49" w:rsidRPr="00A04237" w:rsidRDefault="001C0F49" w:rsidP="00293BD0">
            <w:pPr>
              <w:spacing w:after="0" w:line="240" w:lineRule="auto"/>
              <w:ind w:left="113"/>
              <w:rPr>
                <w:rFonts w:ascii="Arial" w:hAnsi="Arial" w:cs="Arial"/>
                <w:sz w:val="16"/>
                <w:szCs w:val="16"/>
              </w:rPr>
            </w:pPr>
            <w:r w:rsidRPr="00A04237">
              <w:rPr>
                <w:rFonts w:ascii="Arial" w:hAnsi="Arial" w:cs="Arial"/>
                <w:sz w:val="16"/>
                <w:szCs w:val="16"/>
              </w:rPr>
              <w:t xml:space="preserve">Equity </w:t>
            </w:r>
            <w:r w:rsidRPr="009F6962">
              <w:rPr>
                <w:rFonts w:ascii="Arial" w:hAnsi="Arial" w:cs="Arial"/>
                <w:color w:val="000000"/>
                <w:sz w:val="16"/>
                <w:szCs w:val="16"/>
              </w:rPr>
              <w:t>injections</w:t>
            </w:r>
            <w:r w:rsidRPr="00A04237">
              <w:rPr>
                <w:rFonts w:ascii="Arial" w:hAnsi="Arial" w:cs="Arial"/>
                <w:sz w:val="16"/>
                <w:szCs w:val="16"/>
              </w:rPr>
              <w:t xml:space="preserve"> - Bill 2</w:t>
            </w:r>
          </w:p>
        </w:tc>
        <w:tc>
          <w:tcPr>
            <w:tcW w:w="602" w:type="pct"/>
            <w:tcBorders>
              <w:top w:val="nil"/>
              <w:left w:val="nil"/>
              <w:bottom w:val="nil"/>
              <w:right w:val="nil"/>
            </w:tcBorders>
            <w:shd w:val="clear" w:color="auto" w:fill="auto"/>
            <w:noWrap/>
            <w:vAlign w:val="bottom"/>
            <w:hideMark/>
          </w:tcPr>
          <w:p w14:paraId="5DD8A140"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1,924</w:t>
            </w:r>
          </w:p>
        </w:tc>
        <w:tc>
          <w:tcPr>
            <w:tcW w:w="594" w:type="pct"/>
            <w:tcBorders>
              <w:top w:val="nil"/>
              <w:left w:val="nil"/>
              <w:bottom w:val="nil"/>
              <w:right w:val="nil"/>
            </w:tcBorders>
            <w:shd w:val="clear" w:color="auto" w:fill="E6E6E6"/>
            <w:noWrap/>
            <w:vAlign w:val="bottom"/>
            <w:hideMark/>
          </w:tcPr>
          <w:p w14:paraId="5AAEEF49"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1,948</w:t>
            </w:r>
          </w:p>
        </w:tc>
        <w:tc>
          <w:tcPr>
            <w:tcW w:w="594" w:type="pct"/>
            <w:tcBorders>
              <w:top w:val="nil"/>
              <w:left w:val="nil"/>
              <w:bottom w:val="nil"/>
              <w:right w:val="nil"/>
            </w:tcBorders>
            <w:shd w:val="clear" w:color="auto" w:fill="auto"/>
            <w:noWrap/>
            <w:vAlign w:val="bottom"/>
            <w:hideMark/>
          </w:tcPr>
          <w:p w14:paraId="041EB7F6"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2,033</w:t>
            </w:r>
          </w:p>
        </w:tc>
        <w:tc>
          <w:tcPr>
            <w:tcW w:w="594" w:type="pct"/>
            <w:tcBorders>
              <w:top w:val="nil"/>
              <w:left w:val="nil"/>
              <w:bottom w:val="nil"/>
              <w:right w:val="nil"/>
            </w:tcBorders>
            <w:shd w:val="clear" w:color="auto" w:fill="auto"/>
            <w:noWrap/>
            <w:vAlign w:val="bottom"/>
            <w:hideMark/>
          </w:tcPr>
          <w:p w14:paraId="2984162F"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2,065</w:t>
            </w:r>
          </w:p>
        </w:tc>
        <w:tc>
          <w:tcPr>
            <w:tcW w:w="594" w:type="pct"/>
            <w:tcBorders>
              <w:top w:val="nil"/>
              <w:left w:val="nil"/>
              <w:bottom w:val="nil"/>
              <w:right w:val="nil"/>
            </w:tcBorders>
            <w:shd w:val="clear" w:color="auto" w:fill="auto"/>
            <w:noWrap/>
            <w:vAlign w:val="bottom"/>
            <w:hideMark/>
          </w:tcPr>
          <w:p w14:paraId="4B53DD4B"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2,087</w:t>
            </w:r>
          </w:p>
        </w:tc>
      </w:tr>
      <w:tr w:rsidR="001C0F49" w:rsidRPr="00A04237" w14:paraId="42D20252" w14:textId="77777777" w:rsidTr="009C12D1">
        <w:trPr>
          <w:trHeight w:val="204"/>
        </w:trPr>
        <w:tc>
          <w:tcPr>
            <w:tcW w:w="2022" w:type="pct"/>
            <w:tcBorders>
              <w:top w:val="nil"/>
              <w:left w:val="nil"/>
              <w:bottom w:val="nil"/>
              <w:right w:val="nil"/>
            </w:tcBorders>
            <w:shd w:val="clear" w:color="auto" w:fill="auto"/>
            <w:noWrap/>
            <w:vAlign w:val="bottom"/>
            <w:hideMark/>
          </w:tcPr>
          <w:p w14:paraId="792D72CC"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Total new capital appropriations</w:t>
            </w:r>
          </w:p>
        </w:tc>
        <w:tc>
          <w:tcPr>
            <w:tcW w:w="602" w:type="pct"/>
            <w:tcBorders>
              <w:top w:val="single" w:sz="4" w:space="0" w:color="auto"/>
              <w:left w:val="nil"/>
              <w:bottom w:val="single" w:sz="4" w:space="0" w:color="auto"/>
              <w:right w:val="nil"/>
            </w:tcBorders>
            <w:shd w:val="clear" w:color="auto" w:fill="auto"/>
            <w:noWrap/>
            <w:vAlign w:val="bottom"/>
            <w:hideMark/>
          </w:tcPr>
          <w:p w14:paraId="5F99FB1C"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1,924</w:t>
            </w:r>
          </w:p>
        </w:tc>
        <w:tc>
          <w:tcPr>
            <w:tcW w:w="594" w:type="pct"/>
            <w:tcBorders>
              <w:top w:val="single" w:sz="4" w:space="0" w:color="auto"/>
              <w:left w:val="nil"/>
              <w:bottom w:val="single" w:sz="4" w:space="0" w:color="auto"/>
              <w:right w:val="nil"/>
            </w:tcBorders>
            <w:shd w:val="clear" w:color="auto" w:fill="E6E6E6"/>
            <w:noWrap/>
            <w:vAlign w:val="bottom"/>
            <w:hideMark/>
          </w:tcPr>
          <w:p w14:paraId="31435CE1"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1,948</w:t>
            </w:r>
          </w:p>
        </w:tc>
        <w:tc>
          <w:tcPr>
            <w:tcW w:w="594" w:type="pct"/>
            <w:tcBorders>
              <w:top w:val="single" w:sz="4" w:space="0" w:color="auto"/>
              <w:left w:val="nil"/>
              <w:bottom w:val="single" w:sz="4" w:space="0" w:color="auto"/>
              <w:right w:val="nil"/>
            </w:tcBorders>
            <w:shd w:val="clear" w:color="auto" w:fill="auto"/>
            <w:noWrap/>
            <w:vAlign w:val="bottom"/>
            <w:hideMark/>
          </w:tcPr>
          <w:p w14:paraId="004EF950"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2,033</w:t>
            </w:r>
          </w:p>
        </w:tc>
        <w:tc>
          <w:tcPr>
            <w:tcW w:w="594" w:type="pct"/>
            <w:tcBorders>
              <w:top w:val="single" w:sz="4" w:space="0" w:color="auto"/>
              <w:left w:val="nil"/>
              <w:bottom w:val="single" w:sz="4" w:space="0" w:color="auto"/>
              <w:right w:val="nil"/>
            </w:tcBorders>
            <w:shd w:val="clear" w:color="auto" w:fill="auto"/>
            <w:noWrap/>
            <w:vAlign w:val="bottom"/>
            <w:hideMark/>
          </w:tcPr>
          <w:p w14:paraId="70BF0FCE"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2,065</w:t>
            </w:r>
          </w:p>
        </w:tc>
        <w:tc>
          <w:tcPr>
            <w:tcW w:w="594" w:type="pct"/>
            <w:tcBorders>
              <w:top w:val="single" w:sz="4" w:space="0" w:color="auto"/>
              <w:left w:val="nil"/>
              <w:bottom w:val="single" w:sz="4" w:space="0" w:color="auto"/>
              <w:right w:val="nil"/>
            </w:tcBorders>
            <w:shd w:val="clear" w:color="auto" w:fill="auto"/>
            <w:noWrap/>
            <w:vAlign w:val="bottom"/>
            <w:hideMark/>
          </w:tcPr>
          <w:p w14:paraId="6CCE564F"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2,087</w:t>
            </w:r>
          </w:p>
        </w:tc>
      </w:tr>
      <w:tr w:rsidR="001C0F49" w:rsidRPr="004D2BB5" w14:paraId="60046894" w14:textId="77777777" w:rsidTr="009C12D1">
        <w:trPr>
          <w:trHeight w:val="204"/>
        </w:trPr>
        <w:tc>
          <w:tcPr>
            <w:tcW w:w="2022" w:type="pct"/>
            <w:tcBorders>
              <w:top w:val="nil"/>
              <w:left w:val="nil"/>
              <w:bottom w:val="nil"/>
              <w:right w:val="nil"/>
            </w:tcBorders>
            <w:shd w:val="clear" w:color="auto" w:fill="auto"/>
            <w:noWrap/>
            <w:vAlign w:val="bottom"/>
            <w:hideMark/>
          </w:tcPr>
          <w:p w14:paraId="0DAFD3BE" w14:textId="77777777" w:rsidR="001C0F49" w:rsidRPr="004D2BB5" w:rsidRDefault="001C0F49" w:rsidP="00293BD0">
            <w:pPr>
              <w:spacing w:after="0" w:line="240" w:lineRule="auto"/>
              <w:rPr>
                <w:rFonts w:ascii="Arial" w:hAnsi="Arial" w:cs="Arial"/>
                <w:b/>
                <w:bCs/>
                <w:iCs/>
                <w:sz w:val="16"/>
                <w:szCs w:val="16"/>
              </w:rPr>
            </w:pPr>
            <w:r w:rsidRPr="004D2BB5">
              <w:rPr>
                <w:rFonts w:ascii="Arial" w:hAnsi="Arial" w:cs="Arial"/>
                <w:b/>
                <w:bCs/>
                <w:iCs/>
                <w:sz w:val="16"/>
                <w:szCs w:val="16"/>
              </w:rPr>
              <w:t>Provided for:</w:t>
            </w:r>
          </w:p>
        </w:tc>
        <w:tc>
          <w:tcPr>
            <w:tcW w:w="602" w:type="pct"/>
            <w:tcBorders>
              <w:top w:val="nil"/>
              <w:left w:val="nil"/>
              <w:bottom w:val="nil"/>
              <w:right w:val="nil"/>
            </w:tcBorders>
            <w:shd w:val="clear" w:color="auto" w:fill="auto"/>
            <w:noWrap/>
            <w:vAlign w:val="bottom"/>
            <w:hideMark/>
          </w:tcPr>
          <w:p w14:paraId="2D5ACC3C" w14:textId="77777777" w:rsidR="001C0F49" w:rsidRPr="004D2BB5" w:rsidRDefault="001C0F49" w:rsidP="00B46D7E">
            <w:pPr>
              <w:spacing w:after="0" w:line="240" w:lineRule="auto"/>
              <w:jc w:val="right"/>
              <w:rPr>
                <w:rFonts w:ascii="Arial" w:hAnsi="Arial" w:cs="Arial"/>
                <w:b/>
                <w:bCs/>
                <w:iCs/>
                <w:sz w:val="16"/>
                <w:szCs w:val="16"/>
              </w:rPr>
            </w:pPr>
          </w:p>
        </w:tc>
        <w:tc>
          <w:tcPr>
            <w:tcW w:w="594" w:type="pct"/>
            <w:tcBorders>
              <w:top w:val="nil"/>
              <w:left w:val="nil"/>
              <w:bottom w:val="nil"/>
              <w:right w:val="nil"/>
            </w:tcBorders>
            <w:shd w:val="clear" w:color="auto" w:fill="E6E6E6"/>
            <w:noWrap/>
            <w:vAlign w:val="bottom"/>
            <w:hideMark/>
          </w:tcPr>
          <w:p w14:paraId="0F59D3B8" w14:textId="77777777" w:rsidR="001C0F49" w:rsidRPr="004D2BB5" w:rsidRDefault="001C0F49" w:rsidP="00B46D7E">
            <w:pPr>
              <w:spacing w:after="0" w:line="240" w:lineRule="auto"/>
              <w:jc w:val="right"/>
              <w:rPr>
                <w:rFonts w:ascii="Arial" w:hAnsi="Arial" w:cs="Arial"/>
                <w:iCs/>
                <w:sz w:val="16"/>
                <w:szCs w:val="16"/>
              </w:rPr>
            </w:pPr>
          </w:p>
        </w:tc>
        <w:tc>
          <w:tcPr>
            <w:tcW w:w="594" w:type="pct"/>
            <w:tcBorders>
              <w:top w:val="nil"/>
              <w:left w:val="nil"/>
              <w:bottom w:val="nil"/>
              <w:right w:val="nil"/>
            </w:tcBorders>
            <w:shd w:val="clear" w:color="auto" w:fill="auto"/>
            <w:noWrap/>
            <w:vAlign w:val="bottom"/>
            <w:hideMark/>
          </w:tcPr>
          <w:p w14:paraId="041BFCFC" w14:textId="77777777" w:rsidR="001C0F49" w:rsidRPr="004D2BB5" w:rsidRDefault="001C0F49" w:rsidP="00B46D7E">
            <w:pPr>
              <w:spacing w:after="0" w:line="240" w:lineRule="auto"/>
              <w:jc w:val="right"/>
              <w:rPr>
                <w:rFonts w:ascii="Arial" w:hAnsi="Arial" w:cs="Arial"/>
                <w:iCs/>
                <w:sz w:val="16"/>
                <w:szCs w:val="16"/>
              </w:rPr>
            </w:pPr>
          </w:p>
        </w:tc>
        <w:tc>
          <w:tcPr>
            <w:tcW w:w="594" w:type="pct"/>
            <w:tcBorders>
              <w:top w:val="nil"/>
              <w:left w:val="nil"/>
              <w:bottom w:val="nil"/>
              <w:right w:val="nil"/>
            </w:tcBorders>
            <w:shd w:val="clear" w:color="auto" w:fill="auto"/>
            <w:noWrap/>
            <w:vAlign w:val="bottom"/>
            <w:hideMark/>
          </w:tcPr>
          <w:p w14:paraId="40C4F96F" w14:textId="77777777" w:rsidR="001C0F49" w:rsidRPr="004D2BB5"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FA1DF67" w14:textId="77777777" w:rsidR="001C0F49" w:rsidRPr="004D2BB5" w:rsidRDefault="001C0F49" w:rsidP="00B46D7E">
            <w:pPr>
              <w:spacing w:after="0" w:line="240" w:lineRule="auto"/>
              <w:jc w:val="right"/>
              <w:rPr>
                <w:rFonts w:ascii="Arial" w:hAnsi="Arial" w:cs="Arial"/>
                <w:sz w:val="16"/>
                <w:szCs w:val="16"/>
              </w:rPr>
            </w:pPr>
          </w:p>
        </w:tc>
      </w:tr>
      <w:tr w:rsidR="001C0F49" w:rsidRPr="004D2BB5" w14:paraId="15F821C2" w14:textId="77777777" w:rsidTr="009C12D1">
        <w:trPr>
          <w:trHeight w:val="204"/>
        </w:trPr>
        <w:tc>
          <w:tcPr>
            <w:tcW w:w="2022" w:type="pct"/>
            <w:tcBorders>
              <w:top w:val="nil"/>
              <w:left w:val="nil"/>
              <w:bottom w:val="nil"/>
              <w:right w:val="nil"/>
            </w:tcBorders>
            <w:shd w:val="clear" w:color="auto" w:fill="auto"/>
            <w:noWrap/>
            <w:vAlign w:val="bottom"/>
            <w:hideMark/>
          </w:tcPr>
          <w:p w14:paraId="242CE0C4" w14:textId="77777777" w:rsidR="001C0F49" w:rsidRPr="004D2BB5" w:rsidRDefault="001C0F49" w:rsidP="00293BD0">
            <w:pPr>
              <w:spacing w:after="0" w:line="240" w:lineRule="auto"/>
              <w:ind w:left="113"/>
              <w:rPr>
                <w:rFonts w:ascii="Arial" w:hAnsi="Arial" w:cs="Arial"/>
                <w:iCs/>
                <w:sz w:val="16"/>
                <w:szCs w:val="16"/>
              </w:rPr>
            </w:pPr>
            <w:r w:rsidRPr="004D2BB5">
              <w:rPr>
                <w:rFonts w:ascii="Arial" w:hAnsi="Arial" w:cs="Arial"/>
                <w:iCs/>
                <w:sz w:val="16"/>
                <w:szCs w:val="16"/>
              </w:rPr>
              <w:t>Purchase of non-financial assets</w:t>
            </w:r>
          </w:p>
        </w:tc>
        <w:tc>
          <w:tcPr>
            <w:tcW w:w="602" w:type="pct"/>
            <w:tcBorders>
              <w:top w:val="nil"/>
              <w:left w:val="nil"/>
              <w:bottom w:val="nil"/>
              <w:right w:val="nil"/>
            </w:tcBorders>
            <w:shd w:val="clear" w:color="auto" w:fill="auto"/>
            <w:noWrap/>
            <w:vAlign w:val="bottom"/>
            <w:hideMark/>
          </w:tcPr>
          <w:p w14:paraId="68B7815D" w14:textId="77777777" w:rsidR="001C0F49" w:rsidRPr="004D2BB5" w:rsidRDefault="001C0F49" w:rsidP="00B46D7E">
            <w:pPr>
              <w:spacing w:after="0" w:line="240" w:lineRule="auto"/>
              <w:jc w:val="right"/>
              <w:rPr>
                <w:rFonts w:ascii="Arial" w:hAnsi="Arial" w:cs="Arial"/>
                <w:iCs/>
                <w:sz w:val="16"/>
                <w:szCs w:val="16"/>
              </w:rPr>
            </w:pPr>
            <w:r w:rsidRPr="00416F20">
              <w:rPr>
                <w:rFonts w:ascii="Arial" w:hAnsi="Arial" w:cs="Arial"/>
                <w:sz w:val="16"/>
                <w:szCs w:val="16"/>
              </w:rPr>
              <w:t>1,924</w:t>
            </w:r>
          </w:p>
        </w:tc>
        <w:tc>
          <w:tcPr>
            <w:tcW w:w="594" w:type="pct"/>
            <w:tcBorders>
              <w:top w:val="nil"/>
              <w:left w:val="nil"/>
              <w:bottom w:val="nil"/>
              <w:right w:val="nil"/>
            </w:tcBorders>
            <w:shd w:val="clear" w:color="auto" w:fill="E6E6E6"/>
            <w:noWrap/>
            <w:vAlign w:val="bottom"/>
            <w:hideMark/>
          </w:tcPr>
          <w:p w14:paraId="62EAB588" w14:textId="77777777" w:rsidR="001C0F49" w:rsidRPr="004D2BB5" w:rsidRDefault="001C0F49" w:rsidP="00B46D7E">
            <w:pPr>
              <w:spacing w:after="0" w:line="240" w:lineRule="auto"/>
              <w:jc w:val="right"/>
              <w:rPr>
                <w:rFonts w:ascii="Arial" w:hAnsi="Arial" w:cs="Arial"/>
                <w:iCs/>
                <w:sz w:val="16"/>
                <w:szCs w:val="16"/>
              </w:rPr>
            </w:pPr>
            <w:r w:rsidRPr="00416F20">
              <w:rPr>
                <w:rFonts w:ascii="Arial" w:hAnsi="Arial" w:cs="Arial"/>
                <w:sz w:val="16"/>
                <w:szCs w:val="16"/>
              </w:rPr>
              <w:t>1,948</w:t>
            </w:r>
          </w:p>
        </w:tc>
        <w:tc>
          <w:tcPr>
            <w:tcW w:w="594" w:type="pct"/>
            <w:tcBorders>
              <w:top w:val="nil"/>
              <w:left w:val="nil"/>
              <w:bottom w:val="nil"/>
              <w:right w:val="nil"/>
            </w:tcBorders>
            <w:shd w:val="clear" w:color="auto" w:fill="auto"/>
            <w:noWrap/>
            <w:vAlign w:val="bottom"/>
            <w:hideMark/>
          </w:tcPr>
          <w:p w14:paraId="6143200F" w14:textId="77777777" w:rsidR="001C0F49" w:rsidRPr="004D2BB5" w:rsidRDefault="001C0F49" w:rsidP="00B46D7E">
            <w:pPr>
              <w:spacing w:after="0" w:line="240" w:lineRule="auto"/>
              <w:jc w:val="right"/>
              <w:rPr>
                <w:rFonts w:ascii="Arial" w:hAnsi="Arial" w:cs="Arial"/>
                <w:iCs/>
                <w:sz w:val="16"/>
                <w:szCs w:val="16"/>
              </w:rPr>
            </w:pPr>
            <w:r>
              <w:rPr>
                <w:rFonts w:ascii="Arial" w:hAnsi="Arial" w:cs="Arial"/>
                <w:sz w:val="16"/>
                <w:szCs w:val="16"/>
              </w:rPr>
              <w:t>2,033</w:t>
            </w:r>
          </w:p>
        </w:tc>
        <w:tc>
          <w:tcPr>
            <w:tcW w:w="594" w:type="pct"/>
            <w:tcBorders>
              <w:top w:val="nil"/>
              <w:left w:val="nil"/>
              <w:bottom w:val="nil"/>
              <w:right w:val="nil"/>
            </w:tcBorders>
            <w:shd w:val="clear" w:color="auto" w:fill="auto"/>
            <w:noWrap/>
            <w:vAlign w:val="bottom"/>
            <w:hideMark/>
          </w:tcPr>
          <w:p w14:paraId="6731D0BD" w14:textId="77777777" w:rsidR="001C0F49" w:rsidRPr="004D2BB5" w:rsidRDefault="001C0F49" w:rsidP="00B46D7E">
            <w:pPr>
              <w:spacing w:after="0" w:line="240" w:lineRule="auto"/>
              <w:jc w:val="right"/>
              <w:rPr>
                <w:rFonts w:ascii="Arial" w:hAnsi="Arial" w:cs="Arial"/>
                <w:iCs/>
                <w:sz w:val="16"/>
                <w:szCs w:val="16"/>
              </w:rPr>
            </w:pPr>
            <w:r>
              <w:rPr>
                <w:rFonts w:ascii="Arial" w:hAnsi="Arial" w:cs="Arial"/>
                <w:sz w:val="16"/>
                <w:szCs w:val="16"/>
              </w:rPr>
              <w:t>2,065</w:t>
            </w:r>
          </w:p>
        </w:tc>
        <w:tc>
          <w:tcPr>
            <w:tcW w:w="594" w:type="pct"/>
            <w:tcBorders>
              <w:top w:val="nil"/>
              <w:left w:val="nil"/>
              <w:bottom w:val="nil"/>
              <w:right w:val="nil"/>
            </w:tcBorders>
            <w:shd w:val="clear" w:color="auto" w:fill="auto"/>
            <w:noWrap/>
            <w:vAlign w:val="bottom"/>
            <w:hideMark/>
          </w:tcPr>
          <w:p w14:paraId="7D21D512" w14:textId="77777777" w:rsidR="001C0F49" w:rsidRPr="004D2BB5" w:rsidRDefault="001C0F49" w:rsidP="00B46D7E">
            <w:pPr>
              <w:spacing w:after="0" w:line="240" w:lineRule="auto"/>
              <w:jc w:val="right"/>
              <w:rPr>
                <w:rFonts w:ascii="Arial" w:hAnsi="Arial" w:cs="Arial"/>
                <w:iCs/>
                <w:sz w:val="16"/>
                <w:szCs w:val="16"/>
              </w:rPr>
            </w:pPr>
            <w:r>
              <w:rPr>
                <w:rFonts w:ascii="Arial" w:hAnsi="Arial" w:cs="Arial"/>
                <w:sz w:val="16"/>
                <w:szCs w:val="16"/>
              </w:rPr>
              <w:t>2,087</w:t>
            </w:r>
          </w:p>
        </w:tc>
      </w:tr>
      <w:tr w:rsidR="001C0F49" w:rsidRPr="004D2BB5" w14:paraId="5A3FEDA8" w14:textId="77777777" w:rsidTr="009C12D1">
        <w:trPr>
          <w:trHeight w:val="204"/>
        </w:trPr>
        <w:tc>
          <w:tcPr>
            <w:tcW w:w="2022" w:type="pct"/>
            <w:tcBorders>
              <w:top w:val="nil"/>
              <w:left w:val="nil"/>
              <w:bottom w:val="nil"/>
              <w:right w:val="nil"/>
            </w:tcBorders>
            <w:shd w:val="clear" w:color="auto" w:fill="auto"/>
            <w:noWrap/>
            <w:vAlign w:val="bottom"/>
            <w:hideMark/>
          </w:tcPr>
          <w:p w14:paraId="6B33B9A9" w14:textId="77777777" w:rsidR="001C0F49" w:rsidRPr="004D2BB5" w:rsidRDefault="001C0F49" w:rsidP="00293BD0">
            <w:pPr>
              <w:spacing w:after="0" w:line="240" w:lineRule="auto"/>
              <w:rPr>
                <w:rFonts w:ascii="Arial" w:hAnsi="Arial" w:cs="Arial"/>
                <w:b/>
                <w:bCs/>
                <w:iCs/>
                <w:sz w:val="16"/>
                <w:szCs w:val="16"/>
              </w:rPr>
            </w:pPr>
            <w:r w:rsidRPr="004D2BB5">
              <w:rPr>
                <w:rFonts w:ascii="Arial" w:hAnsi="Arial" w:cs="Arial"/>
                <w:b/>
                <w:bCs/>
                <w:iCs/>
                <w:sz w:val="16"/>
                <w:szCs w:val="16"/>
              </w:rPr>
              <w:t>Total items</w:t>
            </w:r>
          </w:p>
        </w:tc>
        <w:tc>
          <w:tcPr>
            <w:tcW w:w="602" w:type="pct"/>
            <w:tcBorders>
              <w:top w:val="single" w:sz="4" w:space="0" w:color="auto"/>
              <w:left w:val="nil"/>
              <w:bottom w:val="single" w:sz="4" w:space="0" w:color="auto"/>
              <w:right w:val="nil"/>
            </w:tcBorders>
            <w:shd w:val="clear" w:color="auto" w:fill="auto"/>
            <w:noWrap/>
            <w:vAlign w:val="bottom"/>
            <w:hideMark/>
          </w:tcPr>
          <w:p w14:paraId="3A666C59" w14:textId="77777777" w:rsidR="001C0F49" w:rsidRPr="004D2BB5" w:rsidRDefault="001C0F49" w:rsidP="00B46D7E">
            <w:pPr>
              <w:spacing w:after="0" w:line="240" w:lineRule="auto"/>
              <w:jc w:val="right"/>
              <w:rPr>
                <w:rFonts w:ascii="Arial" w:hAnsi="Arial" w:cs="Arial"/>
                <w:b/>
                <w:bCs/>
                <w:iCs/>
                <w:sz w:val="16"/>
                <w:szCs w:val="16"/>
              </w:rPr>
            </w:pPr>
            <w:r w:rsidRPr="00416F20">
              <w:rPr>
                <w:rFonts w:ascii="Arial" w:hAnsi="Arial" w:cs="Arial"/>
                <w:b/>
                <w:bCs/>
                <w:sz w:val="16"/>
                <w:szCs w:val="16"/>
              </w:rPr>
              <w:t>1,924</w:t>
            </w:r>
          </w:p>
        </w:tc>
        <w:tc>
          <w:tcPr>
            <w:tcW w:w="594" w:type="pct"/>
            <w:tcBorders>
              <w:top w:val="single" w:sz="4" w:space="0" w:color="auto"/>
              <w:left w:val="nil"/>
              <w:bottom w:val="single" w:sz="4" w:space="0" w:color="auto"/>
              <w:right w:val="nil"/>
            </w:tcBorders>
            <w:shd w:val="clear" w:color="auto" w:fill="E6E6E6"/>
            <w:noWrap/>
            <w:vAlign w:val="bottom"/>
            <w:hideMark/>
          </w:tcPr>
          <w:p w14:paraId="0657782A" w14:textId="77777777" w:rsidR="001C0F49" w:rsidRPr="004D2BB5" w:rsidRDefault="001C0F49" w:rsidP="00B46D7E">
            <w:pPr>
              <w:spacing w:after="0" w:line="240" w:lineRule="auto"/>
              <w:jc w:val="right"/>
              <w:rPr>
                <w:rFonts w:ascii="Arial" w:hAnsi="Arial" w:cs="Arial"/>
                <w:b/>
                <w:bCs/>
                <w:iCs/>
                <w:sz w:val="16"/>
                <w:szCs w:val="16"/>
              </w:rPr>
            </w:pPr>
            <w:r w:rsidRPr="00416F20">
              <w:rPr>
                <w:rFonts w:ascii="Arial" w:hAnsi="Arial" w:cs="Arial"/>
                <w:b/>
                <w:bCs/>
                <w:sz w:val="16"/>
                <w:szCs w:val="16"/>
              </w:rPr>
              <w:t>1,948</w:t>
            </w:r>
          </w:p>
        </w:tc>
        <w:tc>
          <w:tcPr>
            <w:tcW w:w="594" w:type="pct"/>
            <w:tcBorders>
              <w:top w:val="single" w:sz="4" w:space="0" w:color="auto"/>
              <w:left w:val="nil"/>
              <w:bottom w:val="single" w:sz="4" w:space="0" w:color="auto"/>
              <w:right w:val="nil"/>
            </w:tcBorders>
            <w:shd w:val="clear" w:color="auto" w:fill="auto"/>
            <w:noWrap/>
            <w:vAlign w:val="bottom"/>
            <w:hideMark/>
          </w:tcPr>
          <w:p w14:paraId="64A990F6" w14:textId="77777777" w:rsidR="001C0F49" w:rsidRPr="004D2BB5" w:rsidRDefault="001C0F49" w:rsidP="00B46D7E">
            <w:pPr>
              <w:spacing w:after="0" w:line="240" w:lineRule="auto"/>
              <w:jc w:val="right"/>
              <w:rPr>
                <w:rFonts w:ascii="Arial" w:hAnsi="Arial" w:cs="Arial"/>
                <w:b/>
                <w:bCs/>
                <w:iCs/>
                <w:sz w:val="16"/>
                <w:szCs w:val="16"/>
              </w:rPr>
            </w:pPr>
            <w:r>
              <w:rPr>
                <w:rFonts w:ascii="Arial" w:hAnsi="Arial" w:cs="Arial"/>
                <w:b/>
                <w:bCs/>
                <w:sz w:val="16"/>
                <w:szCs w:val="16"/>
              </w:rPr>
              <w:t>2,033</w:t>
            </w:r>
          </w:p>
        </w:tc>
        <w:tc>
          <w:tcPr>
            <w:tcW w:w="594" w:type="pct"/>
            <w:tcBorders>
              <w:top w:val="single" w:sz="4" w:space="0" w:color="auto"/>
              <w:left w:val="nil"/>
              <w:bottom w:val="single" w:sz="4" w:space="0" w:color="auto"/>
              <w:right w:val="nil"/>
            </w:tcBorders>
            <w:shd w:val="clear" w:color="auto" w:fill="auto"/>
            <w:noWrap/>
            <w:vAlign w:val="bottom"/>
            <w:hideMark/>
          </w:tcPr>
          <w:p w14:paraId="582B25ED" w14:textId="77777777" w:rsidR="001C0F49" w:rsidRPr="004D2BB5" w:rsidRDefault="001C0F49" w:rsidP="00B46D7E">
            <w:pPr>
              <w:spacing w:after="0" w:line="240" w:lineRule="auto"/>
              <w:jc w:val="right"/>
              <w:rPr>
                <w:rFonts w:ascii="Arial" w:hAnsi="Arial" w:cs="Arial"/>
                <w:b/>
                <w:bCs/>
                <w:iCs/>
                <w:sz w:val="16"/>
                <w:szCs w:val="16"/>
              </w:rPr>
            </w:pPr>
            <w:r>
              <w:rPr>
                <w:rFonts w:ascii="Arial" w:hAnsi="Arial" w:cs="Arial"/>
                <w:b/>
                <w:bCs/>
                <w:sz w:val="16"/>
                <w:szCs w:val="16"/>
              </w:rPr>
              <w:t>2,065</w:t>
            </w:r>
          </w:p>
        </w:tc>
        <w:tc>
          <w:tcPr>
            <w:tcW w:w="594" w:type="pct"/>
            <w:tcBorders>
              <w:top w:val="single" w:sz="4" w:space="0" w:color="auto"/>
              <w:left w:val="nil"/>
              <w:bottom w:val="single" w:sz="4" w:space="0" w:color="auto"/>
              <w:right w:val="nil"/>
            </w:tcBorders>
            <w:shd w:val="clear" w:color="auto" w:fill="auto"/>
            <w:noWrap/>
            <w:vAlign w:val="bottom"/>
            <w:hideMark/>
          </w:tcPr>
          <w:p w14:paraId="0A5AD8E8" w14:textId="77777777" w:rsidR="001C0F49" w:rsidRPr="004D2BB5" w:rsidRDefault="001C0F49" w:rsidP="00B46D7E">
            <w:pPr>
              <w:spacing w:after="0" w:line="240" w:lineRule="auto"/>
              <w:jc w:val="right"/>
              <w:rPr>
                <w:rFonts w:ascii="Arial" w:hAnsi="Arial" w:cs="Arial"/>
                <w:b/>
                <w:bCs/>
                <w:iCs/>
                <w:sz w:val="16"/>
                <w:szCs w:val="16"/>
              </w:rPr>
            </w:pPr>
            <w:r>
              <w:rPr>
                <w:rFonts w:ascii="Arial" w:hAnsi="Arial" w:cs="Arial"/>
                <w:b/>
                <w:bCs/>
                <w:sz w:val="16"/>
                <w:szCs w:val="16"/>
              </w:rPr>
              <w:t>2,087</w:t>
            </w:r>
          </w:p>
        </w:tc>
      </w:tr>
      <w:tr w:rsidR="001C0F49" w:rsidRPr="00A04237" w14:paraId="77E5C8E7" w14:textId="77777777" w:rsidTr="009C12D1">
        <w:trPr>
          <w:trHeight w:val="204"/>
        </w:trPr>
        <w:tc>
          <w:tcPr>
            <w:tcW w:w="2022" w:type="pct"/>
            <w:tcBorders>
              <w:top w:val="nil"/>
              <w:left w:val="nil"/>
              <w:bottom w:val="nil"/>
              <w:right w:val="nil"/>
            </w:tcBorders>
            <w:shd w:val="clear" w:color="auto" w:fill="auto"/>
            <w:vAlign w:val="bottom"/>
            <w:hideMark/>
          </w:tcPr>
          <w:p w14:paraId="618D3AC5"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PURCHASE OF NON-FINANCIAL ASSETS</w:t>
            </w:r>
          </w:p>
        </w:tc>
        <w:tc>
          <w:tcPr>
            <w:tcW w:w="602" w:type="pct"/>
            <w:tcBorders>
              <w:top w:val="nil"/>
              <w:left w:val="nil"/>
              <w:bottom w:val="nil"/>
              <w:right w:val="nil"/>
            </w:tcBorders>
            <w:shd w:val="clear" w:color="auto" w:fill="auto"/>
            <w:vAlign w:val="bottom"/>
            <w:hideMark/>
          </w:tcPr>
          <w:p w14:paraId="02147142" w14:textId="77777777" w:rsidR="001C0F49" w:rsidRPr="00416F20" w:rsidRDefault="001C0F49" w:rsidP="00B46D7E">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vAlign w:val="bottom"/>
            <w:hideMark/>
          </w:tcPr>
          <w:p w14:paraId="6549B4B6"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57A68BC0"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2B4C293B" w14:textId="77777777" w:rsidR="001C0F49" w:rsidRPr="00CF671E"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vAlign w:val="bottom"/>
            <w:hideMark/>
          </w:tcPr>
          <w:p w14:paraId="23D6862A" w14:textId="77777777" w:rsidR="001C0F49" w:rsidRPr="00CF671E" w:rsidRDefault="001C0F49" w:rsidP="00B46D7E">
            <w:pPr>
              <w:spacing w:after="0" w:line="240" w:lineRule="auto"/>
              <w:jc w:val="right"/>
              <w:rPr>
                <w:rFonts w:ascii="Arial" w:hAnsi="Arial" w:cs="Arial"/>
                <w:sz w:val="16"/>
                <w:szCs w:val="16"/>
              </w:rPr>
            </w:pPr>
          </w:p>
        </w:tc>
      </w:tr>
      <w:tr w:rsidR="001C0F49" w:rsidRPr="00A04237" w14:paraId="59E7DDBA" w14:textId="77777777" w:rsidTr="009C12D1">
        <w:trPr>
          <w:trHeight w:val="204"/>
        </w:trPr>
        <w:tc>
          <w:tcPr>
            <w:tcW w:w="2022" w:type="pct"/>
            <w:tcBorders>
              <w:top w:val="nil"/>
              <w:left w:val="nil"/>
              <w:bottom w:val="nil"/>
              <w:right w:val="nil"/>
            </w:tcBorders>
            <w:shd w:val="clear" w:color="auto" w:fill="auto"/>
            <w:noWrap/>
            <w:vAlign w:val="bottom"/>
            <w:hideMark/>
          </w:tcPr>
          <w:p w14:paraId="45594958" w14:textId="77777777" w:rsidR="001C0F49" w:rsidRPr="00A04237" w:rsidRDefault="001C0F49" w:rsidP="00293BD0">
            <w:pPr>
              <w:spacing w:after="0" w:line="240" w:lineRule="auto"/>
              <w:ind w:left="113"/>
              <w:rPr>
                <w:rFonts w:ascii="Arial" w:hAnsi="Arial" w:cs="Arial"/>
                <w:sz w:val="16"/>
                <w:szCs w:val="16"/>
              </w:rPr>
            </w:pPr>
            <w:r w:rsidRPr="009F6962">
              <w:rPr>
                <w:rFonts w:ascii="Arial" w:hAnsi="Arial" w:cs="Arial"/>
                <w:color w:val="000000"/>
                <w:sz w:val="16"/>
                <w:szCs w:val="16"/>
              </w:rPr>
              <w:t>Funded</w:t>
            </w:r>
            <w:r w:rsidRPr="00A04237">
              <w:rPr>
                <w:rFonts w:ascii="Arial" w:hAnsi="Arial" w:cs="Arial"/>
                <w:sz w:val="16"/>
                <w:szCs w:val="16"/>
              </w:rPr>
              <w:t xml:space="preserve"> by capital appropriations</w:t>
            </w:r>
            <w:r w:rsidRPr="00A04237">
              <w:rPr>
                <w:rFonts w:ascii="Arial" w:hAnsi="Arial" w:cs="Arial"/>
                <w:sz w:val="16"/>
                <w:szCs w:val="16"/>
                <w:vertAlign w:val="superscript"/>
              </w:rPr>
              <w:t xml:space="preserve"> (a)</w:t>
            </w:r>
          </w:p>
        </w:tc>
        <w:tc>
          <w:tcPr>
            <w:tcW w:w="602" w:type="pct"/>
            <w:tcBorders>
              <w:top w:val="nil"/>
              <w:left w:val="nil"/>
              <w:bottom w:val="nil"/>
              <w:right w:val="nil"/>
            </w:tcBorders>
            <w:shd w:val="clear" w:color="auto" w:fill="auto"/>
            <w:noWrap/>
            <w:vAlign w:val="bottom"/>
            <w:hideMark/>
          </w:tcPr>
          <w:p w14:paraId="0D5F7F87"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1,924</w:t>
            </w:r>
          </w:p>
        </w:tc>
        <w:tc>
          <w:tcPr>
            <w:tcW w:w="594" w:type="pct"/>
            <w:tcBorders>
              <w:top w:val="nil"/>
              <w:left w:val="nil"/>
              <w:bottom w:val="nil"/>
              <w:right w:val="nil"/>
            </w:tcBorders>
            <w:shd w:val="clear" w:color="auto" w:fill="E6E6E6"/>
            <w:noWrap/>
            <w:vAlign w:val="bottom"/>
            <w:hideMark/>
          </w:tcPr>
          <w:p w14:paraId="23AC0741"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1,948</w:t>
            </w:r>
          </w:p>
        </w:tc>
        <w:tc>
          <w:tcPr>
            <w:tcW w:w="594" w:type="pct"/>
            <w:tcBorders>
              <w:top w:val="nil"/>
              <w:left w:val="nil"/>
              <w:bottom w:val="nil"/>
              <w:right w:val="nil"/>
            </w:tcBorders>
            <w:shd w:val="clear" w:color="auto" w:fill="auto"/>
            <w:noWrap/>
            <w:vAlign w:val="bottom"/>
            <w:hideMark/>
          </w:tcPr>
          <w:p w14:paraId="199F1EB5"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2,033</w:t>
            </w:r>
          </w:p>
        </w:tc>
        <w:tc>
          <w:tcPr>
            <w:tcW w:w="594" w:type="pct"/>
            <w:tcBorders>
              <w:top w:val="nil"/>
              <w:left w:val="nil"/>
              <w:bottom w:val="nil"/>
              <w:right w:val="nil"/>
            </w:tcBorders>
            <w:shd w:val="clear" w:color="auto" w:fill="auto"/>
            <w:noWrap/>
            <w:vAlign w:val="bottom"/>
            <w:hideMark/>
          </w:tcPr>
          <w:p w14:paraId="0869D448"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2,065</w:t>
            </w:r>
          </w:p>
        </w:tc>
        <w:tc>
          <w:tcPr>
            <w:tcW w:w="594" w:type="pct"/>
            <w:tcBorders>
              <w:top w:val="nil"/>
              <w:left w:val="nil"/>
              <w:bottom w:val="nil"/>
              <w:right w:val="nil"/>
            </w:tcBorders>
            <w:shd w:val="clear" w:color="auto" w:fill="auto"/>
            <w:noWrap/>
            <w:vAlign w:val="bottom"/>
            <w:hideMark/>
          </w:tcPr>
          <w:p w14:paraId="5F018F6B"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2,087</w:t>
            </w:r>
          </w:p>
        </w:tc>
      </w:tr>
      <w:tr w:rsidR="001C0F49" w:rsidRPr="00A04237" w14:paraId="2575261C" w14:textId="77777777" w:rsidTr="009C12D1">
        <w:trPr>
          <w:trHeight w:val="204"/>
        </w:trPr>
        <w:tc>
          <w:tcPr>
            <w:tcW w:w="2022" w:type="pct"/>
            <w:tcBorders>
              <w:top w:val="nil"/>
              <w:left w:val="nil"/>
              <w:bottom w:val="nil"/>
              <w:right w:val="nil"/>
            </w:tcBorders>
            <w:shd w:val="clear" w:color="auto" w:fill="auto"/>
            <w:vAlign w:val="bottom"/>
            <w:hideMark/>
          </w:tcPr>
          <w:p w14:paraId="2F320AF4" w14:textId="77777777" w:rsidR="001C0F49" w:rsidRPr="00A04237" w:rsidRDefault="001C0F49" w:rsidP="00293BD0">
            <w:pPr>
              <w:spacing w:after="0" w:line="240" w:lineRule="auto"/>
              <w:ind w:left="113"/>
              <w:rPr>
                <w:rFonts w:ascii="Arial" w:hAnsi="Arial" w:cs="Arial"/>
                <w:sz w:val="16"/>
                <w:szCs w:val="16"/>
              </w:rPr>
            </w:pPr>
            <w:r w:rsidRPr="009F6962">
              <w:rPr>
                <w:rFonts w:ascii="Arial" w:hAnsi="Arial" w:cs="Arial"/>
                <w:color w:val="000000"/>
                <w:sz w:val="16"/>
                <w:szCs w:val="16"/>
              </w:rPr>
              <w:t>Funded</w:t>
            </w:r>
            <w:r w:rsidRPr="00A04237">
              <w:rPr>
                <w:rFonts w:ascii="Arial" w:hAnsi="Arial" w:cs="Arial"/>
                <w:sz w:val="16"/>
                <w:szCs w:val="16"/>
              </w:rPr>
              <w:t xml:space="preserve"> internally from </w:t>
            </w:r>
            <w:r>
              <w:rPr>
                <w:rFonts w:ascii="Arial" w:hAnsi="Arial" w:cs="Arial"/>
                <w:sz w:val="16"/>
                <w:szCs w:val="16"/>
              </w:rPr>
              <w:t>Department</w:t>
            </w:r>
            <w:r w:rsidRPr="00A04237">
              <w:rPr>
                <w:rFonts w:ascii="Arial" w:hAnsi="Arial" w:cs="Arial"/>
                <w:sz w:val="16"/>
                <w:szCs w:val="16"/>
              </w:rPr>
              <w:t xml:space="preserve">al resources </w:t>
            </w:r>
            <w:r w:rsidRPr="00A04237">
              <w:rPr>
                <w:rFonts w:ascii="Arial" w:hAnsi="Arial" w:cs="Arial"/>
                <w:sz w:val="16"/>
                <w:szCs w:val="16"/>
                <w:vertAlign w:val="superscript"/>
              </w:rPr>
              <w:t>(b)</w:t>
            </w:r>
          </w:p>
        </w:tc>
        <w:tc>
          <w:tcPr>
            <w:tcW w:w="602" w:type="pct"/>
            <w:tcBorders>
              <w:top w:val="nil"/>
              <w:left w:val="nil"/>
              <w:bottom w:val="nil"/>
              <w:right w:val="nil"/>
            </w:tcBorders>
            <w:shd w:val="clear" w:color="auto" w:fill="auto"/>
            <w:noWrap/>
            <w:vAlign w:val="bottom"/>
            <w:hideMark/>
          </w:tcPr>
          <w:p w14:paraId="2DDAF913"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8,948</w:t>
            </w:r>
          </w:p>
        </w:tc>
        <w:tc>
          <w:tcPr>
            <w:tcW w:w="594" w:type="pct"/>
            <w:tcBorders>
              <w:top w:val="nil"/>
              <w:left w:val="nil"/>
              <w:bottom w:val="nil"/>
              <w:right w:val="nil"/>
            </w:tcBorders>
            <w:shd w:val="clear" w:color="auto" w:fill="E6E6E6"/>
            <w:noWrap/>
            <w:vAlign w:val="bottom"/>
            <w:hideMark/>
          </w:tcPr>
          <w:p w14:paraId="44921DDA" w14:textId="77777777" w:rsidR="001C0F49" w:rsidRPr="00416F20" w:rsidRDefault="001C0F49" w:rsidP="00B46D7E">
            <w:pPr>
              <w:spacing w:after="0" w:line="240" w:lineRule="auto"/>
              <w:jc w:val="right"/>
              <w:rPr>
                <w:rFonts w:ascii="Arial" w:hAnsi="Arial" w:cs="Arial"/>
                <w:sz w:val="16"/>
                <w:szCs w:val="16"/>
              </w:rPr>
            </w:pPr>
            <w:r>
              <w:rPr>
                <w:rFonts w:ascii="Arial" w:hAnsi="Arial" w:cs="Arial"/>
                <w:sz w:val="16"/>
                <w:szCs w:val="16"/>
              </w:rPr>
              <w:t>7,599</w:t>
            </w:r>
          </w:p>
        </w:tc>
        <w:tc>
          <w:tcPr>
            <w:tcW w:w="594" w:type="pct"/>
            <w:tcBorders>
              <w:top w:val="nil"/>
              <w:left w:val="nil"/>
              <w:bottom w:val="nil"/>
              <w:right w:val="nil"/>
            </w:tcBorders>
            <w:shd w:val="clear" w:color="auto" w:fill="auto"/>
            <w:noWrap/>
            <w:vAlign w:val="bottom"/>
            <w:hideMark/>
          </w:tcPr>
          <w:p w14:paraId="349006C4"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5,</w:t>
            </w:r>
            <w:r>
              <w:rPr>
                <w:rFonts w:ascii="Arial" w:hAnsi="Arial" w:cs="Arial"/>
                <w:sz w:val="16"/>
                <w:szCs w:val="16"/>
              </w:rPr>
              <w:t>482</w:t>
            </w:r>
          </w:p>
        </w:tc>
        <w:tc>
          <w:tcPr>
            <w:tcW w:w="594" w:type="pct"/>
            <w:tcBorders>
              <w:top w:val="nil"/>
              <w:left w:val="nil"/>
              <w:bottom w:val="nil"/>
              <w:right w:val="nil"/>
            </w:tcBorders>
            <w:shd w:val="clear" w:color="auto" w:fill="auto"/>
            <w:noWrap/>
            <w:vAlign w:val="bottom"/>
            <w:hideMark/>
          </w:tcPr>
          <w:p w14:paraId="14606D7D"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8,</w:t>
            </w:r>
            <w:r>
              <w:rPr>
                <w:rFonts w:ascii="Arial" w:hAnsi="Arial" w:cs="Arial"/>
                <w:sz w:val="16"/>
                <w:szCs w:val="16"/>
              </w:rPr>
              <w:t>077</w:t>
            </w:r>
          </w:p>
        </w:tc>
        <w:tc>
          <w:tcPr>
            <w:tcW w:w="594" w:type="pct"/>
            <w:tcBorders>
              <w:top w:val="nil"/>
              <w:left w:val="nil"/>
              <w:bottom w:val="nil"/>
              <w:right w:val="nil"/>
            </w:tcBorders>
            <w:shd w:val="clear" w:color="auto" w:fill="auto"/>
            <w:noWrap/>
            <w:vAlign w:val="bottom"/>
            <w:hideMark/>
          </w:tcPr>
          <w:p w14:paraId="5255178C"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8,</w:t>
            </w:r>
            <w:r>
              <w:rPr>
                <w:rFonts w:ascii="Arial" w:hAnsi="Arial" w:cs="Arial"/>
                <w:sz w:val="16"/>
                <w:szCs w:val="16"/>
              </w:rPr>
              <w:t>323</w:t>
            </w:r>
          </w:p>
        </w:tc>
      </w:tr>
      <w:tr w:rsidR="001C0F49" w:rsidRPr="00A04237" w14:paraId="12EEDDEF" w14:textId="77777777" w:rsidTr="009C12D1">
        <w:trPr>
          <w:trHeight w:val="204"/>
        </w:trPr>
        <w:tc>
          <w:tcPr>
            <w:tcW w:w="2022" w:type="pct"/>
            <w:tcBorders>
              <w:top w:val="nil"/>
              <w:left w:val="nil"/>
              <w:bottom w:val="nil"/>
              <w:right w:val="nil"/>
            </w:tcBorders>
            <w:shd w:val="clear" w:color="auto" w:fill="auto"/>
            <w:noWrap/>
            <w:vAlign w:val="bottom"/>
            <w:hideMark/>
          </w:tcPr>
          <w:p w14:paraId="1A43C841"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TOTAL</w:t>
            </w:r>
          </w:p>
        </w:tc>
        <w:tc>
          <w:tcPr>
            <w:tcW w:w="602" w:type="pct"/>
            <w:tcBorders>
              <w:top w:val="single" w:sz="4" w:space="0" w:color="auto"/>
              <w:left w:val="nil"/>
              <w:bottom w:val="single" w:sz="4" w:space="0" w:color="auto"/>
              <w:right w:val="nil"/>
            </w:tcBorders>
            <w:shd w:val="clear" w:color="auto" w:fill="auto"/>
            <w:noWrap/>
            <w:vAlign w:val="bottom"/>
            <w:hideMark/>
          </w:tcPr>
          <w:p w14:paraId="3566356A"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10,872</w:t>
            </w:r>
          </w:p>
        </w:tc>
        <w:tc>
          <w:tcPr>
            <w:tcW w:w="594" w:type="pct"/>
            <w:tcBorders>
              <w:top w:val="single" w:sz="4" w:space="0" w:color="auto"/>
              <w:left w:val="nil"/>
              <w:bottom w:val="single" w:sz="4" w:space="0" w:color="auto"/>
              <w:right w:val="nil"/>
            </w:tcBorders>
            <w:shd w:val="clear" w:color="auto" w:fill="E6E6E6"/>
            <w:noWrap/>
            <w:vAlign w:val="bottom"/>
            <w:hideMark/>
          </w:tcPr>
          <w:p w14:paraId="2D1BE825"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9,547</w:t>
            </w:r>
          </w:p>
        </w:tc>
        <w:tc>
          <w:tcPr>
            <w:tcW w:w="594" w:type="pct"/>
            <w:tcBorders>
              <w:top w:val="single" w:sz="4" w:space="0" w:color="auto"/>
              <w:left w:val="nil"/>
              <w:bottom w:val="single" w:sz="4" w:space="0" w:color="auto"/>
              <w:right w:val="nil"/>
            </w:tcBorders>
            <w:shd w:val="clear" w:color="auto" w:fill="auto"/>
            <w:noWrap/>
            <w:vAlign w:val="bottom"/>
            <w:hideMark/>
          </w:tcPr>
          <w:p w14:paraId="22A5959B"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7,515</w:t>
            </w:r>
          </w:p>
        </w:tc>
        <w:tc>
          <w:tcPr>
            <w:tcW w:w="594" w:type="pct"/>
            <w:tcBorders>
              <w:top w:val="single" w:sz="4" w:space="0" w:color="auto"/>
              <w:left w:val="nil"/>
              <w:bottom w:val="single" w:sz="4" w:space="0" w:color="auto"/>
              <w:right w:val="nil"/>
            </w:tcBorders>
            <w:shd w:val="clear" w:color="auto" w:fill="auto"/>
            <w:noWrap/>
            <w:vAlign w:val="bottom"/>
            <w:hideMark/>
          </w:tcPr>
          <w:p w14:paraId="45691DB2"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10,</w:t>
            </w:r>
            <w:r>
              <w:rPr>
                <w:rFonts w:ascii="Arial" w:hAnsi="Arial" w:cs="Arial"/>
                <w:b/>
                <w:bCs/>
                <w:sz w:val="16"/>
                <w:szCs w:val="16"/>
              </w:rPr>
              <w:t>142</w:t>
            </w:r>
          </w:p>
        </w:tc>
        <w:tc>
          <w:tcPr>
            <w:tcW w:w="594" w:type="pct"/>
            <w:tcBorders>
              <w:top w:val="single" w:sz="4" w:space="0" w:color="auto"/>
              <w:left w:val="nil"/>
              <w:bottom w:val="single" w:sz="4" w:space="0" w:color="auto"/>
              <w:right w:val="nil"/>
            </w:tcBorders>
            <w:shd w:val="clear" w:color="auto" w:fill="auto"/>
            <w:noWrap/>
            <w:vAlign w:val="bottom"/>
            <w:hideMark/>
          </w:tcPr>
          <w:p w14:paraId="6CA50CF4"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10,</w:t>
            </w:r>
            <w:r>
              <w:rPr>
                <w:rFonts w:ascii="Arial" w:hAnsi="Arial" w:cs="Arial"/>
                <w:b/>
                <w:bCs/>
                <w:sz w:val="16"/>
                <w:szCs w:val="16"/>
              </w:rPr>
              <w:t>410</w:t>
            </w:r>
          </w:p>
        </w:tc>
      </w:tr>
      <w:tr w:rsidR="001C0F49" w:rsidRPr="00A04237" w14:paraId="5AB2862A" w14:textId="77777777" w:rsidTr="009C12D1">
        <w:trPr>
          <w:trHeight w:val="204"/>
        </w:trPr>
        <w:tc>
          <w:tcPr>
            <w:tcW w:w="2022" w:type="pct"/>
            <w:tcBorders>
              <w:top w:val="nil"/>
              <w:left w:val="nil"/>
              <w:bottom w:val="nil"/>
              <w:right w:val="nil"/>
            </w:tcBorders>
            <w:shd w:val="clear" w:color="auto" w:fill="auto"/>
            <w:vAlign w:val="bottom"/>
            <w:hideMark/>
          </w:tcPr>
          <w:p w14:paraId="70C4E5E0"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RECONCILIATION OF CASH USED TO ACQUIRE ASSETS TO ASSET MOVEMENT TABLE</w:t>
            </w:r>
          </w:p>
        </w:tc>
        <w:tc>
          <w:tcPr>
            <w:tcW w:w="602" w:type="pct"/>
            <w:tcBorders>
              <w:top w:val="nil"/>
              <w:left w:val="nil"/>
              <w:bottom w:val="nil"/>
              <w:right w:val="nil"/>
            </w:tcBorders>
            <w:shd w:val="clear" w:color="auto" w:fill="auto"/>
            <w:noWrap/>
            <w:vAlign w:val="bottom"/>
            <w:hideMark/>
          </w:tcPr>
          <w:p w14:paraId="4CB3AA3A" w14:textId="77777777" w:rsidR="001C0F49" w:rsidRPr="00416F20" w:rsidRDefault="001C0F49" w:rsidP="00B46D7E">
            <w:pPr>
              <w:spacing w:after="0" w:line="240" w:lineRule="auto"/>
              <w:jc w:val="right"/>
              <w:rPr>
                <w:rFonts w:ascii="Arial" w:hAnsi="Arial" w:cs="Arial"/>
                <w:b/>
                <w:bCs/>
                <w:sz w:val="16"/>
                <w:szCs w:val="16"/>
              </w:rPr>
            </w:pPr>
          </w:p>
        </w:tc>
        <w:tc>
          <w:tcPr>
            <w:tcW w:w="594" w:type="pct"/>
            <w:tcBorders>
              <w:top w:val="nil"/>
              <w:left w:val="nil"/>
              <w:bottom w:val="nil"/>
              <w:right w:val="nil"/>
            </w:tcBorders>
            <w:shd w:val="clear" w:color="auto" w:fill="E6E6E6"/>
            <w:noWrap/>
            <w:vAlign w:val="bottom"/>
            <w:hideMark/>
          </w:tcPr>
          <w:p w14:paraId="2396439F"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56ACE85A" w14:textId="77777777" w:rsidR="001C0F49" w:rsidRPr="00416F20"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425AAA60" w14:textId="77777777" w:rsidR="001C0F49" w:rsidRPr="00CF671E" w:rsidRDefault="001C0F49" w:rsidP="00B46D7E">
            <w:pPr>
              <w:spacing w:after="0" w:line="240" w:lineRule="auto"/>
              <w:jc w:val="right"/>
              <w:rPr>
                <w:rFonts w:ascii="Arial" w:hAnsi="Arial" w:cs="Arial"/>
                <w:sz w:val="16"/>
                <w:szCs w:val="16"/>
              </w:rPr>
            </w:pPr>
          </w:p>
        </w:tc>
        <w:tc>
          <w:tcPr>
            <w:tcW w:w="594" w:type="pct"/>
            <w:tcBorders>
              <w:top w:val="nil"/>
              <w:left w:val="nil"/>
              <w:bottom w:val="nil"/>
              <w:right w:val="nil"/>
            </w:tcBorders>
            <w:shd w:val="clear" w:color="auto" w:fill="auto"/>
            <w:noWrap/>
            <w:vAlign w:val="bottom"/>
            <w:hideMark/>
          </w:tcPr>
          <w:p w14:paraId="2B46EB02" w14:textId="77777777" w:rsidR="001C0F49" w:rsidRPr="00CF671E" w:rsidRDefault="001C0F49" w:rsidP="00B46D7E">
            <w:pPr>
              <w:spacing w:after="0" w:line="240" w:lineRule="auto"/>
              <w:jc w:val="right"/>
              <w:rPr>
                <w:rFonts w:ascii="Arial" w:hAnsi="Arial" w:cs="Arial"/>
                <w:sz w:val="16"/>
                <w:szCs w:val="16"/>
              </w:rPr>
            </w:pPr>
          </w:p>
        </w:tc>
      </w:tr>
      <w:tr w:rsidR="001C0F49" w:rsidRPr="00A04237" w14:paraId="3BCA48B0" w14:textId="77777777" w:rsidTr="009C12D1">
        <w:trPr>
          <w:trHeight w:val="204"/>
        </w:trPr>
        <w:tc>
          <w:tcPr>
            <w:tcW w:w="2022" w:type="pct"/>
            <w:tcBorders>
              <w:top w:val="nil"/>
              <w:left w:val="nil"/>
              <w:bottom w:val="nil"/>
              <w:right w:val="nil"/>
            </w:tcBorders>
            <w:shd w:val="clear" w:color="auto" w:fill="auto"/>
            <w:noWrap/>
            <w:vAlign w:val="bottom"/>
            <w:hideMark/>
          </w:tcPr>
          <w:p w14:paraId="0DD1DC51" w14:textId="77777777" w:rsidR="001C0F49" w:rsidRPr="00A04237" w:rsidRDefault="001C0F49" w:rsidP="00293BD0">
            <w:pPr>
              <w:spacing w:after="0" w:line="240" w:lineRule="auto"/>
              <w:ind w:left="113"/>
              <w:rPr>
                <w:rFonts w:ascii="Arial" w:hAnsi="Arial" w:cs="Arial"/>
                <w:sz w:val="16"/>
                <w:szCs w:val="16"/>
              </w:rPr>
            </w:pPr>
            <w:r w:rsidRPr="00A04237">
              <w:rPr>
                <w:rFonts w:ascii="Arial" w:hAnsi="Arial" w:cs="Arial"/>
                <w:sz w:val="16"/>
                <w:szCs w:val="16"/>
              </w:rPr>
              <w:t>Total purchases</w:t>
            </w:r>
          </w:p>
        </w:tc>
        <w:tc>
          <w:tcPr>
            <w:tcW w:w="602" w:type="pct"/>
            <w:tcBorders>
              <w:top w:val="nil"/>
              <w:left w:val="nil"/>
              <w:bottom w:val="nil"/>
              <w:right w:val="nil"/>
            </w:tcBorders>
            <w:shd w:val="clear" w:color="auto" w:fill="auto"/>
            <w:noWrap/>
            <w:vAlign w:val="bottom"/>
            <w:hideMark/>
          </w:tcPr>
          <w:p w14:paraId="46FDC7D9" w14:textId="77777777" w:rsidR="001C0F49" w:rsidRPr="00C171B2" w:rsidRDefault="001C0F49" w:rsidP="00B46D7E">
            <w:pPr>
              <w:spacing w:after="0" w:line="240" w:lineRule="auto"/>
              <w:jc w:val="right"/>
              <w:rPr>
                <w:rFonts w:ascii="Arial" w:hAnsi="Arial" w:cs="Arial"/>
                <w:sz w:val="16"/>
                <w:szCs w:val="16"/>
              </w:rPr>
            </w:pPr>
            <w:r w:rsidRPr="00C171B2">
              <w:rPr>
                <w:rFonts w:ascii="Arial" w:hAnsi="Arial" w:cs="Arial"/>
                <w:bCs/>
                <w:sz w:val="16"/>
                <w:szCs w:val="16"/>
              </w:rPr>
              <w:t>10,872</w:t>
            </w:r>
          </w:p>
        </w:tc>
        <w:tc>
          <w:tcPr>
            <w:tcW w:w="594" w:type="pct"/>
            <w:tcBorders>
              <w:top w:val="nil"/>
              <w:left w:val="nil"/>
              <w:bottom w:val="nil"/>
              <w:right w:val="nil"/>
            </w:tcBorders>
            <w:shd w:val="clear" w:color="auto" w:fill="E6E6E6"/>
            <w:noWrap/>
            <w:vAlign w:val="bottom"/>
            <w:hideMark/>
          </w:tcPr>
          <w:p w14:paraId="10E8A10F" w14:textId="77777777" w:rsidR="001C0F49" w:rsidRPr="00C171B2" w:rsidRDefault="001C0F49" w:rsidP="00B46D7E">
            <w:pPr>
              <w:spacing w:after="0" w:line="240" w:lineRule="auto"/>
              <w:jc w:val="right"/>
              <w:rPr>
                <w:rFonts w:ascii="Arial" w:hAnsi="Arial" w:cs="Arial"/>
                <w:sz w:val="16"/>
                <w:szCs w:val="16"/>
              </w:rPr>
            </w:pPr>
            <w:r w:rsidRPr="00C171B2">
              <w:rPr>
                <w:rFonts w:ascii="Arial" w:hAnsi="Arial" w:cs="Arial"/>
                <w:bCs/>
                <w:sz w:val="16"/>
                <w:szCs w:val="16"/>
              </w:rPr>
              <w:t>9,547</w:t>
            </w:r>
          </w:p>
        </w:tc>
        <w:tc>
          <w:tcPr>
            <w:tcW w:w="594" w:type="pct"/>
            <w:tcBorders>
              <w:top w:val="nil"/>
              <w:left w:val="nil"/>
              <w:bottom w:val="nil"/>
              <w:right w:val="nil"/>
            </w:tcBorders>
            <w:shd w:val="clear" w:color="auto" w:fill="auto"/>
            <w:noWrap/>
            <w:vAlign w:val="bottom"/>
            <w:hideMark/>
          </w:tcPr>
          <w:p w14:paraId="47776C07" w14:textId="77777777" w:rsidR="001C0F49" w:rsidRPr="00C171B2" w:rsidRDefault="001C0F49" w:rsidP="00B46D7E">
            <w:pPr>
              <w:spacing w:after="0" w:line="240" w:lineRule="auto"/>
              <w:jc w:val="right"/>
              <w:rPr>
                <w:rFonts w:ascii="Arial" w:hAnsi="Arial" w:cs="Arial"/>
                <w:sz w:val="16"/>
                <w:szCs w:val="16"/>
              </w:rPr>
            </w:pPr>
            <w:r w:rsidRPr="00C171B2">
              <w:rPr>
                <w:rFonts w:ascii="Arial" w:hAnsi="Arial" w:cs="Arial"/>
                <w:bCs/>
                <w:sz w:val="16"/>
                <w:szCs w:val="16"/>
              </w:rPr>
              <w:t>7,515</w:t>
            </w:r>
          </w:p>
        </w:tc>
        <w:tc>
          <w:tcPr>
            <w:tcW w:w="594" w:type="pct"/>
            <w:tcBorders>
              <w:top w:val="nil"/>
              <w:left w:val="nil"/>
              <w:bottom w:val="nil"/>
              <w:right w:val="nil"/>
            </w:tcBorders>
            <w:shd w:val="clear" w:color="auto" w:fill="auto"/>
            <w:noWrap/>
            <w:vAlign w:val="bottom"/>
            <w:hideMark/>
          </w:tcPr>
          <w:p w14:paraId="4B782F7E" w14:textId="77777777" w:rsidR="001C0F49" w:rsidRPr="00C171B2" w:rsidRDefault="001C0F49" w:rsidP="00B46D7E">
            <w:pPr>
              <w:spacing w:after="0" w:line="240" w:lineRule="auto"/>
              <w:jc w:val="right"/>
              <w:rPr>
                <w:rFonts w:ascii="Arial" w:hAnsi="Arial" w:cs="Arial"/>
                <w:sz w:val="16"/>
                <w:szCs w:val="16"/>
              </w:rPr>
            </w:pPr>
            <w:r w:rsidRPr="00C171B2">
              <w:rPr>
                <w:rFonts w:ascii="Arial" w:hAnsi="Arial" w:cs="Arial"/>
                <w:bCs/>
                <w:sz w:val="16"/>
                <w:szCs w:val="16"/>
              </w:rPr>
              <w:t>10,142</w:t>
            </w:r>
          </w:p>
        </w:tc>
        <w:tc>
          <w:tcPr>
            <w:tcW w:w="594" w:type="pct"/>
            <w:tcBorders>
              <w:top w:val="nil"/>
              <w:left w:val="nil"/>
              <w:bottom w:val="nil"/>
              <w:right w:val="nil"/>
            </w:tcBorders>
            <w:shd w:val="clear" w:color="auto" w:fill="auto"/>
            <w:noWrap/>
            <w:vAlign w:val="bottom"/>
            <w:hideMark/>
          </w:tcPr>
          <w:p w14:paraId="5CC2E4A4" w14:textId="77777777" w:rsidR="001C0F49" w:rsidRPr="00C171B2" w:rsidRDefault="001C0F49" w:rsidP="00B46D7E">
            <w:pPr>
              <w:spacing w:after="0" w:line="240" w:lineRule="auto"/>
              <w:jc w:val="right"/>
              <w:rPr>
                <w:rFonts w:ascii="Arial" w:hAnsi="Arial" w:cs="Arial"/>
                <w:sz w:val="16"/>
                <w:szCs w:val="16"/>
              </w:rPr>
            </w:pPr>
            <w:r w:rsidRPr="00C171B2">
              <w:rPr>
                <w:rFonts w:ascii="Arial" w:hAnsi="Arial" w:cs="Arial"/>
                <w:bCs/>
                <w:sz w:val="16"/>
                <w:szCs w:val="16"/>
              </w:rPr>
              <w:t>10,410</w:t>
            </w:r>
          </w:p>
        </w:tc>
      </w:tr>
      <w:tr w:rsidR="001C0F49" w:rsidRPr="00A04237" w14:paraId="752815B9" w14:textId="77777777" w:rsidTr="009C12D1">
        <w:trPr>
          <w:trHeight w:val="204"/>
        </w:trPr>
        <w:tc>
          <w:tcPr>
            <w:tcW w:w="2022" w:type="pct"/>
            <w:tcBorders>
              <w:top w:val="nil"/>
              <w:left w:val="nil"/>
              <w:bottom w:val="single" w:sz="4" w:space="0" w:color="auto"/>
              <w:right w:val="nil"/>
            </w:tcBorders>
            <w:shd w:val="clear" w:color="auto" w:fill="auto"/>
            <w:vAlign w:val="bottom"/>
            <w:hideMark/>
          </w:tcPr>
          <w:p w14:paraId="5A534AFF"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Total cash used to acquire assets</w:t>
            </w:r>
          </w:p>
        </w:tc>
        <w:tc>
          <w:tcPr>
            <w:tcW w:w="602" w:type="pct"/>
            <w:tcBorders>
              <w:top w:val="single" w:sz="4" w:space="0" w:color="auto"/>
              <w:left w:val="nil"/>
              <w:bottom w:val="single" w:sz="4" w:space="0" w:color="auto"/>
              <w:right w:val="nil"/>
            </w:tcBorders>
            <w:shd w:val="clear" w:color="auto" w:fill="auto"/>
            <w:noWrap/>
            <w:vAlign w:val="bottom"/>
            <w:hideMark/>
          </w:tcPr>
          <w:p w14:paraId="48710848"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10,872</w:t>
            </w:r>
          </w:p>
        </w:tc>
        <w:tc>
          <w:tcPr>
            <w:tcW w:w="594" w:type="pct"/>
            <w:tcBorders>
              <w:top w:val="single" w:sz="4" w:space="0" w:color="auto"/>
              <w:left w:val="nil"/>
              <w:bottom w:val="single" w:sz="4" w:space="0" w:color="auto"/>
              <w:right w:val="nil"/>
            </w:tcBorders>
            <w:shd w:val="clear" w:color="auto" w:fill="E6E6E6"/>
            <w:noWrap/>
            <w:vAlign w:val="bottom"/>
            <w:hideMark/>
          </w:tcPr>
          <w:p w14:paraId="33577E5C"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9,547</w:t>
            </w:r>
          </w:p>
        </w:tc>
        <w:tc>
          <w:tcPr>
            <w:tcW w:w="594" w:type="pct"/>
            <w:tcBorders>
              <w:top w:val="single" w:sz="4" w:space="0" w:color="auto"/>
              <w:left w:val="nil"/>
              <w:bottom w:val="single" w:sz="4" w:space="0" w:color="auto"/>
              <w:right w:val="nil"/>
            </w:tcBorders>
            <w:shd w:val="clear" w:color="auto" w:fill="auto"/>
            <w:noWrap/>
            <w:vAlign w:val="bottom"/>
            <w:hideMark/>
          </w:tcPr>
          <w:p w14:paraId="3E975ED9" w14:textId="77777777" w:rsidR="001C0F49" w:rsidRPr="00416F20" w:rsidRDefault="001C0F49" w:rsidP="00B46D7E">
            <w:pPr>
              <w:spacing w:after="0" w:line="240" w:lineRule="auto"/>
              <w:jc w:val="right"/>
              <w:rPr>
                <w:rFonts w:ascii="Arial" w:hAnsi="Arial" w:cs="Arial"/>
                <w:b/>
                <w:bCs/>
                <w:sz w:val="16"/>
                <w:szCs w:val="16"/>
              </w:rPr>
            </w:pPr>
            <w:r>
              <w:rPr>
                <w:rFonts w:ascii="Arial" w:hAnsi="Arial" w:cs="Arial"/>
                <w:b/>
                <w:bCs/>
                <w:sz w:val="16"/>
                <w:szCs w:val="16"/>
              </w:rPr>
              <w:t>7,515</w:t>
            </w:r>
          </w:p>
        </w:tc>
        <w:tc>
          <w:tcPr>
            <w:tcW w:w="594" w:type="pct"/>
            <w:tcBorders>
              <w:top w:val="single" w:sz="4" w:space="0" w:color="auto"/>
              <w:left w:val="nil"/>
              <w:bottom w:val="single" w:sz="4" w:space="0" w:color="auto"/>
              <w:right w:val="nil"/>
            </w:tcBorders>
            <w:shd w:val="clear" w:color="auto" w:fill="auto"/>
            <w:noWrap/>
            <w:vAlign w:val="bottom"/>
            <w:hideMark/>
          </w:tcPr>
          <w:p w14:paraId="501E72FD"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10,</w:t>
            </w:r>
            <w:r>
              <w:rPr>
                <w:rFonts w:ascii="Arial" w:hAnsi="Arial" w:cs="Arial"/>
                <w:b/>
                <w:bCs/>
                <w:sz w:val="16"/>
                <w:szCs w:val="16"/>
              </w:rPr>
              <w:t>142</w:t>
            </w:r>
          </w:p>
        </w:tc>
        <w:tc>
          <w:tcPr>
            <w:tcW w:w="594" w:type="pct"/>
            <w:tcBorders>
              <w:top w:val="single" w:sz="4" w:space="0" w:color="auto"/>
              <w:left w:val="nil"/>
              <w:bottom w:val="single" w:sz="4" w:space="0" w:color="auto"/>
              <w:right w:val="nil"/>
            </w:tcBorders>
            <w:shd w:val="clear" w:color="auto" w:fill="auto"/>
            <w:noWrap/>
            <w:vAlign w:val="bottom"/>
            <w:hideMark/>
          </w:tcPr>
          <w:p w14:paraId="3B2E2AAE" w14:textId="77777777" w:rsidR="001C0F49" w:rsidRPr="00416F20" w:rsidRDefault="001C0F49" w:rsidP="00B46D7E">
            <w:pPr>
              <w:spacing w:after="0" w:line="240" w:lineRule="auto"/>
              <w:jc w:val="right"/>
              <w:rPr>
                <w:rFonts w:ascii="Arial" w:hAnsi="Arial" w:cs="Arial"/>
                <w:b/>
                <w:bCs/>
                <w:sz w:val="16"/>
                <w:szCs w:val="16"/>
              </w:rPr>
            </w:pPr>
            <w:r w:rsidRPr="00416F20">
              <w:rPr>
                <w:rFonts w:ascii="Arial" w:hAnsi="Arial" w:cs="Arial"/>
                <w:b/>
                <w:bCs/>
                <w:sz w:val="16"/>
                <w:szCs w:val="16"/>
              </w:rPr>
              <w:t>10,</w:t>
            </w:r>
            <w:r>
              <w:rPr>
                <w:rFonts w:ascii="Arial" w:hAnsi="Arial" w:cs="Arial"/>
                <w:b/>
                <w:bCs/>
                <w:sz w:val="16"/>
                <w:szCs w:val="16"/>
              </w:rPr>
              <w:t>410</w:t>
            </w:r>
          </w:p>
        </w:tc>
      </w:tr>
    </w:tbl>
    <w:p w14:paraId="1DD6431C" w14:textId="1192EA54" w:rsidR="001C0F49" w:rsidRPr="00132F9E" w:rsidRDefault="001C0F49" w:rsidP="00B46D7E">
      <w:pPr>
        <w:pStyle w:val="TableGraphic"/>
        <w:spacing w:before="60"/>
        <w:ind w:right="0"/>
        <w:rPr>
          <w:rFonts w:ascii="Arial" w:hAnsi="Arial" w:cs="Arial"/>
          <w:sz w:val="16"/>
          <w:szCs w:val="16"/>
        </w:rPr>
      </w:pPr>
      <w:r w:rsidRPr="00132F9E">
        <w:rPr>
          <w:rFonts w:ascii="Arial" w:hAnsi="Arial" w:cs="Arial"/>
          <w:sz w:val="16"/>
          <w:szCs w:val="16"/>
        </w:rPr>
        <w:t>Prepared on Australian Accounting Standards basis</w:t>
      </w:r>
      <w:r w:rsidR="00460546">
        <w:rPr>
          <w:rFonts w:ascii="Arial" w:hAnsi="Arial" w:cs="Arial"/>
          <w:sz w:val="16"/>
          <w:szCs w:val="16"/>
        </w:rPr>
        <w:t>.</w:t>
      </w:r>
    </w:p>
    <w:p w14:paraId="3FD94809" w14:textId="67A7108D" w:rsidR="001C0F49" w:rsidRPr="00CB4910" w:rsidRDefault="001C0F49" w:rsidP="008D0F63">
      <w:pPr>
        <w:pStyle w:val="ChartandTableFootnoteAlpha"/>
        <w:numPr>
          <w:ilvl w:val="0"/>
          <w:numId w:val="81"/>
        </w:numPr>
        <w:tabs>
          <w:tab w:val="clear" w:pos="284"/>
          <w:tab w:val="num" w:pos="426"/>
        </w:tabs>
        <w:ind w:left="426" w:hanging="426"/>
        <w:jc w:val="left"/>
        <w:rPr>
          <w:rFonts w:cs="Arial"/>
          <w:szCs w:val="16"/>
        </w:rPr>
      </w:pPr>
      <w:r w:rsidRPr="00CB4910">
        <w:rPr>
          <w:rFonts w:cs="Arial"/>
          <w:szCs w:val="16"/>
        </w:rPr>
        <w:t>Includes both current Bill 2 and prior Act 2/4/6 appropriations</w:t>
      </w:r>
      <w:r w:rsidR="00460546">
        <w:rPr>
          <w:rFonts w:cs="Arial"/>
          <w:szCs w:val="16"/>
        </w:rPr>
        <w:t>.</w:t>
      </w:r>
    </w:p>
    <w:p w14:paraId="0DAD6A53" w14:textId="0619D07E" w:rsidR="001C0F49" w:rsidRDefault="001C0F49" w:rsidP="00B46D7E">
      <w:pPr>
        <w:pStyle w:val="ChartandTableFootnoteAlpha"/>
        <w:numPr>
          <w:ilvl w:val="0"/>
          <w:numId w:val="8"/>
        </w:numPr>
        <w:tabs>
          <w:tab w:val="clear" w:pos="284"/>
          <w:tab w:val="num" w:pos="426"/>
        </w:tabs>
        <w:ind w:left="426" w:hanging="426"/>
        <w:jc w:val="left"/>
      </w:pPr>
      <w:r>
        <w:rPr>
          <w:rFonts w:cs="Arial"/>
          <w:szCs w:val="16"/>
        </w:rPr>
        <w:t xml:space="preserve">Includes the sources of funding from </w:t>
      </w:r>
      <w:r>
        <w:t>current Bill 1 and prior year Act 1 appropriations, donations and contributions; gifts, internally developed assets, and proceeds from the sale of assets</w:t>
      </w:r>
      <w:r w:rsidR="00460546">
        <w:t>.</w:t>
      </w:r>
    </w:p>
    <w:p w14:paraId="50D49897" w14:textId="77777777" w:rsidR="001C0F49" w:rsidRDefault="001C0F49" w:rsidP="001C0F49">
      <w:pPr>
        <w:spacing w:after="0" w:line="240" w:lineRule="auto"/>
        <w:rPr>
          <w:rFonts w:ascii="Arial" w:hAnsi="Arial"/>
          <w:b/>
          <w:color w:val="000000"/>
          <w:lang w:val="x-none" w:eastAsia="x-none"/>
        </w:rPr>
      </w:pPr>
      <w:r>
        <w:br w:type="page"/>
      </w:r>
    </w:p>
    <w:p w14:paraId="06EEB9AB" w14:textId="77777777" w:rsidR="001C0F49" w:rsidRDefault="001C0F49" w:rsidP="001C0F49">
      <w:pPr>
        <w:pStyle w:val="TableHeading"/>
        <w:spacing w:after="0"/>
      </w:pPr>
      <w:r w:rsidRPr="00D30CBA">
        <w:lastRenderedPageBreak/>
        <w:t>Table</w:t>
      </w:r>
      <w:r>
        <w:t xml:space="preserve"> 3.6</w:t>
      </w:r>
      <w:r w:rsidRPr="00D30CBA">
        <w:t xml:space="preserve">: </w:t>
      </w:r>
      <w:r>
        <w:t xml:space="preserve">Statement of </w:t>
      </w:r>
      <w:r>
        <w:rPr>
          <w:lang w:val="en-AU"/>
        </w:rPr>
        <w:t xml:space="preserve">Departmental </w:t>
      </w:r>
      <w:r>
        <w:t xml:space="preserve">asset movements (Budget year </w:t>
      </w:r>
      <w:r>
        <w:rPr>
          <w:lang w:val="en-AU"/>
        </w:rPr>
        <w:t>2022-23</w:t>
      </w:r>
      <w:r>
        <w:t>)</w:t>
      </w:r>
    </w:p>
    <w:tbl>
      <w:tblPr>
        <w:tblW w:w="4953" w:type="pct"/>
        <w:tblLayout w:type="fixed"/>
        <w:tblLook w:val="04A0" w:firstRow="1" w:lastRow="0" w:firstColumn="1" w:lastColumn="0" w:noHBand="0" w:noVBand="1"/>
      </w:tblPr>
      <w:tblGrid>
        <w:gridCol w:w="2269"/>
        <w:gridCol w:w="716"/>
        <w:gridCol w:w="985"/>
        <w:gridCol w:w="991"/>
        <w:gridCol w:w="866"/>
        <w:gridCol w:w="998"/>
        <w:gridCol w:w="813"/>
      </w:tblGrid>
      <w:tr w:rsidR="001C0F49" w:rsidRPr="00A04237" w14:paraId="47E0EBEF" w14:textId="77777777" w:rsidTr="00B46D7E">
        <w:trPr>
          <w:trHeight w:val="204"/>
        </w:trPr>
        <w:tc>
          <w:tcPr>
            <w:tcW w:w="1485" w:type="pct"/>
            <w:tcBorders>
              <w:top w:val="single" w:sz="4" w:space="0" w:color="auto"/>
              <w:left w:val="nil"/>
              <w:bottom w:val="nil"/>
              <w:right w:val="nil"/>
            </w:tcBorders>
            <w:shd w:val="clear" w:color="auto" w:fill="auto"/>
            <w:noWrap/>
            <w:vAlign w:val="bottom"/>
            <w:hideMark/>
          </w:tcPr>
          <w:p w14:paraId="0F557C50" w14:textId="77777777" w:rsidR="001C0F49" w:rsidRPr="00A04237" w:rsidRDefault="001C0F49" w:rsidP="00293BD0">
            <w:pPr>
              <w:spacing w:after="0" w:line="240" w:lineRule="auto"/>
              <w:rPr>
                <w:rFonts w:ascii="Times New Roman" w:hAnsi="Times New Roman"/>
                <w:sz w:val="24"/>
                <w:szCs w:val="24"/>
              </w:rPr>
            </w:pPr>
          </w:p>
        </w:tc>
        <w:tc>
          <w:tcPr>
            <w:tcW w:w="3515" w:type="pct"/>
            <w:gridSpan w:val="6"/>
            <w:tcBorders>
              <w:top w:val="single" w:sz="4" w:space="0" w:color="auto"/>
              <w:left w:val="nil"/>
              <w:bottom w:val="single" w:sz="4" w:space="0" w:color="auto"/>
              <w:right w:val="nil"/>
            </w:tcBorders>
            <w:shd w:val="clear" w:color="auto" w:fill="auto"/>
            <w:noWrap/>
            <w:vAlign w:val="bottom"/>
            <w:hideMark/>
          </w:tcPr>
          <w:p w14:paraId="5D8EBC76" w14:textId="77777777" w:rsidR="001C0F49" w:rsidRPr="00A04237" w:rsidRDefault="001C0F49" w:rsidP="00293BD0">
            <w:pPr>
              <w:spacing w:after="0" w:line="240" w:lineRule="auto"/>
              <w:jc w:val="center"/>
              <w:rPr>
                <w:rFonts w:ascii="Arial" w:hAnsi="Arial" w:cs="Arial"/>
                <w:b/>
                <w:bCs/>
                <w:sz w:val="16"/>
                <w:szCs w:val="16"/>
              </w:rPr>
            </w:pPr>
            <w:r w:rsidRPr="00A04237">
              <w:rPr>
                <w:rFonts w:ascii="Arial" w:hAnsi="Arial" w:cs="Arial"/>
                <w:b/>
                <w:bCs/>
                <w:sz w:val="16"/>
                <w:szCs w:val="16"/>
              </w:rPr>
              <w:t xml:space="preserve">Asset Category </w:t>
            </w:r>
          </w:p>
        </w:tc>
      </w:tr>
      <w:tr w:rsidR="00CB4910" w:rsidRPr="00A04237" w14:paraId="34548796" w14:textId="77777777" w:rsidTr="00B46D7E">
        <w:trPr>
          <w:trHeight w:val="204"/>
        </w:trPr>
        <w:tc>
          <w:tcPr>
            <w:tcW w:w="1485" w:type="pct"/>
            <w:tcBorders>
              <w:left w:val="nil"/>
              <w:bottom w:val="nil"/>
              <w:right w:val="nil"/>
            </w:tcBorders>
            <w:shd w:val="clear" w:color="auto" w:fill="auto"/>
            <w:noWrap/>
            <w:vAlign w:val="bottom"/>
            <w:hideMark/>
          </w:tcPr>
          <w:p w14:paraId="1AC80D56" w14:textId="77777777" w:rsidR="001C0F49" w:rsidRPr="00A04237" w:rsidRDefault="001C0F49" w:rsidP="00293BD0">
            <w:pPr>
              <w:spacing w:after="0" w:line="240" w:lineRule="auto"/>
              <w:rPr>
                <w:rFonts w:ascii="Arial" w:hAnsi="Arial" w:cs="Arial"/>
                <w:sz w:val="16"/>
                <w:szCs w:val="16"/>
              </w:rPr>
            </w:pPr>
            <w:r w:rsidRPr="00A04237">
              <w:rPr>
                <w:rFonts w:ascii="Arial" w:hAnsi="Arial" w:cs="Arial"/>
                <w:sz w:val="16"/>
                <w:szCs w:val="16"/>
              </w:rPr>
              <w:t> </w:t>
            </w:r>
          </w:p>
        </w:tc>
        <w:tc>
          <w:tcPr>
            <w:tcW w:w="469" w:type="pct"/>
            <w:tcBorders>
              <w:top w:val="nil"/>
              <w:left w:val="nil"/>
              <w:bottom w:val="single" w:sz="4" w:space="0" w:color="auto"/>
              <w:right w:val="nil"/>
            </w:tcBorders>
            <w:shd w:val="clear" w:color="auto" w:fill="auto"/>
            <w:vAlign w:val="bottom"/>
            <w:hideMark/>
          </w:tcPr>
          <w:p w14:paraId="07B46A19"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Land</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c>
          <w:tcPr>
            <w:tcW w:w="645" w:type="pct"/>
            <w:tcBorders>
              <w:top w:val="nil"/>
              <w:left w:val="nil"/>
              <w:bottom w:val="single" w:sz="4" w:space="0" w:color="auto"/>
              <w:right w:val="nil"/>
            </w:tcBorders>
            <w:shd w:val="clear" w:color="auto" w:fill="auto"/>
            <w:vAlign w:val="bottom"/>
            <w:hideMark/>
          </w:tcPr>
          <w:p w14:paraId="2F56E9FF"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Buildings</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c>
          <w:tcPr>
            <w:tcW w:w="649" w:type="pct"/>
            <w:tcBorders>
              <w:top w:val="nil"/>
              <w:left w:val="nil"/>
              <w:bottom w:val="single" w:sz="4" w:space="0" w:color="auto"/>
              <w:right w:val="nil"/>
            </w:tcBorders>
            <w:shd w:val="clear" w:color="auto" w:fill="auto"/>
            <w:vAlign w:val="bottom"/>
            <w:hideMark/>
          </w:tcPr>
          <w:p w14:paraId="345B95DB"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Other</w:t>
            </w:r>
            <w:r w:rsidRPr="00A04237">
              <w:rPr>
                <w:rFonts w:ascii="Arial" w:hAnsi="Arial" w:cs="Arial"/>
                <w:sz w:val="16"/>
                <w:szCs w:val="16"/>
              </w:rPr>
              <w:br/>
              <w:t>property,</w:t>
            </w:r>
            <w:r w:rsidRPr="00A04237">
              <w:rPr>
                <w:rFonts w:ascii="Arial" w:hAnsi="Arial" w:cs="Arial"/>
                <w:sz w:val="16"/>
                <w:szCs w:val="16"/>
              </w:rPr>
              <w:br/>
              <w:t>plant and</w:t>
            </w:r>
            <w:r w:rsidRPr="00A04237">
              <w:rPr>
                <w:rFonts w:ascii="Arial" w:hAnsi="Arial" w:cs="Arial"/>
                <w:sz w:val="16"/>
                <w:szCs w:val="16"/>
              </w:rPr>
              <w:br/>
              <w:t>equipment</w:t>
            </w:r>
            <w:r w:rsidRPr="00A04237">
              <w:rPr>
                <w:rFonts w:ascii="Arial" w:hAnsi="Arial" w:cs="Arial"/>
                <w:sz w:val="16"/>
                <w:szCs w:val="16"/>
              </w:rPr>
              <w:br/>
              <w:t>$'000</w:t>
            </w:r>
          </w:p>
        </w:tc>
        <w:tc>
          <w:tcPr>
            <w:tcW w:w="567" w:type="pct"/>
            <w:tcBorders>
              <w:top w:val="nil"/>
              <w:left w:val="nil"/>
              <w:bottom w:val="single" w:sz="4" w:space="0" w:color="auto"/>
              <w:right w:val="nil"/>
            </w:tcBorders>
            <w:shd w:val="clear" w:color="auto" w:fill="auto"/>
            <w:vAlign w:val="bottom"/>
            <w:hideMark/>
          </w:tcPr>
          <w:p w14:paraId="3890D192"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Heritage</w:t>
            </w:r>
            <w:r w:rsidRPr="00A04237">
              <w:rPr>
                <w:rFonts w:ascii="Arial" w:hAnsi="Arial" w:cs="Arial"/>
                <w:sz w:val="16"/>
                <w:szCs w:val="16"/>
              </w:rPr>
              <w:br/>
              <w:t>and</w:t>
            </w:r>
            <w:r w:rsidRPr="00A04237">
              <w:rPr>
                <w:rFonts w:ascii="Arial" w:hAnsi="Arial" w:cs="Arial"/>
                <w:sz w:val="16"/>
                <w:szCs w:val="16"/>
              </w:rPr>
              <w:br/>
              <w:t>cultural</w:t>
            </w:r>
            <w:r w:rsidRPr="00A04237">
              <w:rPr>
                <w:rFonts w:ascii="Arial" w:hAnsi="Arial" w:cs="Arial"/>
                <w:sz w:val="16"/>
                <w:szCs w:val="16"/>
              </w:rPr>
              <w:br/>
            </w:r>
            <w:r w:rsidRPr="00A04237">
              <w:rPr>
                <w:rFonts w:ascii="Arial" w:hAnsi="Arial" w:cs="Arial"/>
                <w:sz w:val="16"/>
                <w:szCs w:val="16"/>
              </w:rPr>
              <w:br/>
              <w:t>$'000</w:t>
            </w:r>
          </w:p>
        </w:tc>
        <w:tc>
          <w:tcPr>
            <w:tcW w:w="653" w:type="pct"/>
            <w:tcBorders>
              <w:top w:val="nil"/>
              <w:left w:val="nil"/>
              <w:bottom w:val="single" w:sz="4" w:space="0" w:color="auto"/>
              <w:right w:val="nil"/>
            </w:tcBorders>
            <w:shd w:val="clear" w:color="auto" w:fill="auto"/>
            <w:vAlign w:val="bottom"/>
            <w:hideMark/>
          </w:tcPr>
          <w:p w14:paraId="26C48DCE"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Computer</w:t>
            </w:r>
            <w:r w:rsidRPr="00A04237">
              <w:rPr>
                <w:rFonts w:ascii="Arial" w:hAnsi="Arial" w:cs="Arial"/>
                <w:sz w:val="16"/>
                <w:szCs w:val="16"/>
              </w:rPr>
              <w:br/>
              <w:t>software and</w:t>
            </w:r>
            <w:r w:rsidRPr="00A04237">
              <w:rPr>
                <w:rFonts w:ascii="Arial" w:hAnsi="Arial" w:cs="Arial"/>
                <w:sz w:val="16"/>
                <w:szCs w:val="16"/>
              </w:rPr>
              <w:br/>
              <w:t>intangibles</w:t>
            </w:r>
            <w:r w:rsidRPr="00A04237">
              <w:rPr>
                <w:rFonts w:ascii="Arial" w:hAnsi="Arial" w:cs="Arial"/>
                <w:sz w:val="16"/>
                <w:szCs w:val="16"/>
              </w:rPr>
              <w:br/>
              <w:t>$'000</w:t>
            </w:r>
          </w:p>
        </w:tc>
        <w:tc>
          <w:tcPr>
            <w:tcW w:w="531" w:type="pct"/>
            <w:tcBorders>
              <w:top w:val="nil"/>
              <w:left w:val="nil"/>
              <w:bottom w:val="single" w:sz="4" w:space="0" w:color="auto"/>
              <w:right w:val="nil"/>
            </w:tcBorders>
            <w:shd w:val="clear" w:color="auto" w:fill="auto"/>
            <w:vAlign w:val="bottom"/>
            <w:hideMark/>
          </w:tcPr>
          <w:p w14:paraId="5D80E16A" w14:textId="77777777" w:rsidR="001C0F49" w:rsidRPr="00A04237" w:rsidRDefault="001C0F49" w:rsidP="00293BD0">
            <w:pPr>
              <w:spacing w:after="0" w:line="240" w:lineRule="auto"/>
              <w:jc w:val="right"/>
              <w:rPr>
                <w:rFonts w:ascii="Arial" w:hAnsi="Arial" w:cs="Arial"/>
                <w:sz w:val="16"/>
                <w:szCs w:val="16"/>
              </w:rPr>
            </w:pPr>
            <w:r w:rsidRPr="00A04237">
              <w:rPr>
                <w:rFonts w:ascii="Arial" w:hAnsi="Arial" w:cs="Arial"/>
                <w:sz w:val="16"/>
                <w:szCs w:val="16"/>
              </w:rPr>
              <w:t>Total</w:t>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r>
            <w:r w:rsidRPr="00A04237">
              <w:rPr>
                <w:rFonts w:ascii="Arial" w:hAnsi="Arial" w:cs="Arial"/>
                <w:sz w:val="16"/>
                <w:szCs w:val="16"/>
              </w:rPr>
              <w:br/>
              <w:t>$'000</w:t>
            </w:r>
          </w:p>
        </w:tc>
      </w:tr>
      <w:tr w:rsidR="00CB4910" w:rsidRPr="00A04237" w14:paraId="1B047515" w14:textId="77777777" w:rsidTr="00B46D7E">
        <w:trPr>
          <w:trHeight w:val="204"/>
        </w:trPr>
        <w:tc>
          <w:tcPr>
            <w:tcW w:w="1485" w:type="pct"/>
            <w:tcBorders>
              <w:top w:val="nil"/>
              <w:left w:val="nil"/>
              <w:bottom w:val="nil"/>
              <w:right w:val="nil"/>
            </w:tcBorders>
            <w:shd w:val="clear" w:color="auto" w:fill="auto"/>
            <w:vAlign w:val="bottom"/>
            <w:hideMark/>
          </w:tcPr>
          <w:p w14:paraId="29E2446F"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As at 1 July 2022</w:t>
            </w:r>
          </w:p>
        </w:tc>
        <w:tc>
          <w:tcPr>
            <w:tcW w:w="469" w:type="pct"/>
            <w:tcBorders>
              <w:top w:val="nil"/>
              <w:left w:val="nil"/>
              <w:bottom w:val="nil"/>
              <w:right w:val="nil"/>
            </w:tcBorders>
            <w:shd w:val="clear" w:color="auto" w:fill="auto"/>
            <w:noWrap/>
            <w:vAlign w:val="bottom"/>
            <w:hideMark/>
          </w:tcPr>
          <w:p w14:paraId="68681FFA" w14:textId="77777777" w:rsidR="001C0F49" w:rsidRPr="00416F20" w:rsidRDefault="001C0F49" w:rsidP="00293BD0">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7D9FA8DC" w14:textId="77777777" w:rsidR="001C0F49" w:rsidRPr="00CF671E" w:rsidRDefault="001C0F49" w:rsidP="00293BD0">
            <w:pPr>
              <w:spacing w:after="0" w:line="240" w:lineRule="auto"/>
              <w:jc w:val="right"/>
              <w:rPr>
                <w:rFonts w:ascii="Arial" w:hAnsi="Arial" w:cs="Arial"/>
                <w:sz w:val="16"/>
                <w:szCs w:val="16"/>
              </w:rPr>
            </w:pPr>
          </w:p>
        </w:tc>
        <w:tc>
          <w:tcPr>
            <w:tcW w:w="649" w:type="pct"/>
            <w:tcBorders>
              <w:top w:val="nil"/>
              <w:left w:val="nil"/>
              <w:bottom w:val="nil"/>
              <w:right w:val="nil"/>
            </w:tcBorders>
            <w:shd w:val="clear" w:color="auto" w:fill="auto"/>
            <w:noWrap/>
            <w:vAlign w:val="bottom"/>
            <w:hideMark/>
          </w:tcPr>
          <w:p w14:paraId="711E0777" w14:textId="77777777" w:rsidR="001C0F49" w:rsidRPr="00CF671E" w:rsidRDefault="001C0F49" w:rsidP="00293BD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281150B3" w14:textId="77777777" w:rsidR="001C0F49" w:rsidRPr="00CF671E" w:rsidRDefault="001C0F49" w:rsidP="00293BD0">
            <w:pPr>
              <w:spacing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bottom"/>
            <w:hideMark/>
          </w:tcPr>
          <w:p w14:paraId="3B51AF3B" w14:textId="77777777" w:rsidR="001C0F49" w:rsidRPr="00CF671E" w:rsidRDefault="001C0F49" w:rsidP="00293BD0">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auto"/>
            <w:noWrap/>
            <w:vAlign w:val="bottom"/>
            <w:hideMark/>
          </w:tcPr>
          <w:p w14:paraId="47BC39DC" w14:textId="77777777" w:rsidR="001C0F49" w:rsidRPr="00CF671E" w:rsidRDefault="001C0F49" w:rsidP="00293BD0">
            <w:pPr>
              <w:spacing w:after="0" w:line="240" w:lineRule="auto"/>
              <w:jc w:val="right"/>
              <w:rPr>
                <w:rFonts w:ascii="Arial" w:hAnsi="Arial" w:cs="Arial"/>
                <w:sz w:val="16"/>
                <w:szCs w:val="16"/>
              </w:rPr>
            </w:pPr>
          </w:p>
        </w:tc>
      </w:tr>
      <w:tr w:rsidR="00CB4910" w:rsidRPr="00A04237" w14:paraId="3EBF34C6" w14:textId="77777777" w:rsidTr="00B46D7E">
        <w:trPr>
          <w:trHeight w:val="204"/>
        </w:trPr>
        <w:tc>
          <w:tcPr>
            <w:tcW w:w="1485" w:type="pct"/>
            <w:tcBorders>
              <w:top w:val="nil"/>
              <w:left w:val="nil"/>
              <w:bottom w:val="nil"/>
              <w:right w:val="nil"/>
            </w:tcBorders>
            <w:shd w:val="clear" w:color="auto" w:fill="auto"/>
            <w:vAlign w:val="bottom"/>
            <w:hideMark/>
          </w:tcPr>
          <w:p w14:paraId="150C5709" w14:textId="77777777" w:rsidR="001C0F49" w:rsidRPr="004D2BB5" w:rsidRDefault="001C0F49" w:rsidP="00293BD0">
            <w:pPr>
              <w:spacing w:after="0" w:line="240" w:lineRule="auto"/>
              <w:ind w:left="113"/>
              <w:rPr>
                <w:rFonts w:ascii="Arial" w:hAnsi="Arial" w:cs="Arial"/>
                <w:color w:val="000000"/>
                <w:sz w:val="16"/>
                <w:szCs w:val="16"/>
              </w:rPr>
            </w:pPr>
            <w:r w:rsidRPr="004D2BB5">
              <w:rPr>
                <w:rFonts w:ascii="Arial" w:hAnsi="Arial" w:cs="Arial"/>
                <w:color w:val="000000"/>
                <w:sz w:val="16"/>
                <w:szCs w:val="16"/>
              </w:rPr>
              <w:t xml:space="preserve">Gross book value </w:t>
            </w:r>
          </w:p>
        </w:tc>
        <w:tc>
          <w:tcPr>
            <w:tcW w:w="469" w:type="pct"/>
            <w:tcBorders>
              <w:top w:val="nil"/>
              <w:left w:val="nil"/>
              <w:bottom w:val="nil"/>
              <w:right w:val="nil"/>
            </w:tcBorders>
            <w:shd w:val="clear" w:color="auto" w:fill="auto"/>
            <w:noWrap/>
            <w:vAlign w:val="bottom"/>
            <w:hideMark/>
          </w:tcPr>
          <w:p w14:paraId="1573B4C9"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10,100</w:t>
            </w:r>
          </w:p>
        </w:tc>
        <w:tc>
          <w:tcPr>
            <w:tcW w:w="645" w:type="pct"/>
            <w:tcBorders>
              <w:top w:val="nil"/>
              <w:left w:val="nil"/>
              <w:bottom w:val="nil"/>
              <w:right w:val="nil"/>
            </w:tcBorders>
            <w:shd w:val="clear" w:color="auto" w:fill="auto"/>
            <w:noWrap/>
            <w:vAlign w:val="bottom"/>
            <w:hideMark/>
          </w:tcPr>
          <w:p w14:paraId="12EB458F"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105,956</w:t>
            </w:r>
          </w:p>
        </w:tc>
        <w:tc>
          <w:tcPr>
            <w:tcW w:w="649" w:type="pct"/>
            <w:tcBorders>
              <w:top w:val="nil"/>
              <w:left w:val="nil"/>
              <w:bottom w:val="nil"/>
              <w:right w:val="nil"/>
            </w:tcBorders>
            <w:shd w:val="clear" w:color="auto" w:fill="auto"/>
            <w:noWrap/>
            <w:vAlign w:val="bottom"/>
            <w:hideMark/>
          </w:tcPr>
          <w:p w14:paraId="66D83DD0"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96,671</w:t>
            </w:r>
          </w:p>
        </w:tc>
        <w:tc>
          <w:tcPr>
            <w:tcW w:w="567" w:type="pct"/>
            <w:tcBorders>
              <w:top w:val="nil"/>
              <w:left w:val="nil"/>
              <w:bottom w:val="nil"/>
              <w:right w:val="nil"/>
            </w:tcBorders>
            <w:shd w:val="clear" w:color="auto" w:fill="auto"/>
            <w:noWrap/>
            <w:vAlign w:val="bottom"/>
            <w:hideMark/>
          </w:tcPr>
          <w:p w14:paraId="10C83D9D"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283,363</w:t>
            </w:r>
          </w:p>
        </w:tc>
        <w:tc>
          <w:tcPr>
            <w:tcW w:w="653" w:type="pct"/>
            <w:tcBorders>
              <w:top w:val="nil"/>
              <w:left w:val="nil"/>
              <w:bottom w:val="nil"/>
              <w:right w:val="nil"/>
            </w:tcBorders>
            <w:shd w:val="clear" w:color="auto" w:fill="auto"/>
            <w:noWrap/>
            <w:vAlign w:val="bottom"/>
            <w:hideMark/>
          </w:tcPr>
          <w:p w14:paraId="6CF07CD6"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11,093</w:t>
            </w:r>
          </w:p>
        </w:tc>
        <w:tc>
          <w:tcPr>
            <w:tcW w:w="531" w:type="pct"/>
            <w:tcBorders>
              <w:top w:val="nil"/>
              <w:left w:val="nil"/>
              <w:bottom w:val="nil"/>
              <w:right w:val="nil"/>
            </w:tcBorders>
            <w:shd w:val="clear" w:color="auto" w:fill="auto"/>
            <w:noWrap/>
            <w:vAlign w:val="bottom"/>
            <w:hideMark/>
          </w:tcPr>
          <w:p w14:paraId="60F1FE8C"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507,183</w:t>
            </w:r>
          </w:p>
        </w:tc>
      </w:tr>
      <w:tr w:rsidR="00CB4910" w:rsidRPr="00A04237" w14:paraId="2AC926E5" w14:textId="77777777" w:rsidTr="00B46D7E">
        <w:trPr>
          <w:trHeight w:val="204"/>
        </w:trPr>
        <w:tc>
          <w:tcPr>
            <w:tcW w:w="1485" w:type="pct"/>
            <w:tcBorders>
              <w:top w:val="nil"/>
              <w:left w:val="nil"/>
              <w:bottom w:val="nil"/>
              <w:right w:val="nil"/>
            </w:tcBorders>
            <w:shd w:val="clear" w:color="auto" w:fill="auto"/>
            <w:noWrap/>
            <w:vAlign w:val="bottom"/>
            <w:hideMark/>
          </w:tcPr>
          <w:p w14:paraId="485869B2" w14:textId="77777777" w:rsidR="001C0F49" w:rsidRPr="004D2BB5" w:rsidRDefault="001C0F49" w:rsidP="00293BD0">
            <w:pPr>
              <w:spacing w:after="0" w:line="240" w:lineRule="auto"/>
              <w:ind w:left="113"/>
              <w:rPr>
                <w:rFonts w:ascii="Arial" w:hAnsi="Arial" w:cs="Arial"/>
                <w:color w:val="000000"/>
                <w:sz w:val="16"/>
                <w:szCs w:val="16"/>
              </w:rPr>
            </w:pPr>
            <w:r w:rsidRPr="004D2BB5">
              <w:rPr>
                <w:rFonts w:ascii="Arial" w:hAnsi="Arial" w:cs="Arial"/>
                <w:color w:val="000000"/>
                <w:sz w:val="16"/>
                <w:szCs w:val="16"/>
              </w:rPr>
              <w:t>Gross book value - ROU assets</w:t>
            </w:r>
          </w:p>
        </w:tc>
        <w:tc>
          <w:tcPr>
            <w:tcW w:w="469" w:type="pct"/>
            <w:tcBorders>
              <w:top w:val="nil"/>
              <w:left w:val="nil"/>
              <w:bottom w:val="nil"/>
              <w:right w:val="nil"/>
            </w:tcBorders>
            <w:shd w:val="clear" w:color="auto" w:fill="auto"/>
            <w:noWrap/>
            <w:vAlign w:val="bottom"/>
            <w:hideMark/>
          </w:tcPr>
          <w:p w14:paraId="02DB9C5F"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3E0A9FA9"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14,455</w:t>
            </w:r>
          </w:p>
        </w:tc>
        <w:tc>
          <w:tcPr>
            <w:tcW w:w="649" w:type="pct"/>
            <w:tcBorders>
              <w:top w:val="nil"/>
              <w:left w:val="nil"/>
              <w:bottom w:val="nil"/>
              <w:right w:val="nil"/>
            </w:tcBorders>
            <w:shd w:val="clear" w:color="auto" w:fill="auto"/>
            <w:noWrap/>
            <w:vAlign w:val="bottom"/>
            <w:hideMark/>
          </w:tcPr>
          <w:p w14:paraId="389BE440"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99</w:t>
            </w:r>
          </w:p>
        </w:tc>
        <w:tc>
          <w:tcPr>
            <w:tcW w:w="567" w:type="pct"/>
            <w:tcBorders>
              <w:top w:val="nil"/>
              <w:left w:val="nil"/>
              <w:bottom w:val="nil"/>
              <w:right w:val="nil"/>
            </w:tcBorders>
            <w:shd w:val="clear" w:color="auto" w:fill="auto"/>
            <w:noWrap/>
            <w:vAlign w:val="bottom"/>
            <w:hideMark/>
          </w:tcPr>
          <w:p w14:paraId="4F902B2A"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68D4C1C6"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451AA8C3"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14,5</w:t>
            </w:r>
            <w:r>
              <w:rPr>
                <w:rFonts w:ascii="Arial" w:hAnsi="Arial" w:cs="Arial"/>
                <w:sz w:val="16"/>
                <w:szCs w:val="16"/>
              </w:rPr>
              <w:t>54</w:t>
            </w:r>
          </w:p>
        </w:tc>
      </w:tr>
      <w:tr w:rsidR="00CB4910" w:rsidRPr="00A04237" w14:paraId="538DF32E" w14:textId="77777777" w:rsidTr="00B46D7E">
        <w:trPr>
          <w:trHeight w:val="204"/>
        </w:trPr>
        <w:tc>
          <w:tcPr>
            <w:tcW w:w="1485" w:type="pct"/>
            <w:tcBorders>
              <w:top w:val="nil"/>
              <w:left w:val="nil"/>
              <w:bottom w:val="nil"/>
              <w:right w:val="nil"/>
            </w:tcBorders>
            <w:shd w:val="clear" w:color="auto" w:fill="auto"/>
            <w:vAlign w:val="bottom"/>
            <w:hideMark/>
          </w:tcPr>
          <w:p w14:paraId="01E5E1CF" w14:textId="77777777" w:rsidR="001C0F49" w:rsidRPr="004D2BB5" w:rsidRDefault="001C0F49" w:rsidP="00293BD0">
            <w:pPr>
              <w:spacing w:after="0" w:line="240" w:lineRule="auto"/>
              <w:ind w:left="113"/>
              <w:rPr>
                <w:rFonts w:ascii="Arial" w:hAnsi="Arial" w:cs="Arial"/>
                <w:color w:val="000000"/>
                <w:sz w:val="16"/>
                <w:szCs w:val="16"/>
              </w:rPr>
            </w:pPr>
            <w:r w:rsidRPr="004D2BB5">
              <w:rPr>
                <w:rFonts w:ascii="Arial" w:hAnsi="Arial" w:cs="Arial"/>
                <w:color w:val="000000"/>
                <w:sz w:val="16"/>
                <w:szCs w:val="16"/>
              </w:rPr>
              <w:t>Accumulated depreciation/ amortisation and impairment</w:t>
            </w:r>
          </w:p>
        </w:tc>
        <w:tc>
          <w:tcPr>
            <w:tcW w:w="469" w:type="pct"/>
            <w:tcBorders>
              <w:top w:val="nil"/>
              <w:left w:val="nil"/>
              <w:bottom w:val="nil"/>
              <w:right w:val="nil"/>
            </w:tcBorders>
            <w:shd w:val="clear" w:color="auto" w:fill="auto"/>
            <w:noWrap/>
            <w:vAlign w:val="bottom"/>
            <w:hideMark/>
          </w:tcPr>
          <w:p w14:paraId="6B1461AB"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07F3C20E"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(2,</w:t>
            </w:r>
            <w:r>
              <w:rPr>
                <w:rFonts w:ascii="Arial" w:hAnsi="Arial" w:cs="Arial"/>
                <w:sz w:val="16"/>
                <w:szCs w:val="16"/>
              </w:rPr>
              <w:t>249</w:t>
            </w:r>
          </w:p>
        </w:tc>
        <w:tc>
          <w:tcPr>
            <w:tcW w:w="649" w:type="pct"/>
            <w:tcBorders>
              <w:top w:val="nil"/>
              <w:left w:val="nil"/>
              <w:bottom w:val="nil"/>
              <w:right w:val="nil"/>
            </w:tcBorders>
            <w:shd w:val="clear" w:color="auto" w:fill="auto"/>
            <w:noWrap/>
            <w:vAlign w:val="bottom"/>
            <w:hideMark/>
          </w:tcPr>
          <w:p w14:paraId="2D6850E7"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(2</w:t>
            </w:r>
            <w:r>
              <w:rPr>
                <w:rFonts w:ascii="Arial" w:hAnsi="Arial" w:cs="Arial"/>
                <w:sz w:val="16"/>
                <w:szCs w:val="16"/>
              </w:rPr>
              <w:t>3,393)</w:t>
            </w:r>
          </w:p>
        </w:tc>
        <w:tc>
          <w:tcPr>
            <w:tcW w:w="567" w:type="pct"/>
            <w:tcBorders>
              <w:top w:val="nil"/>
              <w:left w:val="nil"/>
              <w:bottom w:val="nil"/>
              <w:right w:val="nil"/>
            </w:tcBorders>
            <w:shd w:val="clear" w:color="auto" w:fill="auto"/>
            <w:noWrap/>
            <w:vAlign w:val="bottom"/>
            <w:hideMark/>
          </w:tcPr>
          <w:p w14:paraId="15F48224"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(3,723)</w:t>
            </w:r>
          </w:p>
        </w:tc>
        <w:tc>
          <w:tcPr>
            <w:tcW w:w="653" w:type="pct"/>
            <w:tcBorders>
              <w:top w:val="nil"/>
              <w:left w:val="nil"/>
              <w:bottom w:val="nil"/>
              <w:right w:val="nil"/>
            </w:tcBorders>
            <w:shd w:val="clear" w:color="auto" w:fill="auto"/>
            <w:noWrap/>
            <w:vAlign w:val="bottom"/>
            <w:hideMark/>
          </w:tcPr>
          <w:p w14:paraId="603158D9"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(3</w:t>
            </w:r>
            <w:r>
              <w:rPr>
                <w:rFonts w:ascii="Arial" w:hAnsi="Arial" w:cs="Arial"/>
                <w:sz w:val="16"/>
                <w:szCs w:val="16"/>
              </w:rPr>
              <w:t>,927</w:t>
            </w: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602A5865"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(3</w:t>
            </w:r>
            <w:r>
              <w:rPr>
                <w:rFonts w:ascii="Arial" w:hAnsi="Arial" w:cs="Arial"/>
                <w:sz w:val="16"/>
                <w:szCs w:val="16"/>
              </w:rPr>
              <w:t>3,292</w:t>
            </w:r>
            <w:r w:rsidRPr="00416F20">
              <w:rPr>
                <w:rFonts w:ascii="Arial" w:hAnsi="Arial" w:cs="Arial"/>
                <w:sz w:val="16"/>
                <w:szCs w:val="16"/>
              </w:rPr>
              <w:t>)</w:t>
            </w:r>
          </w:p>
        </w:tc>
      </w:tr>
      <w:tr w:rsidR="00CB4910" w:rsidRPr="00A04237" w14:paraId="056425C0" w14:textId="77777777" w:rsidTr="00B46D7E">
        <w:trPr>
          <w:trHeight w:val="204"/>
        </w:trPr>
        <w:tc>
          <w:tcPr>
            <w:tcW w:w="1485" w:type="pct"/>
            <w:tcBorders>
              <w:top w:val="nil"/>
              <w:left w:val="nil"/>
              <w:bottom w:val="nil"/>
              <w:right w:val="nil"/>
            </w:tcBorders>
            <w:shd w:val="clear" w:color="auto" w:fill="auto"/>
            <w:vAlign w:val="bottom"/>
            <w:hideMark/>
          </w:tcPr>
          <w:p w14:paraId="07B71969" w14:textId="77777777" w:rsidR="001C0F49" w:rsidRPr="004D2BB5" w:rsidRDefault="001C0F49" w:rsidP="00293BD0">
            <w:pPr>
              <w:spacing w:after="0" w:line="240" w:lineRule="auto"/>
              <w:ind w:left="113"/>
              <w:rPr>
                <w:rFonts w:ascii="Arial" w:hAnsi="Arial" w:cs="Arial"/>
                <w:color w:val="000000"/>
                <w:sz w:val="16"/>
                <w:szCs w:val="16"/>
              </w:rPr>
            </w:pPr>
            <w:r w:rsidRPr="004D2BB5">
              <w:rPr>
                <w:rFonts w:ascii="Arial" w:hAnsi="Arial" w:cs="Arial"/>
                <w:color w:val="000000"/>
                <w:sz w:val="16"/>
                <w:szCs w:val="16"/>
              </w:rPr>
              <w:t>Accumulated depreciation/ amortisation and impairment - ROU assets</w:t>
            </w:r>
          </w:p>
        </w:tc>
        <w:tc>
          <w:tcPr>
            <w:tcW w:w="469" w:type="pct"/>
            <w:tcBorders>
              <w:top w:val="nil"/>
              <w:left w:val="nil"/>
              <w:bottom w:val="nil"/>
              <w:right w:val="nil"/>
            </w:tcBorders>
            <w:shd w:val="clear" w:color="auto" w:fill="auto"/>
            <w:noWrap/>
            <w:vAlign w:val="bottom"/>
            <w:hideMark/>
          </w:tcPr>
          <w:p w14:paraId="165681A0"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0FB79E9C"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3,286</w:t>
            </w:r>
            <w:r w:rsidRPr="00416F20">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124C8517"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45</w:t>
            </w:r>
            <w:r w:rsidRPr="00416F20">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1C9A8299"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6E90E6BE"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47F10BF2"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3,331</w:t>
            </w:r>
            <w:r w:rsidRPr="00416F20">
              <w:rPr>
                <w:rFonts w:ascii="Arial" w:hAnsi="Arial" w:cs="Arial"/>
                <w:sz w:val="16"/>
                <w:szCs w:val="16"/>
              </w:rPr>
              <w:t>)</w:t>
            </w:r>
          </w:p>
        </w:tc>
      </w:tr>
      <w:tr w:rsidR="00CB4910" w:rsidRPr="00A04237" w14:paraId="4A95167D" w14:textId="77777777" w:rsidTr="00B46D7E">
        <w:trPr>
          <w:trHeight w:val="204"/>
        </w:trPr>
        <w:tc>
          <w:tcPr>
            <w:tcW w:w="1485" w:type="pct"/>
            <w:tcBorders>
              <w:top w:val="nil"/>
              <w:left w:val="nil"/>
              <w:bottom w:val="nil"/>
              <w:right w:val="nil"/>
            </w:tcBorders>
            <w:shd w:val="clear" w:color="auto" w:fill="auto"/>
            <w:vAlign w:val="bottom"/>
            <w:hideMark/>
          </w:tcPr>
          <w:p w14:paraId="6E08DA43"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Opening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64AA4049"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10,100</w:t>
            </w:r>
          </w:p>
        </w:tc>
        <w:tc>
          <w:tcPr>
            <w:tcW w:w="645" w:type="pct"/>
            <w:tcBorders>
              <w:top w:val="single" w:sz="4" w:space="0" w:color="auto"/>
              <w:left w:val="nil"/>
              <w:bottom w:val="single" w:sz="4" w:space="0" w:color="auto"/>
              <w:right w:val="nil"/>
            </w:tcBorders>
            <w:shd w:val="clear" w:color="auto" w:fill="auto"/>
            <w:noWrap/>
            <w:vAlign w:val="bottom"/>
            <w:hideMark/>
          </w:tcPr>
          <w:p w14:paraId="72712BC6"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114,876</w:t>
            </w:r>
          </w:p>
        </w:tc>
        <w:tc>
          <w:tcPr>
            <w:tcW w:w="649" w:type="pct"/>
            <w:tcBorders>
              <w:top w:val="single" w:sz="4" w:space="0" w:color="auto"/>
              <w:left w:val="nil"/>
              <w:bottom w:val="single" w:sz="4" w:space="0" w:color="auto"/>
              <w:right w:val="nil"/>
            </w:tcBorders>
            <w:shd w:val="clear" w:color="auto" w:fill="auto"/>
            <w:noWrap/>
            <w:vAlign w:val="bottom"/>
            <w:hideMark/>
          </w:tcPr>
          <w:p w14:paraId="7AA94369"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73,332</w:t>
            </w:r>
          </w:p>
        </w:tc>
        <w:tc>
          <w:tcPr>
            <w:tcW w:w="567" w:type="pct"/>
            <w:tcBorders>
              <w:top w:val="single" w:sz="4" w:space="0" w:color="auto"/>
              <w:left w:val="nil"/>
              <w:bottom w:val="single" w:sz="4" w:space="0" w:color="auto"/>
              <w:right w:val="nil"/>
            </w:tcBorders>
            <w:shd w:val="clear" w:color="auto" w:fill="auto"/>
            <w:noWrap/>
            <w:vAlign w:val="bottom"/>
            <w:hideMark/>
          </w:tcPr>
          <w:p w14:paraId="4A8C1658"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279,640</w:t>
            </w:r>
          </w:p>
        </w:tc>
        <w:tc>
          <w:tcPr>
            <w:tcW w:w="653" w:type="pct"/>
            <w:tcBorders>
              <w:top w:val="single" w:sz="4" w:space="0" w:color="auto"/>
              <w:left w:val="nil"/>
              <w:bottom w:val="single" w:sz="4" w:space="0" w:color="auto"/>
              <w:right w:val="nil"/>
            </w:tcBorders>
            <w:shd w:val="clear" w:color="auto" w:fill="auto"/>
            <w:noWrap/>
            <w:vAlign w:val="bottom"/>
            <w:hideMark/>
          </w:tcPr>
          <w:p w14:paraId="7B4209E7" w14:textId="310174A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7,1</w:t>
            </w:r>
            <w:r w:rsidR="00BC3866">
              <w:rPr>
                <w:rFonts w:ascii="Arial" w:hAnsi="Arial" w:cs="Arial"/>
                <w:b/>
                <w:bCs/>
                <w:sz w:val="16"/>
                <w:szCs w:val="16"/>
              </w:rPr>
              <w:t>6</w:t>
            </w:r>
            <w:r>
              <w:rPr>
                <w:rFonts w:ascii="Arial" w:hAnsi="Arial" w:cs="Arial"/>
                <w:b/>
                <w:bCs/>
                <w:sz w:val="16"/>
                <w:szCs w:val="16"/>
              </w:rPr>
              <w:t>6</w:t>
            </w:r>
          </w:p>
        </w:tc>
        <w:tc>
          <w:tcPr>
            <w:tcW w:w="531" w:type="pct"/>
            <w:tcBorders>
              <w:top w:val="single" w:sz="4" w:space="0" w:color="auto"/>
              <w:left w:val="nil"/>
              <w:bottom w:val="single" w:sz="4" w:space="0" w:color="auto"/>
              <w:right w:val="nil"/>
            </w:tcBorders>
            <w:shd w:val="clear" w:color="auto" w:fill="auto"/>
            <w:noWrap/>
            <w:vAlign w:val="bottom"/>
            <w:hideMark/>
          </w:tcPr>
          <w:p w14:paraId="2F82DE40"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485,114</w:t>
            </w:r>
          </w:p>
        </w:tc>
      </w:tr>
      <w:tr w:rsidR="00CB4910" w:rsidRPr="00A04237" w14:paraId="2E618382" w14:textId="77777777" w:rsidTr="00B46D7E">
        <w:trPr>
          <w:trHeight w:val="204"/>
        </w:trPr>
        <w:tc>
          <w:tcPr>
            <w:tcW w:w="1485" w:type="pct"/>
            <w:tcBorders>
              <w:top w:val="nil"/>
              <w:left w:val="nil"/>
              <w:bottom w:val="nil"/>
              <w:right w:val="nil"/>
            </w:tcBorders>
            <w:shd w:val="clear" w:color="auto" w:fill="auto"/>
            <w:vAlign w:val="bottom"/>
            <w:hideMark/>
          </w:tcPr>
          <w:p w14:paraId="548CA010"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Capital asset additions</w:t>
            </w:r>
          </w:p>
        </w:tc>
        <w:tc>
          <w:tcPr>
            <w:tcW w:w="469" w:type="pct"/>
            <w:tcBorders>
              <w:top w:val="nil"/>
              <w:left w:val="nil"/>
              <w:bottom w:val="nil"/>
              <w:right w:val="nil"/>
            </w:tcBorders>
            <w:shd w:val="clear" w:color="auto" w:fill="auto"/>
            <w:noWrap/>
            <w:vAlign w:val="bottom"/>
            <w:hideMark/>
          </w:tcPr>
          <w:p w14:paraId="31E559CF" w14:textId="77777777" w:rsidR="001C0F49" w:rsidRPr="00416F20" w:rsidRDefault="001C0F49" w:rsidP="00293BD0">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46B3256D" w14:textId="77777777" w:rsidR="001C0F49" w:rsidRPr="00CF671E" w:rsidRDefault="001C0F49" w:rsidP="00293BD0">
            <w:pPr>
              <w:spacing w:after="0" w:line="240" w:lineRule="auto"/>
              <w:jc w:val="right"/>
              <w:rPr>
                <w:rFonts w:ascii="Arial" w:hAnsi="Arial" w:cs="Arial"/>
                <w:sz w:val="16"/>
                <w:szCs w:val="16"/>
              </w:rPr>
            </w:pPr>
          </w:p>
        </w:tc>
        <w:tc>
          <w:tcPr>
            <w:tcW w:w="649" w:type="pct"/>
            <w:tcBorders>
              <w:top w:val="nil"/>
              <w:left w:val="nil"/>
              <w:bottom w:val="nil"/>
              <w:right w:val="nil"/>
            </w:tcBorders>
            <w:shd w:val="clear" w:color="auto" w:fill="auto"/>
            <w:noWrap/>
            <w:vAlign w:val="bottom"/>
            <w:hideMark/>
          </w:tcPr>
          <w:p w14:paraId="61AFAE85" w14:textId="77777777" w:rsidR="001C0F49" w:rsidRPr="00CF671E" w:rsidRDefault="001C0F49" w:rsidP="00293BD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2BC7220C" w14:textId="77777777" w:rsidR="001C0F49" w:rsidRPr="00CF671E" w:rsidRDefault="001C0F49" w:rsidP="00293BD0">
            <w:pPr>
              <w:spacing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bottom"/>
            <w:hideMark/>
          </w:tcPr>
          <w:p w14:paraId="1171F842" w14:textId="77777777" w:rsidR="001C0F49" w:rsidRPr="00CF671E" w:rsidRDefault="001C0F49" w:rsidP="00293BD0">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auto"/>
            <w:noWrap/>
            <w:vAlign w:val="bottom"/>
            <w:hideMark/>
          </w:tcPr>
          <w:p w14:paraId="5C4DC3E8" w14:textId="77777777" w:rsidR="001C0F49" w:rsidRPr="00CF671E" w:rsidRDefault="001C0F49" w:rsidP="00293BD0">
            <w:pPr>
              <w:spacing w:after="0" w:line="240" w:lineRule="auto"/>
              <w:jc w:val="right"/>
              <w:rPr>
                <w:rFonts w:ascii="Arial" w:hAnsi="Arial" w:cs="Arial"/>
                <w:sz w:val="16"/>
                <w:szCs w:val="16"/>
              </w:rPr>
            </w:pPr>
          </w:p>
        </w:tc>
      </w:tr>
      <w:tr w:rsidR="00CB4910" w:rsidRPr="00A04237" w14:paraId="5B013102" w14:textId="77777777" w:rsidTr="00B46D7E">
        <w:trPr>
          <w:trHeight w:val="204"/>
        </w:trPr>
        <w:tc>
          <w:tcPr>
            <w:tcW w:w="1485" w:type="pct"/>
            <w:tcBorders>
              <w:top w:val="nil"/>
              <w:left w:val="nil"/>
              <w:bottom w:val="nil"/>
              <w:right w:val="nil"/>
            </w:tcBorders>
            <w:shd w:val="clear" w:color="auto" w:fill="auto"/>
            <w:vAlign w:val="bottom"/>
            <w:hideMark/>
          </w:tcPr>
          <w:p w14:paraId="6DFEDF1A" w14:textId="77777777" w:rsidR="001C0F49" w:rsidRPr="00A04237" w:rsidRDefault="001C0F49" w:rsidP="00293BD0">
            <w:pPr>
              <w:spacing w:after="0" w:line="240" w:lineRule="auto"/>
              <w:ind w:left="113"/>
              <w:rPr>
                <w:rFonts w:ascii="Arial" w:hAnsi="Arial" w:cs="Arial"/>
                <w:b/>
                <w:bCs/>
                <w:sz w:val="16"/>
                <w:szCs w:val="16"/>
              </w:rPr>
            </w:pPr>
            <w:r w:rsidRPr="00A04237">
              <w:rPr>
                <w:rFonts w:ascii="Arial" w:hAnsi="Arial" w:cs="Arial"/>
                <w:b/>
                <w:bCs/>
                <w:sz w:val="16"/>
                <w:szCs w:val="16"/>
              </w:rPr>
              <w:t>Estimated expenditure on new or replacement assets</w:t>
            </w:r>
          </w:p>
        </w:tc>
        <w:tc>
          <w:tcPr>
            <w:tcW w:w="469" w:type="pct"/>
            <w:tcBorders>
              <w:top w:val="nil"/>
              <w:left w:val="nil"/>
              <w:bottom w:val="nil"/>
              <w:right w:val="nil"/>
            </w:tcBorders>
            <w:shd w:val="clear" w:color="auto" w:fill="auto"/>
            <w:noWrap/>
            <w:vAlign w:val="bottom"/>
            <w:hideMark/>
          </w:tcPr>
          <w:p w14:paraId="65C1D038" w14:textId="77777777" w:rsidR="001C0F49" w:rsidRPr="00416F20" w:rsidRDefault="001C0F49" w:rsidP="00293BD0">
            <w:pPr>
              <w:spacing w:after="0" w:line="240" w:lineRule="auto"/>
              <w:ind w:firstLineChars="100" w:firstLine="161"/>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575DE436" w14:textId="77777777" w:rsidR="001C0F49" w:rsidRPr="00CF671E" w:rsidRDefault="001C0F49" w:rsidP="00293BD0">
            <w:pPr>
              <w:spacing w:after="0" w:line="240" w:lineRule="auto"/>
              <w:jc w:val="right"/>
              <w:rPr>
                <w:rFonts w:ascii="Arial" w:hAnsi="Arial" w:cs="Arial"/>
                <w:sz w:val="16"/>
                <w:szCs w:val="16"/>
              </w:rPr>
            </w:pPr>
          </w:p>
        </w:tc>
        <w:tc>
          <w:tcPr>
            <w:tcW w:w="649" w:type="pct"/>
            <w:tcBorders>
              <w:top w:val="nil"/>
              <w:left w:val="nil"/>
              <w:bottom w:val="nil"/>
              <w:right w:val="nil"/>
            </w:tcBorders>
            <w:shd w:val="clear" w:color="auto" w:fill="auto"/>
            <w:noWrap/>
            <w:vAlign w:val="bottom"/>
            <w:hideMark/>
          </w:tcPr>
          <w:p w14:paraId="4808CCB9" w14:textId="77777777" w:rsidR="001C0F49" w:rsidRPr="00CF671E" w:rsidRDefault="001C0F49" w:rsidP="00293BD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14A2BEA2" w14:textId="77777777" w:rsidR="001C0F49" w:rsidRPr="00CF671E" w:rsidRDefault="001C0F49" w:rsidP="00293BD0">
            <w:pPr>
              <w:spacing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bottom"/>
            <w:hideMark/>
          </w:tcPr>
          <w:p w14:paraId="42781622" w14:textId="77777777" w:rsidR="001C0F49" w:rsidRPr="00CF671E" w:rsidRDefault="001C0F49" w:rsidP="00293BD0">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auto"/>
            <w:noWrap/>
            <w:vAlign w:val="bottom"/>
            <w:hideMark/>
          </w:tcPr>
          <w:p w14:paraId="13F5E28F" w14:textId="77777777" w:rsidR="001C0F49" w:rsidRPr="00CF671E" w:rsidRDefault="001C0F49" w:rsidP="00293BD0">
            <w:pPr>
              <w:spacing w:after="0" w:line="240" w:lineRule="auto"/>
              <w:jc w:val="right"/>
              <w:rPr>
                <w:rFonts w:ascii="Arial" w:hAnsi="Arial" w:cs="Arial"/>
                <w:sz w:val="16"/>
                <w:szCs w:val="16"/>
              </w:rPr>
            </w:pPr>
          </w:p>
        </w:tc>
      </w:tr>
      <w:tr w:rsidR="00CB4910" w:rsidRPr="00A04237" w14:paraId="55695627" w14:textId="77777777" w:rsidTr="00B46D7E">
        <w:trPr>
          <w:trHeight w:val="204"/>
        </w:trPr>
        <w:tc>
          <w:tcPr>
            <w:tcW w:w="1485" w:type="pct"/>
            <w:tcBorders>
              <w:top w:val="nil"/>
              <w:left w:val="nil"/>
              <w:bottom w:val="nil"/>
              <w:right w:val="nil"/>
            </w:tcBorders>
            <w:shd w:val="clear" w:color="auto" w:fill="auto"/>
            <w:vAlign w:val="bottom"/>
            <w:hideMark/>
          </w:tcPr>
          <w:p w14:paraId="57C2083F" w14:textId="77777777" w:rsidR="001C0F49" w:rsidRPr="00A04237" w:rsidRDefault="001C0F49" w:rsidP="00293BD0">
            <w:pPr>
              <w:spacing w:after="0" w:line="240" w:lineRule="auto"/>
              <w:ind w:left="227"/>
              <w:rPr>
                <w:rFonts w:ascii="Arial" w:hAnsi="Arial" w:cs="Arial"/>
                <w:sz w:val="16"/>
                <w:szCs w:val="16"/>
              </w:rPr>
            </w:pPr>
            <w:r w:rsidRPr="00A04237">
              <w:rPr>
                <w:rFonts w:ascii="Arial" w:hAnsi="Arial" w:cs="Arial"/>
                <w:sz w:val="16"/>
                <w:szCs w:val="16"/>
              </w:rPr>
              <w:t xml:space="preserve">By purchase - </w:t>
            </w:r>
            <w:r w:rsidRPr="004D2BB5">
              <w:rPr>
                <w:rFonts w:ascii="Arial" w:hAnsi="Arial" w:cs="Arial"/>
                <w:color w:val="000000"/>
                <w:sz w:val="16"/>
                <w:szCs w:val="16"/>
              </w:rPr>
              <w:t>appropriation</w:t>
            </w:r>
            <w:r w:rsidRPr="00A04237">
              <w:rPr>
                <w:rFonts w:ascii="Arial" w:hAnsi="Arial" w:cs="Arial"/>
                <w:sz w:val="16"/>
                <w:szCs w:val="16"/>
              </w:rPr>
              <w:t xml:space="preserve"> equity</w:t>
            </w:r>
            <w:r w:rsidRPr="00A04237">
              <w:rPr>
                <w:rFonts w:ascii="Arial" w:hAnsi="Arial" w:cs="Arial"/>
                <w:sz w:val="16"/>
                <w:szCs w:val="16"/>
                <w:vertAlign w:val="superscript"/>
              </w:rPr>
              <w:t xml:space="preserve"> (a)</w:t>
            </w:r>
          </w:p>
        </w:tc>
        <w:tc>
          <w:tcPr>
            <w:tcW w:w="469" w:type="pct"/>
            <w:tcBorders>
              <w:top w:val="nil"/>
              <w:left w:val="nil"/>
              <w:bottom w:val="nil"/>
              <w:right w:val="nil"/>
            </w:tcBorders>
            <w:shd w:val="clear" w:color="auto" w:fill="auto"/>
            <w:noWrap/>
            <w:vAlign w:val="bottom"/>
            <w:hideMark/>
          </w:tcPr>
          <w:p w14:paraId="49C32FA7" w14:textId="77777777" w:rsidR="001C0F49" w:rsidRPr="00416F20" w:rsidRDefault="001C0F49" w:rsidP="00293BD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6008008B" w14:textId="77777777" w:rsidR="001C0F49" w:rsidRPr="00CF671E"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2E09BD66" w14:textId="77777777" w:rsidR="001C0F49" w:rsidRPr="00CF671E"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46B3B0EB"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1,948</w:t>
            </w:r>
          </w:p>
        </w:tc>
        <w:tc>
          <w:tcPr>
            <w:tcW w:w="653" w:type="pct"/>
            <w:tcBorders>
              <w:top w:val="nil"/>
              <w:left w:val="nil"/>
              <w:bottom w:val="nil"/>
              <w:right w:val="nil"/>
            </w:tcBorders>
            <w:shd w:val="clear" w:color="auto" w:fill="auto"/>
            <w:noWrap/>
            <w:vAlign w:val="bottom"/>
            <w:hideMark/>
          </w:tcPr>
          <w:p w14:paraId="7697106B"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1C5DCC0A"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1,948</w:t>
            </w:r>
          </w:p>
        </w:tc>
      </w:tr>
      <w:tr w:rsidR="00CB4910" w:rsidRPr="00A04237" w14:paraId="3EF2CF4D" w14:textId="77777777" w:rsidTr="00B46D7E">
        <w:trPr>
          <w:trHeight w:val="204"/>
        </w:trPr>
        <w:tc>
          <w:tcPr>
            <w:tcW w:w="1485" w:type="pct"/>
            <w:tcBorders>
              <w:top w:val="nil"/>
              <w:left w:val="nil"/>
              <w:bottom w:val="nil"/>
              <w:right w:val="nil"/>
            </w:tcBorders>
            <w:shd w:val="clear" w:color="auto" w:fill="auto"/>
            <w:vAlign w:val="bottom"/>
            <w:hideMark/>
          </w:tcPr>
          <w:p w14:paraId="451AEAB0" w14:textId="77777777" w:rsidR="001C0F49" w:rsidRPr="00A04237" w:rsidRDefault="001C0F49" w:rsidP="00293BD0">
            <w:pPr>
              <w:spacing w:after="0" w:line="240" w:lineRule="auto"/>
              <w:ind w:left="227"/>
              <w:rPr>
                <w:rFonts w:ascii="Arial" w:hAnsi="Arial" w:cs="Arial"/>
                <w:sz w:val="16"/>
                <w:szCs w:val="16"/>
              </w:rPr>
            </w:pPr>
            <w:r w:rsidRPr="00A04237">
              <w:rPr>
                <w:rFonts w:ascii="Arial" w:hAnsi="Arial" w:cs="Arial"/>
                <w:sz w:val="16"/>
                <w:szCs w:val="16"/>
              </w:rPr>
              <w:t>By purchase - other</w:t>
            </w:r>
          </w:p>
        </w:tc>
        <w:tc>
          <w:tcPr>
            <w:tcW w:w="469" w:type="pct"/>
            <w:tcBorders>
              <w:top w:val="nil"/>
              <w:left w:val="nil"/>
              <w:bottom w:val="nil"/>
              <w:right w:val="nil"/>
            </w:tcBorders>
            <w:shd w:val="clear" w:color="auto" w:fill="auto"/>
            <w:noWrap/>
            <w:vAlign w:val="bottom"/>
            <w:hideMark/>
          </w:tcPr>
          <w:p w14:paraId="34AA3795"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01231A36"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150</w:t>
            </w:r>
          </w:p>
        </w:tc>
        <w:tc>
          <w:tcPr>
            <w:tcW w:w="649" w:type="pct"/>
            <w:tcBorders>
              <w:top w:val="nil"/>
              <w:left w:val="nil"/>
              <w:bottom w:val="nil"/>
              <w:right w:val="nil"/>
            </w:tcBorders>
            <w:shd w:val="clear" w:color="auto" w:fill="auto"/>
            <w:noWrap/>
            <w:vAlign w:val="bottom"/>
            <w:hideMark/>
          </w:tcPr>
          <w:p w14:paraId="3AB13D3E"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6,163</w:t>
            </w:r>
          </w:p>
        </w:tc>
        <w:tc>
          <w:tcPr>
            <w:tcW w:w="567" w:type="pct"/>
            <w:tcBorders>
              <w:top w:val="nil"/>
              <w:left w:val="nil"/>
              <w:bottom w:val="nil"/>
              <w:right w:val="nil"/>
            </w:tcBorders>
            <w:shd w:val="clear" w:color="auto" w:fill="auto"/>
            <w:noWrap/>
            <w:vAlign w:val="bottom"/>
            <w:hideMark/>
          </w:tcPr>
          <w:p w14:paraId="3C875322"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283</w:t>
            </w:r>
          </w:p>
        </w:tc>
        <w:tc>
          <w:tcPr>
            <w:tcW w:w="653" w:type="pct"/>
            <w:tcBorders>
              <w:top w:val="nil"/>
              <w:left w:val="nil"/>
              <w:bottom w:val="nil"/>
              <w:right w:val="nil"/>
            </w:tcBorders>
            <w:shd w:val="clear" w:color="auto" w:fill="auto"/>
            <w:noWrap/>
            <w:vAlign w:val="bottom"/>
            <w:hideMark/>
          </w:tcPr>
          <w:p w14:paraId="2E8D1BF7"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1,030</w:t>
            </w:r>
          </w:p>
        </w:tc>
        <w:tc>
          <w:tcPr>
            <w:tcW w:w="531" w:type="pct"/>
            <w:tcBorders>
              <w:top w:val="nil"/>
              <w:left w:val="nil"/>
              <w:bottom w:val="nil"/>
              <w:right w:val="nil"/>
            </w:tcBorders>
            <w:shd w:val="clear" w:color="auto" w:fill="auto"/>
            <w:noWrap/>
            <w:vAlign w:val="bottom"/>
            <w:hideMark/>
          </w:tcPr>
          <w:p w14:paraId="767699AF"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7,599</w:t>
            </w:r>
          </w:p>
        </w:tc>
      </w:tr>
      <w:tr w:rsidR="00CB4910" w:rsidRPr="00A04237" w14:paraId="200F5A03" w14:textId="77777777" w:rsidTr="00B46D7E">
        <w:trPr>
          <w:trHeight w:val="204"/>
        </w:trPr>
        <w:tc>
          <w:tcPr>
            <w:tcW w:w="1485" w:type="pct"/>
            <w:tcBorders>
              <w:top w:val="nil"/>
              <w:left w:val="nil"/>
              <w:bottom w:val="nil"/>
              <w:right w:val="nil"/>
            </w:tcBorders>
            <w:shd w:val="clear" w:color="auto" w:fill="auto"/>
            <w:vAlign w:val="bottom"/>
            <w:hideMark/>
          </w:tcPr>
          <w:p w14:paraId="04079937" w14:textId="77777777" w:rsidR="001C0F49" w:rsidRPr="00A04237" w:rsidRDefault="001C0F49" w:rsidP="00293BD0">
            <w:pPr>
              <w:spacing w:after="0" w:line="240" w:lineRule="auto"/>
              <w:ind w:left="113"/>
              <w:rPr>
                <w:rFonts w:ascii="Arial" w:hAnsi="Arial" w:cs="Arial"/>
                <w:b/>
                <w:bCs/>
                <w:sz w:val="16"/>
                <w:szCs w:val="16"/>
              </w:rPr>
            </w:pPr>
            <w:r w:rsidRPr="00A04237">
              <w:rPr>
                <w:rFonts w:ascii="Arial" w:hAnsi="Arial" w:cs="Arial"/>
                <w:b/>
                <w:bCs/>
                <w:sz w:val="16"/>
                <w:szCs w:val="16"/>
              </w:rPr>
              <w:t>Total additions</w:t>
            </w:r>
          </w:p>
        </w:tc>
        <w:tc>
          <w:tcPr>
            <w:tcW w:w="469" w:type="pct"/>
            <w:tcBorders>
              <w:top w:val="single" w:sz="4" w:space="0" w:color="auto"/>
              <w:left w:val="nil"/>
              <w:bottom w:val="nil"/>
              <w:right w:val="nil"/>
            </w:tcBorders>
            <w:shd w:val="clear" w:color="auto" w:fill="auto"/>
            <w:noWrap/>
            <w:vAlign w:val="bottom"/>
            <w:hideMark/>
          </w:tcPr>
          <w:p w14:paraId="328D7719"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w:t>
            </w:r>
          </w:p>
        </w:tc>
        <w:tc>
          <w:tcPr>
            <w:tcW w:w="645" w:type="pct"/>
            <w:tcBorders>
              <w:top w:val="single" w:sz="4" w:space="0" w:color="auto"/>
              <w:left w:val="nil"/>
              <w:bottom w:val="nil"/>
              <w:right w:val="nil"/>
            </w:tcBorders>
            <w:shd w:val="clear" w:color="auto" w:fill="auto"/>
            <w:noWrap/>
            <w:vAlign w:val="bottom"/>
            <w:hideMark/>
          </w:tcPr>
          <w:p w14:paraId="781EC2AF"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150</w:t>
            </w:r>
          </w:p>
        </w:tc>
        <w:tc>
          <w:tcPr>
            <w:tcW w:w="649" w:type="pct"/>
            <w:tcBorders>
              <w:top w:val="single" w:sz="4" w:space="0" w:color="auto"/>
              <w:left w:val="nil"/>
              <w:bottom w:val="nil"/>
              <w:right w:val="nil"/>
            </w:tcBorders>
            <w:shd w:val="clear" w:color="auto" w:fill="auto"/>
            <w:noWrap/>
            <w:vAlign w:val="bottom"/>
            <w:hideMark/>
          </w:tcPr>
          <w:p w14:paraId="4F1FB427"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6,136</w:t>
            </w:r>
          </w:p>
        </w:tc>
        <w:tc>
          <w:tcPr>
            <w:tcW w:w="567" w:type="pct"/>
            <w:tcBorders>
              <w:top w:val="single" w:sz="4" w:space="0" w:color="auto"/>
              <w:left w:val="nil"/>
              <w:bottom w:val="nil"/>
              <w:right w:val="nil"/>
            </w:tcBorders>
            <w:shd w:val="clear" w:color="auto" w:fill="auto"/>
            <w:noWrap/>
            <w:vAlign w:val="bottom"/>
            <w:hideMark/>
          </w:tcPr>
          <w:p w14:paraId="0E4F0A52"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2,231</w:t>
            </w:r>
          </w:p>
        </w:tc>
        <w:tc>
          <w:tcPr>
            <w:tcW w:w="653" w:type="pct"/>
            <w:tcBorders>
              <w:top w:val="single" w:sz="4" w:space="0" w:color="auto"/>
              <w:left w:val="nil"/>
              <w:bottom w:val="nil"/>
              <w:right w:val="nil"/>
            </w:tcBorders>
            <w:shd w:val="clear" w:color="auto" w:fill="auto"/>
            <w:noWrap/>
            <w:vAlign w:val="bottom"/>
            <w:hideMark/>
          </w:tcPr>
          <w:p w14:paraId="094BB094"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1,030</w:t>
            </w:r>
          </w:p>
        </w:tc>
        <w:tc>
          <w:tcPr>
            <w:tcW w:w="531" w:type="pct"/>
            <w:tcBorders>
              <w:top w:val="single" w:sz="4" w:space="0" w:color="auto"/>
              <w:left w:val="nil"/>
              <w:bottom w:val="nil"/>
              <w:right w:val="nil"/>
            </w:tcBorders>
            <w:shd w:val="clear" w:color="auto" w:fill="auto"/>
            <w:noWrap/>
            <w:vAlign w:val="bottom"/>
            <w:hideMark/>
          </w:tcPr>
          <w:p w14:paraId="37C1C780"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9,547</w:t>
            </w:r>
          </w:p>
        </w:tc>
      </w:tr>
      <w:tr w:rsidR="00CB4910" w:rsidRPr="00A04237" w14:paraId="008A7A26" w14:textId="77777777" w:rsidTr="00B46D7E">
        <w:trPr>
          <w:trHeight w:val="204"/>
        </w:trPr>
        <w:tc>
          <w:tcPr>
            <w:tcW w:w="1485" w:type="pct"/>
            <w:tcBorders>
              <w:top w:val="nil"/>
              <w:left w:val="nil"/>
              <w:bottom w:val="nil"/>
              <w:right w:val="nil"/>
            </w:tcBorders>
            <w:shd w:val="clear" w:color="auto" w:fill="auto"/>
            <w:vAlign w:val="bottom"/>
            <w:hideMark/>
          </w:tcPr>
          <w:p w14:paraId="07FCD6C5" w14:textId="77777777" w:rsidR="001C0F49" w:rsidRPr="00A04237" w:rsidRDefault="001C0F49" w:rsidP="00293BD0">
            <w:pPr>
              <w:spacing w:after="0" w:line="240" w:lineRule="auto"/>
              <w:ind w:left="113"/>
              <w:rPr>
                <w:rFonts w:ascii="Arial" w:hAnsi="Arial" w:cs="Arial"/>
                <w:b/>
                <w:bCs/>
                <w:sz w:val="16"/>
                <w:szCs w:val="16"/>
              </w:rPr>
            </w:pPr>
            <w:r w:rsidRPr="00A04237">
              <w:rPr>
                <w:rFonts w:ascii="Arial" w:hAnsi="Arial" w:cs="Arial"/>
                <w:b/>
                <w:bCs/>
                <w:sz w:val="16"/>
                <w:szCs w:val="16"/>
              </w:rPr>
              <w:t>Other movements</w:t>
            </w:r>
          </w:p>
        </w:tc>
        <w:tc>
          <w:tcPr>
            <w:tcW w:w="469" w:type="pct"/>
            <w:tcBorders>
              <w:top w:val="single" w:sz="4" w:space="0" w:color="auto"/>
              <w:left w:val="nil"/>
              <w:bottom w:val="nil"/>
              <w:right w:val="nil"/>
            </w:tcBorders>
            <w:shd w:val="clear" w:color="auto" w:fill="auto"/>
            <w:noWrap/>
            <w:vAlign w:val="bottom"/>
            <w:hideMark/>
          </w:tcPr>
          <w:p w14:paraId="09C80774" w14:textId="77777777" w:rsidR="001C0F49" w:rsidRPr="00416F20" w:rsidRDefault="001C0F49" w:rsidP="00293BD0">
            <w:pPr>
              <w:spacing w:after="0" w:line="240" w:lineRule="auto"/>
              <w:jc w:val="right"/>
              <w:rPr>
                <w:rFonts w:ascii="Arial" w:hAnsi="Arial" w:cs="Arial"/>
                <w:b/>
                <w:bCs/>
                <w:sz w:val="16"/>
                <w:szCs w:val="16"/>
              </w:rPr>
            </w:pPr>
          </w:p>
        </w:tc>
        <w:tc>
          <w:tcPr>
            <w:tcW w:w="645" w:type="pct"/>
            <w:tcBorders>
              <w:top w:val="single" w:sz="4" w:space="0" w:color="auto"/>
              <w:left w:val="nil"/>
              <w:bottom w:val="nil"/>
              <w:right w:val="nil"/>
            </w:tcBorders>
            <w:shd w:val="clear" w:color="auto" w:fill="auto"/>
            <w:noWrap/>
            <w:vAlign w:val="bottom"/>
            <w:hideMark/>
          </w:tcPr>
          <w:p w14:paraId="59D2B658" w14:textId="77777777" w:rsidR="001C0F49" w:rsidRPr="00416F20" w:rsidRDefault="001C0F49" w:rsidP="00293BD0">
            <w:pPr>
              <w:spacing w:after="0" w:line="240" w:lineRule="auto"/>
              <w:jc w:val="right"/>
              <w:rPr>
                <w:rFonts w:ascii="Arial" w:hAnsi="Arial" w:cs="Arial"/>
                <w:b/>
                <w:bCs/>
                <w:sz w:val="16"/>
                <w:szCs w:val="16"/>
              </w:rPr>
            </w:pPr>
          </w:p>
        </w:tc>
        <w:tc>
          <w:tcPr>
            <w:tcW w:w="649" w:type="pct"/>
            <w:tcBorders>
              <w:top w:val="single" w:sz="4" w:space="0" w:color="auto"/>
              <w:left w:val="nil"/>
              <w:bottom w:val="nil"/>
              <w:right w:val="nil"/>
            </w:tcBorders>
            <w:shd w:val="clear" w:color="auto" w:fill="auto"/>
            <w:noWrap/>
            <w:vAlign w:val="bottom"/>
            <w:hideMark/>
          </w:tcPr>
          <w:p w14:paraId="03AA3992" w14:textId="77777777" w:rsidR="001C0F49" w:rsidRPr="00416F20" w:rsidRDefault="001C0F49" w:rsidP="00293BD0">
            <w:pPr>
              <w:spacing w:after="0" w:line="240" w:lineRule="auto"/>
              <w:jc w:val="right"/>
              <w:rPr>
                <w:rFonts w:ascii="Arial" w:hAnsi="Arial" w:cs="Arial"/>
                <w:b/>
                <w:bCs/>
                <w:sz w:val="16"/>
                <w:szCs w:val="16"/>
              </w:rPr>
            </w:pPr>
          </w:p>
        </w:tc>
        <w:tc>
          <w:tcPr>
            <w:tcW w:w="567" w:type="pct"/>
            <w:tcBorders>
              <w:top w:val="single" w:sz="4" w:space="0" w:color="auto"/>
              <w:left w:val="nil"/>
              <w:bottom w:val="nil"/>
              <w:right w:val="nil"/>
            </w:tcBorders>
            <w:shd w:val="clear" w:color="auto" w:fill="auto"/>
            <w:noWrap/>
            <w:vAlign w:val="bottom"/>
            <w:hideMark/>
          </w:tcPr>
          <w:p w14:paraId="346F4339" w14:textId="77777777" w:rsidR="001C0F49" w:rsidRPr="00416F20" w:rsidRDefault="001C0F49" w:rsidP="00293BD0">
            <w:pPr>
              <w:spacing w:after="0" w:line="240" w:lineRule="auto"/>
              <w:jc w:val="right"/>
              <w:rPr>
                <w:rFonts w:ascii="Arial" w:hAnsi="Arial" w:cs="Arial"/>
                <w:b/>
                <w:bCs/>
                <w:sz w:val="16"/>
                <w:szCs w:val="16"/>
              </w:rPr>
            </w:pPr>
          </w:p>
        </w:tc>
        <w:tc>
          <w:tcPr>
            <w:tcW w:w="653" w:type="pct"/>
            <w:tcBorders>
              <w:top w:val="single" w:sz="4" w:space="0" w:color="auto"/>
              <w:left w:val="nil"/>
              <w:bottom w:val="nil"/>
              <w:right w:val="nil"/>
            </w:tcBorders>
            <w:shd w:val="clear" w:color="auto" w:fill="auto"/>
            <w:noWrap/>
            <w:vAlign w:val="bottom"/>
            <w:hideMark/>
          </w:tcPr>
          <w:p w14:paraId="2B72A97D" w14:textId="77777777" w:rsidR="001C0F49" w:rsidRPr="00416F20" w:rsidRDefault="001C0F49" w:rsidP="00293BD0">
            <w:pPr>
              <w:spacing w:after="0" w:line="240" w:lineRule="auto"/>
              <w:jc w:val="right"/>
              <w:rPr>
                <w:rFonts w:ascii="Arial" w:hAnsi="Arial" w:cs="Arial"/>
                <w:b/>
                <w:bCs/>
                <w:sz w:val="16"/>
                <w:szCs w:val="16"/>
              </w:rPr>
            </w:pPr>
          </w:p>
        </w:tc>
        <w:tc>
          <w:tcPr>
            <w:tcW w:w="531" w:type="pct"/>
            <w:tcBorders>
              <w:top w:val="single" w:sz="4" w:space="0" w:color="auto"/>
              <w:left w:val="nil"/>
              <w:bottom w:val="nil"/>
              <w:right w:val="nil"/>
            </w:tcBorders>
            <w:shd w:val="clear" w:color="auto" w:fill="auto"/>
            <w:noWrap/>
            <w:vAlign w:val="bottom"/>
            <w:hideMark/>
          </w:tcPr>
          <w:p w14:paraId="68DCFAB2" w14:textId="77777777" w:rsidR="001C0F49" w:rsidRPr="00416F20" w:rsidRDefault="001C0F49" w:rsidP="00293BD0">
            <w:pPr>
              <w:spacing w:after="0" w:line="240" w:lineRule="auto"/>
              <w:jc w:val="right"/>
              <w:rPr>
                <w:rFonts w:ascii="Arial" w:hAnsi="Arial" w:cs="Arial"/>
                <w:b/>
                <w:bCs/>
                <w:sz w:val="16"/>
                <w:szCs w:val="16"/>
              </w:rPr>
            </w:pPr>
          </w:p>
        </w:tc>
      </w:tr>
      <w:tr w:rsidR="00CB4910" w:rsidRPr="00A04237" w14:paraId="639F4D76" w14:textId="77777777" w:rsidTr="00B46D7E">
        <w:trPr>
          <w:trHeight w:val="204"/>
        </w:trPr>
        <w:tc>
          <w:tcPr>
            <w:tcW w:w="1485" w:type="pct"/>
            <w:tcBorders>
              <w:top w:val="nil"/>
              <w:left w:val="nil"/>
              <w:bottom w:val="nil"/>
              <w:right w:val="nil"/>
            </w:tcBorders>
            <w:shd w:val="clear" w:color="auto" w:fill="auto"/>
            <w:vAlign w:val="bottom"/>
            <w:hideMark/>
          </w:tcPr>
          <w:p w14:paraId="5B7CC477" w14:textId="77777777" w:rsidR="001C0F49" w:rsidRPr="00A04237" w:rsidRDefault="001C0F49" w:rsidP="00293BD0">
            <w:pPr>
              <w:spacing w:after="0" w:line="240" w:lineRule="auto"/>
              <w:ind w:left="227"/>
              <w:rPr>
                <w:rFonts w:ascii="Arial" w:hAnsi="Arial" w:cs="Arial"/>
                <w:sz w:val="16"/>
                <w:szCs w:val="16"/>
              </w:rPr>
            </w:pPr>
            <w:r w:rsidRPr="004D2BB5">
              <w:rPr>
                <w:rFonts w:ascii="Arial" w:hAnsi="Arial" w:cs="Arial"/>
                <w:color w:val="000000"/>
                <w:sz w:val="16"/>
                <w:szCs w:val="16"/>
              </w:rPr>
              <w:t>Depreciation</w:t>
            </w:r>
            <w:r w:rsidRPr="00A04237">
              <w:rPr>
                <w:rFonts w:ascii="Arial" w:hAnsi="Arial" w:cs="Arial"/>
                <w:sz w:val="16"/>
                <w:szCs w:val="16"/>
              </w:rPr>
              <w:t>/amortisation expense</w:t>
            </w:r>
          </w:p>
        </w:tc>
        <w:tc>
          <w:tcPr>
            <w:tcW w:w="469" w:type="pct"/>
            <w:tcBorders>
              <w:top w:val="nil"/>
              <w:left w:val="nil"/>
              <w:bottom w:val="nil"/>
              <w:right w:val="nil"/>
            </w:tcBorders>
            <w:shd w:val="clear" w:color="auto" w:fill="auto"/>
            <w:noWrap/>
            <w:vAlign w:val="bottom"/>
            <w:hideMark/>
          </w:tcPr>
          <w:p w14:paraId="5C8A0011"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353174A0"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450</w:t>
            </w:r>
            <w:r w:rsidRPr="00416F20">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4553FFE8"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(8,</w:t>
            </w:r>
            <w:r>
              <w:rPr>
                <w:rFonts w:ascii="Arial" w:hAnsi="Arial" w:cs="Arial"/>
                <w:sz w:val="16"/>
                <w:szCs w:val="16"/>
              </w:rPr>
              <w:t>799</w:t>
            </w:r>
            <w:r w:rsidRPr="00416F20">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428D42B2"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(1,464)</w:t>
            </w:r>
          </w:p>
        </w:tc>
        <w:tc>
          <w:tcPr>
            <w:tcW w:w="653" w:type="pct"/>
            <w:tcBorders>
              <w:top w:val="nil"/>
              <w:left w:val="nil"/>
              <w:bottom w:val="nil"/>
              <w:right w:val="nil"/>
            </w:tcBorders>
            <w:shd w:val="clear" w:color="auto" w:fill="auto"/>
            <w:noWrap/>
            <w:vAlign w:val="bottom"/>
            <w:hideMark/>
          </w:tcPr>
          <w:p w14:paraId="40447138"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(946)</w:t>
            </w:r>
          </w:p>
        </w:tc>
        <w:tc>
          <w:tcPr>
            <w:tcW w:w="531" w:type="pct"/>
            <w:tcBorders>
              <w:top w:val="nil"/>
              <w:left w:val="nil"/>
              <w:bottom w:val="nil"/>
              <w:right w:val="nil"/>
            </w:tcBorders>
            <w:shd w:val="clear" w:color="auto" w:fill="auto"/>
            <w:noWrap/>
            <w:vAlign w:val="bottom"/>
            <w:hideMark/>
          </w:tcPr>
          <w:p w14:paraId="1CB840EC"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w:t>
            </w:r>
            <w:r>
              <w:rPr>
                <w:rFonts w:ascii="Arial" w:hAnsi="Arial" w:cs="Arial"/>
                <w:sz w:val="16"/>
                <w:szCs w:val="16"/>
              </w:rPr>
              <w:t>1,659</w:t>
            </w:r>
            <w:r w:rsidRPr="00416F20">
              <w:rPr>
                <w:rFonts w:ascii="Arial" w:hAnsi="Arial" w:cs="Arial"/>
                <w:sz w:val="16"/>
                <w:szCs w:val="16"/>
              </w:rPr>
              <w:t>)</w:t>
            </w:r>
          </w:p>
        </w:tc>
      </w:tr>
      <w:tr w:rsidR="00CB4910" w:rsidRPr="00A04237" w14:paraId="4DC9C866" w14:textId="77777777" w:rsidTr="00B46D7E">
        <w:trPr>
          <w:trHeight w:val="204"/>
        </w:trPr>
        <w:tc>
          <w:tcPr>
            <w:tcW w:w="1485" w:type="pct"/>
            <w:tcBorders>
              <w:top w:val="nil"/>
              <w:left w:val="nil"/>
              <w:right w:val="nil"/>
            </w:tcBorders>
            <w:shd w:val="clear" w:color="auto" w:fill="auto"/>
            <w:vAlign w:val="bottom"/>
            <w:hideMark/>
          </w:tcPr>
          <w:p w14:paraId="716B9CC1" w14:textId="77777777" w:rsidR="001C0F49" w:rsidRPr="00A04237" w:rsidRDefault="001C0F49" w:rsidP="00293BD0">
            <w:pPr>
              <w:spacing w:after="0" w:line="240" w:lineRule="auto"/>
              <w:ind w:left="227"/>
              <w:rPr>
                <w:rFonts w:ascii="Arial" w:hAnsi="Arial" w:cs="Arial"/>
                <w:sz w:val="16"/>
                <w:szCs w:val="16"/>
              </w:rPr>
            </w:pPr>
            <w:r w:rsidRPr="004D2BB5">
              <w:rPr>
                <w:rFonts w:ascii="Arial" w:hAnsi="Arial" w:cs="Arial"/>
                <w:color w:val="000000"/>
                <w:sz w:val="16"/>
                <w:szCs w:val="16"/>
              </w:rPr>
              <w:t>Depreciation</w:t>
            </w:r>
            <w:r w:rsidRPr="00A04237">
              <w:rPr>
                <w:rFonts w:ascii="Arial" w:hAnsi="Arial" w:cs="Arial"/>
                <w:sz w:val="16"/>
                <w:szCs w:val="16"/>
              </w:rPr>
              <w:t>/amortisation on ROU assets</w:t>
            </w:r>
          </w:p>
        </w:tc>
        <w:tc>
          <w:tcPr>
            <w:tcW w:w="469" w:type="pct"/>
            <w:tcBorders>
              <w:top w:val="nil"/>
              <w:left w:val="nil"/>
              <w:bottom w:val="nil"/>
              <w:right w:val="nil"/>
            </w:tcBorders>
            <w:shd w:val="clear" w:color="auto" w:fill="auto"/>
            <w:noWrap/>
            <w:vAlign w:val="bottom"/>
            <w:hideMark/>
          </w:tcPr>
          <w:p w14:paraId="48697FBD"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12565798"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1,600</w:t>
            </w:r>
            <w:r w:rsidRPr="00416F20">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156B2535"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(25)</w:t>
            </w:r>
          </w:p>
        </w:tc>
        <w:tc>
          <w:tcPr>
            <w:tcW w:w="567" w:type="pct"/>
            <w:tcBorders>
              <w:top w:val="nil"/>
              <w:left w:val="nil"/>
              <w:bottom w:val="nil"/>
              <w:right w:val="nil"/>
            </w:tcBorders>
            <w:shd w:val="clear" w:color="auto" w:fill="auto"/>
            <w:noWrap/>
            <w:vAlign w:val="bottom"/>
            <w:hideMark/>
          </w:tcPr>
          <w:p w14:paraId="4A7F2491"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0AAA9F01"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4EA2920C"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1,625</w:t>
            </w:r>
            <w:r w:rsidRPr="00416F20">
              <w:rPr>
                <w:rFonts w:ascii="Arial" w:hAnsi="Arial" w:cs="Arial"/>
                <w:sz w:val="16"/>
                <w:szCs w:val="16"/>
              </w:rPr>
              <w:t>)</w:t>
            </w:r>
          </w:p>
        </w:tc>
      </w:tr>
      <w:tr w:rsidR="00CB4910" w:rsidRPr="00A04237" w14:paraId="327E8D33" w14:textId="77777777" w:rsidTr="00B46D7E">
        <w:trPr>
          <w:trHeight w:val="204"/>
        </w:trPr>
        <w:tc>
          <w:tcPr>
            <w:tcW w:w="1485" w:type="pct"/>
            <w:tcBorders>
              <w:top w:val="nil"/>
              <w:left w:val="nil"/>
              <w:right w:val="nil"/>
            </w:tcBorders>
            <w:shd w:val="clear" w:color="auto" w:fill="auto"/>
            <w:vAlign w:val="bottom"/>
            <w:hideMark/>
          </w:tcPr>
          <w:p w14:paraId="5119DC6D" w14:textId="77777777" w:rsidR="001C0F49" w:rsidRPr="00A04237" w:rsidRDefault="001C0F49" w:rsidP="00293BD0">
            <w:pPr>
              <w:spacing w:after="0" w:line="240" w:lineRule="auto"/>
              <w:ind w:left="113"/>
              <w:rPr>
                <w:rFonts w:ascii="Arial" w:hAnsi="Arial" w:cs="Arial"/>
                <w:b/>
                <w:bCs/>
                <w:sz w:val="16"/>
                <w:szCs w:val="16"/>
              </w:rPr>
            </w:pPr>
            <w:r w:rsidRPr="00A04237">
              <w:rPr>
                <w:rFonts w:ascii="Arial" w:hAnsi="Arial" w:cs="Arial"/>
                <w:b/>
                <w:bCs/>
                <w:sz w:val="16"/>
                <w:szCs w:val="16"/>
              </w:rPr>
              <w:t>Total other movements</w:t>
            </w:r>
          </w:p>
        </w:tc>
        <w:tc>
          <w:tcPr>
            <w:tcW w:w="469" w:type="pct"/>
            <w:tcBorders>
              <w:top w:val="single" w:sz="4" w:space="0" w:color="auto"/>
              <w:left w:val="nil"/>
              <w:bottom w:val="single" w:sz="4" w:space="0" w:color="auto"/>
              <w:right w:val="nil"/>
            </w:tcBorders>
            <w:shd w:val="clear" w:color="auto" w:fill="auto"/>
            <w:noWrap/>
            <w:vAlign w:val="bottom"/>
            <w:hideMark/>
          </w:tcPr>
          <w:p w14:paraId="682A2699"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w:t>
            </w:r>
          </w:p>
        </w:tc>
        <w:tc>
          <w:tcPr>
            <w:tcW w:w="645" w:type="pct"/>
            <w:tcBorders>
              <w:top w:val="single" w:sz="4" w:space="0" w:color="auto"/>
              <w:left w:val="nil"/>
              <w:bottom w:val="single" w:sz="4" w:space="0" w:color="auto"/>
              <w:right w:val="nil"/>
            </w:tcBorders>
            <w:shd w:val="clear" w:color="auto" w:fill="auto"/>
            <w:noWrap/>
            <w:vAlign w:val="bottom"/>
            <w:hideMark/>
          </w:tcPr>
          <w:p w14:paraId="3417B617"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(2,050)</w:t>
            </w:r>
          </w:p>
        </w:tc>
        <w:tc>
          <w:tcPr>
            <w:tcW w:w="649" w:type="pct"/>
            <w:tcBorders>
              <w:top w:val="single" w:sz="4" w:space="0" w:color="auto"/>
              <w:left w:val="nil"/>
              <w:bottom w:val="single" w:sz="4" w:space="0" w:color="auto"/>
              <w:right w:val="nil"/>
            </w:tcBorders>
            <w:shd w:val="clear" w:color="auto" w:fill="auto"/>
            <w:noWrap/>
            <w:vAlign w:val="bottom"/>
            <w:hideMark/>
          </w:tcPr>
          <w:p w14:paraId="0CB16986"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(8,824)</w:t>
            </w:r>
          </w:p>
        </w:tc>
        <w:tc>
          <w:tcPr>
            <w:tcW w:w="567" w:type="pct"/>
            <w:tcBorders>
              <w:top w:val="single" w:sz="4" w:space="0" w:color="auto"/>
              <w:left w:val="nil"/>
              <w:bottom w:val="single" w:sz="4" w:space="0" w:color="auto"/>
              <w:right w:val="nil"/>
            </w:tcBorders>
            <w:shd w:val="clear" w:color="auto" w:fill="auto"/>
            <w:noWrap/>
            <w:vAlign w:val="bottom"/>
            <w:hideMark/>
          </w:tcPr>
          <w:p w14:paraId="0D29F301"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(1,464)</w:t>
            </w:r>
          </w:p>
        </w:tc>
        <w:tc>
          <w:tcPr>
            <w:tcW w:w="653" w:type="pct"/>
            <w:tcBorders>
              <w:top w:val="single" w:sz="4" w:space="0" w:color="auto"/>
              <w:left w:val="nil"/>
              <w:bottom w:val="single" w:sz="4" w:space="0" w:color="auto"/>
              <w:right w:val="nil"/>
            </w:tcBorders>
            <w:shd w:val="clear" w:color="auto" w:fill="auto"/>
            <w:noWrap/>
            <w:vAlign w:val="bottom"/>
            <w:hideMark/>
          </w:tcPr>
          <w:p w14:paraId="1D5C1F1E"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(946)</w:t>
            </w:r>
          </w:p>
        </w:tc>
        <w:tc>
          <w:tcPr>
            <w:tcW w:w="531" w:type="pct"/>
            <w:tcBorders>
              <w:top w:val="single" w:sz="4" w:space="0" w:color="auto"/>
              <w:left w:val="nil"/>
              <w:bottom w:val="single" w:sz="4" w:space="0" w:color="auto"/>
              <w:right w:val="nil"/>
            </w:tcBorders>
            <w:shd w:val="clear" w:color="auto" w:fill="auto"/>
            <w:noWrap/>
            <w:vAlign w:val="bottom"/>
            <w:hideMark/>
          </w:tcPr>
          <w:p w14:paraId="72228CC0" w14:textId="77777777" w:rsidR="001C0F49" w:rsidRPr="00416F20" w:rsidRDefault="001C0F49" w:rsidP="00293BD0">
            <w:pPr>
              <w:spacing w:after="0" w:line="240" w:lineRule="auto"/>
              <w:jc w:val="right"/>
              <w:rPr>
                <w:rFonts w:ascii="Arial" w:hAnsi="Arial" w:cs="Arial"/>
                <w:b/>
                <w:bCs/>
                <w:sz w:val="16"/>
                <w:szCs w:val="16"/>
              </w:rPr>
            </w:pPr>
            <w:r w:rsidRPr="00416F20">
              <w:rPr>
                <w:rFonts w:ascii="Arial" w:hAnsi="Arial" w:cs="Arial"/>
                <w:b/>
                <w:bCs/>
                <w:sz w:val="16"/>
                <w:szCs w:val="16"/>
              </w:rPr>
              <w:t>(13,284)</w:t>
            </w:r>
          </w:p>
        </w:tc>
      </w:tr>
      <w:tr w:rsidR="00CB4910" w:rsidRPr="00A04237" w14:paraId="1BC332CD" w14:textId="77777777" w:rsidTr="00B46D7E">
        <w:trPr>
          <w:trHeight w:val="204"/>
        </w:trPr>
        <w:tc>
          <w:tcPr>
            <w:tcW w:w="1485" w:type="pct"/>
            <w:tcBorders>
              <w:top w:val="nil"/>
              <w:left w:val="nil"/>
              <w:bottom w:val="nil"/>
              <w:right w:val="nil"/>
            </w:tcBorders>
            <w:shd w:val="clear" w:color="auto" w:fill="auto"/>
            <w:vAlign w:val="bottom"/>
            <w:hideMark/>
          </w:tcPr>
          <w:p w14:paraId="3BFBA349"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As at 30 June 2023</w:t>
            </w:r>
          </w:p>
        </w:tc>
        <w:tc>
          <w:tcPr>
            <w:tcW w:w="469" w:type="pct"/>
            <w:tcBorders>
              <w:top w:val="nil"/>
              <w:left w:val="nil"/>
              <w:bottom w:val="nil"/>
              <w:right w:val="nil"/>
            </w:tcBorders>
            <w:shd w:val="clear" w:color="auto" w:fill="auto"/>
            <w:noWrap/>
            <w:vAlign w:val="bottom"/>
            <w:hideMark/>
          </w:tcPr>
          <w:p w14:paraId="3FB4057B" w14:textId="77777777" w:rsidR="001C0F49" w:rsidRPr="00416F20" w:rsidRDefault="001C0F49" w:rsidP="00293BD0">
            <w:pPr>
              <w:spacing w:after="0" w:line="240" w:lineRule="auto"/>
              <w:jc w:val="right"/>
              <w:rPr>
                <w:rFonts w:ascii="Arial" w:hAnsi="Arial" w:cs="Arial"/>
                <w:b/>
                <w:bCs/>
                <w:sz w:val="16"/>
                <w:szCs w:val="16"/>
              </w:rPr>
            </w:pPr>
          </w:p>
        </w:tc>
        <w:tc>
          <w:tcPr>
            <w:tcW w:w="645" w:type="pct"/>
            <w:tcBorders>
              <w:top w:val="nil"/>
              <w:left w:val="nil"/>
              <w:bottom w:val="nil"/>
              <w:right w:val="nil"/>
            </w:tcBorders>
            <w:shd w:val="clear" w:color="auto" w:fill="auto"/>
            <w:noWrap/>
            <w:vAlign w:val="bottom"/>
            <w:hideMark/>
          </w:tcPr>
          <w:p w14:paraId="784310FA" w14:textId="77777777" w:rsidR="001C0F49" w:rsidRPr="00CF671E" w:rsidRDefault="001C0F49" w:rsidP="00293BD0">
            <w:pPr>
              <w:spacing w:after="0" w:line="240" w:lineRule="auto"/>
              <w:jc w:val="right"/>
              <w:rPr>
                <w:rFonts w:ascii="Arial" w:hAnsi="Arial" w:cs="Arial"/>
                <w:sz w:val="16"/>
                <w:szCs w:val="16"/>
              </w:rPr>
            </w:pPr>
          </w:p>
        </w:tc>
        <w:tc>
          <w:tcPr>
            <w:tcW w:w="649" w:type="pct"/>
            <w:tcBorders>
              <w:top w:val="nil"/>
              <w:left w:val="nil"/>
              <w:bottom w:val="nil"/>
              <w:right w:val="nil"/>
            </w:tcBorders>
            <w:shd w:val="clear" w:color="auto" w:fill="auto"/>
            <w:noWrap/>
            <w:vAlign w:val="bottom"/>
            <w:hideMark/>
          </w:tcPr>
          <w:p w14:paraId="3FEF4A18" w14:textId="77777777" w:rsidR="001C0F49" w:rsidRPr="00CF671E" w:rsidRDefault="001C0F49" w:rsidP="00293BD0">
            <w:pPr>
              <w:spacing w:after="0" w:line="240" w:lineRule="auto"/>
              <w:jc w:val="right"/>
              <w:rPr>
                <w:rFonts w:ascii="Arial" w:hAnsi="Arial" w:cs="Arial"/>
                <w:sz w:val="16"/>
                <w:szCs w:val="16"/>
              </w:rPr>
            </w:pPr>
          </w:p>
        </w:tc>
        <w:tc>
          <w:tcPr>
            <w:tcW w:w="567" w:type="pct"/>
            <w:tcBorders>
              <w:top w:val="nil"/>
              <w:left w:val="nil"/>
              <w:bottom w:val="nil"/>
              <w:right w:val="nil"/>
            </w:tcBorders>
            <w:shd w:val="clear" w:color="auto" w:fill="auto"/>
            <w:noWrap/>
            <w:vAlign w:val="bottom"/>
            <w:hideMark/>
          </w:tcPr>
          <w:p w14:paraId="59FA5D8C" w14:textId="77777777" w:rsidR="001C0F49" w:rsidRPr="00CF671E" w:rsidRDefault="001C0F49" w:rsidP="00293BD0">
            <w:pPr>
              <w:spacing w:after="0" w:line="240" w:lineRule="auto"/>
              <w:jc w:val="right"/>
              <w:rPr>
                <w:rFonts w:ascii="Arial" w:hAnsi="Arial" w:cs="Arial"/>
                <w:sz w:val="16"/>
                <w:szCs w:val="16"/>
              </w:rPr>
            </w:pPr>
          </w:p>
        </w:tc>
        <w:tc>
          <w:tcPr>
            <w:tcW w:w="653" w:type="pct"/>
            <w:tcBorders>
              <w:top w:val="nil"/>
              <w:left w:val="nil"/>
              <w:bottom w:val="nil"/>
              <w:right w:val="nil"/>
            </w:tcBorders>
            <w:shd w:val="clear" w:color="auto" w:fill="auto"/>
            <w:noWrap/>
            <w:vAlign w:val="bottom"/>
            <w:hideMark/>
          </w:tcPr>
          <w:p w14:paraId="74E3B419" w14:textId="77777777" w:rsidR="001C0F49" w:rsidRPr="00CF671E" w:rsidRDefault="001C0F49" w:rsidP="00293BD0">
            <w:pPr>
              <w:spacing w:after="0" w:line="240" w:lineRule="auto"/>
              <w:jc w:val="right"/>
              <w:rPr>
                <w:rFonts w:ascii="Arial" w:hAnsi="Arial" w:cs="Arial"/>
                <w:sz w:val="16"/>
                <w:szCs w:val="16"/>
              </w:rPr>
            </w:pPr>
          </w:p>
        </w:tc>
        <w:tc>
          <w:tcPr>
            <w:tcW w:w="531" w:type="pct"/>
            <w:tcBorders>
              <w:top w:val="nil"/>
              <w:left w:val="nil"/>
              <w:bottom w:val="nil"/>
              <w:right w:val="nil"/>
            </w:tcBorders>
            <w:shd w:val="clear" w:color="auto" w:fill="auto"/>
            <w:noWrap/>
            <w:vAlign w:val="bottom"/>
            <w:hideMark/>
          </w:tcPr>
          <w:p w14:paraId="5E812707" w14:textId="77777777" w:rsidR="001C0F49" w:rsidRPr="00CF671E" w:rsidRDefault="001C0F49" w:rsidP="00293BD0">
            <w:pPr>
              <w:spacing w:after="0" w:line="240" w:lineRule="auto"/>
              <w:jc w:val="right"/>
              <w:rPr>
                <w:rFonts w:ascii="Arial" w:hAnsi="Arial" w:cs="Arial"/>
                <w:sz w:val="16"/>
                <w:szCs w:val="16"/>
              </w:rPr>
            </w:pPr>
          </w:p>
        </w:tc>
      </w:tr>
      <w:tr w:rsidR="00CB4910" w:rsidRPr="00A04237" w14:paraId="589A0D2A" w14:textId="77777777" w:rsidTr="00B46D7E">
        <w:trPr>
          <w:trHeight w:val="204"/>
        </w:trPr>
        <w:tc>
          <w:tcPr>
            <w:tcW w:w="1485" w:type="pct"/>
            <w:tcBorders>
              <w:top w:val="nil"/>
              <w:left w:val="nil"/>
              <w:bottom w:val="nil"/>
              <w:right w:val="nil"/>
            </w:tcBorders>
            <w:shd w:val="clear" w:color="auto" w:fill="auto"/>
            <w:vAlign w:val="bottom"/>
            <w:hideMark/>
          </w:tcPr>
          <w:p w14:paraId="2A80B498" w14:textId="77777777" w:rsidR="001C0F49" w:rsidRPr="00A04237" w:rsidRDefault="001C0F49" w:rsidP="00293BD0">
            <w:pPr>
              <w:spacing w:after="0" w:line="240" w:lineRule="auto"/>
              <w:ind w:left="113"/>
              <w:rPr>
                <w:rFonts w:ascii="Arial" w:hAnsi="Arial" w:cs="Arial"/>
                <w:sz w:val="16"/>
                <w:szCs w:val="16"/>
              </w:rPr>
            </w:pPr>
            <w:r w:rsidRPr="004D2BB5">
              <w:rPr>
                <w:rFonts w:ascii="Arial" w:hAnsi="Arial" w:cs="Arial"/>
                <w:color w:val="000000"/>
                <w:sz w:val="16"/>
                <w:szCs w:val="16"/>
              </w:rPr>
              <w:t>Gross</w:t>
            </w:r>
            <w:r w:rsidRPr="00A04237">
              <w:rPr>
                <w:rFonts w:ascii="Arial" w:hAnsi="Arial" w:cs="Arial"/>
                <w:sz w:val="16"/>
                <w:szCs w:val="16"/>
              </w:rPr>
              <w:t xml:space="preserve"> book value</w:t>
            </w:r>
          </w:p>
        </w:tc>
        <w:tc>
          <w:tcPr>
            <w:tcW w:w="469" w:type="pct"/>
            <w:tcBorders>
              <w:top w:val="nil"/>
              <w:left w:val="nil"/>
              <w:bottom w:val="nil"/>
              <w:right w:val="nil"/>
            </w:tcBorders>
            <w:shd w:val="clear" w:color="auto" w:fill="auto"/>
            <w:noWrap/>
            <w:vAlign w:val="bottom"/>
            <w:hideMark/>
          </w:tcPr>
          <w:p w14:paraId="269D080F"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10,100</w:t>
            </w:r>
          </w:p>
        </w:tc>
        <w:tc>
          <w:tcPr>
            <w:tcW w:w="645" w:type="pct"/>
            <w:tcBorders>
              <w:top w:val="nil"/>
              <w:left w:val="nil"/>
              <w:bottom w:val="nil"/>
              <w:right w:val="nil"/>
            </w:tcBorders>
            <w:shd w:val="clear" w:color="auto" w:fill="auto"/>
            <w:noWrap/>
            <w:vAlign w:val="bottom"/>
            <w:hideMark/>
          </w:tcPr>
          <w:p w14:paraId="714ADCF2"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106,106</w:t>
            </w:r>
          </w:p>
        </w:tc>
        <w:tc>
          <w:tcPr>
            <w:tcW w:w="649" w:type="pct"/>
            <w:tcBorders>
              <w:top w:val="nil"/>
              <w:left w:val="nil"/>
              <w:bottom w:val="nil"/>
              <w:right w:val="nil"/>
            </w:tcBorders>
            <w:shd w:val="clear" w:color="auto" w:fill="auto"/>
            <w:noWrap/>
            <w:vAlign w:val="bottom"/>
            <w:hideMark/>
          </w:tcPr>
          <w:p w14:paraId="600B2447"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102,807</w:t>
            </w:r>
          </w:p>
        </w:tc>
        <w:tc>
          <w:tcPr>
            <w:tcW w:w="567" w:type="pct"/>
            <w:tcBorders>
              <w:top w:val="nil"/>
              <w:left w:val="nil"/>
              <w:bottom w:val="nil"/>
              <w:right w:val="nil"/>
            </w:tcBorders>
            <w:shd w:val="clear" w:color="auto" w:fill="auto"/>
            <w:noWrap/>
            <w:vAlign w:val="bottom"/>
            <w:hideMark/>
          </w:tcPr>
          <w:p w14:paraId="267B9515"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285,594</w:t>
            </w:r>
          </w:p>
        </w:tc>
        <w:tc>
          <w:tcPr>
            <w:tcW w:w="653" w:type="pct"/>
            <w:tcBorders>
              <w:top w:val="nil"/>
              <w:left w:val="nil"/>
              <w:bottom w:val="nil"/>
              <w:right w:val="nil"/>
            </w:tcBorders>
            <w:shd w:val="clear" w:color="auto" w:fill="auto"/>
            <w:noWrap/>
            <w:vAlign w:val="bottom"/>
            <w:hideMark/>
          </w:tcPr>
          <w:p w14:paraId="6E12FF92"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12,123</w:t>
            </w:r>
          </w:p>
        </w:tc>
        <w:tc>
          <w:tcPr>
            <w:tcW w:w="531" w:type="pct"/>
            <w:tcBorders>
              <w:top w:val="nil"/>
              <w:left w:val="nil"/>
              <w:bottom w:val="nil"/>
              <w:right w:val="nil"/>
            </w:tcBorders>
            <w:shd w:val="clear" w:color="auto" w:fill="auto"/>
            <w:noWrap/>
            <w:vAlign w:val="bottom"/>
            <w:hideMark/>
          </w:tcPr>
          <w:p w14:paraId="69E3860A"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516,730</w:t>
            </w:r>
          </w:p>
        </w:tc>
      </w:tr>
      <w:tr w:rsidR="00CB4910" w:rsidRPr="00A04237" w14:paraId="18DCC829" w14:textId="77777777" w:rsidTr="00B46D7E">
        <w:trPr>
          <w:trHeight w:val="204"/>
        </w:trPr>
        <w:tc>
          <w:tcPr>
            <w:tcW w:w="1485" w:type="pct"/>
            <w:tcBorders>
              <w:top w:val="nil"/>
              <w:left w:val="nil"/>
              <w:bottom w:val="nil"/>
              <w:right w:val="nil"/>
            </w:tcBorders>
            <w:shd w:val="clear" w:color="auto" w:fill="auto"/>
            <w:vAlign w:val="bottom"/>
            <w:hideMark/>
          </w:tcPr>
          <w:p w14:paraId="28F7F4CD" w14:textId="77777777" w:rsidR="001C0F49" w:rsidRPr="00A04237" w:rsidRDefault="001C0F49" w:rsidP="00293BD0">
            <w:pPr>
              <w:spacing w:after="0" w:line="240" w:lineRule="auto"/>
              <w:ind w:left="113"/>
              <w:rPr>
                <w:rFonts w:ascii="Arial" w:hAnsi="Arial" w:cs="Arial"/>
                <w:sz w:val="16"/>
                <w:szCs w:val="16"/>
              </w:rPr>
            </w:pPr>
            <w:r w:rsidRPr="00A04237">
              <w:rPr>
                <w:rFonts w:ascii="Arial" w:hAnsi="Arial" w:cs="Arial"/>
                <w:sz w:val="16"/>
                <w:szCs w:val="16"/>
              </w:rPr>
              <w:t>Gross book value - ROU assets</w:t>
            </w:r>
          </w:p>
        </w:tc>
        <w:tc>
          <w:tcPr>
            <w:tcW w:w="469" w:type="pct"/>
            <w:tcBorders>
              <w:top w:val="nil"/>
              <w:left w:val="nil"/>
              <w:bottom w:val="nil"/>
              <w:right w:val="nil"/>
            </w:tcBorders>
            <w:shd w:val="clear" w:color="auto" w:fill="auto"/>
            <w:noWrap/>
            <w:vAlign w:val="bottom"/>
            <w:hideMark/>
          </w:tcPr>
          <w:p w14:paraId="4B772F91"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3668B860"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14,455</w:t>
            </w:r>
          </w:p>
        </w:tc>
        <w:tc>
          <w:tcPr>
            <w:tcW w:w="649" w:type="pct"/>
            <w:tcBorders>
              <w:top w:val="nil"/>
              <w:left w:val="nil"/>
              <w:bottom w:val="nil"/>
              <w:right w:val="nil"/>
            </w:tcBorders>
            <w:shd w:val="clear" w:color="auto" w:fill="auto"/>
            <w:noWrap/>
            <w:vAlign w:val="bottom"/>
            <w:hideMark/>
          </w:tcPr>
          <w:p w14:paraId="6A760786"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99</w:t>
            </w:r>
          </w:p>
        </w:tc>
        <w:tc>
          <w:tcPr>
            <w:tcW w:w="567" w:type="pct"/>
            <w:tcBorders>
              <w:top w:val="nil"/>
              <w:left w:val="nil"/>
              <w:bottom w:val="nil"/>
              <w:right w:val="nil"/>
            </w:tcBorders>
            <w:shd w:val="clear" w:color="auto" w:fill="auto"/>
            <w:noWrap/>
            <w:vAlign w:val="bottom"/>
            <w:hideMark/>
          </w:tcPr>
          <w:p w14:paraId="4D0B98EA"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50F61ECD"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0D08777E" w14:textId="77777777" w:rsidR="001C0F49" w:rsidRPr="00416F20" w:rsidRDefault="001C0F49" w:rsidP="00293BD0">
            <w:pPr>
              <w:spacing w:after="0" w:line="240" w:lineRule="auto"/>
              <w:jc w:val="right"/>
              <w:rPr>
                <w:rFonts w:ascii="Arial" w:hAnsi="Arial" w:cs="Arial"/>
                <w:sz w:val="16"/>
                <w:szCs w:val="16"/>
              </w:rPr>
            </w:pPr>
            <w:r>
              <w:rPr>
                <w:rFonts w:ascii="Arial" w:hAnsi="Arial" w:cs="Arial"/>
                <w:sz w:val="16"/>
                <w:szCs w:val="16"/>
              </w:rPr>
              <w:t>14,554</w:t>
            </w:r>
          </w:p>
        </w:tc>
      </w:tr>
      <w:tr w:rsidR="00CB4910" w:rsidRPr="00A04237" w14:paraId="3FAECA82" w14:textId="77777777" w:rsidTr="00B46D7E">
        <w:trPr>
          <w:trHeight w:val="204"/>
        </w:trPr>
        <w:tc>
          <w:tcPr>
            <w:tcW w:w="1485" w:type="pct"/>
            <w:tcBorders>
              <w:top w:val="nil"/>
              <w:left w:val="nil"/>
              <w:bottom w:val="nil"/>
              <w:right w:val="nil"/>
            </w:tcBorders>
            <w:shd w:val="clear" w:color="auto" w:fill="auto"/>
            <w:vAlign w:val="bottom"/>
            <w:hideMark/>
          </w:tcPr>
          <w:p w14:paraId="68F786E3" w14:textId="77777777" w:rsidR="001C0F49" w:rsidRPr="00A04237" w:rsidRDefault="001C0F49" w:rsidP="00293BD0">
            <w:pPr>
              <w:spacing w:after="0" w:line="240" w:lineRule="auto"/>
              <w:ind w:left="113"/>
              <w:rPr>
                <w:rFonts w:ascii="Arial" w:hAnsi="Arial" w:cs="Arial"/>
                <w:sz w:val="16"/>
                <w:szCs w:val="16"/>
              </w:rPr>
            </w:pPr>
            <w:r w:rsidRPr="004D2BB5">
              <w:rPr>
                <w:rFonts w:ascii="Arial" w:hAnsi="Arial" w:cs="Arial"/>
                <w:color w:val="000000"/>
                <w:sz w:val="16"/>
                <w:szCs w:val="16"/>
              </w:rPr>
              <w:t>Accumulated</w:t>
            </w:r>
            <w:r w:rsidRPr="00A04237">
              <w:rPr>
                <w:rFonts w:ascii="Arial" w:hAnsi="Arial" w:cs="Arial"/>
                <w:sz w:val="16"/>
                <w:szCs w:val="16"/>
              </w:rPr>
              <w:t xml:space="preserve"> depreciation/</w:t>
            </w:r>
            <w:r>
              <w:rPr>
                <w:rFonts w:ascii="Arial" w:hAnsi="Arial" w:cs="Arial"/>
                <w:sz w:val="16"/>
                <w:szCs w:val="16"/>
              </w:rPr>
              <w:t xml:space="preserve"> </w:t>
            </w:r>
            <w:r w:rsidRPr="00A04237">
              <w:rPr>
                <w:rFonts w:ascii="Arial" w:hAnsi="Arial" w:cs="Arial"/>
                <w:sz w:val="16"/>
                <w:szCs w:val="16"/>
              </w:rPr>
              <w:t>amortisation and impairment</w:t>
            </w:r>
          </w:p>
        </w:tc>
        <w:tc>
          <w:tcPr>
            <w:tcW w:w="469" w:type="pct"/>
            <w:tcBorders>
              <w:top w:val="nil"/>
              <w:left w:val="nil"/>
              <w:bottom w:val="nil"/>
              <w:right w:val="nil"/>
            </w:tcBorders>
            <w:shd w:val="clear" w:color="auto" w:fill="auto"/>
            <w:noWrap/>
            <w:vAlign w:val="bottom"/>
            <w:hideMark/>
          </w:tcPr>
          <w:p w14:paraId="7AFEA2EE"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15BD76F4"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2,699</w:t>
            </w:r>
            <w:r w:rsidRPr="00416F20">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20893719"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(3</w:t>
            </w:r>
            <w:r>
              <w:rPr>
                <w:rFonts w:ascii="Arial" w:hAnsi="Arial" w:cs="Arial"/>
                <w:sz w:val="16"/>
                <w:szCs w:val="16"/>
              </w:rPr>
              <w:t>2,192</w:t>
            </w:r>
            <w:r w:rsidRPr="00416F20">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4B13865C"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(5,187)</w:t>
            </w:r>
          </w:p>
        </w:tc>
        <w:tc>
          <w:tcPr>
            <w:tcW w:w="653" w:type="pct"/>
            <w:tcBorders>
              <w:top w:val="nil"/>
              <w:left w:val="nil"/>
              <w:bottom w:val="nil"/>
              <w:right w:val="nil"/>
            </w:tcBorders>
            <w:shd w:val="clear" w:color="auto" w:fill="auto"/>
            <w:noWrap/>
            <w:vAlign w:val="bottom"/>
            <w:hideMark/>
          </w:tcPr>
          <w:p w14:paraId="47164DD0"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(4,</w:t>
            </w:r>
            <w:r>
              <w:rPr>
                <w:rFonts w:ascii="Arial" w:hAnsi="Arial" w:cs="Arial"/>
                <w:sz w:val="16"/>
                <w:szCs w:val="16"/>
              </w:rPr>
              <w:t>873</w:t>
            </w: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3DB40EF6"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(4</w:t>
            </w:r>
            <w:r>
              <w:rPr>
                <w:rFonts w:ascii="Arial" w:hAnsi="Arial" w:cs="Arial"/>
                <w:sz w:val="16"/>
                <w:szCs w:val="16"/>
              </w:rPr>
              <w:t>4,951</w:t>
            </w:r>
            <w:r w:rsidRPr="00416F20">
              <w:rPr>
                <w:rFonts w:ascii="Arial" w:hAnsi="Arial" w:cs="Arial"/>
                <w:sz w:val="16"/>
                <w:szCs w:val="16"/>
              </w:rPr>
              <w:t>)</w:t>
            </w:r>
          </w:p>
        </w:tc>
      </w:tr>
      <w:tr w:rsidR="00CB4910" w:rsidRPr="00A04237" w14:paraId="4D7E19FB" w14:textId="77777777" w:rsidTr="00B46D7E">
        <w:trPr>
          <w:trHeight w:val="204"/>
        </w:trPr>
        <w:tc>
          <w:tcPr>
            <w:tcW w:w="1485" w:type="pct"/>
            <w:tcBorders>
              <w:top w:val="nil"/>
              <w:left w:val="nil"/>
              <w:bottom w:val="nil"/>
              <w:right w:val="nil"/>
            </w:tcBorders>
            <w:shd w:val="clear" w:color="auto" w:fill="auto"/>
            <w:vAlign w:val="bottom"/>
            <w:hideMark/>
          </w:tcPr>
          <w:p w14:paraId="2F9BC095" w14:textId="77777777" w:rsidR="001C0F49" w:rsidRPr="00A04237" w:rsidRDefault="001C0F49" w:rsidP="00293BD0">
            <w:pPr>
              <w:spacing w:after="0" w:line="240" w:lineRule="auto"/>
              <w:ind w:left="113"/>
              <w:rPr>
                <w:rFonts w:ascii="Arial" w:hAnsi="Arial" w:cs="Arial"/>
                <w:sz w:val="16"/>
                <w:szCs w:val="16"/>
              </w:rPr>
            </w:pPr>
            <w:r w:rsidRPr="00A04237">
              <w:rPr>
                <w:rFonts w:ascii="Arial" w:hAnsi="Arial" w:cs="Arial"/>
                <w:sz w:val="16"/>
                <w:szCs w:val="16"/>
              </w:rPr>
              <w:t xml:space="preserve">Accumulated </w:t>
            </w:r>
            <w:r w:rsidRPr="004D2BB5">
              <w:rPr>
                <w:rFonts w:ascii="Arial" w:hAnsi="Arial" w:cs="Arial"/>
                <w:color w:val="000000"/>
                <w:sz w:val="16"/>
                <w:szCs w:val="16"/>
              </w:rPr>
              <w:t>depreciation</w:t>
            </w:r>
            <w:r w:rsidRPr="00A04237">
              <w:rPr>
                <w:rFonts w:ascii="Arial" w:hAnsi="Arial" w:cs="Arial"/>
                <w:sz w:val="16"/>
                <w:szCs w:val="16"/>
              </w:rPr>
              <w:t>/</w:t>
            </w:r>
            <w:r>
              <w:rPr>
                <w:rFonts w:ascii="Arial" w:hAnsi="Arial" w:cs="Arial"/>
                <w:sz w:val="16"/>
                <w:szCs w:val="16"/>
              </w:rPr>
              <w:t xml:space="preserve"> </w:t>
            </w:r>
            <w:r w:rsidRPr="00A04237">
              <w:rPr>
                <w:rFonts w:ascii="Arial" w:hAnsi="Arial" w:cs="Arial"/>
                <w:sz w:val="16"/>
                <w:szCs w:val="16"/>
              </w:rPr>
              <w:t>amortisation and impairment - ROU assets</w:t>
            </w:r>
          </w:p>
        </w:tc>
        <w:tc>
          <w:tcPr>
            <w:tcW w:w="469" w:type="pct"/>
            <w:tcBorders>
              <w:top w:val="nil"/>
              <w:left w:val="nil"/>
              <w:bottom w:val="nil"/>
              <w:right w:val="nil"/>
            </w:tcBorders>
            <w:shd w:val="clear" w:color="auto" w:fill="auto"/>
            <w:noWrap/>
            <w:vAlign w:val="bottom"/>
            <w:hideMark/>
          </w:tcPr>
          <w:p w14:paraId="0537E86D"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45" w:type="pct"/>
            <w:tcBorders>
              <w:top w:val="nil"/>
              <w:left w:val="nil"/>
              <w:bottom w:val="nil"/>
              <w:right w:val="nil"/>
            </w:tcBorders>
            <w:shd w:val="clear" w:color="auto" w:fill="auto"/>
            <w:noWrap/>
            <w:vAlign w:val="bottom"/>
            <w:hideMark/>
          </w:tcPr>
          <w:p w14:paraId="4CDC5E56"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4,886</w:t>
            </w:r>
            <w:r w:rsidRPr="00416F20">
              <w:rPr>
                <w:rFonts w:ascii="Arial" w:hAnsi="Arial" w:cs="Arial"/>
                <w:sz w:val="16"/>
                <w:szCs w:val="16"/>
              </w:rPr>
              <w:t>)</w:t>
            </w:r>
          </w:p>
        </w:tc>
        <w:tc>
          <w:tcPr>
            <w:tcW w:w="649" w:type="pct"/>
            <w:tcBorders>
              <w:top w:val="nil"/>
              <w:left w:val="nil"/>
              <w:bottom w:val="nil"/>
              <w:right w:val="nil"/>
            </w:tcBorders>
            <w:shd w:val="clear" w:color="auto" w:fill="auto"/>
            <w:noWrap/>
            <w:vAlign w:val="bottom"/>
            <w:hideMark/>
          </w:tcPr>
          <w:p w14:paraId="3D1BE0AF"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70</w:t>
            </w:r>
            <w:r w:rsidRPr="00416F20">
              <w:rPr>
                <w:rFonts w:ascii="Arial" w:hAnsi="Arial" w:cs="Arial"/>
                <w:sz w:val="16"/>
                <w:szCs w:val="16"/>
              </w:rPr>
              <w:t>)</w:t>
            </w:r>
          </w:p>
        </w:tc>
        <w:tc>
          <w:tcPr>
            <w:tcW w:w="567" w:type="pct"/>
            <w:tcBorders>
              <w:top w:val="nil"/>
              <w:left w:val="nil"/>
              <w:bottom w:val="nil"/>
              <w:right w:val="nil"/>
            </w:tcBorders>
            <w:shd w:val="clear" w:color="auto" w:fill="auto"/>
            <w:noWrap/>
            <w:vAlign w:val="bottom"/>
            <w:hideMark/>
          </w:tcPr>
          <w:p w14:paraId="71877270"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653" w:type="pct"/>
            <w:tcBorders>
              <w:top w:val="nil"/>
              <w:left w:val="nil"/>
              <w:bottom w:val="nil"/>
              <w:right w:val="nil"/>
            </w:tcBorders>
            <w:shd w:val="clear" w:color="auto" w:fill="auto"/>
            <w:noWrap/>
            <w:vAlign w:val="bottom"/>
            <w:hideMark/>
          </w:tcPr>
          <w:p w14:paraId="743E1CDC"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p>
        </w:tc>
        <w:tc>
          <w:tcPr>
            <w:tcW w:w="531" w:type="pct"/>
            <w:tcBorders>
              <w:top w:val="nil"/>
              <w:left w:val="nil"/>
              <w:bottom w:val="nil"/>
              <w:right w:val="nil"/>
            </w:tcBorders>
            <w:shd w:val="clear" w:color="auto" w:fill="auto"/>
            <w:noWrap/>
            <w:vAlign w:val="bottom"/>
            <w:hideMark/>
          </w:tcPr>
          <w:p w14:paraId="0DE60C9A" w14:textId="77777777" w:rsidR="001C0F49" w:rsidRPr="00416F20" w:rsidRDefault="001C0F49" w:rsidP="00293BD0">
            <w:pPr>
              <w:spacing w:after="0" w:line="240" w:lineRule="auto"/>
              <w:jc w:val="right"/>
              <w:rPr>
                <w:rFonts w:ascii="Arial" w:hAnsi="Arial" w:cs="Arial"/>
                <w:sz w:val="16"/>
                <w:szCs w:val="16"/>
              </w:rPr>
            </w:pPr>
            <w:r w:rsidRPr="00416F20">
              <w:rPr>
                <w:rFonts w:ascii="Arial" w:hAnsi="Arial" w:cs="Arial"/>
                <w:sz w:val="16"/>
                <w:szCs w:val="16"/>
              </w:rPr>
              <w:t>(</w:t>
            </w:r>
            <w:r>
              <w:rPr>
                <w:rFonts w:ascii="Arial" w:hAnsi="Arial" w:cs="Arial"/>
                <w:sz w:val="16"/>
                <w:szCs w:val="16"/>
              </w:rPr>
              <w:t>4,956</w:t>
            </w:r>
            <w:r w:rsidRPr="00416F20">
              <w:rPr>
                <w:rFonts w:ascii="Arial" w:hAnsi="Arial" w:cs="Arial"/>
                <w:sz w:val="16"/>
                <w:szCs w:val="16"/>
              </w:rPr>
              <w:t>)</w:t>
            </w:r>
          </w:p>
        </w:tc>
      </w:tr>
      <w:tr w:rsidR="00CB4910" w:rsidRPr="00A04237" w14:paraId="477B53BA" w14:textId="77777777" w:rsidTr="00B46D7E">
        <w:trPr>
          <w:trHeight w:val="204"/>
        </w:trPr>
        <w:tc>
          <w:tcPr>
            <w:tcW w:w="1485" w:type="pct"/>
            <w:tcBorders>
              <w:top w:val="nil"/>
              <w:left w:val="nil"/>
              <w:bottom w:val="single" w:sz="4" w:space="0" w:color="auto"/>
              <w:right w:val="nil"/>
            </w:tcBorders>
            <w:shd w:val="clear" w:color="auto" w:fill="auto"/>
            <w:noWrap/>
            <w:vAlign w:val="bottom"/>
            <w:hideMark/>
          </w:tcPr>
          <w:p w14:paraId="79B78833" w14:textId="77777777" w:rsidR="001C0F49" w:rsidRPr="00A04237" w:rsidRDefault="001C0F49" w:rsidP="00293BD0">
            <w:pPr>
              <w:spacing w:after="0" w:line="240" w:lineRule="auto"/>
              <w:rPr>
                <w:rFonts w:ascii="Arial" w:hAnsi="Arial" w:cs="Arial"/>
                <w:b/>
                <w:bCs/>
                <w:sz w:val="16"/>
                <w:szCs w:val="16"/>
              </w:rPr>
            </w:pPr>
            <w:r w:rsidRPr="00A04237">
              <w:rPr>
                <w:rFonts w:ascii="Arial" w:hAnsi="Arial" w:cs="Arial"/>
                <w:b/>
                <w:bCs/>
                <w:sz w:val="16"/>
                <w:szCs w:val="16"/>
              </w:rPr>
              <w:t>Closing net book balance</w:t>
            </w:r>
          </w:p>
        </w:tc>
        <w:tc>
          <w:tcPr>
            <w:tcW w:w="469" w:type="pct"/>
            <w:tcBorders>
              <w:top w:val="single" w:sz="4" w:space="0" w:color="auto"/>
              <w:left w:val="nil"/>
              <w:bottom w:val="single" w:sz="4" w:space="0" w:color="auto"/>
              <w:right w:val="nil"/>
            </w:tcBorders>
            <w:shd w:val="clear" w:color="auto" w:fill="auto"/>
            <w:noWrap/>
            <w:vAlign w:val="bottom"/>
            <w:hideMark/>
          </w:tcPr>
          <w:p w14:paraId="10F0FA73"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10,100</w:t>
            </w:r>
          </w:p>
        </w:tc>
        <w:tc>
          <w:tcPr>
            <w:tcW w:w="645" w:type="pct"/>
            <w:tcBorders>
              <w:top w:val="single" w:sz="4" w:space="0" w:color="auto"/>
              <w:left w:val="nil"/>
              <w:bottom w:val="single" w:sz="4" w:space="0" w:color="auto"/>
              <w:right w:val="nil"/>
            </w:tcBorders>
            <w:shd w:val="clear" w:color="auto" w:fill="auto"/>
            <w:noWrap/>
            <w:vAlign w:val="bottom"/>
            <w:hideMark/>
          </w:tcPr>
          <w:p w14:paraId="07C4D33D"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112,976</w:t>
            </w:r>
          </w:p>
        </w:tc>
        <w:tc>
          <w:tcPr>
            <w:tcW w:w="649" w:type="pct"/>
            <w:tcBorders>
              <w:top w:val="single" w:sz="4" w:space="0" w:color="auto"/>
              <w:left w:val="nil"/>
              <w:bottom w:val="single" w:sz="4" w:space="0" w:color="auto"/>
              <w:right w:val="nil"/>
            </w:tcBorders>
            <w:shd w:val="clear" w:color="auto" w:fill="auto"/>
            <w:noWrap/>
            <w:vAlign w:val="bottom"/>
            <w:hideMark/>
          </w:tcPr>
          <w:p w14:paraId="24E88D40"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70,644</w:t>
            </w:r>
          </w:p>
        </w:tc>
        <w:tc>
          <w:tcPr>
            <w:tcW w:w="567" w:type="pct"/>
            <w:tcBorders>
              <w:top w:val="single" w:sz="4" w:space="0" w:color="auto"/>
              <w:left w:val="nil"/>
              <w:bottom w:val="single" w:sz="4" w:space="0" w:color="auto"/>
              <w:right w:val="nil"/>
            </w:tcBorders>
            <w:shd w:val="clear" w:color="auto" w:fill="auto"/>
            <w:noWrap/>
            <w:vAlign w:val="bottom"/>
            <w:hideMark/>
          </w:tcPr>
          <w:p w14:paraId="087F8BAC"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280,407</w:t>
            </w:r>
          </w:p>
        </w:tc>
        <w:tc>
          <w:tcPr>
            <w:tcW w:w="653" w:type="pct"/>
            <w:tcBorders>
              <w:top w:val="single" w:sz="4" w:space="0" w:color="auto"/>
              <w:left w:val="nil"/>
              <w:bottom w:val="single" w:sz="4" w:space="0" w:color="auto"/>
              <w:right w:val="nil"/>
            </w:tcBorders>
            <w:shd w:val="clear" w:color="auto" w:fill="auto"/>
            <w:noWrap/>
            <w:vAlign w:val="bottom"/>
            <w:hideMark/>
          </w:tcPr>
          <w:p w14:paraId="201DFA89"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7,250</w:t>
            </w:r>
          </w:p>
        </w:tc>
        <w:tc>
          <w:tcPr>
            <w:tcW w:w="531" w:type="pct"/>
            <w:tcBorders>
              <w:top w:val="single" w:sz="4" w:space="0" w:color="auto"/>
              <w:left w:val="nil"/>
              <w:bottom w:val="single" w:sz="4" w:space="0" w:color="auto"/>
              <w:right w:val="nil"/>
            </w:tcBorders>
            <w:shd w:val="clear" w:color="auto" w:fill="auto"/>
            <w:noWrap/>
            <w:vAlign w:val="bottom"/>
            <w:hideMark/>
          </w:tcPr>
          <w:p w14:paraId="39212453" w14:textId="77777777" w:rsidR="001C0F49" w:rsidRPr="00416F20" w:rsidRDefault="001C0F49" w:rsidP="00293BD0">
            <w:pPr>
              <w:spacing w:after="0" w:line="240" w:lineRule="auto"/>
              <w:jc w:val="right"/>
              <w:rPr>
                <w:rFonts w:ascii="Arial" w:hAnsi="Arial" w:cs="Arial"/>
                <w:b/>
                <w:bCs/>
                <w:sz w:val="16"/>
                <w:szCs w:val="16"/>
              </w:rPr>
            </w:pPr>
            <w:r>
              <w:rPr>
                <w:rFonts w:ascii="Arial" w:hAnsi="Arial" w:cs="Arial"/>
                <w:b/>
                <w:bCs/>
                <w:sz w:val="16"/>
                <w:szCs w:val="16"/>
              </w:rPr>
              <w:t>481,388</w:t>
            </w:r>
          </w:p>
        </w:tc>
      </w:tr>
    </w:tbl>
    <w:p w14:paraId="6147DCA9" w14:textId="77777777" w:rsidR="001C0F49" w:rsidRDefault="001C0F49" w:rsidP="001C0F49">
      <w:pPr>
        <w:pStyle w:val="ChartandTableFootnoteAlpha"/>
        <w:numPr>
          <w:ilvl w:val="0"/>
          <w:numId w:val="0"/>
        </w:numPr>
        <w:tabs>
          <w:tab w:val="left" w:pos="720"/>
        </w:tabs>
        <w:ind w:left="284" w:hanging="284"/>
        <w:rPr>
          <w:rFonts w:cs="Arial"/>
          <w:szCs w:val="16"/>
        </w:rPr>
      </w:pPr>
    </w:p>
    <w:tbl>
      <w:tblPr>
        <w:tblW w:w="4957" w:type="pct"/>
        <w:tblLook w:val="04A0" w:firstRow="1" w:lastRow="0" w:firstColumn="1" w:lastColumn="0" w:noHBand="0" w:noVBand="1"/>
      </w:tblPr>
      <w:tblGrid>
        <w:gridCol w:w="6789"/>
        <w:gridCol w:w="855"/>
      </w:tblGrid>
      <w:tr w:rsidR="001C0F49" w:rsidRPr="00CF671E" w14:paraId="2189FB84" w14:textId="77777777" w:rsidTr="00B46D7E">
        <w:trPr>
          <w:trHeight w:val="218"/>
        </w:trPr>
        <w:tc>
          <w:tcPr>
            <w:tcW w:w="4441" w:type="pct"/>
            <w:tcBorders>
              <w:top w:val="single" w:sz="4" w:space="0" w:color="auto"/>
              <w:left w:val="nil"/>
              <w:bottom w:val="nil"/>
              <w:right w:val="nil"/>
            </w:tcBorders>
            <w:shd w:val="clear" w:color="auto" w:fill="auto"/>
            <w:noWrap/>
            <w:vAlign w:val="bottom"/>
          </w:tcPr>
          <w:p w14:paraId="1CE93449"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Estimated operating expenditure in income statement for heritage and cultural assets</w:t>
            </w:r>
          </w:p>
        </w:tc>
        <w:tc>
          <w:tcPr>
            <w:tcW w:w="559" w:type="pct"/>
            <w:tcBorders>
              <w:top w:val="single" w:sz="4" w:space="0" w:color="auto"/>
              <w:left w:val="nil"/>
              <w:bottom w:val="single" w:sz="4" w:space="0" w:color="auto"/>
              <w:right w:val="nil"/>
            </w:tcBorders>
            <w:shd w:val="clear" w:color="auto" w:fill="auto"/>
            <w:noWrap/>
            <w:vAlign w:val="bottom"/>
          </w:tcPr>
          <w:p w14:paraId="398795C8" w14:textId="77777777" w:rsidR="001C0F49" w:rsidRPr="00CF671E" w:rsidRDefault="001C0F49" w:rsidP="00B46D7E">
            <w:pPr>
              <w:spacing w:after="0" w:line="240" w:lineRule="auto"/>
              <w:jc w:val="right"/>
              <w:rPr>
                <w:rFonts w:ascii="Arial" w:hAnsi="Arial" w:cs="Arial"/>
                <w:b/>
                <w:sz w:val="16"/>
                <w:szCs w:val="16"/>
              </w:rPr>
            </w:pPr>
            <w:r w:rsidRPr="00CF671E">
              <w:rPr>
                <w:rFonts w:ascii="Arial" w:hAnsi="Arial" w:cs="Arial"/>
                <w:b/>
                <w:sz w:val="16"/>
                <w:szCs w:val="16"/>
              </w:rPr>
              <w:t>$’000</w:t>
            </w:r>
          </w:p>
        </w:tc>
      </w:tr>
      <w:tr w:rsidR="001C0F49" w:rsidRPr="00416F20" w14:paraId="4AACBAC7" w14:textId="77777777" w:rsidTr="00B46D7E">
        <w:trPr>
          <w:trHeight w:val="218"/>
        </w:trPr>
        <w:tc>
          <w:tcPr>
            <w:tcW w:w="4441" w:type="pct"/>
            <w:tcBorders>
              <w:top w:val="nil"/>
              <w:left w:val="nil"/>
              <w:bottom w:val="nil"/>
              <w:right w:val="nil"/>
            </w:tcBorders>
            <w:shd w:val="clear" w:color="auto" w:fill="auto"/>
            <w:noWrap/>
            <w:vAlign w:val="bottom"/>
          </w:tcPr>
          <w:p w14:paraId="4582B2F8" w14:textId="77777777" w:rsidR="001C0F49" w:rsidRPr="00416F20" w:rsidRDefault="001C0F49" w:rsidP="00293BD0">
            <w:pPr>
              <w:spacing w:after="0" w:line="240" w:lineRule="auto"/>
              <w:ind w:firstLineChars="100" w:firstLine="160"/>
              <w:rPr>
                <w:rFonts w:ascii="Arial" w:hAnsi="Arial" w:cs="Arial"/>
                <w:sz w:val="16"/>
                <w:szCs w:val="16"/>
              </w:rPr>
            </w:pPr>
            <w:r w:rsidRPr="00416F20">
              <w:rPr>
                <w:rFonts w:ascii="Arial" w:hAnsi="Arial" w:cs="Arial"/>
                <w:sz w:val="16"/>
                <w:szCs w:val="16"/>
              </w:rPr>
              <w:t>Operations and Maintenance</w:t>
            </w:r>
          </w:p>
        </w:tc>
        <w:tc>
          <w:tcPr>
            <w:tcW w:w="559" w:type="pct"/>
            <w:tcBorders>
              <w:top w:val="single" w:sz="4" w:space="0" w:color="auto"/>
              <w:left w:val="nil"/>
              <w:right w:val="nil"/>
            </w:tcBorders>
            <w:shd w:val="clear" w:color="auto" w:fill="auto"/>
            <w:noWrap/>
            <w:vAlign w:val="bottom"/>
          </w:tcPr>
          <w:p w14:paraId="4218C0E4"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3,290</w:t>
            </w:r>
          </w:p>
        </w:tc>
      </w:tr>
      <w:tr w:rsidR="001C0F49" w:rsidRPr="00416F20" w14:paraId="2ECA502D" w14:textId="77777777" w:rsidTr="00B46D7E">
        <w:trPr>
          <w:trHeight w:val="218"/>
        </w:trPr>
        <w:tc>
          <w:tcPr>
            <w:tcW w:w="4441" w:type="pct"/>
            <w:tcBorders>
              <w:top w:val="nil"/>
              <w:left w:val="nil"/>
              <w:right w:val="nil"/>
            </w:tcBorders>
            <w:shd w:val="clear" w:color="auto" w:fill="auto"/>
            <w:noWrap/>
            <w:vAlign w:val="bottom"/>
            <w:hideMark/>
          </w:tcPr>
          <w:p w14:paraId="5F8636DD" w14:textId="77777777" w:rsidR="001C0F49" w:rsidRPr="00416F20" w:rsidRDefault="001C0F49" w:rsidP="00293BD0">
            <w:pPr>
              <w:spacing w:after="0" w:line="240" w:lineRule="auto"/>
              <w:ind w:firstLineChars="100" w:firstLine="160"/>
              <w:rPr>
                <w:rFonts w:ascii="Arial" w:hAnsi="Arial" w:cs="Arial"/>
                <w:sz w:val="16"/>
                <w:szCs w:val="16"/>
              </w:rPr>
            </w:pPr>
            <w:r w:rsidRPr="00416F20">
              <w:rPr>
                <w:rFonts w:ascii="Arial" w:hAnsi="Arial" w:cs="Arial"/>
                <w:sz w:val="16"/>
                <w:szCs w:val="16"/>
              </w:rPr>
              <w:t>Preservation and Conservation</w:t>
            </w:r>
          </w:p>
        </w:tc>
        <w:tc>
          <w:tcPr>
            <w:tcW w:w="559" w:type="pct"/>
            <w:tcBorders>
              <w:top w:val="nil"/>
              <w:left w:val="nil"/>
              <w:bottom w:val="single" w:sz="4" w:space="0" w:color="auto"/>
              <w:right w:val="nil"/>
            </w:tcBorders>
            <w:shd w:val="clear" w:color="auto" w:fill="auto"/>
            <w:noWrap/>
            <w:vAlign w:val="bottom"/>
            <w:hideMark/>
          </w:tcPr>
          <w:p w14:paraId="3AF39C92"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sz w:val="16"/>
                <w:szCs w:val="16"/>
              </w:rPr>
              <w:t>4,326</w:t>
            </w:r>
          </w:p>
        </w:tc>
      </w:tr>
      <w:tr w:rsidR="001C0F49" w:rsidRPr="00416F20" w14:paraId="50A1188E" w14:textId="77777777" w:rsidTr="00B46D7E">
        <w:trPr>
          <w:trHeight w:val="218"/>
        </w:trPr>
        <w:tc>
          <w:tcPr>
            <w:tcW w:w="4441" w:type="pct"/>
            <w:tcBorders>
              <w:top w:val="nil"/>
              <w:left w:val="nil"/>
              <w:bottom w:val="single" w:sz="4" w:space="0" w:color="auto"/>
              <w:right w:val="nil"/>
            </w:tcBorders>
            <w:shd w:val="clear" w:color="auto" w:fill="auto"/>
            <w:noWrap/>
            <w:vAlign w:val="bottom"/>
          </w:tcPr>
          <w:p w14:paraId="22729E99" w14:textId="77777777" w:rsidR="001C0F49" w:rsidRPr="00416F20" w:rsidRDefault="001C0F49" w:rsidP="00293BD0">
            <w:pPr>
              <w:spacing w:after="0" w:line="240" w:lineRule="auto"/>
              <w:rPr>
                <w:rFonts w:ascii="Arial" w:hAnsi="Arial" w:cs="Arial"/>
                <w:sz w:val="16"/>
                <w:szCs w:val="16"/>
              </w:rPr>
            </w:pPr>
            <w:r w:rsidRPr="00416F20">
              <w:rPr>
                <w:rFonts w:ascii="Arial" w:hAnsi="Arial" w:cs="Arial"/>
                <w:b/>
                <w:bCs/>
                <w:sz w:val="16"/>
                <w:szCs w:val="16"/>
              </w:rPr>
              <w:t>Total operating expenditure on heritage and cultural assets</w:t>
            </w:r>
          </w:p>
        </w:tc>
        <w:tc>
          <w:tcPr>
            <w:tcW w:w="559" w:type="pct"/>
            <w:tcBorders>
              <w:top w:val="single" w:sz="4" w:space="0" w:color="auto"/>
              <w:left w:val="nil"/>
              <w:bottom w:val="single" w:sz="4" w:space="0" w:color="auto"/>
              <w:right w:val="nil"/>
            </w:tcBorders>
            <w:shd w:val="clear" w:color="auto" w:fill="auto"/>
            <w:noWrap/>
            <w:vAlign w:val="bottom"/>
          </w:tcPr>
          <w:p w14:paraId="223B1BAA" w14:textId="77777777" w:rsidR="001C0F49" w:rsidRPr="00416F20" w:rsidRDefault="001C0F49" w:rsidP="00B46D7E">
            <w:pPr>
              <w:spacing w:after="0" w:line="240" w:lineRule="auto"/>
              <w:jc w:val="right"/>
              <w:rPr>
                <w:rFonts w:ascii="Arial" w:hAnsi="Arial" w:cs="Arial"/>
                <w:sz w:val="16"/>
                <w:szCs w:val="16"/>
              </w:rPr>
            </w:pPr>
            <w:r w:rsidRPr="00416F20">
              <w:rPr>
                <w:rFonts w:ascii="Arial" w:hAnsi="Arial" w:cs="Arial"/>
                <w:b/>
                <w:bCs/>
                <w:sz w:val="16"/>
                <w:szCs w:val="16"/>
              </w:rPr>
              <w:t>7,616</w:t>
            </w:r>
          </w:p>
        </w:tc>
      </w:tr>
    </w:tbl>
    <w:p w14:paraId="4F37EA95" w14:textId="3E19F042" w:rsidR="001C0F49" w:rsidRPr="0008148A" w:rsidRDefault="001C0F49" w:rsidP="00B46D7E">
      <w:pPr>
        <w:pStyle w:val="ChartandTableFootnoteAlpha"/>
        <w:numPr>
          <w:ilvl w:val="0"/>
          <w:numId w:val="0"/>
        </w:numPr>
        <w:tabs>
          <w:tab w:val="left" w:pos="720"/>
        </w:tabs>
        <w:spacing w:before="60"/>
        <w:ind w:left="284" w:hanging="284"/>
        <w:jc w:val="left"/>
        <w:rPr>
          <w:rFonts w:cs="Arial"/>
          <w:sz w:val="15"/>
          <w:szCs w:val="15"/>
        </w:rPr>
      </w:pPr>
      <w:r>
        <w:rPr>
          <w:rFonts w:cs="Arial"/>
          <w:szCs w:val="16"/>
        </w:rPr>
        <w:t>P</w:t>
      </w:r>
      <w:r w:rsidRPr="0008148A">
        <w:rPr>
          <w:rFonts w:cs="Arial"/>
          <w:szCs w:val="16"/>
        </w:rPr>
        <w:t>repared on Australian Accounting Standards basis</w:t>
      </w:r>
      <w:r w:rsidR="00460546">
        <w:rPr>
          <w:rFonts w:cs="Arial"/>
          <w:szCs w:val="16"/>
        </w:rPr>
        <w:t>.</w:t>
      </w:r>
    </w:p>
    <w:p w14:paraId="2F2F3EA8" w14:textId="2B62214C" w:rsidR="001C0F49" w:rsidRPr="00CB4910" w:rsidRDefault="001C0F49" w:rsidP="008D0F63">
      <w:pPr>
        <w:pStyle w:val="ChartandTableFootnoteAlpha"/>
        <w:numPr>
          <w:ilvl w:val="0"/>
          <w:numId w:val="82"/>
        </w:numPr>
        <w:tabs>
          <w:tab w:val="clear" w:pos="284"/>
        </w:tabs>
        <w:ind w:left="426" w:hanging="426"/>
        <w:jc w:val="left"/>
        <w:rPr>
          <w:rFonts w:cs="Arial"/>
          <w:szCs w:val="16"/>
        </w:rPr>
      </w:pPr>
      <w:r w:rsidRPr="00CB4910">
        <w:rPr>
          <w:rFonts w:cs="Arial"/>
          <w:szCs w:val="16"/>
        </w:rPr>
        <w:t>‘Appropriation equity’ refers to equity injections appropriations provided through Appropriation Bill (No. 2) 2022</w:t>
      </w:r>
      <w:r w:rsidRPr="00CB4910">
        <w:rPr>
          <w:rFonts w:cs="Arial"/>
          <w:szCs w:val="16"/>
        </w:rPr>
        <w:noBreakHyphen/>
        <w:t>23, including CDABs</w:t>
      </w:r>
      <w:r w:rsidR="00460546">
        <w:rPr>
          <w:rFonts w:cs="Arial"/>
          <w:szCs w:val="16"/>
        </w:rPr>
        <w:t>.</w:t>
      </w:r>
    </w:p>
    <w:p w14:paraId="4283756B" w14:textId="77777777" w:rsidR="001C0F49" w:rsidRDefault="001C0F49" w:rsidP="00B46D7E">
      <w:pPr>
        <w:sectPr w:rsidR="001C0F49" w:rsidSect="009B6DC4">
          <w:headerReference w:type="even" r:id="rId24"/>
          <w:headerReference w:type="default" r:id="rId25"/>
          <w:headerReference w:type="first" r:id="rId26"/>
          <w:footerReference w:type="first" r:id="rId27"/>
          <w:type w:val="oddPage"/>
          <w:pgSz w:w="11906" w:h="16838" w:code="9"/>
          <w:pgMar w:top="2438" w:right="2098" w:bottom="2438" w:left="2098" w:header="1814" w:footer="1814" w:gutter="0"/>
          <w:pgNumType w:start="421"/>
          <w:cols w:space="708"/>
          <w:titlePg/>
          <w:docGrid w:linePitch="360"/>
        </w:sectPr>
      </w:pPr>
    </w:p>
    <w:p w14:paraId="2AD73E73" w14:textId="37AC7936" w:rsidR="001C0F49" w:rsidRDefault="001C0F49" w:rsidP="00D7626B">
      <w:pPr>
        <w:pStyle w:val="BodyText"/>
        <w:spacing w:before="23"/>
        <w:rPr>
          <w:rFonts w:ascii="Arial" w:hAnsi="Arial" w:cs="Arial"/>
          <w:sz w:val="16"/>
          <w:szCs w:val="16"/>
        </w:rPr>
      </w:pPr>
    </w:p>
    <w:sectPr w:rsidR="001C0F49" w:rsidSect="00BA273A">
      <w:headerReference w:type="even" r:id="rId28"/>
      <w:headerReference w:type="default" r:id="rId29"/>
      <w:footerReference w:type="even" r:id="rId30"/>
      <w:footerReference w:type="default" r:id="rId31"/>
      <w:headerReference w:type="first" r:id="rId32"/>
      <w:type w:val="oddPage"/>
      <w:pgSz w:w="11906" w:h="16838" w:code="9"/>
      <w:pgMar w:top="2438" w:right="2098" w:bottom="2438"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5C752E" w:rsidRDefault="005C752E" w:rsidP="00C07DEC">
      <w:r>
        <w:separator/>
      </w:r>
    </w:p>
  </w:endnote>
  <w:endnote w:type="continuationSeparator" w:id="0">
    <w:p w14:paraId="0E644E91" w14:textId="77777777" w:rsidR="005C752E" w:rsidRDefault="005C752E"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532F" w14:textId="62552D21" w:rsidR="005C752E" w:rsidRPr="003F0C8B" w:rsidRDefault="005C752E" w:rsidP="00293BD0">
    <w:pPr>
      <w:pStyle w:val="FooterEven"/>
      <w:rPr>
        <w:rStyle w:val="PageNumber"/>
      </w:rPr>
    </w:pPr>
    <w:r w:rsidRPr="003F0C8B">
      <w:rPr>
        <w:rStyle w:val="PageNumber"/>
        <w:b/>
        <w:bCs w:val="0"/>
      </w:rPr>
      <w:t xml:space="preserve">Page </w:t>
    </w:r>
    <w:r w:rsidRPr="003F0C8B">
      <w:rPr>
        <w:rStyle w:val="PageNumber"/>
        <w:b/>
        <w:bCs w:val="0"/>
      </w:rPr>
      <w:fldChar w:fldCharType="begin"/>
    </w:r>
    <w:r w:rsidRPr="003F0C8B">
      <w:rPr>
        <w:rStyle w:val="PageNumber"/>
        <w:b/>
        <w:bCs w:val="0"/>
      </w:rPr>
      <w:instrText xml:space="preserve"> PAGE </w:instrText>
    </w:r>
    <w:r w:rsidRPr="003F0C8B">
      <w:rPr>
        <w:rStyle w:val="PageNumber"/>
        <w:b/>
        <w:bCs w:val="0"/>
      </w:rPr>
      <w:fldChar w:fldCharType="separate"/>
    </w:r>
    <w:r>
      <w:rPr>
        <w:rStyle w:val="PageNumber"/>
        <w:b/>
        <w:bCs w:val="0"/>
        <w:noProof/>
      </w:rPr>
      <w:t>525</w:t>
    </w:r>
    <w:r w:rsidRPr="003F0C8B">
      <w:rPr>
        <w:rStyle w:val="PageNumber"/>
        <w:b/>
        <w:bCs w:val="0"/>
      </w:rPr>
      <w:fldChar w:fldCharType="end"/>
    </w:r>
    <w:r w:rsidRPr="003F0C8B">
      <w:rPr>
        <w:rStyle w:val="PageNumber"/>
      </w:rPr>
      <w:t xml:space="preserve"> </w:t>
    </w:r>
    <w:r>
      <w:rPr>
        <w:rStyle w:val="PageNumber"/>
      </w:rPr>
      <w:t xml:space="preserve"> </w:t>
    </w:r>
    <w:r w:rsidRPr="003F0C8B">
      <w:rPr>
        <w:rStyle w:val="PageNumber"/>
      </w:rPr>
      <w:t>|</w:t>
    </w:r>
    <w:r>
      <w:rPr>
        <w:rStyle w:val="PageNumber"/>
      </w:rPr>
      <w:t xml:space="preserve"> </w:t>
    </w:r>
    <w:r w:rsidRPr="003F0C8B">
      <w:rPr>
        <w:rStyle w:val="PageNumber"/>
      </w:rPr>
      <w:t xml:space="preserve"> </w:t>
    </w: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p>
  <w:p w14:paraId="704C247D" w14:textId="77777777" w:rsidR="005C752E" w:rsidRDefault="005C7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355E3" w14:textId="4187EC0A" w:rsidR="005C752E" w:rsidRPr="00782467" w:rsidRDefault="005C752E" w:rsidP="00293BD0">
    <w:pPr>
      <w:pStyle w:val="FooterOdd"/>
      <w:rPr>
        <w:rStyle w:val="PageNumber"/>
      </w:rPr>
    </w:pPr>
    <w:r>
      <w:rPr>
        <w:rStyle w:val="PageNumber"/>
      </w:rPr>
      <w:fldChar w:fldCharType="begin"/>
    </w:r>
    <w:r>
      <w:rPr>
        <w:rStyle w:val="PageNumber"/>
      </w:rPr>
      <w:instrText xml:space="preserve"> STYLEREF  "Heading 1"  \* MERGEFORMAT </w:instrText>
    </w:r>
    <w:r>
      <w:rPr>
        <w:rStyle w:val="PageNumber"/>
      </w:rPr>
      <w:fldChar w:fldCharType="separate"/>
    </w:r>
    <w:r>
      <w:rPr>
        <w:rStyle w:val="PageNumber"/>
        <w:noProof/>
      </w:rPr>
      <w:t>National Library of Australia</w:t>
    </w:r>
    <w:r>
      <w:rPr>
        <w:rStyle w:val="PageNumber"/>
      </w:rPr>
      <w:fldChar w:fldCharType="end"/>
    </w:r>
    <w:r w:rsidRPr="00B628E8">
      <w:rPr>
        <w:rStyle w:val="PageNumber"/>
      </w:rPr>
      <w:t xml:space="preserve"> </w:t>
    </w:r>
    <w:r>
      <w:rPr>
        <w:rStyle w:val="PageNumber"/>
        <w:lang w:val="en-AU"/>
      </w:rPr>
      <w:t xml:space="preserve"> </w:t>
    </w:r>
    <w:r w:rsidRPr="00B628E8">
      <w:rPr>
        <w:rStyle w:val="PageNumber"/>
      </w:rPr>
      <w:t>|</w:t>
    </w:r>
    <w:r>
      <w:rPr>
        <w:rStyle w:val="PageNumber"/>
        <w:lang w:val="en-AU"/>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525</w:t>
    </w:r>
    <w:r w:rsidRPr="00B628E8">
      <w:rPr>
        <w:rStyle w:val="PageNumber"/>
        <w:b/>
        <w:bCs/>
      </w:rPr>
      <w:fldChar w:fldCharType="end"/>
    </w:r>
  </w:p>
  <w:p w14:paraId="74A2C96B" w14:textId="77777777" w:rsidR="005C752E" w:rsidRDefault="005C75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69FB2" w14:textId="77777777" w:rsidR="005C752E" w:rsidRPr="004014B1" w:rsidRDefault="005C752E" w:rsidP="00B46D7E">
    <w:pPr>
      <w:pStyle w:val="Footer"/>
      <w:jc w:val="both"/>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E0F0E" w14:textId="2EA70ADC" w:rsidR="005C752E" w:rsidRPr="00264A08" w:rsidRDefault="005C752E" w:rsidP="00264A08">
    <w:pPr>
      <w:pStyle w:val="FooterEven"/>
      <w:rPr>
        <w:rFonts w:cs="Arial"/>
      </w:rPr>
    </w:pPr>
    <w:r w:rsidRPr="00264A08">
      <w:rPr>
        <w:rStyle w:val="PageNumber"/>
        <w:b/>
        <w:bCs w:val="0"/>
        <w:sz w:val="18"/>
      </w:rPr>
      <w:t xml:space="preserve">Page </w:t>
    </w:r>
    <w:r w:rsidRPr="00264A08">
      <w:rPr>
        <w:rStyle w:val="PageNumber"/>
        <w:b/>
        <w:bCs w:val="0"/>
        <w:sz w:val="18"/>
      </w:rPr>
      <w:fldChar w:fldCharType="begin"/>
    </w:r>
    <w:r w:rsidRPr="00264A08">
      <w:rPr>
        <w:rStyle w:val="PageNumber"/>
        <w:b/>
        <w:bCs w:val="0"/>
        <w:sz w:val="18"/>
      </w:rPr>
      <w:instrText xml:space="preserve"> PAGE </w:instrText>
    </w:r>
    <w:r w:rsidRPr="00264A08">
      <w:rPr>
        <w:rStyle w:val="PageNumber"/>
        <w:b/>
        <w:bCs w:val="0"/>
        <w:sz w:val="18"/>
      </w:rPr>
      <w:fldChar w:fldCharType="separate"/>
    </w:r>
    <w:r w:rsidRPr="00264A08">
      <w:rPr>
        <w:rStyle w:val="PageNumber"/>
        <w:b/>
        <w:bCs w:val="0"/>
        <w:noProof/>
        <w:sz w:val="18"/>
      </w:rPr>
      <w:t>525</w:t>
    </w:r>
    <w:r w:rsidRPr="00264A08">
      <w:rPr>
        <w:rStyle w:val="PageNumber"/>
        <w:b/>
        <w:bCs w:val="0"/>
        <w:sz w:val="18"/>
      </w:rPr>
      <w:fldChar w:fldCharType="end"/>
    </w:r>
    <w:r w:rsidRPr="00264A08">
      <w:rPr>
        <w:rStyle w:val="PageNumber"/>
        <w:sz w:val="18"/>
      </w:rPr>
      <w:t xml:space="preserve">  |  </w:t>
    </w:r>
    <w:r w:rsidRPr="00264A08">
      <w:rPr>
        <w:rStyle w:val="PageNumber"/>
        <w:sz w:val="18"/>
      </w:rPr>
      <w:fldChar w:fldCharType="begin"/>
    </w:r>
    <w:r w:rsidRPr="00264A08">
      <w:rPr>
        <w:rStyle w:val="PageNumber"/>
        <w:sz w:val="18"/>
      </w:rPr>
      <w:instrText xml:space="preserve"> STYLEREF  "Heading 1"  \* MERGEFORMAT </w:instrText>
    </w:r>
    <w:r w:rsidRPr="00264A08">
      <w:rPr>
        <w:rStyle w:val="PageNumber"/>
        <w:sz w:val="18"/>
      </w:rPr>
      <w:fldChar w:fldCharType="separate"/>
    </w:r>
    <w:r w:rsidR="009B6DC4">
      <w:rPr>
        <w:rStyle w:val="PageNumber"/>
        <w:noProof/>
        <w:sz w:val="18"/>
      </w:rPr>
      <w:t>National Museum of Australia</w:t>
    </w:r>
    <w:r w:rsidRPr="00264A08">
      <w:rPr>
        <w:rStyle w:val="PageNumbe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75BE5" w14:textId="2E447535" w:rsidR="005C752E" w:rsidRPr="00264A08" w:rsidRDefault="005C752E" w:rsidP="00264A08">
    <w:pPr>
      <w:pStyle w:val="FooterOdd"/>
      <w:rPr>
        <w:sz w:val="16"/>
      </w:rPr>
    </w:pPr>
    <w:r w:rsidRPr="00264A08">
      <w:rPr>
        <w:rStyle w:val="PageNumber"/>
        <w:sz w:val="18"/>
      </w:rPr>
      <w:fldChar w:fldCharType="begin"/>
    </w:r>
    <w:r w:rsidRPr="00264A08">
      <w:rPr>
        <w:rStyle w:val="PageNumber"/>
        <w:sz w:val="18"/>
      </w:rPr>
      <w:instrText xml:space="preserve"> STYLEREF  "Heading 1"  \* MERGEFORMAT </w:instrText>
    </w:r>
    <w:r w:rsidRPr="00264A08">
      <w:rPr>
        <w:rStyle w:val="PageNumber"/>
        <w:sz w:val="18"/>
      </w:rPr>
      <w:fldChar w:fldCharType="separate"/>
    </w:r>
    <w:r w:rsidR="009B6DC4">
      <w:rPr>
        <w:rStyle w:val="PageNumber"/>
        <w:noProof/>
        <w:sz w:val="18"/>
      </w:rPr>
      <w:t>National Museum of Australia</w:t>
    </w:r>
    <w:r w:rsidRPr="00264A08">
      <w:rPr>
        <w:rStyle w:val="PageNumber"/>
        <w:sz w:val="18"/>
      </w:rPr>
      <w:fldChar w:fldCharType="end"/>
    </w:r>
    <w:r w:rsidRPr="00264A08">
      <w:rPr>
        <w:rStyle w:val="PageNumber"/>
        <w:sz w:val="18"/>
      </w:rPr>
      <w:t xml:space="preserve"> </w:t>
    </w:r>
    <w:r w:rsidRPr="00264A08">
      <w:rPr>
        <w:rStyle w:val="PageNumber"/>
        <w:sz w:val="18"/>
        <w:lang w:val="en-AU"/>
      </w:rPr>
      <w:t xml:space="preserve"> </w:t>
    </w:r>
    <w:r w:rsidRPr="00264A08">
      <w:rPr>
        <w:rStyle w:val="PageNumber"/>
        <w:sz w:val="18"/>
      </w:rPr>
      <w:t>|</w:t>
    </w:r>
    <w:r w:rsidRPr="00264A08">
      <w:rPr>
        <w:rStyle w:val="PageNumber"/>
        <w:sz w:val="18"/>
        <w:lang w:val="en-AU"/>
      </w:rPr>
      <w:t xml:space="preserve"> </w:t>
    </w:r>
    <w:r w:rsidRPr="00264A08">
      <w:rPr>
        <w:rStyle w:val="PageNumber"/>
        <w:sz w:val="18"/>
      </w:rPr>
      <w:t xml:space="preserve"> </w:t>
    </w:r>
    <w:r w:rsidRPr="00264A08">
      <w:rPr>
        <w:rStyle w:val="PageNumber"/>
        <w:b/>
        <w:bCs/>
        <w:sz w:val="18"/>
      </w:rPr>
      <w:t xml:space="preserve">Page </w:t>
    </w:r>
    <w:r w:rsidRPr="00264A08">
      <w:rPr>
        <w:rStyle w:val="PageNumber"/>
        <w:b/>
        <w:bCs/>
        <w:sz w:val="18"/>
      </w:rPr>
      <w:fldChar w:fldCharType="begin"/>
    </w:r>
    <w:r w:rsidRPr="00264A08">
      <w:rPr>
        <w:rStyle w:val="PageNumber"/>
        <w:b/>
        <w:bCs/>
        <w:sz w:val="18"/>
      </w:rPr>
      <w:instrText xml:space="preserve"> PAGE  \* Arabic </w:instrText>
    </w:r>
    <w:r w:rsidRPr="00264A08">
      <w:rPr>
        <w:rStyle w:val="PageNumber"/>
        <w:b/>
        <w:bCs/>
        <w:sz w:val="18"/>
      </w:rPr>
      <w:fldChar w:fldCharType="separate"/>
    </w:r>
    <w:r w:rsidRPr="00264A08">
      <w:rPr>
        <w:rStyle w:val="PageNumber"/>
        <w:b/>
        <w:bCs/>
        <w:noProof/>
        <w:sz w:val="18"/>
      </w:rPr>
      <w:t>525</w:t>
    </w:r>
    <w:r w:rsidRPr="00264A08">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F4315" w14:textId="77777777" w:rsidR="005C752E" w:rsidRPr="007A3160" w:rsidRDefault="005C752E" w:rsidP="00B75E56">
    <w:pPr>
      <w:pStyle w:val="Footer"/>
      <w:jc w:val="both"/>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3" w:name="_GoBack"/>
  <w:bookmarkEnd w:id="63"/>
  <w:p w14:paraId="1FDFA7CE" w14:textId="2C8C325B" w:rsidR="005C752E" w:rsidRPr="00264A08" w:rsidRDefault="005C752E" w:rsidP="000D16D6">
    <w:pPr>
      <w:pStyle w:val="FooterOdd"/>
      <w:rPr>
        <w:sz w:val="16"/>
      </w:rPr>
    </w:pPr>
    <w:r w:rsidRPr="00264A08">
      <w:rPr>
        <w:rStyle w:val="PageNumber"/>
        <w:sz w:val="18"/>
      </w:rPr>
      <w:fldChar w:fldCharType="begin"/>
    </w:r>
    <w:r w:rsidRPr="00264A08">
      <w:rPr>
        <w:rStyle w:val="PageNumber"/>
        <w:sz w:val="18"/>
      </w:rPr>
      <w:instrText xml:space="preserve"> STYLEREF  "Heading 1"  \* MERGEFORMAT </w:instrText>
    </w:r>
    <w:r w:rsidRPr="00264A08">
      <w:rPr>
        <w:rStyle w:val="PageNumber"/>
        <w:sz w:val="18"/>
      </w:rPr>
      <w:fldChar w:fldCharType="separate"/>
    </w:r>
    <w:r w:rsidR="009B6DC4">
      <w:rPr>
        <w:rStyle w:val="PageNumber"/>
        <w:noProof/>
        <w:sz w:val="18"/>
      </w:rPr>
      <w:t>National Museum of Australia</w:t>
    </w:r>
    <w:r w:rsidRPr="00264A08">
      <w:rPr>
        <w:rStyle w:val="PageNumber"/>
        <w:sz w:val="18"/>
      </w:rPr>
      <w:fldChar w:fldCharType="end"/>
    </w:r>
    <w:r w:rsidRPr="00264A08">
      <w:rPr>
        <w:rStyle w:val="PageNumber"/>
        <w:sz w:val="18"/>
      </w:rPr>
      <w:t xml:space="preserve"> </w:t>
    </w:r>
    <w:r w:rsidRPr="00264A08">
      <w:rPr>
        <w:rStyle w:val="PageNumber"/>
        <w:sz w:val="18"/>
        <w:lang w:val="en-AU"/>
      </w:rPr>
      <w:t xml:space="preserve"> </w:t>
    </w:r>
    <w:r w:rsidRPr="00264A08">
      <w:rPr>
        <w:rStyle w:val="PageNumber"/>
        <w:sz w:val="18"/>
      </w:rPr>
      <w:t>|</w:t>
    </w:r>
    <w:r w:rsidRPr="00264A08">
      <w:rPr>
        <w:rStyle w:val="PageNumber"/>
        <w:sz w:val="18"/>
        <w:lang w:val="en-AU"/>
      </w:rPr>
      <w:t xml:space="preserve"> </w:t>
    </w:r>
    <w:r w:rsidRPr="00264A08">
      <w:rPr>
        <w:rStyle w:val="PageNumber"/>
        <w:sz w:val="18"/>
      </w:rPr>
      <w:t xml:space="preserve"> </w:t>
    </w:r>
    <w:r w:rsidRPr="00264A08">
      <w:rPr>
        <w:rStyle w:val="PageNumber"/>
        <w:b/>
        <w:bCs/>
        <w:sz w:val="18"/>
      </w:rPr>
      <w:t xml:space="preserve">Page </w:t>
    </w:r>
    <w:r w:rsidRPr="00264A08">
      <w:rPr>
        <w:rStyle w:val="PageNumber"/>
        <w:b/>
        <w:bCs/>
        <w:sz w:val="18"/>
      </w:rPr>
      <w:fldChar w:fldCharType="begin"/>
    </w:r>
    <w:r w:rsidRPr="00264A08">
      <w:rPr>
        <w:rStyle w:val="PageNumber"/>
        <w:b/>
        <w:bCs/>
        <w:sz w:val="18"/>
      </w:rPr>
      <w:instrText xml:space="preserve"> PAGE  \* Arabic </w:instrText>
    </w:r>
    <w:r w:rsidRPr="00264A08">
      <w:rPr>
        <w:rStyle w:val="PageNumber"/>
        <w:b/>
        <w:bCs/>
        <w:sz w:val="18"/>
      </w:rPr>
      <w:fldChar w:fldCharType="separate"/>
    </w:r>
    <w:r>
      <w:rPr>
        <w:rStyle w:val="PageNumber"/>
        <w:b/>
        <w:bCs/>
        <w:sz w:val="18"/>
      </w:rPr>
      <w:t>393</w:t>
    </w:r>
    <w:r w:rsidRPr="00264A08">
      <w:rPr>
        <w:rStyle w:val="PageNumber"/>
        <w:b/>
        <w:bCs/>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5C752E" w:rsidRPr="00D7626B" w:rsidRDefault="005C752E"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5C752E" w:rsidRPr="00D7626B" w:rsidRDefault="005C752E"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0394512E" w:rsidR="005C752E" w:rsidRDefault="005C752E"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6A7FAF00" w:rsidR="005C752E" w:rsidRDefault="005C752E"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5C752E" w:rsidRDefault="005C752E" w:rsidP="00361259">
      <w:pPr>
        <w:pStyle w:val="HeaderOdd"/>
      </w:pPr>
      <w:r>
        <w:t>Index</w:t>
      </w:r>
    </w:p>
    <w:p w14:paraId="229C0949" w14:textId="07921C25" w:rsidR="005C752E" w:rsidRDefault="005C752E">
      <w:pPr>
        <w:pStyle w:val="Header"/>
      </w:pPr>
    </w:p>
    <w:p w14:paraId="6998B671" w14:textId="77777777" w:rsidR="005C752E" w:rsidRDefault="005C752E"/>
    <w:p w14:paraId="6987A252" w14:textId="4FAE6A28" w:rsidR="005C752E" w:rsidRPr="009E2AF0" w:rsidRDefault="005C752E"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5C752E">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5C752E" w:rsidRDefault="005C752E">
      <w:pPr>
        <w:pStyle w:val="Footer"/>
      </w:pPr>
    </w:p>
    <w:p w14:paraId="2626DB2F" w14:textId="77777777" w:rsidR="005C752E" w:rsidRDefault="005C752E"/>
    <w:p w14:paraId="1171B852" w14:textId="77777777" w:rsidR="005C752E" w:rsidRDefault="005C752E" w:rsidP="00C07DEC">
      <w:r>
        <w:separator/>
      </w:r>
    </w:p>
  </w:footnote>
  <w:footnote w:type="continuationSeparator" w:id="0">
    <w:p w14:paraId="1A4D072F" w14:textId="77777777" w:rsidR="005C752E" w:rsidRDefault="005C752E"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E2FA6" w14:textId="77777777" w:rsidR="009B6DC4" w:rsidRDefault="009B6D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C752E" w14:paraId="4F61CDA8" w14:textId="77777777" w:rsidTr="00243116">
      <w:trPr>
        <w:trHeight w:hRule="exact" w:val="340"/>
      </w:trPr>
      <w:tc>
        <w:tcPr>
          <w:tcW w:w="7797" w:type="dxa"/>
        </w:tcPr>
        <w:p w14:paraId="509DC37F" w14:textId="77777777" w:rsidR="005C752E" w:rsidRDefault="005C752E"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5C752E" w:rsidRPr="004014B1" w:rsidRDefault="005C752E"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F397E" w14:textId="77777777" w:rsidR="009B6DC4" w:rsidRDefault="009B6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3EBAF" w14:textId="77777777" w:rsidR="009B6DC4" w:rsidRDefault="009B6D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AF2B9" w14:textId="77777777" w:rsidR="005C752E" w:rsidRPr="004014B1" w:rsidRDefault="005C752E" w:rsidP="004014B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3E17F" w14:textId="77777777" w:rsidR="005C752E" w:rsidRDefault="005C752E" w:rsidP="00293BD0">
    <w:pPr>
      <w:pStyle w:val="HeaderEven"/>
      <w:spacing w:after="240" w:line="260" w:lineRule="exact"/>
      <w:ind w:left="-113"/>
    </w:pPr>
    <w:r w:rsidRPr="00434130">
      <w:rPr>
        <w:noProof/>
        <w:position w:val="-6"/>
      </w:rPr>
      <w:drawing>
        <wp:inline distT="0" distB="0" distL="0" distR="0" wp14:anchorId="4BF0DD5B" wp14:editId="7268BFAD">
          <wp:extent cx="1358265" cy="168910"/>
          <wp:effectExtent l="0" t="0" r="0" b="2540"/>
          <wp:docPr id="985" name="Picture 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r>
      <w:t xml:space="preserve">  |  Portfolio Budget Statements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66B2F" w14:textId="77777777" w:rsidR="005C752E" w:rsidRDefault="005C752E" w:rsidP="00293BD0">
    <w:pPr>
      <w:pStyle w:val="HeaderOdd"/>
      <w:spacing w:after="240" w:line="260" w:lineRule="exact"/>
    </w:pPr>
    <w:r w:rsidRPr="00434130">
      <w:t xml:space="preserve">Portfolio Budget Statements  |  </w:t>
    </w:r>
    <w:r w:rsidRPr="00434130">
      <w:rPr>
        <w:noProof/>
        <w:position w:val="-6"/>
      </w:rPr>
      <w:drawing>
        <wp:inline distT="0" distB="0" distL="0" distR="0" wp14:anchorId="378E44F6" wp14:editId="67F8679C">
          <wp:extent cx="1358265" cy="168910"/>
          <wp:effectExtent l="0" t="0" r="0" b="2540"/>
          <wp:docPr id="986" name="Picture 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19C66C" w14:textId="77777777" w:rsidR="005C752E" w:rsidRDefault="005C752E" w:rsidP="000D16D6">
    <w:pPr>
      <w:pStyle w:val="HeaderOdd"/>
      <w:spacing w:after="240" w:line="260" w:lineRule="exact"/>
    </w:pPr>
    <w:r w:rsidRPr="00434130">
      <w:t xml:space="preserve">Portfolio Budget Statements  |  </w:t>
    </w:r>
    <w:r w:rsidRPr="00434130">
      <w:rPr>
        <w:noProof/>
        <w:position w:val="-6"/>
      </w:rPr>
      <w:drawing>
        <wp:inline distT="0" distB="0" distL="0" distR="0" wp14:anchorId="2DDDDECC" wp14:editId="33B90F7A">
          <wp:extent cx="1358265" cy="168910"/>
          <wp:effectExtent l="0" t="0" r="0"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5C752E" w:rsidRPr="00C87ADA" w:rsidRDefault="005C752E"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5C752E" w:rsidRPr="00C17B32" w:rsidRDefault="005C752E"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513"/>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2AF"/>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47"/>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2FB"/>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44B4"/>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D7158"/>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0D6"/>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53FD"/>
    <w:rsid w:val="004D660D"/>
    <w:rsid w:val="004D6887"/>
    <w:rsid w:val="004D7804"/>
    <w:rsid w:val="004E0308"/>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0DB"/>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AA6"/>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6DC4"/>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298"/>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1C74"/>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D56"/>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592B"/>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25F9"/>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579A"/>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5.xml"/><Relationship Id="rId32" Type="http://schemas.openxmlformats.org/officeDocument/2006/relationships/header" Target="header10.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header" Target="header8.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footer" Target="footer8.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c5fb5116-7131-45fb-9d92-926478776364" ContentTypeId="0x010100B321FEA60C5BA343A52BC94EC00ABC9E07" PreviousValue="false"/>
</file>

<file path=customXml/item3.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2.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3.xml><?xml version="1.0" encoding="utf-8"?>
<ds:datastoreItem xmlns:ds="http://schemas.openxmlformats.org/officeDocument/2006/customXml" ds:itemID="{26CEAD22-808A-4C85-A925-26BD5C865F70}">
  <ds:schemaRefs>
    <ds:schemaRef ds:uri="http://schemas.microsoft.com/office/2006/documentManagement/types"/>
    <ds:schemaRef ds:uri="7f038680-7400-4805-8f95-861f74a21749"/>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82ff9d9b-d3fc-4aad-bc42-9949ee83b815"/>
    <ds:schemaRef ds:uri="http://schemas.microsoft.com/sharepoint/v3"/>
    <ds:schemaRef ds:uri="http://www.w3.org/XML/1998/namespace"/>
    <ds:schemaRef ds:uri="http://purl.org/dc/dcmitype/"/>
  </ds:schemaRefs>
</ds:datastoreItem>
</file>

<file path=customXml/itemProps4.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6.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7.xml><?xml version="1.0" encoding="utf-8"?>
<ds:datastoreItem xmlns:ds="http://schemas.openxmlformats.org/officeDocument/2006/customXml" ds:itemID="{649B3768-BF17-45C4-8339-D9387CC8B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3173</Words>
  <Characters>20189</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2022-10-24T00:47:00Z</dcterms:created>
  <dcterms:modified xsi:type="dcterms:W3CDTF">2022-10-24T01:27:00Z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