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CAC2" w14:textId="77777777" w:rsidR="00CB36D7" w:rsidRPr="00745005" w:rsidRDefault="00CB36D7" w:rsidP="00267E75">
      <w:pPr>
        <w:pStyle w:val="PartHeading-TOC"/>
      </w:pPr>
      <w:bookmarkStart w:id="1" w:name="_Toc117345155"/>
      <w:bookmarkStart w:id="2" w:name="_GoBack"/>
      <w:bookmarkEnd w:id="2"/>
      <w:r w:rsidRPr="00745005">
        <w:t>Australian Maritime Safety Authority</w:t>
      </w:r>
      <w:bookmarkEnd w:id="1"/>
    </w:p>
    <w:p w14:paraId="3FF41C30" w14:textId="77777777" w:rsidR="00CB36D7" w:rsidRPr="00745005" w:rsidRDefault="00CB36D7" w:rsidP="00CB36D7">
      <w:pPr>
        <w:pStyle w:val="PartHeading"/>
      </w:pPr>
    </w:p>
    <w:p w14:paraId="12EA419F" w14:textId="77777777" w:rsidR="00CB36D7" w:rsidRPr="00745005" w:rsidRDefault="00CB36D7" w:rsidP="00CB36D7">
      <w:pPr>
        <w:pStyle w:val="PartHeading"/>
      </w:pPr>
    </w:p>
    <w:p w14:paraId="3FE41E9E" w14:textId="77777777" w:rsidR="00CB36D7" w:rsidRPr="00745005" w:rsidRDefault="00CB36D7" w:rsidP="00CB36D7">
      <w:pPr>
        <w:pStyle w:val="PartHeading"/>
      </w:pPr>
      <w:r w:rsidRPr="00745005">
        <w:t>Entity resources and planned performance</w:t>
      </w:r>
    </w:p>
    <w:p w14:paraId="2D777388" w14:textId="77777777" w:rsidR="00CB36D7" w:rsidRDefault="00CB36D7" w:rsidP="00CB36D7">
      <w:pPr>
        <w:pStyle w:val="PartHeading"/>
        <w:sectPr w:rsidR="00CB36D7"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A9803F8" w14:textId="77777777" w:rsidR="00CB36D7" w:rsidRPr="002A32FD" w:rsidRDefault="00CB36D7" w:rsidP="00CB36D7">
      <w:pPr>
        <w:pStyle w:val="ContentsHeading"/>
      </w:pPr>
      <w:r>
        <w:lastRenderedPageBreak/>
        <w:t>Australian Maritime Safety Authority</w:t>
      </w:r>
    </w:p>
    <w:p w14:paraId="14DD1996" w14:textId="0CC7292A" w:rsidR="00CB36D7" w:rsidRDefault="00CB36D7" w:rsidP="00CB36D7">
      <w:pPr>
        <w:pStyle w:val="TOC1"/>
        <w:rPr>
          <w:rFonts w:asciiTheme="minorHAnsi" w:eastAsiaTheme="minorEastAsia" w:hAnsiTheme="minorHAnsi" w:cstheme="minorBidi"/>
          <w:b w:val="0"/>
          <w:caps w:val="0"/>
          <w:noProof/>
          <w:sz w:val="22"/>
          <w:szCs w:val="22"/>
        </w:rPr>
      </w:pPr>
      <w:r>
        <w:fldChar w:fldCharType="begin"/>
      </w:r>
      <w:r>
        <w:instrText xml:space="preserve"> TOC \h \z \t "Heading 2 - AMSA,1,Heading 3 - AMSA,2" </w:instrText>
      </w:r>
      <w:r>
        <w:fldChar w:fldCharType="separate"/>
      </w:r>
      <w:hyperlink w:anchor="_Toc99123119" w:history="1">
        <w:r w:rsidRPr="00FE76B0">
          <w:rPr>
            <w:rStyle w:val="Hyperlink"/>
            <w:noProof/>
          </w:rPr>
          <w:t>Section 1: Entity overview and resources</w:t>
        </w:r>
        <w:r>
          <w:rPr>
            <w:noProof/>
            <w:webHidden/>
          </w:rPr>
          <w:tab/>
        </w:r>
        <w:r>
          <w:rPr>
            <w:noProof/>
            <w:webHidden/>
          </w:rPr>
          <w:fldChar w:fldCharType="begin"/>
        </w:r>
        <w:r>
          <w:rPr>
            <w:noProof/>
            <w:webHidden/>
          </w:rPr>
          <w:instrText xml:space="preserve"> PAGEREF _Toc99123119 \h </w:instrText>
        </w:r>
        <w:r>
          <w:rPr>
            <w:noProof/>
            <w:webHidden/>
          </w:rPr>
        </w:r>
        <w:r>
          <w:rPr>
            <w:noProof/>
            <w:webHidden/>
          </w:rPr>
          <w:fldChar w:fldCharType="separate"/>
        </w:r>
        <w:r w:rsidR="005C752E">
          <w:rPr>
            <w:noProof/>
            <w:webHidden/>
          </w:rPr>
          <w:t>199</w:t>
        </w:r>
        <w:r>
          <w:rPr>
            <w:noProof/>
            <w:webHidden/>
          </w:rPr>
          <w:fldChar w:fldCharType="end"/>
        </w:r>
      </w:hyperlink>
    </w:p>
    <w:p w14:paraId="012B56D4" w14:textId="207854E0"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0" w:history="1">
        <w:r w:rsidR="00CB36D7" w:rsidRPr="00FE76B0">
          <w:rPr>
            <w:rStyle w:val="Hyperlink"/>
            <w:noProof/>
          </w:rPr>
          <w:t>1.1</w:t>
        </w:r>
        <w:r w:rsidR="00CB36D7">
          <w:rPr>
            <w:rFonts w:asciiTheme="minorHAnsi" w:eastAsiaTheme="minorEastAsia" w:hAnsiTheme="minorHAnsi" w:cstheme="minorBidi"/>
            <w:noProof/>
            <w:sz w:val="22"/>
            <w:szCs w:val="22"/>
          </w:rPr>
          <w:tab/>
        </w:r>
        <w:r w:rsidR="00CB36D7" w:rsidRPr="00FE76B0">
          <w:rPr>
            <w:rStyle w:val="Hyperlink"/>
            <w:noProof/>
          </w:rPr>
          <w:t>Strategic direction statement</w:t>
        </w:r>
        <w:r w:rsidR="00CB36D7">
          <w:rPr>
            <w:noProof/>
            <w:webHidden/>
          </w:rPr>
          <w:tab/>
        </w:r>
        <w:r w:rsidR="00CB36D7">
          <w:rPr>
            <w:noProof/>
            <w:webHidden/>
          </w:rPr>
          <w:fldChar w:fldCharType="begin"/>
        </w:r>
        <w:r w:rsidR="00CB36D7">
          <w:rPr>
            <w:noProof/>
            <w:webHidden/>
          </w:rPr>
          <w:instrText xml:space="preserve"> PAGEREF _Toc99123120 \h </w:instrText>
        </w:r>
        <w:r w:rsidR="00CB36D7">
          <w:rPr>
            <w:noProof/>
            <w:webHidden/>
          </w:rPr>
        </w:r>
        <w:r w:rsidR="00CB36D7">
          <w:rPr>
            <w:noProof/>
            <w:webHidden/>
          </w:rPr>
          <w:fldChar w:fldCharType="separate"/>
        </w:r>
        <w:r w:rsidR="005C752E">
          <w:rPr>
            <w:noProof/>
            <w:webHidden/>
          </w:rPr>
          <w:t>199</w:t>
        </w:r>
        <w:r w:rsidR="00CB36D7">
          <w:rPr>
            <w:noProof/>
            <w:webHidden/>
          </w:rPr>
          <w:fldChar w:fldCharType="end"/>
        </w:r>
      </w:hyperlink>
    </w:p>
    <w:p w14:paraId="76AEB37E" w14:textId="36B993BC"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1" w:history="1">
        <w:r w:rsidR="00CB36D7" w:rsidRPr="00FE76B0">
          <w:rPr>
            <w:rStyle w:val="Hyperlink"/>
            <w:noProof/>
          </w:rPr>
          <w:t>1.2</w:t>
        </w:r>
        <w:r w:rsidR="00CB36D7">
          <w:rPr>
            <w:rFonts w:asciiTheme="minorHAnsi" w:eastAsiaTheme="minorEastAsia" w:hAnsiTheme="minorHAnsi" w:cstheme="minorBidi"/>
            <w:noProof/>
            <w:sz w:val="22"/>
            <w:szCs w:val="22"/>
          </w:rPr>
          <w:tab/>
        </w:r>
        <w:r w:rsidR="00CB36D7" w:rsidRPr="00FE76B0">
          <w:rPr>
            <w:rStyle w:val="Hyperlink"/>
            <w:noProof/>
          </w:rPr>
          <w:t>Entity resource statement</w:t>
        </w:r>
        <w:r w:rsidR="00CB36D7">
          <w:rPr>
            <w:noProof/>
            <w:webHidden/>
          </w:rPr>
          <w:tab/>
        </w:r>
        <w:r w:rsidR="00CB36D7">
          <w:rPr>
            <w:noProof/>
            <w:webHidden/>
          </w:rPr>
          <w:fldChar w:fldCharType="begin"/>
        </w:r>
        <w:r w:rsidR="00CB36D7">
          <w:rPr>
            <w:noProof/>
            <w:webHidden/>
          </w:rPr>
          <w:instrText xml:space="preserve"> PAGEREF _Toc99123121 \h </w:instrText>
        </w:r>
        <w:r w:rsidR="00CB36D7">
          <w:rPr>
            <w:noProof/>
            <w:webHidden/>
          </w:rPr>
        </w:r>
        <w:r w:rsidR="00CB36D7">
          <w:rPr>
            <w:noProof/>
            <w:webHidden/>
          </w:rPr>
          <w:fldChar w:fldCharType="separate"/>
        </w:r>
        <w:r w:rsidR="005C752E">
          <w:rPr>
            <w:noProof/>
            <w:webHidden/>
          </w:rPr>
          <w:t>200</w:t>
        </w:r>
        <w:r w:rsidR="00CB36D7">
          <w:rPr>
            <w:noProof/>
            <w:webHidden/>
          </w:rPr>
          <w:fldChar w:fldCharType="end"/>
        </w:r>
      </w:hyperlink>
    </w:p>
    <w:p w14:paraId="2728D69F" w14:textId="6D6B4FBD"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2" w:history="1">
        <w:r w:rsidR="00CB36D7" w:rsidRPr="00FE76B0">
          <w:rPr>
            <w:rStyle w:val="Hyperlink"/>
            <w:noProof/>
          </w:rPr>
          <w:t>1.3</w:t>
        </w:r>
        <w:r w:rsidR="00CB36D7">
          <w:rPr>
            <w:rFonts w:asciiTheme="minorHAnsi" w:eastAsiaTheme="minorEastAsia" w:hAnsiTheme="minorHAnsi" w:cstheme="minorBidi"/>
            <w:noProof/>
            <w:sz w:val="22"/>
            <w:szCs w:val="22"/>
          </w:rPr>
          <w:tab/>
        </w:r>
        <w:r w:rsidR="00CB36D7" w:rsidRPr="00FE76B0">
          <w:rPr>
            <w:rStyle w:val="Hyperlink"/>
            <w:noProof/>
          </w:rPr>
          <w:t>Budget measures</w:t>
        </w:r>
        <w:r w:rsidR="00CB36D7">
          <w:rPr>
            <w:noProof/>
            <w:webHidden/>
          </w:rPr>
          <w:tab/>
        </w:r>
        <w:r w:rsidR="00CB36D7">
          <w:rPr>
            <w:noProof/>
            <w:webHidden/>
          </w:rPr>
          <w:fldChar w:fldCharType="begin"/>
        </w:r>
        <w:r w:rsidR="00CB36D7">
          <w:rPr>
            <w:noProof/>
            <w:webHidden/>
          </w:rPr>
          <w:instrText xml:space="preserve"> PAGEREF _Toc99123122 \h </w:instrText>
        </w:r>
        <w:r w:rsidR="00CB36D7">
          <w:rPr>
            <w:noProof/>
            <w:webHidden/>
          </w:rPr>
        </w:r>
        <w:r w:rsidR="00CB36D7">
          <w:rPr>
            <w:noProof/>
            <w:webHidden/>
          </w:rPr>
          <w:fldChar w:fldCharType="separate"/>
        </w:r>
        <w:r w:rsidR="005C752E">
          <w:rPr>
            <w:noProof/>
            <w:webHidden/>
          </w:rPr>
          <w:t>201</w:t>
        </w:r>
        <w:r w:rsidR="00CB36D7">
          <w:rPr>
            <w:noProof/>
            <w:webHidden/>
          </w:rPr>
          <w:fldChar w:fldCharType="end"/>
        </w:r>
      </w:hyperlink>
    </w:p>
    <w:p w14:paraId="64BE5BB7" w14:textId="38B10428" w:rsidR="00CB36D7" w:rsidRDefault="00B3359B" w:rsidP="00CB36D7">
      <w:pPr>
        <w:pStyle w:val="TOC1"/>
        <w:rPr>
          <w:rFonts w:asciiTheme="minorHAnsi" w:eastAsiaTheme="minorEastAsia" w:hAnsiTheme="minorHAnsi" w:cstheme="minorBidi"/>
          <w:b w:val="0"/>
          <w:caps w:val="0"/>
          <w:noProof/>
          <w:sz w:val="22"/>
          <w:szCs w:val="22"/>
        </w:rPr>
      </w:pPr>
      <w:hyperlink w:anchor="_Toc99123123" w:history="1">
        <w:r w:rsidR="00CB36D7" w:rsidRPr="00FE76B0">
          <w:rPr>
            <w:rStyle w:val="Hyperlink"/>
            <w:noProof/>
          </w:rPr>
          <w:t>Section 2: Outcomes and planned performance</w:t>
        </w:r>
        <w:r w:rsidR="00CB36D7">
          <w:rPr>
            <w:noProof/>
            <w:webHidden/>
          </w:rPr>
          <w:tab/>
        </w:r>
        <w:r w:rsidR="00CB36D7">
          <w:rPr>
            <w:noProof/>
            <w:webHidden/>
          </w:rPr>
          <w:fldChar w:fldCharType="begin"/>
        </w:r>
        <w:r w:rsidR="00CB36D7">
          <w:rPr>
            <w:noProof/>
            <w:webHidden/>
          </w:rPr>
          <w:instrText xml:space="preserve"> PAGEREF _Toc99123123 \h </w:instrText>
        </w:r>
        <w:r w:rsidR="00CB36D7">
          <w:rPr>
            <w:noProof/>
            <w:webHidden/>
          </w:rPr>
        </w:r>
        <w:r w:rsidR="00CB36D7">
          <w:rPr>
            <w:noProof/>
            <w:webHidden/>
          </w:rPr>
          <w:fldChar w:fldCharType="separate"/>
        </w:r>
        <w:r w:rsidR="005C752E">
          <w:rPr>
            <w:noProof/>
            <w:webHidden/>
          </w:rPr>
          <w:t>202</w:t>
        </w:r>
        <w:r w:rsidR="00CB36D7">
          <w:rPr>
            <w:noProof/>
            <w:webHidden/>
          </w:rPr>
          <w:fldChar w:fldCharType="end"/>
        </w:r>
      </w:hyperlink>
    </w:p>
    <w:p w14:paraId="75D16008" w14:textId="5D030D19"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4" w:history="1">
        <w:r w:rsidR="00CB36D7" w:rsidRPr="00FE76B0">
          <w:rPr>
            <w:rStyle w:val="Hyperlink"/>
            <w:noProof/>
          </w:rPr>
          <w:t>2.1</w:t>
        </w:r>
        <w:r w:rsidR="00CB36D7">
          <w:rPr>
            <w:rFonts w:asciiTheme="minorHAnsi" w:eastAsiaTheme="minorEastAsia" w:hAnsiTheme="minorHAnsi" w:cstheme="minorBidi"/>
            <w:noProof/>
            <w:sz w:val="22"/>
            <w:szCs w:val="22"/>
          </w:rPr>
          <w:tab/>
        </w:r>
        <w:r w:rsidR="00CB36D7" w:rsidRPr="00FE76B0">
          <w:rPr>
            <w:rStyle w:val="Hyperlink"/>
            <w:noProof/>
          </w:rPr>
          <w:t>Budgeted expenses and performance for Outcome 1</w:t>
        </w:r>
        <w:r w:rsidR="00CB36D7">
          <w:rPr>
            <w:noProof/>
            <w:webHidden/>
          </w:rPr>
          <w:tab/>
        </w:r>
        <w:r w:rsidR="00CB36D7">
          <w:rPr>
            <w:noProof/>
            <w:webHidden/>
          </w:rPr>
          <w:fldChar w:fldCharType="begin"/>
        </w:r>
        <w:r w:rsidR="00CB36D7">
          <w:rPr>
            <w:noProof/>
            <w:webHidden/>
          </w:rPr>
          <w:instrText xml:space="preserve"> PAGEREF _Toc99123124 \h </w:instrText>
        </w:r>
        <w:r w:rsidR="00CB36D7">
          <w:rPr>
            <w:noProof/>
            <w:webHidden/>
          </w:rPr>
        </w:r>
        <w:r w:rsidR="00CB36D7">
          <w:rPr>
            <w:noProof/>
            <w:webHidden/>
          </w:rPr>
          <w:fldChar w:fldCharType="separate"/>
        </w:r>
        <w:r w:rsidR="005C752E">
          <w:rPr>
            <w:noProof/>
            <w:webHidden/>
          </w:rPr>
          <w:t>203</w:t>
        </w:r>
        <w:r w:rsidR="00CB36D7">
          <w:rPr>
            <w:noProof/>
            <w:webHidden/>
          </w:rPr>
          <w:fldChar w:fldCharType="end"/>
        </w:r>
      </w:hyperlink>
    </w:p>
    <w:p w14:paraId="7C5E09F7" w14:textId="5ECC0E4A" w:rsidR="00CB36D7" w:rsidRDefault="00B3359B" w:rsidP="00CB36D7">
      <w:pPr>
        <w:pStyle w:val="TOC1"/>
        <w:rPr>
          <w:rFonts w:asciiTheme="minorHAnsi" w:eastAsiaTheme="minorEastAsia" w:hAnsiTheme="minorHAnsi" w:cstheme="minorBidi"/>
          <w:b w:val="0"/>
          <w:caps w:val="0"/>
          <w:noProof/>
          <w:sz w:val="22"/>
          <w:szCs w:val="22"/>
        </w:rPr>
      </w:pPr>
      <w:hyperlink w:anchor="_Toc99123125" w:history="1">
        <w:r w:rsidR="00CB36D7" w:rsidRPr="00FE76B0">
          <w:rPr>
            <w:rStyle w:val="Hyperlink"/>
            <w:noProof/>
          </w:rPr>
          <w:t>Section 3: Budgeted financial statements</w:t>
        </w:r>
        <w:r w:rsidR="00CB36D7">
          <w:rPr>
            <w:noProof/>
            <w:webHidden/>
          </w:rPr>
          <w:tab/>
        </w:r>
        <w:r w:rsidR="00CB36D7">
          <w:rPr>
            <w:noProof/>
            <w:webHidden/>
          </w:rPr>
          <w:fldChar w:fldCharType="begin"/>
        </w:r>
        <w:r w:rsidR="00CB36D7">
          <w:rPr>
            <w:noProof/>
            <w:webHidden/>
          </w:rPr>
          <w:instrText xml:space="preserve"> PAGEREF _Toc99123125 \h </w:instrText>
        </w:r>
        <w:r w:rsidR="00CB36D7">
          <w:rPr>
            <w:noProof/>
            <w:webHidden/>
          </w:rPr>
        </w:r>
        <w:r w:rsidR="00CB36D7">
          <w:rPr>
            <w:noProof/>
            <w:webHidden/>
          </w:rPr>
          <w:fldChar w:fldCharType="separate"/>
        </w:r>
        <w:r w:rsidR="005C752E">
          <w:rPr>
            <w:noProof/>
            <w:webHidden/>
          </w:rPr>
          <w:t>211</w:t>
        </w:r>
        <w:r w:rsidR="00CB36D7">
          <w:rPr>
            <w:noProof/>
            <w:webHidden/>
          </w:rPr>
          <w:fldChar w:fldCharType="end"/>
        </w:r>
      </w:hyperlink>
    </w:p>
    <w:p w14:paraId="3EB13AB2" w14:textId="00B87BA6"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6" w:history="1">
        <w:r w:rsidR="00CB36D7" w:rsidRPr="00FE76B0">
          <w:rPr>
            <w:rStyle w:val="Hyperlink"/>
            <w:noProof/>
          </w:rPr>
          <w:t>3.1</w:t>
        </w:r>
        <w:r w:rsidR="00CB36D7">
          <w:rPr>
            <w:rFonts w:asciiTheme="minorHAnsi" w:eastAsiaTheme="minorEastAsia" w:hAnsiTheme="minorHAnsi" w:cstheme="minorBidi"/>
            <w:noProof/>
            <w:sz w:val="22"/>
            <w:szCs w:val="22"/>
          </w:rPr>
          <w:tab/>
        </w:r>
        <w:r w:rsidR="00CB36D7" w:rsidRPr="00FE76B0">
          <w:rPr>
            <w:rStyle w:val="Hyperlink"/>
            <w:noProof/>
          </w:rPr>
          <w:t>Budgeted financial statements</w:t>
        </w:r>
        <w:r w:rsidR="00CB36D7">
          <w:rPr>
            <w:noProof/>
            <w:webHidden/>
          </w:rPr>
          <w:tab/>
        </w:r>
        <w:r w:rsidR="00CB36D7">
          <w:rPr>
            <w:noProof/>
            <w:webHidden/>
          </w:rPr>
          <w:fldChar w:fldCharType="begin"/>
        </w:r>
        <w:r w:rsidR="00CB36D7">
          <w:rPr>
            <w:noProof/>
            <w:webHidden/>
          </w:rPr>
          <w:instrText xml:space="preserve"> PAGEREF _Toc99123126 \h </w:instrText>
        </w:r>
        <w:r w:rsidR="00CB36D7">
          <w:rPr>
            <w:noProof/>
            <w:webHidden/>
          </w:rPr>
        </w:r>
        <w:r w:rsidR="00CB36D7">
          <w:rPr>
            <w:noProof/>
            <w:webHidden/>
          </w:rPr>
          <w:fldChar w:fldCharType="separate"/>
        </w:r>
        <w:r w:rsidR="005C752E">
          <w:rPr>
            <w:noProof/>
            <w:webHidden/>
          </w:rPr>
          <w:t>211</w:t>
        </w:r>
        <w:r w:rsidR="00CB36D7">
          <w:rPr>
            <w:noProof/>
            <w:webHidden/>
          </w:rPr>
          <w:fldChar w:fldCharType="end"/>
        </w:r>
      </w:hyperlink>
    </w:p>
    <w:p w14:paraId="3025A325" w14:textId="1785CED2" w:rsidR="00CB36D7" w:rsidRDefault="00B3359B" w:rsidP="00CB36D7">
      <w:pPr>
        <w:pStyle w:val="TOC2"/>
        <w:tabs>
          <w:tab w:val="left" w:pos="800"/>
        </w:tabs>
        <w:rPr>
          <w:rFonts w:asciiTheme="minorHAnsi" w:eastAsiaTheme="minorEastAsia" w:hAnsiTheme="minorHAnsi" w:cstheme="minorBidi"/>
          <w:noProof/>
          <w:sz w:val="22"/>
          <w:szCs w:val="22"/>
        </w:rPr>
      </w:pPr>
      <w:hyperlink w:anchor="_Toc99123127" w:history="1">
        <w:r w:rsidR="00CB36D7" w:rsidRPr="00FE76B0">
          <w:rPr>
            <w:rStyle w:val="Hyperlink"/>
            <w:noProof/>
          </w:rPr>
          <w:t>3.2</w:t>
        </w:r>
        <w:r w:rsidR="00CB36D7">
          <w:rPr>
            <w:rFonts w:asciiTheme="minorHAnsi" w:eastAsiaTheme="minorEastAsia" w:hAnsiTheme="minorHAnsi" w:cstheme="minorBidi"/>
            <w:noProof/>
            <w:sz w:val="22"/>
            <w:szCs w:val="22"/>
          </w:rPr>
          <w:tab/>
        </w:r>
        <w:r w:rsidR="00CB36D7" w:rsidRPr="00FE76B0">
          <w:rPr>
            <w:rStyle w:val="Hyperlink"/>
            <w:noProof/>
          </w:rPr>
          <w:t>Budgeted financial statements tables</w:t>
        </w:r>
        <w:r w:rsidR="00CB36D7">
          <w:rPr>
            <w:noProof/>
            <w:webHidden/>
          </w:rPr>
          <w:tab/>
        </w:r>
        <w:r w:rsidR="00CB36D7">
          <w:rPr>
            <w:noProof/>
            <w:webHidden/>
          </w:rPr>
          <w:fldChar w:fldCharType="begin"/>
        </w:r>
        <w:r w:rsidR="00CB36D7">
          <w:rPr>
            <w:noProof/>
            <w:webHidden/>
          </w:rPr>
          <w:instrText xml:space="preserve"> PAGEREF _Toc99123127 \h </w:instrText>
        </w:r>
        <w:r w:rsidR="00CB36D7">
          <w:rPr>
            <w:noProof/>
            <w:webHidden/>
          </w:rPr>
        </w:r>
        <w:r w:rsidR="00CB36D7">
          <w:rPr>
            <w:noProof/>
            <w:webHidden/>
          </w:rPr>
          <w:fldChar w:fldCharType="separate"/>
        </w:r>
        <w:r w:rsidR="005C752E">
          <w:rPr>
            <w:noProof/>
            <w:webHidden/>
          </w:rPr>
          <w:t>213</w:t>
        </w:r>
        <w:r w:rsidR="00CB36D7">
          <w:rPr>
            <w:noProof/>
            <w:webHidden/>
          </w:rPr>
          <w:fldChar w:fldCharType="end"/>
        </w:r>
      </w:hyperlink>
    </w:p>
    <w:p w14:paraId="5D3E43A2" w14:textId="6645ED94" w:rsidR="00CB36D7" w:rsidRPr="008B5AFD" w:rsidRDefault="00CB36D7" w:rsidP="00441E4F">
      <w:pPr>
        <w:pStyle w:val="TOC1"/>
      </w:pPr>
      <w:r>
        <w:fldChar w:fldCharType="end"/>
      </w:r>
    </w:p>
    <w:p w14:paraId="38B57AEA" w14:textId="77777777" w:rsidR="00CB36D7" w:rsidRDefault="00CB36D7" w:rsidP="00CB36D7">
      <w:pPr>
        <w:sectPr w:rsidR="00CB36D7"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pPr>
    </w:p>
    <w:p w14:paraId="25392D6A" w14:textId="77777777" w:rsidR="00CB36D7" w:rsidRDefault="00CB36D7" w:rsidP="00850705">
      <w:pPr>
        <w:pStyle w:val="Heading1"/>
      </w:pPr>
      <w:bookmarkStart w:id="3" w:name="_Toc98440169"/>
      <w:bookmarkStart w:id="4" w:name="_Toc117326641"/>
      <w:r w:rsidRPr="00745005">
        <w:lastRenderedPageBreak/>
        <w:t>Australian</w:t>
      </w:r>
      <w:r>
        <w:t xml:space="preserve"> Maritime Safety Authority</w:t>
      </w:r>
      <w:bookmarkEnd w:id="3"/>
      <w:bookmarkEnd w:id="4"/>
    </w:p>
    <w:p w14:paraId="1D8FFD26" w14:textId="77777777" w:rsidR="00CB36D7" w:rsidRPr="002C4D41" w:rsidRDefault="00CB36D7" w:rsidP="00CB36D7">
      <w:pPr>
        <w:pStyle w:val="Heading2-AMSA"/>
      </w:pPr>
      <w:bookmarkStart w:id="5" w:name="_Toc97582506"/>
      <w:bookmarkStart w:id="6" w:name="_Toc99123119"/>
      <w:r w:rsidRPr="002C4D41">
        <w:t xml:space="preserve">Section 1: Entity overview and </w:t>
      </w:r>
      <w:r>
        <w:t>reso</w:t>
      </w:r>
      <w:r w:rsidRPr="002C4D41">
        <w:t>urces</w:t>
      </w:r>
      <w:bookmarkEnd w:id="5"/>
      <w:bookmarkEnd w:id="6"/>
    </w:p>
    <w:p w14:paraId="37EF52C7" w14:textId="77777777" w:rsidR="00CB36D7" w:rsidRDefault="00CB36D7" w:rsidP="00CB36D7">
      <w:pPr>
        <w:pStyle w:val="Heading3-AMSA"/>
      </w:pPr>
      <w:bookmarkStart w:id="7" w:name="_Toc97582507"/>
      <w:bookmarkStart w:id="8" w:name="_Toc99123120"/>
      <w:r>
        <w:t>1.1</w:t>
      </w:r>
      <w:r>
        <w:tab/>
        <w:t>Strategic direction statement</w:t>
      </w:r>
      <w:bookmarkEnd w:id="7"/>
      <w:bookmarkEnd w:id="8"/>
    </w:p>
    <w:p w14:paraId="73476A11" w14:textId="77777777" w:rsidR="00CB36D7" w:rsidRDefault="00CB36D7" w:rsidP="00B67061">
      <w:pPr>
        <w:spacing w:after="120"/>
      </w:pPr>
      <w:r>
        <w:t xml:space="preserve">The Australian Maritime Safety Authority (AMSA) is a statutory authority established under the </w:t>
      </w:r>
      <w:r w:rsidRPr="002B7652">
        <w:rPr>
          <w:i/>
          <w:iCs/>
        </w:rPr>
        <w:t>Australian Maritime Safety Authority Act 1990</w:t>
      </w:r>
      <w:r>
        <w:t xml:space="preserve"> (AMSA Act) to:</w:t>
      </w:r>
    </w:p>
    <w:p w14:paraId="15BCFCD9" w14:textId="77777777" w:rsidR="00CB36D7" w:rsidRPr="0020075B" w:rsidRDefault="00CB36D7" w:rsidP="008D0F63">
      <w:pPr>
        <w:numPr>
          <w:ilvl w:val="0"/>
          <w:numId w:val="20"/>
        </w:numPr>
        <w:spacing w:after="120" w:line="240" w:lineRule="auto"/>
        <w:ind w:left="357" w:hanging="357"/>
      </w:pPr>
      <w:r w:rsidRPr="0020075B">
        <w:t>promote maritime safety and protection of the maritime environment</w:t>
      </w:r>
    </w:p>
    <w:p w14:paraId="0E3CCF40" w14:textId="77777777" w:rsidR="00CB36D7" w:rsidRPr="0020075B" w:rsidRDefault="00CB36D7" w:rsidP="008D0F63">
      <w:pPr>
        <w:numPr>
          <w:ilvl w:val="0"/>
          <w:numId w:val="20"/>
        </w:numPr>
        <w:spacing w:after="120" w:line="240" w:lineRule="auto"/>
        <w:ind w:left="357" w:hanging="357"/>
      </w:pPr>
      <w:r w:rsidRPr="0020075B">
        <w:t>prevent and combat ship-safety pollution in the marine environment</w:t>
      </w:r>
    </w:p>
    <w:p w14:paraId="4DE7897D" w14:textId="77777777" w:rsidR="00CB36D7" w:rsidRPr="0020075B" w:rsidRDefault="00CB36D7" w:rsidP="008D0F63">
      <w:pPr>
        <w:numPr>
          <w:ilvl w:val="0"/>
          <w:numId w:val="20"/>
        </w:numPr>
        <w:spacing w:after="120" w:line="240" w:lineRule="auto"/>
        <w:ind w:left="357" w:hanging="357"/>
      </w:pPr>
      <w:r w:rsidRPr="0020075B">
        <w:t>provide infrastructure to support safety of navigation in Australian waters</w:t>
      </w:r>
    </w:p>
    <w:p w14:paraId="469265F0" w14:textId="77777777" w:rsidR="00CB36D7" w:rsidRPr="0020075B" w:rsidRDefault="00CB36D7" w:rsidP="008D0F63">
      <w:pPr>
        <w:numPr>
          <w:ilvl w:val="0"/>
          <w:numId w:val="20"/>
        </w:numPr>
        <w:spacing w:after="120" w:line="240" w:lineRule="auto"/>
        <w:ind w:left="357" w:hanging="357"/>
      </w:pPr>
      <w:r w:rsidRPr="0020075B">
        <w:t>provide a national search and rescue service to the maritime and aviation sectors</w:t>
      </w:r>
    </w:p>
    <w:p w14:paraId="795D86BE" w14:textId="77777777" w:rsidR="00CB36D7" w:rsidRPr="0020075B" w:rsidRDefault="00CB36D7" w:rsidP="008D0F63">
      <w:pPr>
        <w:numPr>
          <w:ilvl w:val="0"/>
          <w:numId w:val="20"/>
        </w:numPr>
        <w:spacing w:after="120" w:line="240" w:lineRule="auto"/>
        <w:ind w:left="357" w:hanging="357"/>
      </w:pPr>
      <w:r w:rsidRPr="0020075B">
        <w:t>provide, on request, services to the maritime industry on a commercial basis</w:t>
      </w:r>
    </w:p>
    <w:p w14:paraId="14073012" w14:textId="77777777" w:rsidR="00CB36D7" w:rsidRPr="0020075B" w:rsidRDefault="00CB36D7" w:rsidP="008D0F63">
      <w:pPr>
        <w:numPr>
          <w:ilvl w:val="0"/>
          <w:numId w:val="20"/>
        </w:numPr>
        <w:spacing w:after="120" w:line="240" w:lineRule="auto"/>
        <w:ind w:left="357" w:hanging="357"/>
      </w:pPr>
      <w:r w:rsidRPr="0020075B">
        <w:t>provide, on request, services of a maritime nature on a commercial basis to the Commonwealth and/or states and territories</w:t>
      </w:r>
      <w:r>
        <w:t>.</w:t>
      </w:r>
    </w:p>
    <w:p w14:paraId="72CBDE8E" w14:textId="77777777" w:rsidR="00CB36D7" w:rsidRDefault="00CB36D7" w:rsidP="00B67061">
      <w:r>
        <w:t>AMSA regularly assesses its operating environment, challenges, goals, and risks to identify key priorities for coming years.</w:t>
      </w:r>
    </w:p>
    <w:p w14:paraId="1225DA63" w14:textId="77777777" w:rsidR="00CB36D7" w:rsidRDefault="00CB36D7" w:rsidP="00B67061">
      <w:r>
        <w:t>In 2022-23, AMSA will continue to focus on the strategic priorities that reflect AMSA’s statutory responsibilities. AMSA’s objective are consistent with the whole of government regulatory reform agenda and forms the basis for the program objectives and outputs detailed in the following sections.</w:t>
      </w:r>
    </w:p>
    <w:p w14:paraId="0B52672C" w14:textId="77777777" w:rsidR="00B67061" w:rsidRDefault="00CB36D7" w:rsidP="00CB36D7">
      <w:pPr>
        <w:pStyle w:val="Heading3-AMSA"/>
      </w:pPr>
      <w:r w:rsidRPr="0079797F">
        <w:br w:type="page"/>
      </w:r>
      <w:bookmarkStart w:id="9" w:name="_Toc97582508"/>
      <w:bookmarkStart w:id="10" w:name="_Toc99123121"/>
    </w:p>
    <w:p w14:paraId="5137B18D" w14:textId="0C253AEE" w:rsidR="00CB36D7" w:rsidRDefault="00CB36D7" w:rsidP="00CB36D7">
      <w:pPr>
        <w:pStyle w:val="Heading3-AMSA"/>
      </w:pPr>
      <w:r>
        <w:lastRenderedPageBreak/>
        <w:t>1.2</w:t>
      </w:r>
      <w:r>
        <w:tab/>
        <w:t>Entity resource statement</w:t>
      </w:r>
      <w:bookmarkEnd w:id="9"/>
      <w:bookmarkEnd w:id="10"/>
    </w:p>
    <w:p w14:paraId="60A340CB" w14:textId="77777777" w:rsidR="00CB36D7" w:rsidRDefault="00CB36D7" w:rsidP="00CB36D7">
      <w:r>
        <w:t>Table 1.1 shows the total funding from all sources available to AMSA for its operations and to deliver programs and services on behalf of the Government.</w:t>
      </w:r>
    </w:p>
    <w:p w14:paraId="71F98C07" w14:textId="77777777" w:rsidR="00CB36D7" w:rsidRDefault="00CB36D7" w:rsidP="00CB36D7">
      <w:r>
        <w:t>The table summarises how resources will be applied by outcome (government strategic policy objectives) and by departmental (for AMSA’s operations) classification.</w:t>
      </w:r>
    </w:p>
    <w:p w14:paraId="0D7DD20C" w14:textId="77777777" w:rsidR="00CB36D7" w:rsidRDefault="00CB36D7" w:rsidP="00CB36D7">
      <w:r>
        <w:t xml:space="preserve">For more detailed information on special accounts and special appropriations, please refer to </w:t>
      </w:r>
      <w:r w:rsidRPr="00412C0B">
        <w:rPr>
          <w:i/>
        </w:rPr>
        <w:t>Budget Paper No. 4 – Agency Resourcing</w:t>
      </w:r>
      <w:r>
        <w:t>.</w:t>
      </w:r>
    </w:p>
    <w:p w14:paraId="2EEFC03F" w14:textId="77777777" w:rsidR="00CB36D7" w:rsidRDefault="00CB36D7" w:rsidP="00CB36D7">
      <w:r>
        <w:t>Information in this table is presented on a resourcing (that is, appropriations/cash available) basis, whilst the ‘Budgeted expenses by Outcome 1’ tables in Section 2 and the financial statements in Section 3 are presented on an accrual basis.</w:t>
      </w:r>
    </w:p>
    <w:p w14:paraId="3EAEF8F8" w14:textId="77777777" w:rsidR="00CB36D7" w:rsidRDefault="00CB36D7" w:rsidP="00CB36D7">
      <w:pPr>
        <w:pStyle w:val="TableHeading"/>
        <w:rPr>
          <w:lang w:val="en-AU"/>
        </w:rPr>
      </w:pPr>
      <w:r w:rsidRPr="00D44150">
        <w:t xml:space="preserve">Table 1.1: </w:t>
      </w:r>
      <w:r>
        <w:rPr>
          <w:lang w:val="en-AU"/>
        </w:rPr>
        <w:t>Australian Maritime Safety Authority</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October</w:t>
      </w:r>
      <w:r w:rsidRPr="00D44150">
        <w:t xml:space="preserve"> </w:t>
      </w:r>
      <w:r>
        <w:rPr>
          <w:lang w:val="en-AU"/>
        </w:rPr>
        <w:t>2022</w:t>
      </w:r>
    </w:p>
    <w:tbl>
      <w:tblPr>
        <w:tblW w:w="0" w:type="auto"/>
        <w:tblLayout w:type="fixed"/>
        <w:tblLook w:val="04A0" w:firstRow="1" w:lastRow="0" w:firstColumn="1" w:lastColumn="0" w:noHBand="0" w:noVBand="1"/>
      </w:tblPr>
      <w:tblGrid>
        <w:gridCol w:w="5016"/>
        <w:gridCol w:w="1113"/>
        <w:gridCol w:w="1111"/>
      </w:tblGrid>
      <w:tr w:rsidR="00CB36D7" w:rsidRPr="009022B8" w14:paraId="3BE58419" w14:textId="77777777" w:rsidTr="007431A4">
        <w:trPr>
          <w:trHeight w:val="204"/>
        </w:trPr>
        <w:tc>
          <w:tcPr>
            <w:tcW w:w="5016" w:type="dxa"/>
            <w:tcBorders>
              <w:top w:val="single" w:sz="4" w:space="0" w:color="auto"/>
              <w:left w:val="nil"/>
              <w:bottom w:val="nil"/>
              <w:right w:val="nil"/>
            </w:tcBorders>
            <w:shd w:val="clear" w:color="000000" w:fill="FFFFFF"/>
            <w:noWrap/>
            <w:vAlign w:val="bottom"/>
            <w:hideMark/>
          </w:tcPr>
          <w:p w14:paraId="599211E4" w14:textId="77777777" w:rsidR="00CB36D7" w:rsidRPr="009022B8" w:rsidRDefault="00CB36D7" w:rsidP="00CB36D7">
            <w:pPr>
              <w:spacing w:after="0" w:line="240" w:lineRule="auto"/>
              <w:rPr>
                <w:rFonts w:ascii="Arial" w:hAnsi="Arial" w:cs="Arial"/>
                <w:color w:val="000000"/>
                <w:sz w:val="16"/>
                <w:szCs w:val="16"/>
              </w:rPr>
            </w:pPr>
            <w:r w:rsidRPr="009022B8">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53C542D3" w14:textId="77777777" w:rsidR="00CB36D7" w:rsidRPr="009022B8" w:rsidRDefault="00CB36D7" w:rsidP="00CB36D7">
            <w:pPr>
              <w:spacing w:after="0" w:line="240" w:lineRule="auto"/>
              <w:jc w:val="right"/>
              <w:rPr>
                <w:rFonts w:ascii="Arial" w:hAnsi="Arial" w:cs="Arial"/>
                <w:color w:val="000000"/>
                <w:sz w:val="16"/>
                <w:szCs w:val="16"/>
              </w:rPr>
            </w:pPr>
            <w:r w:rsidRPr="009022B8">
              <w:rPr>
                <w:rFonts w:ascii="Arial" w:hAnsi="Arial" w:cs="Arial"/>
                <w:color w:val="000000"/>
                <w:sz w:val="16"/>
                <w:szCs w:val="16"/>
              </w:rPr>
              <w:t>2021-22 Estimated actual</w:t>
            </w:r>
            <w:r w:rsidRPr="009022B8">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auto" w:fill="E6E6E6"/>
            <w:vAlign w:val="bottom"/>
            <w:hideMark/>
          </w:tcPr>
          <w:p w14:paraId="51A1812D" w14:textId="77777777" w:rsidR="00CB36D7" w:rsidRPr="009022B8" w:rsidRDefault="00CB36D7" w:rsidP="00CB36D7">
            <w:pPr>
              <w:spacing w:after="0" w:line="240" w:lineRule="auto"/>
              <w:jc w:val="right"/>
              <w:rPr>
                <w:rFonts w:ascii="Arial" w:hAnsi="Arial" w:cs="Arial"/>
                <w:color w:val="000000"/>
                <w:sz w:val="16"/>
                <w:szCs w:val="16"/>
              </w:rPr>
            </w:pPr>
            <w:r w:rsidRPr="009022B8">
              <w:rPr>
                <w:rFonts w:ascii="Arial" w:hAnsi="Arial" w:cs="Arial"/>
                <w:color w:val="000000"/>
                <w:sz w:val="16"/>
                <w:szCs w:val="16"/>
              </w:rPr>
              <w:t>2022-23 Estimate</w:t>
            </w:r>
            <w:r w:rsidRPr="009022B8">
              <w:rPr>
                <w:rFonts w:ascii="Arial" w:hAnsi="Arial" w:cs="Arial"/>
                <w:color w:val="000000"/>
                <w:sz w:val="16"/>
                <w:szCs w:val="16"/>
              </w:rPr>
              <w:br/>
            </w:r>
            <w:r w:rsidRPr="009022B8">
              <w:rPr>
                <w:rFonts w:ascii="Arial" w:hAnsi="Arial" w:cs="Arial"/>
                <w:color w:val="000000"/>
                <w:sz w:val="16"/>
                <w:szCs w:val="16"/>
              </w:rPr>
              <w:br/>
              <w:t>$'000</w:t>
            </w:r>
          </w:p>
        </w:tc>
      </w:tr>
      <w:tr w:rsidR="00CB36D7" w:rsidRPr="009022B8" w14:paraId="3DD6B551" w14:textId="77777777" w:rsidTr="007431A4">
        <w:trPr>
          <w:trHeight w:val="204"/>
        </w:trPr>
        <w:tc>
          <w:tcPr>
            <w:tcW w:w="5016" w:type="dxa"/>
            <w:tcBorders>
              <w:top w:val="nil"/>
              <w:left w:val="nil"/>
              <w:bottom w:val="nil"/>
              <w:right w:val="nil"/>
            </w:tcBorders>
            <w:shd w:val="clear" w:color="000000" w:fill="FFFFFF"/>
            <w:noWrap/>
            <w:vAlign w:val="bottom"/>
            <w:hideMark/>
          </w:tcPr>
          <w:p w14:paraId="6F098A5F" w14:textId="77777777" w:rsidR="00CB36D7" w:rsidRPr="009022B8" w:rsidRDefault="00CB36D7" w:rsidP="00CB36D7">
            <w:pPr>
              <w:spacing w:after="0" w:line="240" w:lineRule="auto"/>
              <w:rPr>
                <w:rFonts w:ascii="Arial" w:hAnsi="Arial" w:cs="Arial"/>
                <w:b/>
                <w:bCs/>
                <w:color w:val="000000"/>
                <w:sz w:val="16"/>
                <w:szCs w:val="16"/>
              </w:rPr>
            </w:pPr>
            <w:r w:rsidRPr="009022B8">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5C0E4FCD" w14:textId="77777777" w:rsidR="00CB36D7" w:rsidRPr="002F7F2B" w:rsidRDefault="00CB36D7" w:rsidP="00CB36D7">
            <w:pPr>
              <w:spacing w:after="0" w:line="240" w:lineRule="auto"/>
              <w:jc w:val="right"/>
              <w:rPr>
                <w:rFonts w:ascii="Arial" w:hAnsi="Arial" w:cs="Arial"/>
                <w:b/>
                <w:color w:val="000000"/>
                <w:sz w:val="16"/>
                <w:szCs w:val="16"/>
              </w:rPr>
            </w:pPr>
            <w:r w:rsidRPr="002F7F2B">
              <w:rPr>
                <w:rFonts w:ascii="Arial" w:hAnsi="Arial" w:cs="Arial"/>
                <w:b/>
                <w:color w:val="000000"/>
                <w:sz w:val="16"/>
                <w:szCs w:val="16"/>
              </w:rPr>
              <w:t>28,175</w:t>
            </w:r>
          </w:p>
        </w:tc>
        <w:tc>
          <w:tcPr>
            <w:tcW w:w="1111" w:type="dxa"/>
            <w:tcBorders>
              <w:top w:val="single" w:sz="4" w:space="0" w:color="auto"/>
              <w:left w:val="nil"/>
              <w:bottom w:val="single" w:sz="4" w:space="0" w:color="auto"/>
              <w:right w:val="nil"/>
            </w:tcBorders>
            <w:shd w:val="clear" w:color="auto" w:fill="E6E6E6"/>
            <w:noWrap/>
            <w:vAlign w:val="bottom"/>
            <w:hideMark/>
          </w:tcPr>
          <w:p w14:paraId="2C185DE4" w14:textId="77777777" w:rsidR="00CB36D7" w:rsidRPr="002F7F2B" w:rsidRDefault="00CB36D7" w:rsidP="00CB36D7">
            <w:pPr>
              <w:spacing w:after="0" w:line="240" w:lineRule="auto"/>
              <w:jc w:val="right"/>
              <w:rPr>
                <w:rFonts w:ascii="Arial" w:hAnsi="Arial" w:cs="Arial"/>
                <w:b/>
                <w:color w:val="000000"/>
                <w:sz w:val="16"/>
                <w:szCs w:val="16"/>
              </w:rPr>
            </w:pPr>
            <w:r>
              <w:rPr>
                <w:rFonts w:ascii="Arial" w:hAnsi="Arial" w:cs="Arial"/>
                <w:b/>
                <w:color w:val="000000"/>
                <w:sz w:val="16"/>
                <w:szCs w:val="16"/>
              </w:rPr>
              <w:t>33,200</w:t>
            </w:r>
          </w:p>
        </w:tc>
      </w:tr>
      <w:tr w:rsidR="00CB36D7" w:rsidRPr="009022B8" w14:paraId="32209962" w14:textId="77777777" w:rsidTr="007431A4">
        <w:trPr>
          <w:trHeight w:val="204"/>
        </w:trPr>
        <w:tc>
          <w:tcPr>
            <w:tcW w:w="5016" w:type="dxa"/>
            <w:tcBorders>
              <w:top w:val="nil"/>
              <w:left w:val="nil"/>
              <w:bottom w:val="nil"/>
              <w:right w:val="nil"/>
            </w:tcBorders>
            <w:shd w:val="clear" w:color="000000" w:fill="FFFFFF"/>
            <w:vAlign w:val="bottom"/>
            <w:hideMark/>
          </w:tcPr>
          <w:p w14:paraId="70F6B4D2" w14:textId="77777777" w:rsidR="00CB36D7" w:rsidRPr="009022B8" w:rsidRDefault="00CB36D7" w:rsidP="00CB36D7">
            <w:pPr>
              <w:spacing w:after="0" w:line="240" w:lineRule="auto"/>
              <w:rPr>
                <w:rFonts w:ascii="Arial" w:hAnsi="Arial" w:cs="Arial"/>
                <w:b/>
                <w:bCs/>
                <w:color w:val="000000"/>
                <w:sz w:val="16"/>
                <w:szCs w:val="16"/>
              </w:rPr>
            </w:pPr>
            <w:r w:rsidRPr="009022B8">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4383D8AC" w14:textId="77777777" w:rsidR="00CB36D7" w:rsidRPr="009022B8" w:rsidRDefault="00CB36D7" w:rsidP="00CB36D7">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341C060B" w14:textId="77777777" w:rsidR="00CB36D7" w:rsidRPr="009022B8" w:rsidRDefault="00CB36D7" w:rsidP="00CB36D7">
            <w:pPr>
              <w:spacing w:after="0" w:line="240" w:lineRule="auto"/>
              <w:jc w:val="right"/>
              <w:rPr>
                <w:rFonts w:ascii="Arial" w:hAnsi="Arial" w:cs="Arial"/>
                <w:color w:val="000000"/>
                <w:sz w:val="16"/>
                <w:szCs w:val="16"/>
              </w:rPr>
            </w:pPr>
          </w:p>
        </w:tc>
      </w:tr>
      <w:tr w:rsidR="00CB36D7" w:rsidRPr="009022B8" w14:paraId="572DA8AC" w14:textId="77777777" w:rsidTr="00CB36D7">
        <w:trPr>
          <w:trHeight w:val="204"/>
        </w:trPr>
        <w:tc>
          <w:tcPr>
            <w:tcW w:w="5016" w:type="dxa"/>
            <w:tcBorders>
              <w:top w:val="nil"/>
              <w:left w:val="nil"/>
              <w:bottom w:val="nil"/>
              <w:right w:val="nil"/>
            </w:tcBorders>
            <w:shd w:val="clear" w:color="000000" w:fill="FFFFFF"/>
            <w:vAlign w:val="bottom"/>
            <w:hideMark/>
          </w:tcPr>
          <w:p w14:paraId="27A8FFB9"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Annual appropriations - ordinary annual services</w:t>
            </w:r>
            <w:r w:rsidRPr="00AA1100">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19671BC0" w14:textId="77777777" w:rsidR="00CB36D7" w:rsidRPr="00AA1100" w:rsidRDefault="00CB36D7" w:rsidP="00CB36D7">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23A0496D" w14:textId="77777777" w:rsidR="00CB36D7" w:rsidRPr="00AA1100" w:rsidRDefault="00CB36D7" w:rsidP="00CB36D7">
            <w:pPr>
              <w:spacing w:after="0" w:line="240" w:lineRule="auto"/>
              <w:jc w:val="right"/>
              <w:rPr>
                <w:rFonts w:ascii="Arial" w:hAnsi="Arial" w:cs="Arial"/>
                <w:color w:val="000000"/>
                <w:sz w:val="16"/>
                <w:szCs w:val="16"/>
              </w:rPr>
            </w:pPr>
          </w:p>
        </w:tc>
      </w:tr>
      <w:tr w:rsidR="00CB36D7" w:rsidRPr="009022B8" w14:paraId="65999933" w14:textId="77777777" w:rsidTr="00CB36D7">
        <w:trPr>
          <w:trHeight w:val="204"/>
        </w:trPr>
        <w:tc>
          <w:tcPr>
            <w:tcW w:w="5016" w:type="dxa"/>
            <w:tcBorders>
              <w:top w:val="nil"/>
              <w:left w:val="nil"/>
              <w:bottom w:val="nil"/>
              <w:right w:val="nil"/>
            </w:tcBorders>
            <w:shd w:val="clear" w:color="000000" w:fill="FFFFFF"/>
            <w:vAlign w:val="bottom"/>
            <w:hideMark/>
          </w:tcPr>
          <w:p w14:paraId="0DACB2AB" w14:textId="77777777"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Outcome 1</w:t>
            </w:r>
          </w:p>
        </w:tc>
        <w:tc>
          <w:tcPr>
            <w:tcW w:w="1113" w:type="dxa"/>
            <w:tcBorders>
              <w:top w:val="nil"/>
              <w:left w:val="nil"/>
              <w:bottom w:val="nil"/>
              <w:right w:val="nil"/>
            </w:tcBorders>
            <w:shd w:val="clear" w:color="auto" w:fill="auto"/>
            <w:noWrap/>
            <w:vAlign w:val="bottom"/>
            <w:hideMark/>
          </w:tcPr>
          <w:p w14:paraId="354EF7FA"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87,804</w:t>
            </w:r>
          </w:p>
        </w:tc>
        <w:tc>
          <w:tcPr>
            <w:tcW w:w="1111" w:type="dxa"/>
            <w:tcBorders>
              <w:top w:val="nil"/>
              <w:left w:val="nil"/>
              <w:bottom w:val="nil"/>
              <w:right w:val="nil"/>
            </w:tcBorders>
            <w:shd w:val="clear" w:color="auto" w:fill="E6E6E6"/>
            <w:noWrap/>
            <w:vAlign w:val="bottom"/>
            <w:hideMark/>
          </w:tcPr>
          <w:p w14:paraId="318C11F4"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92,893</w:t>
            </w:r>
          </w:p>
        </w:tc>
      </w:tr>
      <w:tr w:rsidR="00CB36D7" w:rsidRPr="009022B8" w14:paraId="2BFED09B" w14:textId="77777777" w:rsidTr="00CB36D7">
        <w:trPr>
          <w:trHeight w:val="204"/>
        </w:trPr>
        <w:tc>
          <w:tcPr>
            <w:tcW w:w="5016" w:type="dxa"/>
            <w:tcBorders>
              <w:top w:val="nil"/>
              <w:left w:val="nil"/>
              <w:bottom w:val="nil"/>
              <w:right w:val="nil"/>
            </w:tcBorders>
            <w:shd w:val="clear" w:color="000000" w:fill="FFFFFF"/>
            <w:vAlign w:val="bottom"/>
            <w:hideMark/>
          </w:tcPr>
          <w:p w14:paraId="50973861"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auto" w:fill="auto"/>
            <w:noWrap/>
            <w:vAlign w:val="bottom"/>
            <w:hideMark/>
          </w:tcPr>
          <w:p w14:paraId="545ACEEF"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87,804</w:t>
            </w:r>
          </w:p>
        </w:tc>
        <w:tc>
          <w:tcPr>
            <w:tcW w:w="1111" w:type="dxa"/>
            <w:tcBorders>
              <w:top w:val="single" w:sz="4" w:space="0" w:color="auto"/>
              <w:left w:val="nil"/>
              <w:bottom w:val="single" w:sz="4" w:space="0" w:color="auto"/>
              <w:right w:val="nil"/>
            </w:tcBorders>
            <w:shd w:val="clear" w:color="auto" w:fill="E6E6E6"/>
            <w:noWrap/>
            <w:vAlign w:val="bottom"/>
            <w:hideMark/>
          </w:tcPr>
          <w:p w14:paraId="3AC17DAB"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92,893</w:t>
            </w:r>
          </w:p>
        </w:tc>
      </w:tr>
      <w:tr w:rsidR="00CB36D7" w:rsidRPr="009022B8" w14:paraId="2A8E7622" w14:textId="77777777" w:rsidTr="00CB36D7">
        <w:trPr>
          <w:trHeight w:val="204"/>
        </w:trPr>
        <w:tc>
          <w:tcPr>
            <w:tcW w:w="5016" w:type="dxa"/>
            <w:tcBorders>
              <w:top w:val="nil"/>
              <w:left w:val="nil"/>
              <w:bottom w:val="nil"/>
              <w:right w:val="nil"/>
            </w:tcBorders>
            <w:shd w:val="clear" w:color="000000" w:fill="FFFFFF"/>
            <w:vAlign w:val="bottom"/>
            <w:hideMark/>
          </w:tcPr>
          <w:p w14:paraId="699588B9"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Special appropriations</w:t>
            </w:r>
          </w:p>
        </w:tc>
        <w:tc>
          <w:tcPr>
            <w:tcW w:w="1113" w:type="dxa"/>
            <w:tcBorders>
              <w:top w:val="nil"/>
              <w:left w:val="nil"/>
              <w:bottom w:val="nil"/>
              <w:right w:val="nil"/>
            </w:tcBorders>
            <w:shd w:val="clear" w:color="auto" w:fill="auto"/>
            <w:noWrap/>
            <w:vAlign w:val="bottom"/>
            <w:hideMark/>
          </w:tcPr>
          <w:p w14:paraId="28AB06D0" w14:textId="77777777" w:rsidR="00CB36D7" w:rsidRPr="00AA1100" w:rsidRDefault="00CB36D7" w:rsidP="00CB36D7">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443118BA" w14:textId="77777777" w:rsidR="00CB36D7" w:rsidRPr="00AA1100" w:rsidRDefault="00CB36D7" w:rsidP="00CB36D7">
            <w:pPr>
              <w:spacing w:after="0" w:line="240" w:lineRule="auto"/>
              <w:jc w:val="right"/>
              <w:rPr>
                <w:rFonts w:ascii="Arial" w:hAnsi="Arial" w:cs="Arial"/>
                <w:color w:val="000000"/>
                <w:sz w:val="16"/>
                <w:szCs w:val="16"/>
              </w:rPr>
            </w:pPr>
          </w:p>
        </w:tc>
      </w:tr>
      <w:tr w:rsidR="00CB36D7" w:rsidRPr="009022B8" w14:paraId="097524AC" w14:textId="77777777" w:rsidTr="00CB36D7">
        <w:trPr>
          <w:trHeight w:val="204"/>
        </w:trPr>
        <w:tc>
          <w:tcPr>
            <w:tcW w:w="5016" w:type="dxa"/>
            <w:tcBorders>
              <w:top w:val="nil"/>
              <w:left w:val="nil"/>
              <w:bottom w:val="nil"/>
              <w:right w:val="nil"/>
            </w:tcBorders>
            <w:shd w:val="clear" w:color="000000" w:fill="FFFFFF"/>
            <w:noWrap/>
            <w:vAlign w:val="bottom"/>
            <w:hideMark/>
          </w:tcPr>
          <w:p w14:paraId="3656B2AB" w14:textId="77777777" w:rsidR="00CB36D7" w:rsidRPr="00AA1100" w:rsidRDefault="00CB36D7" w:rsidP="00CB36D7">
            <w:pPr>
              <w:spacing w:after="0" w:line="240" w:lineRule="auto"/>
              <w:ind w:left="113"/>
              <w:rPr>
                <w:rFonts w:ascii="Arial" w:hAnsi="Arial" w:cs="Arial"/>
                <w:i/>
                <w:iCs/>
                <w:color w:val="000000"/>
                <w:sz w:val="16"/>
                <w:szCs w:val="16"/>
              </w:rPr>
            </w:pPr>
            <w:r w:rsidRPr="00AA1100">
              <w:rPr>
                <w:rFonts w:ascii="Arial" w:hAnsi="Arial" w:cs="Arial"/>
                <w:i/>
                <w:iCs/>
                <w:color w:val="000000"/>
                <w:sz w:val="16"/>
                <w:szCs w:val="16"/>
              </w:rPr>
              <w:t>Australian Maritime Safety Authority Act 1990</w:t>
            </w:r>
            <w:r w:rsidRPr="00AA1100">
              <w:rPr>
                <w:rFonts w:ascii="Arial" w:hAnsi="Arial" w:cs="Arial"/>
                <w:i/>
                <w:iCs/>
                <w:color w:val="000000"/>
                <w:sz w:val="16"/>
                <w:szCs w:val="16"/>
                <w:vertAlign w:val="superscript"/>
              </w:rPr>
              <w:t xml:space="preserve"> (b)</w:t>
            </w:r>
          </w:p>
        </w:tc>
        <w:tc>
          <w:tcPr>
            <w:tcW w:w="1113" w:type="dxa"/>
            <w:tcBorders>
              <w:top w:val="nil"/>
              <w:left w:val="nil"/>
              <w:bottom w:val="nil"/>
              <w:right w:val="nil"/>
            </w:tcBorders>
            <w:shd w:val="clear" w:color="auto" w:fill="auto"/>
            <w:noWrap/>
            <w:vAlign w:val="bottom"/>
            <w:hideMark/>
          </w:tcPr>
          <w:p w14:paraId="37112C6E"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135,641</w:t>
            </w:r>
          </w:p>
        </w:tc>
        <w:tc>
          <w:tcPr>
            <w:tcW w:w="1111" w:type="dxa"/>
            <w:tcBorders>
              <w:top w:val="nil"/>
              <w:left w:val="nil"/>
              <w:bottom w:val="nil"/>
              <w:right w:val="nil"/>
            </w:tcBorders>
            <w:shd w:val="clear" w:color="auto" w:fill="E6E6E6"/>
            <w:noWrap/>
            <w:vAlign w:val="bottom"/>
            <w:hideMark/>
          </w:tcPr>
          <w:p w14:paraId="28E2376D"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134,642</w:t>
            </w:r>
          </w:p>
        </w:tc>
      </w:tr>
      <w:tr w:rsidR="00CB36D7" w:rsidRPr="009022B8" w14:paraId="04AE3CCD" w14:textId="77777777" w:rsidTr="00CB36D7">
        <w:trPr>
          <w:trHeight w:val="204"/>
        </w:trPr>
        <w:tc>
          <w:tcPr>
            <w:tcW w:w="5016" w:type="dxa"/>
            <w:tcBorders>
              <w:top w:val="nil"/>
              <w:left w:val="nil"/>
              <w:bottom w:val="nil"/>
              <w:right w:val="nil"/>
            </w:tcBorders>
            <w:shd w:val="clear" w:color="000000" w:fill="FFFFFF"/>
            <w:noWrap/>
            <w:vAlign w:val="bottom"/>
            <w:hideMark/>
          </w:tcPr>
          <w:p w14:paraId="6E0C8651"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Total special appropriations</w:t>
            </w:r>
          </w:p>
        </w:tc>
        <w:tc>
          <w:tcPr>
            <w:tcW w:w="1113" w:type="dxa"/>
            <w:tcBorders>
              <w:top w:val="single" w:sz="4" w:space="0" w:color="auto"/>
              <w:left w:val="nil"/>
              <w:bottom w:val="single" w:sz="4" w:space="0" w:color="auto"/>
              <w:right w:val="nil"/>
            </w:tcBorders>
            <w:shd w:val="clear" w:color="auto" w:fill="auto"/>
            <w:noWrap/>
            <w:vAlign w:val="bottom"/>
            <w:hideMark/>
          </w:tcPr>
          <w:p w14:paraId="7189B53A"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135,641</w:t>
            </w:r>
          </w:p>
        </w:tc>
        <w:tc>
          <w:tcPr>
            <w:tcW w:w="1111" w:type="dxa"/>
            <w:tcBorders>
              <w:top w:val="single" w:sz="4" w:space="0" w:color="auto"/>
              <w:left w:val="nil"/>
              <w:bottom w:val="single" w:sz="4" w:space="0" w:color="auto"/>
              <w:right w:val="nil"/>
            </w:tcBorders>
            <w:shd w:val="clear" w:color="auto" w:fill="E6E6E6"/>
            <w:noWrap/>
            <w:vAlign w:val="bottom"/>
            <w:hideMark/>
          </w:tcPr>
          <w:p w14:paraId="4AFA702D"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134,642</w:t>
            </w:r>
          </w:p>
        </w:tc>
      </w:tr>
      <w:tr w:rsidR="00CB36D7" w:rsidRPr="009022B8" w14:paraId="4028ADCC" w14:textId="77777777" w:rsidTr="00CB36D7">
        <w:trPr>
          <w:trHeight w:val="204"/>
        </w:trPr>
        <w:tc>
          <w:tcPr>
            <w:tcW w:w="5016" w:type="dxa"/>
            <w:tcBorders>
              <w:top w:val="nil"/>
              <w:left w:val="nil"/>
              <w:bottom w:val="nil"/>
              <w:right w:val="nil"/>
            </w:tcBorders>
            <w:shd w:val="clear" w:color="000000" w:fill="FFFFFF"/>
            <w:vAlign w:val="bottom"/>
            <w:hideMark/>
          </w:tcPr>
          <w:p w14:paraId="2B5F3EC5"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 xml:space="preserve">Amounts received from related entities </w:t>
            </w:r>
            <w:r w:rsidRPr="00AA1100">
              <w:rPr>
                <w:rFonts w:ascii="Arial" w:hAnsi="Arial" w:cs="Arial"/>
                <w:color w:val="000000"/>
                <w:sz w:val="16"/>
                <w:szCs w:val="16"/>
                <w:vertAlign w:val="superscript"/>
              </w:rPr>
              <w:t>(c)</w:t>
            </w:r>
          </w:p>
        </w:tc>
        <w:tc>
          <w:tcPr>
            <w:tcW w:w="1113" w:type="dxa"/>
            <w:tcBorders>
              <w:top w:val="nil"/>
              <w:left w:val="nil"/>
              <w:bottom w:val="nil"/>
              <w:right w:val="nil"/>
            </w:tcBorders>
            <w:shd w:val="clear" w:color="auto" w:fill="auto"/>
            <w:noWrap/>
            <w:vAlign w:val="bottom"/>
            <w:hideMark/>
          </w:tcPr>
          <w:p w14:paraId="7FF7CB2D" w14:textId="77777777" w:rsidR="00CB36D7" w:rsidRPr="00AA1100" w:rsidRDefault="00CB36D7" w:rsidP="00CB36D7">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603A85B7" w14:textId="77777777" w:rsidR="00CB36D7" w:rsidRPr="00AA1100" w:rsidRDefault="00CB36D7" w:rsidP="00CB36D7">
            <w:pPr>
              <w:spacing w:after="0" w:line="240" w:lineRule="auto"/>
              <w:jc w:val="right"/>
              <w:rPr>
                <w:rFonts w:ascii="Arial" w:hAnsi="Arial" w:cs="Arial"/>
                <w:color w:val="000000"/>
                <w:sz w:val="16"/>
                <w:szCs w:val="16"/>
              </w:rPr>
            </w:pPr>
          </w:p>
        </w:tc>
      </w:tr>
      <w:tr w:rsidR="00CB36D7" w:rsidRPr="009022B8" w14:paraId="5E191936" w14:textId="77777777" w:rsidTr="00CB36D7">
        <w:trPr>
          <w:trHeight w:val="204"/>
        </w:trPr>
        <w:tc>
          <w:tcPr>
            <w:tcW w:w="5016" w:type="dxa"/>
            <w:tcBorders>
              <w:top w:val="nil"/>
              <w:left w:val="nil"/>
              <w:bottom w:val="nil"/>
              <w:right w:val="nil"/>
            </w:tcBorders>
            <w:shd w:val="clear" w:color="000000" w:fill="FFFFFF"/>
            <w:vAlign w:val="bottom"/>
            <w:hideMark/>
          </w:tcPr>
          <w:p w14:paraId="73A04FA9" w14:textId="5D56C750"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 xml:space="preserve">Department of </w:t>
            </w:r>
            <w:r>
              <w:rPr>
                <w:rFonts w:ascii="Arial" w:hAnsi="Arial" w:cs="Arial"/>
                <w:color w:val="000000"/>
                <w:sz w:val="16"/>
                <w:szCs w:val="16"/>
              </w:rPr>
              <w:t xml:space="preserve">Infrastructure, Transport, Regional </w:t>
            </w:r>
            <w:r w:rsidR="00DE1AF0">
              <w:rPr>
                <w:rFonts w:ascii="Arial" w:hAnsi="Arial" w:cs="Arial"/>
                <w:color w:val="000000"/>
                <w:sz w:val="16"/>
                <w:szCs w:val="16"/>
              </w:rPr>
              <w:t>Development</w:t>
            </w:r>
            <w:r>
              <w:rPr>
                <w:rFonts w:ascii="Arial" w:hAnsi="Arial" w:cs="Arial"/>
                <w:color w:val="000000"/>
                <w:sz w:val="16"/>
                <w:szCs w:val="16"/>
              </w:rPr>
              <w:t>, Communications and the Arts</w:t>
            </w:r>
          </w:p>
        </w:tc>
        <w:tc>
          <w:tcPr>
            <w:tcW w:w="1113" w:type="dxa"/>
            <w:tcBorders>
              <w:top w:val="nil"/>
              <w:left w:val="nil"/>
              <w:bottom w:val="nil"/>
              <w:right w:val="nil"/>
            </w:tcBorders>
            <w:shd w:val="clear" w:color="auto" w:fill="auto"/>
            <w:noWrap/>
            <w:vAlign w:val="bottom"/>
            <w:hideMark/>
          </w:tcPr>
          <w:p w14:paraId="681CFD74"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3,433</w:t>
            </w:r>
          </w:p>
        </w:tc>
        <w:tc>
          <w:tcPr>
            <w:tcW w:w="1111" w:type="dxa"/>
            <w:tcBorders>
              <w:top w:val="nil"/>
              <w:left w:val="nil"/>
              <w:bottom w:val="nil"/>
              <w:right w:val="nil"/>
            </w:tcBorders>
            <w:shd w:val="clear" w:color="auto" w:fill="E6E6E6"/>
            <w:noWrap/>
            <w:vAlign w:val="bottom"/>
            <w:hideMark/>
          </w:tcPr>
          <w:p w14:paraId="3B343D1B"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w:t>
            </w:r>
          </w:p>
        </w:tc>
      </w:tr>
      <w:tr w:rsidR="00CB36D7" w:rsidRPr="009022B8" w14:paraId="6604AD3F" w14:textId="77777777" w:rsidTr="00CB36D7">
        <w:trPr>
          <w:trHeight w:val="204"/>
        </w:trPr>
        <w:tc>
          <w:tcPr>
            <w:tcW w:w="5016" w:type="dxa"/>
            <w:tcBorders>
              <w:top w:val="nil"/>
              <w:left w:val="nil"/>
              <w:bottom w:val="nil"/>
              <w:right w:val="nil"/>
            </w:tcBorders>
            <w:shd w:val="clear" w:color="000000" w:fill="FFFFFF"/>
            <w:vAlign w:val="bottom"/>
          </w:tcPr>
          <w:p w14:paraId="03E915BF" w14:textId="77777777"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Department of Climate Change, Energy, the Environment and Water</w:t>
            </w:r>
          </w:p>
        </w:tc>
        <w:tc>
          <w:tcPr>
            <w:tcW w:w="1113" w:type="dxa"/>
            <w:tcBorders>
              <w:top w:val="nil"/>
              <w:left w:val="nil"/>
              <w:bottom w:val="nil"/>
              <w:right w:val="nil"/>
            </w:tcBorders>
            <w:shd w:val="clear" w:color="auto" w:fill="auto"/>
            <w:noWrap/>
            <w:vAlign w:val="bottom"/>
          </w:tcPr>
          <w:p w14:paraId="1FF3EDCC"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45</w:t>
            </w:r>
          </w:p>
        </w:tc>
        <w:tc>
          <w:tcPr>
            <w:tcW w:w="1111" w:type="dxa"/>
            <w:tcBorders>
              <w:top w:val="nil"/>
              <w:left w:val="nil"/>
              <w:bottom w:val="nil"/>
              <w:right w:val="nil"/>
            </w:tcBorders>
            <w:shd w:val="clear" w:color="auto" w:fill="E6E6E6"/>
            <w:noWrap/>
            <w:vAlign w:val="bottom"/>
          </w:tcPr>
          <w:p w14:paraId="6BF6616E"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w:t>
            </w:r>
          </w:p>
        </w:tc>
      </w:tr>
      <w:tr w:rsidR="00CB36D7" w:rsidRPr="009022B8" w14:paraId="5D099C51" w14:textId="77777777" w:rsidTr="00CB36D7">
        <w:trPr>
          <w:trHeight w:val="204"/>
        </w:trPr>
        <w:tc>
          <w:tcPr>
            <w:tcW w:w="5016" w:type="dxa"/>
            <w:tcBorders>
              <w:top w:val="nil"/>
              <w:left w:val="nil"/>
              <w:bottom w:val="nil"/>
              <w:right w:val="nil"/>
            </w:tcBorders>
            <w:shd w:val="clear" w:color="000000" w:fill="FFFFFF"/>
            <w:vAlign w:val="bottom"/>
            <w:hideMark/>
          </w:tcPr>
          <w:p w14:paraId="5C77467E" w14:textId="77777777" w:rsidR="00CB36D7" w:rsidRPr="00AA1100" w:rsidRDefault="00CB36D7" w:rsidP="00CB36D7">
            <w:pPr>
              <w:spacing w:after="0" w:line="240" w:lineRule="auto"/>
              <w:rPr>
                <w:rFonts w:ascii="Arial" w:hAnsi="Arial" w:cs="Arial"/>
                <w:color w:val="000000"/>
                <w:sz w:val="16"/>
                <w:szCs w:val="16"/>
              </w:rPr>
            </w:pPr>
            <w:r w:rsidRPr="00AA1100">
              <w:rPr>
                <w:rFonts w:ascii="Arial" w:hAnsi="Arial" w:cs="Arial"/>
                <w:color w:val="000000"/>
                <w:sz w:val="16"/>
                <w:szCs w:val="16"/>
              </w:rPr>
              <w:t>Total amounts received from related entities</w:t>
            </w:r>
          </w:p>
        </w:tc>
        <w:tc>
          <w:tcPr>
            <w:tcW w:w="1113" w:type="dxa"/>
            <w:tcBorders>
              <w:top w:val="single" w:sz="4" w:space="0" w:color="auto"/>
              <w:left w:val="nil"/>
              <w:bottom w:val="single" w:sz="4" w:space="0" w:color="auto"/>
              <w:right w:val="nil"/>
            </w:tcBorders>
            <w:shd w:val="clear" w:color="auto" w:fill="auto"/>
            <w:noWrap/>
            <w:vAlign w:val="bottom"/>
            <w:hideMark/>
          </w:tcPr>
          <w:p w14:paraId="66D82C3C"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3,478</w:t>
            </w:r>
          </w:p>
        </w:tc>
        <w:tc>
          <w:tcPr>
            <w:tcW w:w="1111" w:type="dxa"/>
            <w:tcBorders>
              <w:top w:val="single" w:sz="4" w:space="0" w:color="auto"/>
              <w:left w:val="nil"/>
              <w:bottom w:val="single" w:sz="4" w:space="0" w:color="auto"/>
              <w:right w:val="nil"/>
            </w:tcBorders>
            <w:shd w:val="clear" w:color="auto" w:fill="E6E6E6"/>
            <w:noWrap/>
            <w:vAlign w:val="bottom"/>
            <w:hideMark/>
          </w:tcPr>
          <w:p w14:paraId="0E25D92F"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w:t>
            </w:r>
          </w:p>
        </w:tc>
      </w:tr>
      <w:tr w:rsidR="00CB36D7" w:rsidRPr="009022B8" w14:paraId="6725EDFB" w14:textId="77777777" w:rsidTr="007431A4">
        <w:trPr>
          <w:trHeight w:val="204"/>
        </w:trPr>
        <w:tc>
          <w:tcPr>
            <w:tcW w:w="5016" w:type="dxa"/>
            <w:tcBorders>
              <w:top w:val="nil"/>
              <w:left w:val="nil"/>
              <w:bottom w:val="nil"/>
              <w:right w:val="nil"/>
            </w:tcBorders>
            <w:shd w:val="clear" w:color="000000" w:fill="FFFFFF"/>
            <w:vAlign w:val="bottom"/>
            <w:hideMark/>
          </w:tcPr>
          <w:p w14:paraId="54BEAAC3" w14:textId="77777777" w:rsidR="00CB36D7" w:rsidRPr="00AA1100" w:rsidRDefault="00CB36D7" w:rsidP="00CB36D7">
            <w:pPr>
              <w:spacing w:after="0" w:line="240" w:lineRule="auto"/>
              <w:rPr>
                <w:rFonts w:ascii="Arial" w:hAnsi="Arial" w:cs="Arial"/>
                <w:b/>
                <w:bCs/>
                <w:color w:val="000000"/>
                <w:sz w:val="16"/>
                <w:szCs w:val="16"/>
              </w:rPr>
            </w:pPr>
            <w:r w:rsidRPr="00AA1100">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31A9E4CA"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226,923</w:t>
            </w:r>
          </w:p>
        </w:tc>
        <w:tc>
          <w:tcPr>
            <w:tcW w:w="1111" w:type="dxa"/>
            <w:tcBorders>
              <w:top w:val="single" w:sz="4" w:space="0" w:color="auto"/>
              <w:left w:val="nil"/>
              <w:bottom w:val="single" w:sz="4" w:space="0" w:color="auto"/>
              <w:right w:val="nil"/>
            </w:tcBorders>
            <w:shd w:val="clear" w:color="auto" w:fill="E6E6E6"/>
            <w:noWrap/>
            <w:vAlign w:val="bottom"/>
            <w:hideMark/>
          </w:tcPr>
          <w:p w14:paraId="5DBAED14"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227,535</w:t>
            </w:r>
          </w:p>
        </w:tc>
      </w:tr>
      <w:tr w:rsidR="00CB36D7" w:rsidRPr="009022B8" w14:paraId="07098E73" w14:textId="77777777" w:rsidTr="007431A4">
        <w:trPr>
          <w:trHeight w:val="204"/>
        </w:trPr>
        <w:tc>
          <w:tcPr>
            <w:tcW w:w="5016" w:type="dxa"/>
            <w:tcBorders>
              <w:top w:val="nil"/>
              <w:left w:val="nil"/>
              <w:bottom w:val="nil"/>
              <w:right w:val="nil"/>
            </w:tcBorders>
            <w:shd w:val="clear" w:color="000000" w:fill="FFFFFF"/>
            <w:vAlign w:val="bottom"/>
            <w:hideMark/>
          </w:tcPr>
          <w:p w14:paraId="3527AE98" w14:textId="77777777" w:rsidR="00CB36D7" w:rsidRPr="00AA1100" w:rsidRDefault="00CB36D7" w:rsidP="00CB36D7">
            <w:pPr>
              <w:spacing w:after="0" w:line="240" w:lineRule="auto"/>
              <w:rPr>
                <w:rFonts w:ascii="Arial" w:hAnsi="Arial" w:cs="Arial"/>
                <w:b/>
                <w:bCs/>
                <w:color w:val="000000"/>
                <w:sz w:val="16"/>
                <w:szCs w:val="16"/>
              </w:rPr>
            </w:pPr>
            <w:r w:rsidRPr="00AA1100">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4E61D316" w14:textId="77777777" w:rsidR="00CB36D7" w:rsidRPr="00AA1100" w:rsidRDefault="00CB36D7" w:rsidP="00CB36D7">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auto" w:fill="E6E6E6"/>
            <w:noWrap/>
            <w:vAlign w:val="bottom"/>
            <w:hideMark/>
          </w:tcPr>
          <w:p w14:paraId="19EBD2FA" w14:textId="77777777" w:rsidR="00CB36D7" w:rsidRPr="00AA1100" w:rsidRDefault="00CB36D7" w:rsidP="00CB36D7">
            <w:pPr>
              <w:spacing w:after="0" w:line="240" w:lineRule="auto"/>
              <w:jc w:val="right"/>
              <w:rPr>
                <w:rFonts w:ascii="Arial" w:hAnsi="Arial" w:cs="Arial"/>
                <w:color w:val="000000"/>
                <w:sz w:val="16"/>
                <w:szCs w:val="16"/>
              </w:rPr>
            </w:pPr>
          </w:p>
        </w:tc>
      </w:tr>
      <w:tr w:rsidR="00CB36D7" w:rsidRPr="009022B8" w14:paraId="059C709A" w14:textId="77777777" w:rsidTr="007431A4">
        <w:trPr>
          <w:trHeight w:val="204"/>
        </w:trPr>
        <w:tc>
          <w:tcPr>
            <w:tcW w:w="5016" w:type="dxa"/>
            <w:tcBorders>
              <w:top w:val="nil"/>
              <w:left w:val="nil"/>
              <w:bottom w:val="nil"/>
              <w:right w:val="nil"/>
            </w:tcBorders>
            <w:shd w:val="clear" w:color="000000" w:fill="FFFFFF"/>
            <w:vAlign w:val="bottom"/>
            <w:hideMark/>
          </w:tcPr>
          <w:p w14:paraId="14AA8C26" w14:textId="77777777"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6DCF5462"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476</w:t>
            </w:r>
          </w:p>
        </w:tc>
        <w:tc>
          <w:tcPr>
            <w:tcW w:w="1111" w:type="dxa"/>
            <w:tcBorders>
              <w:top w:val="nil"/>
              <w:left w:val="nil"/>
              <w:bottom w:val="nil"/>
              <w:right w:val="nil"/>
            </w:tcBorders>
            <w:shd w:val="clear" w:color="auto" w:fill="E6E6E6"/>
            <w:noWrap/>
            <w:vAlign w:val="bottom"/>
            <w:hideMark/>
          </w:tcPr>
          <w:p w14:paraId="45E537DA"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468</w:t>
            </w:r>
          </w:p>
        </w:tc>
      </w:tr>
      <w:tr w:rsidR="00CB36D7" w:rsidRPr="009022B8" w14:paraId="34CF2709" w14:textId="77777777" w:rsidTr="007431A4">
        <w:trPr>
          <w:trHeight w:val="204"/>
        </w:trPr>
        <w:tc>
          <w:tcPr>
            <w:tcW w:w="5016" w:type="dxa"/>
            <w:tcBorders>
              <w:top w:val="nil"/>
              <w:left w:val="nil"/>
              <w:bottom w:val="nil"/>
              <w:right w:val="nil"/>
            </w:tcBorders>
            <w:shd w:val="clear" w:color="000000" w:fill="FFFFFF"/>
            <w:vAlign w:val="bottom"/>
            <w:hideMark/>
          </w:tcPr>
          <w:p w14:paraId="5D988595" w14:textId="77777777"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Sale of goods and services</w:t>
            </w:r>
          </w:p>
        </w:tc>
        <w:tc>
          <w:tcPr>
            <w:tcW w:w="1113" w:type="dxa"/>
            <w:tcBorders>
              <w:top w:val="nil"/>
              <w:left w:val="nil"/>
              <w:bottom w:val="nil"/>
              <w:right w:val="nil"/>
            </w:tcBorders>
            <w:shd w:val="clear" w:color="000000" w:fill="FFFFFF"/>
            <w:noWrap/>
            <w:vAlign w:val="bottom"/>
            <w:hideMark/>
          </w:tcPr>
          <w:p w14:paraId="3F498377"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12,281</w:t>
            </w:r>
          </w:p>
        </w:tc>
        <w:tc>
          <w:tcPr>
            <w:tcW w:w="1111" w:type="dxa"/>
            <w:tcBorders>
              <w:top w:val="nil"/>
              <w:left w:val="nil"/>
              <w:bottom w:val="nil"/>
              <w:right w:val="nil"/>
            </w:tcBorders>
            <w:shd w:val="clear" w:color="auto" w:fill="E6E6E6"/>
            <w:noWrap/>
            <w:vAlign w:val="bottom"/>
            <w:hideMark/>
          </w:tcPr>
          <w:p w14:paraId="02453A03"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9,611</w:t>
            </w:r>
          </w:p>
        </w:tc>
      </w:tr>
      <w:tr w:rsidR="00CB36D7" w:rsidRPr="009022B8" w14:paraId="3F4FF42A" w14:textId="77777777" w:rsidTr="007431A4">
        <w:trPr>
          <w:trHeight w:val="204"/>
        </w:trPr>
        <w:tc>
          <w:tcPr>
            <w:tcW w:w="5016" w:type="dxa"/>
            <w:tcBorders>
              <w:top w:val="nil"/>
              <w:left w:val="nil"/>
              <w:bottom w:val="nil"/>
              <w:right w:val="nil"/>
            </w:tcBorders>
            <w:shd w:val="clear" w:color="000000" w:fill="FFFFFF"/>
            <w:vAlign w:val="bottom"/>
            <w:hideMark/>
          </w:tcPr>
          <w:p w14:paraId="0A19429E" w14:textId="77777777" w:rsidR="00CB36D7" w:rsidRPr="00AA1100" w:rsidRDefault="00CB36D7" w:rsidP="00CB36D7">
            <w:pPr>
              <w:spacing w:after="0" w:line="240" w:lineRule="auto"/>
              <w:ind w:left="113"/>
              <w:rPr>
                <w:rFonts w:ascii="Arial" w:hAnsi="Arial" w:cs="Arial"/>
                <w:color w:val="000000"/>
                <w:sz w:val="16"/>
                <w:szCs w:val="16"/>
              </w:rPr>
            </w:pPr>
            <w:r w:rsidRPr="00AA1100">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061D5050"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21,798</w:t>
            </w:r>
          </w:p>
        </w:tc>
        <w:tc>
          <w:tcPr>
            <w:tcW w:w="1111" w:type="dxa"/>
            <w:tcBorders>
              <w:top w:val="nil"/>
              <w:left w:val="nil"/>
              <w:bottom w:val="nil"/>
              <w:right w:val="nil"/>
            </w:tcBorders>
            <w:shd w:val="clear" w:color="auto" w:fill="E6E6E6"/>
            <w:noWrap/>
            <w:vAlign w:val="bottom"/>
            <w:hideMark/>
          </w:tcPr>
          <w:p w14:paraId="2D9EC749" w14:textId="77777777" w:rsidR="00CB36D7" w:rsidRPr="00AA1100" w:rsidRDefault="00CB36D7" w:rsidP="00CB36D7">
            <w:pPr>
              <w:spacing w:after="0" w:line="240" w:lineRule="auto"/>
              <w:jc w:val="right"/>
              <w:rPr>
                <w:rFonts w:ascii="Arial" w:hAnsi="Arial" w:cs="Arial"/>
                <w:color w:val="000000"/>
                <w:sz w:val="16"/>
                <w:szCs w:val="16"/>
              </w:rPr>
            </w:pPr>
            <w:r w:rsidRPr="00AA1100">
              <w:rPr>
                <w:rFonts w:ascii="Arial" w:hAnsi="Arial" w:cs="Arial"/>
                <w:color w:val="000000"/>
                <w:sz w:val="16"/>
                <w:szCs w:val="16"/>
              </w:rPr>
              <w:t>3,351</w:t>
            </w:r>
          </w:p>
        </w:tc>
      </w:tr>
      <w:tr w:rsidR="00CB36D7" w:rsidRPr="009022B8" w14:paraId="0A7ED216" w14:textId="77777777" w:rsidTr="007431A4">
        <w:trPr>
          <w:trHeight w:val="204"/>
        </w:trPr>
        <w:tc>
          <w:tcPr>
            <w:tcW w:w="5016" w:type="dxa"/>
            <w:tcBorders>
              <w:top w:val="nil"/>
              <w:left w:val="nil"/>
              <w:bottom w:val="nil"/>
              <w:right w:val="nil"/>
            </w:tcBorders>
            <w:shd w:val="clear" w:color="000000" w:fill="FFFFFF"/>
            <w:noWrap/>
            <w:vAlign w:val="bottom"/>
            <w:hideMark/>
          </w:tcPr>
          <w:p w14:paraId="7956D562" w14:textId="77777777" w:rsidR="00CB36D7" w:rsidRPr="00AA1100" w:rsidRDefault="00CB36D7" w:rsidP="00CB36D7">
            <w:pPr>
              <w:spacing w:after="0" w:line="240" w:lineRule="auto"/>
              <w:rPr>
                <w:rFonts w:ascii="Arial" w:hAnsi="Arial" w:cs="Arial"/>
                <w:b/>
                <w:bCs/>
                <w:color w:val="000000"/>
                <w:sz w:val="16"/>
                <w:szCs w:val="16"/>
              </w:rPr>
            </w:pPr>
            <w:r w:rsidRPr="00AA1100">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1345008C"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34,555</w:t>
            </w:r>
          </w:p>
        </w:tc>
        <w:tc>
          <w:tcPr>
            <w:tcW w:w="1111" w:type="dxa"/>
            <w:tcBorders>
              <w:top w:val="single" w:sz="4" w:space="0" w:color="auto"/>
              <w:left w:val="nil"/>
              <w:bottom w:val="single" w:sz="4" w:space="0" w:color="auto"/>
              <w:right w:val="nil"/>
            </w:tcBorders>
            <w:shd w:val="clear" w:color="auto" w:fill="E6E6E6"/>
            <w:noWrap/>
            <w:vAlign w:val="bottom"/>
            <w:hideMark/>
          </w:tcPr>
          <w:p w14:paraId="5932BCB8"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13,430</w:t>
            </w:r>
          </w:p>
        </w:tc>
      </w:tr>
      <w:tr w:rsidR="00CB36D7" w:rsidRPr="009022B8" w14:paraId="4A74B0A8" w14:textId="77777777" w:rsidTr="007431A4">
        <w:trPr>
          <w:trHeight w:val="204"/>
        </w:trPr>
        <w:tc>
          <w:tcPr>
            <w:tcW w:w="5016" w:type="dxa"/>
            <w:tcBorders>
              <w:top w:val="nil"/>
              <w:left w:val="nil"/>
              <w:bottom w:val="single" w:sz="4" w:space="0" w:color="auto"/>
              <w:right w:val="nil"/>
            </w:tcBorders>
            <w:shd w:val="clear" w:color="000000" w:fill="FFFFFF"/>
            <w:noWrap/>
            <w:vAlign w:val="bottom"/>
            <w:hideMark/>
          </w:tcPr>
          <w:p w14:paraId="3E4E5768" w14:textId="77777777" w:rsidR="00CB36D7" w:rsidRPr="00AA1100" w:rsidRDefault="00CB36D7" w:rsidP="00CB36D7">
            <w:pPr>
              <w:spacing w:after="0" w:line="240" w:lineRule="auto"/>
              <w:rPr>
                <w:rFonts w:ascii="Arial" w:hAnsi="Arial" w:cs="Arial"/>
                <w:b/>
                <w:bCs/>
                <w:color w:val="000000"/>
                <w:sz w:val="16"/>
                <w:szCs w:val="16"/>
              </w:rPr>
            </w:pPr>
            <w:r w:rsidRPr="00AA1100">
              <w:rPr>
                <w:rFonts w:ascii="Arial" w:hAnsi="Arial" w:cs="Arial"/>
                <w:b/>
                <w:bCs/>
                <w:color w:val="000000"/>
                <w:sz w:val="16"/>
                <w:szCs w:val="16"/>
              </w:rPr>
              <w:t>Total net resourcing for AMSA</w:t>
            </w:r>
          </w:p>
        </w:tc>
        <w:tc>
          <w:tcPr>
            <w:tcW w:w="1113" w:type="dxa"/>
            <w:tcBorders>
              <w:top w:val="single" w:sz="4" w:space="0" w:color="auto"/>
              <w:left w:val="nil"/>
              <w:bottom w:val="single" w:sz="4" w:space="0" w:color="auto"/>
              <w:right w:val="nil"/>
            </w:tcBorders>
            <w:shd w:val="clear" w:color="000000" w:fill="FFFFFF"/>
            <w:noWrap/>
            <w:vAlign w:val="bottom"/>
            <w:hideMark/>
          </w:tcPr>
          <w:p w14:paraId="5E7BFA36"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289,653</w:t>
            </w:r>
          </w:p>
        </w:tc>
        <w:tc>
          <w:tcPr>
            <w:tcW w:w="1111" w:type="dxa"/>
            <w:tcBorders>
              <w:top w:val="single" w:sz="4" w:space="0" w:color="auto"/>
              <w:left w:val="nil"/>
              <w:bottom w:val="single" w:sz="4" w:space="0" w:color="auto"/>
              <w:right w:val="nil"/>
            </w:tcBorders>
            <w:shd w:val="clear" w:color="auto" w:fill="E6E6E6"/>
            <w:noWrap/>
            <w:vAlign w:val="bottom"/>
            <w:hideMark/>
          </w:tcPr>
          <w:p w14:paraId="553AC3C1" w14:textId="77777777" w:rsidR="00CB36D7" w:rsidRPr="00AA1100" w:rsidRDefault="00CB36D7" w:rsidP="00CB36D7">
            <w:pPr>
              <w:spacing w:after="0" w:line="240" w:lineRule="auto"/>
              <w:jc w:val="right"/>
              <w:rPr>
                <w:rFonts w:ascii="Arial" w:hAnsi="Arial" w:cs="Arial"/>
                <w:b/>
                <w:bCs/>
                <w:color w:val="000000"/>
                <w:sz w:val="16"/>
                <w:szCs w:val="16"/>
              </w:rPr>
            </w:pPr>
            <w:r w:rsidRPr="00AA1100">
              <w:rPr>
                <w:rFonts w:ascii="Arial" w:hAnsi="Arial" w:cs="Arial"/>
                <w:b/>
                <w:bCs/>
                <w:color w:val="000000"/>
                <w:sz w:val="16"/>
                <w:szCs w:val="16"/>
              </w:rPr>
              <w:t>274,165</w:t>
            </w:r>
          </w:p>
        </w:tc>
      </w:tr>
    </w:tbl>
    <w:p w14:paraId="79AA0C4C" w14:textId="77777777" w:rsidR="00CB36D7" w:rsidRPr="00332894" w:rsidRDefault="00CB36D7" w:rsidP="00CB36D7">
      <w:pPr>
        <w:pStyle w:val="TableGraphic"/>
        <w:rPr>
          <w:rFonts w:ascii="Arial" w:hAnsi="Arial" w:cs="Arial"/>
          <w:sz w:val="12"/>
        </w:rPr>
      </w:pPr>
    </w:p>
    <w:tbl>
      <w:tblPr>
        <w:tblW w:w="7240" w:type="dxa"/>
        <w:tblLook w:val="04A0" w:firstRow="1" w:lastRow="0" w:firstColumn="1" w:lastColumn="0" w:noHBand="0" w:noVBand="1"/>
      </w:tblPr>
      <w:tblGrid>
        <w:gridCol w:w="5016"/>
        <w:gridCol w:w="1112"/>
        <w:gridCol w:w="1112"/>
      </w:tblGrid>
      <w:tr w:rsidR="00CB36D7" w:rsidRPr="009022B8" w14:paraId="717B2F49" w14:textId="77777777" w:rsidTr="007431A4">
        <w:trPr>
          <w:trHeight w:val="204"/>
        </w:trPr>
        <w:tc>
          <w:tcPr>
            <w:tcW w:w="5016" w:type="dxa"/>
            <w:tcBorders>
              <w:top w:val="single" w:sz="4" w:space="0" w:color="auto"/>
              <w:left w:val="nil"/>
              <w:bottom w:val="nil"/>
              <w:right w:val="nil"/>
            </w:tcBorders>
            <w:shd w:val="clear" w:color="000000" w:fill="FFFFFF"/>
            <w:noWrap/>
            <w:vAlign w:val="bottom"/>
            <w:hideMark/>
          </w:tcPr>
          <w:p w14:paraId="0BA6B5B3" w14:textId="77777777" w:rsidR="00CB36D7" w:rsidRPr="009022B8" w:rsidRDefault="00CB36D7" w:rsidP="00CB36D7">
            <w:pPr>
              <w:spacing w:after="0" w:line="240" w:lineRule="auto"/>
              <w:rPr>
                <w:rFonts w:ascii="Arial" w:hAnsi="Arial" w:cs="Arial"/>
                <w:color w:val="000000"/>
                <w:sz w:val="16"/>
                <w:szCs w:val="16"/>
              </w:rPr>
            </w:pPr>
            <w:r w:rsidRPr="009022B8">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159551B2" w14:textId="77777777" w:rsidR="00CB36D7" w:rsidRPr="009022B8" w:rsidRDefault="00CB36D7" w:rsidP="00CB36D7">
            <w:pPr>
              <w:spacing w:after="0" w:line="240" w:lineRule="auto"/>
              <w:jc w:val="right"/>
              <w:rPr>
                <w:rFonts w:ascii="Arial" w:hAnsi="Arial" w:cs="Arial"/>
                <w:color w:val="000000"/>
                <w:sz w:val="16"/>
                <w:szCs w:val="16"/>
              </w:rPr>
            </w:pPr>
            <w:r w:rsidRPr="009022B8">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auto" w:fill="E6E6E6"/>
            <w:vAlign w:val="bottom"/>
            <w:hideMark/>
          </w:tcPr>
          <w:p w14:paraId="1C6BDFF3" w14:textId="77777777" w:rsidR="00CB36D7" w:rsidRPr="009022B8" w:rsidRDefault="00CB36D7" w:rsidP="00CB36D7">
            <w:pPr>
              <w:spacing w:after="0" w:line="240" w:lineRule="auto"/>
              <w:jc w:val="right"/>
              <w:rPr>
                <w:rFonts w:ascii="Arial" w:hAnsi="Arial" w:cs="Arial"/>
                <w:color w:val="000000"/>
                <w:sz w:val="16"/>
                <w:szCs w:val="16"/>
              </w:rPr>
            </w:pPr>
            <w:r w:rsidRPr="009022B8">
              <w:rPr>
                <w:rFonts w:ascii="Arial" w:hAnsi="Arial" w:cs="Arial"/>
                <w:color w:val="000000"/>
                <w:sz w:val="16"/>
                <w:szCs w:val="16"/>
              </w:rPr>
              <w:t>2022-23</w:t>
            </w:r>
          </w:p>
        </w:tc>
      </w:tr>
      <w:tr w:rsidR="00CB36D7" w:rsidRPr="009022B8" w14:paraId="668AE8D9" w14:textId="77777777" w:rsidTr="007431A4">
        <w:trPr>
          <w:trHeight w:val="204"/>
        </w:trPr>
        <w:tc>
          <w:tcPr>
            <w:tcW w:w="5016" w:type="dxa"/>
            <w:tcBorders>
              <w:top w:val="nil"/>
              <w:left w:val="nil"/>
              <w:bottom w:val="single" w:sz="4" w:space="0" w:color="auto"/>
              <w:right w:val="nil"/>
            </w:tcBorders>
            <w:shd w:val="clear" w:color="000000" w:fill="FFFFFF"/>
            <w:noWrap/>
            <w:vAlign w:val="bottom"/>
            <w:hideMark/>
          </w:tcPr>
          <w:p w14:paraId="1DD204B3" w14:textId="77777777" w:rsidR="00CB36D7" w:rsidRPr="009022B8" w:rsidRDefault="00CB36D7" w:rsidP="00CB36D7">
            <w:pPr>
              <w:spacing w:after="0" w:line="240" w:lineRule="auto"/>
              <w:rPr>
                <w:rFonts w:ascii="Arial" w:hAnsi="Arial" w:cs="Arial"/>
                <w:b/>
                <w:bCs/>
                <w:color w:val="000000"/>
                <w:sz w:val="16"/>
                <w:szCs w:val="16"/>
              </w:rPr>
            </w:pPr>
            <w:r w:rsidRPr="009022B8">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1D0B0033" w14:textId="77777777" w:rsidR="00CB36D7" w:rsidRPr="009022B8"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425</w:t>
            </w:r>
          </w:p>
        </w:tc>
        <w:tc>
          <w:tcPr>
            <w:tcW w:w="1112" w:type="dxa"/>
            <w:tcBorders>
              <w:top w:val="nil"/>
              <w:left w:val="nil"/>
              <w:bottom w:val="single" w:sz="4" w:space="0" w:color="auto"/>
              <w:right w:val="nil"/>
            </w:tcBorders>
            <w:shd w:val="clear" w:color="auto" w:fill="E6E6E6"/>
            <w:noWrap/>
            <w:vAlign w:val="bottom"/>
            <w:hideMark/>
          </w:tcPr>
          <w:p w14:paraId="4A136EB5" w14:textId="77777777" w:rsidR="00CB36D7" w:rsidRPr="009022B8" w:rsidRDefault="00CB36D7" w:rsidP="00CB36D7">
            <w:pPr>
              <w:spacing w:after="0" w:line="240" w:lineRule="auto"/>
              <w:jc w:val="right"/>
              <w:rPr>
                <w:rFonts w:ascii="Arial" w:hAnsi="Arial" w:cs="Arial"/>
                <w:color w:val="000000"/>
                <w:sz w:val="16"/>
                <w:szCs w:val="16"/>
              </w:rPr>
            </w:pPr>
            <w:r w:rsidRPr="009022B8">
              <w:rPr>
                <w:rFonts w:ascii="Arial" w:hAnsi="Arial" w:cs="Arial"/>
                <w:color w:val="000000"/>
                <w:sz w:val="16"/>
                <w:szCs w:val="16"/>
              </w:rPr>
              <w:t>448</w:t>
            </w:r>
          </w:p>
        </w:tc>
      </w:tr>
    </w:tbl>
    <w:p w14:paraId="7A13B787" w14:textId="77777777" w:rsidR="00CB36D7" w:rsidRDefault="00CB36D7" w:rsidP="00CB36D7">
      <w:pPr>
        <w:pStyle w:val="ChartandTableFootnote"/>
        <w:spacing w:before="60"/>
        <w:jc w:val="left"/>
      </w:pPr>
      <w:r>
        <w:t>Prepared on a resourcing (</w:t>
      </w:r>
      <w:r>
        <w:rPr>
          <w:lang w:val="en-AU"/>
        </w:rPr>
        <w:t>that is,</w:t>
      </w:r>
      <w:r>
        <w:t xml:space="preserve"> appropriations available) basis.</w:t>
      </w:r>
    </w:p>
    <w:p w14:paraId="6174A90E" w14:textId="77777777" w:rsidR="00CB36D7" w:rsidRPr="002F7F2B" w:rsidRDefault="00CB36D7" w:rsidP="00CB36D7">
      <w:pPr>
        <w:pStyle w:val="ChartandTableFootnote"/>
        <w:jc w:val="left"/>
      </w:pPr>
      <w:r w:rsidRPr="00696AA8">
        <w:t>All figures shown above are GST exclusive - these may not match figures in the cash flow statement.</w:t>
      </w:r>
    </w:p>
    <w:p w14:paraId="53867765" w14:textId="77777777" w:rsidR="00CB36D7" w:rsidRPr="002003A1" w:rsidRDefault="00CB36D7" w:rsidP="008D0F63">
      <w:pPr>
        <w:pStyle w:val="ChartandTableFootnoteAlpha"/>
        <w:numPr>
          <w:ilvl w:val="0"/>
          <w:numId w:val="151"/>
        </w:numPr>
        <w:tabs>
          <w:tab w:val="clear" w:pos="284"/>
          <w:tab w:val="num" w:pos="426"/>
        </w:tabs>
        <w:spacing w:after="120"/>
        <w:ind w:left="426" w:hanging="426"/>
        <w:contextualSpacing/>
        <w:jc w:val="left"/>
      </w:pPr>
      <w:r w:rsidRPr="001071C7">
        <w:t>Appr</w:t>
      </w:r>
      <w:r>
        <w:t>opriation Bill (No. 1) 2022-23, Supply Bill (No. 3) 2022-23 and Supply Act (No. 1) 2022-23.</w:t>
      </w:r>
    </w:p>
    <w:p w14:paraId="689F3A73" w14:textId="77777777" w:rsidR="00CB36D7" w:rsidRPr="00B67061" w:rsidRDefault="00CB36D7" w:rsidP="008D0F63">
      <w:pPr>
        <w:pStyle w:val="ChartandTableFootnoteAlpha"/>
        <w:numPr>
          <w:ilvl w:val="0"/>
          <w:numId w:val="151"/>
        </w:numPr>
        <w:tabs>
          <w:tab w:val="clear" w:pos="284"/>
          <w:tab w:val="num" w:pos="426"/>
        </w:tabs>
        <w:spacing w:after="120"/>
        <w:ind w:left="426" w:hanging="426"/>
        <w:contextualSpacing/>
        <w:jc w:val="left"/>
        <w:rPr>
          <w:color w:val="000000"/>
        </w:rPr>
      </w:pPr>
      <w:r w:rsidRPr="00B67061">
        <w:rPr>
          <w:color w:val="000000"/>
        </w:rPr>
        <w:t xml:space="preserve">Levies collected under </w:t>
      </w:r>
      <w:r w:rsidRPr="00B67061">
        <w:rPr>
          <w:i/>
          <w:iCs/>
          <w:color w:val="000000"/>
        </w:rPr>
        <w:t>Marine Navigation Levy Collection Act 1989</w:t>
      </w:r>
      <w:r w:rsidRPr="00B67061">
        <w:rPr>
          <w:color w:val="000000"/>
        </w:rPr>
        <w:t xml:space="preserve">, </w:t>
      </w:r>
      <w:r w:rsidRPr="00B67061">
        <w:rPr>
          <w:i/>
          <w:iCs/>
          <w:color w:val="000000"/>
        </w:rPr>
        <w:t>Marine Navigation (Regulatory Functions) Levy Collection Act 1991</w:t>
      </w:r>
      <w:r w:rsidRPr="00B67061">
        <w:rPr>
          <w:color w:val="000000"/>
        </w:rPr>
        <w:t xml:space="preserve">, and </w:t>
      </w:r>
      <w:r w:rsidRPr="00B67061">
        <w:rPr>
          <w:i/>
          <w:iCs/>
          <w:color w:val="000000"/>
        </w:rPr>
        <w:t>Protection of the Sea (Shipping Levy) Collection Act 1981</w:t>
      </w:r>
      <w:r w:rsidRPr="00B67061">
        <w:rPr>
          <w:color w:val="000000"/>
        </w:rPr>
        <w:t xml:space="preserve"> are paid to the Consolidated Revenue Fund and appropriated under section 48 of the </w:t>
      </w:r>
      <w:r w:rsidRPr="00B67061">
        <w:rPr>
          <w:i/>
          <w:color w:val="000000"/>
        </w:rPr>
        <w:t>Australian Maritime Safety Authority Act 1990</w:t>
      </w:r>
      <w:r w:rsidRPr="00B67061">
        <w:rPr>
          <w:color w:val="000000"/>
        </w:rPr>
        <w:t>.</w:t>
      </w:r>
    </w:p>
    <w:p w14:paraId="3F924909" w14:textId="2F4BF2A7" w:rsidR="00CB36D7" w:rsidRDefault="00CB36D7" w:rsidP="008D0F63">
      <w:pPr>
        <w:pStyle w:val="ChartandTableFootnoteAlpha"/>
        <w:numPr>
          <w:ilvl w:val="0"/>
          <w:numId w:val="151"/>
        </w:numPr>
        <w:tabs>
          <w:tab w:val="clear" w:pos="284"/>
          <w:tab w:val="num" w:pos="426"/>
        </w:tabs>
        <w:spacing w:after="120"/>
        <w:ind w:left="426" w:hanging="426"/>
        <w:contextualSpacing/>
        <w:jc w:val="left"/>
        <w:rPr>
          <w:color w:val="000000"/>
        </w:rPr>
      </w:pPr>
      <w:r w:rsidRPr="006615EC">
        <w:rPr>
          <w:color w:val="000000"/>
        </w:rPr>
        <w:t xml:space="preserve">Funding provided by a government entity that is not specified within the annual appropriation bills as a payment to the </w:t>
      </w:r>
      <w:r w:rsidR="00D07A74">
        <w:rPr>
          <w:color w:val="000000"/>
        </w:rPr>
        <w:t>corporate Commonwealth entity</w:t>
      </w:r>
      <w:r w:rsidRPr="006615EC">
        <w:rPr>
          <w:color w:val="000000"/>
        </w:rPr>
        <w:t>.</w:t>
      </w:r>
    </w:p>
    <w:p w14:paraId="6A08B064" w14:textId="2A9E7043" w:rsidR="00CB36D7" w:rsidRPr="0010149D" w:rsidRDefault="00CB36D7" w:rsidP="00B67061">
      <w:pPr>
        <w:pStyle w:val="ChartandTableFootnote"/>
        <w:spacing w:before="120" w:after="240"/>
        <w:jc w:val="left"/>
      </w:pPr>
      <w:r w:rsidRPr="0010149D">
        <w:lastRenderedPageBreak/>
        <w:t xml:space="preserve">AMSA is not directly appropriated as it is a </w:t>
      </w:r>
      <w:r w:rsidR="00D07A74">
        <w:t>corporate Commonwealth entity</w:t>
      </w:r>
      <w:r w:rsidRPr="0010149D">
        <w:t xml:space="preserve">. Appropriations are made to the </w:t>
      </w:r>
      <w:r>
        <w:t>Department</w:t>
      </w:r>
      <w:r w:rsidRPr="0010149D">
        <w:t xml:space="preserve"> of Infrastructure, Transport, Regional Development</w:t>
      </w:r>
      <w:r>
        <w:rPr>
          <w:lang w:val="en-US"/>
        </w:rPr>
        <w:t xml:space="preserve">, </w:t>
      </w:r>
      <w:r w:rsidRPr="0010149D">
        <w:t>Communications</w:t>
      </w:r>
      <w:r>
        <w:rPr>
          <w:lang w:val="en-US"/>
        </w:rPr>
        <w:t xml:space="preserve"> and the Arts</w:t>
      </w:r>
      <w:r w:rsidRPr="0010149D">
        <w:t xml:space="preserve"> (a </w:t>
      </w:r>
      <w:r w:rsidR="00D07A74">
        <w:rPr>
          <w:lang w:val="en-US"/>
        </w:rPr>
        <w:t>n</w:t>
      </w:r>
      <w:r w:rsidRPr="0010149D">
        <w:t>on-</w:t>
      </w:r>
      <w:r w:rsidR="00D07A74">
        <w:t>corporate Commonwealth entity</w:t>
      </w:r>
      <w:r w:rsidRPr="0010149D">
        <w:t>), which are then paid to AMSA and are considered '</w:t>
      </w:r>
      <w:r>
        <w:t>department</w:t>
      </w:r>
      <w:r w:rsidRPr="0010149D">
        <w:t>al' for all purposes.</w:t>
      </w:r>
    </w:p>
    <w:p w14:paraId="6A63C929" w14:textId="77777777" w:rsidR="00CB36D7" w:rsidRPr="005A7C0B" w:rsidRDefault="00CB36D7" w:rsidP="00CB36D7">
      <w:pPr>
        <w:pStyle w:val="Heading3-AMSA"/>
      </w:pPr>
      <w:bookmarkStart w:id="11" w:name="_Toc97582509"/>
      <w:bookmarkStart w:id="12" w:name="_Toc99123122"/>
      <w:r w:rsidRPr="005A7C0B">
        <w:t>1.3</w:t>
      </w:r>
      <w:r w:rsidRPr="005A7C0B">
        <w:tab/>
        <w:t>Budget measures</w:t>
      </w:r>
      <w:bookmarkEnd w:id="11"/>
      <w:bookmarkEnd w:id="12"/>
    </w:p>
    <w:p w14:paraId="11292C20" w14:textId="77777777" w:rsidR="00CB36D7" w:rsidRDefault="00CB36D7" w:rsidP="00CB36D7">
      <w:r>
        <w:t>There are no measures relating to AMSA for the 2022-23 October Budget.</w:t>
      </w:r>
    </w:p>
    <w:p w14:paraId="738E6F42" w14:textId="77777777" w:rsidR="00CB36D7" w:rsidRPr="00DB4C56" w:rsidRDefault="00CB36D7" w:rsidP="00CB36D7">
      <w:pPr>
        <w:pStyle w:val="Heading2-AMSA"/>
      </w:pPr>
      <w:r>
        <w:br w:type="page"/>
      </w:r>
      <w:bookmarkStart w:id="13" w:name="_Toc97582510"/>
      <w:bookmarkStart w:id="14" w:name="_Toc99123123"/>
      <w:r w:rsidRPr="00810C6A">
        <w:lastRenderedPageBreak/>
        <w:t>Section 2: Outcomes and planned performance</w:t>
      </w:r>
      <w:bookmarkEnd w:id="13"/>
      <w:bookmarkEnd w:id="14"/>
    </w:p>
    <w:p w14:paraId="3A4F3A8D" w14:textId="77777777" w:rsidR="00CB36D7" w:rsidRPr="005E6F2B" w:rsidRDefault="00CB36D7" w:rsidP="00CB36D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C860B91" w14:textId="77777777" w:rsidR="00CB36D7" w:rsidRPr="00E77B84" w:rsidRDefault="00CB36D7" w:rsidP="00CB36D7">
      <w:pPr>
        <w:rPr>
          <w:i/>
        </w:rPr>
      </w:pPr>
      <w:r w:rsidRPr="005E6F2B">
        <w:t xml:space="preserve">Each outcome is described below together with its related programs. The following provides detailed </w:t>
      </w:r>
      <w:r w:rsidRPr="00E77B84">
        <w:t>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B36D7" w14:paraId="79C36CFF" w14:textId="77777777" w:rsidTr="00CB36D7">
        <w:tc>
          <w:tcPr>
            <w:tcW w:w="7700" w:type="dxa"/>
          </w:tcPr>
          <w:p w14:paraId="0D767313" w14:textId="77777777" w:rsidR="00CB36D7" w:rsidRPr="006906E4" w:rsidRDefault="00CB36D7" w:rsidP="00CB36D7">
            <w:pPr>
              <w:spacing w:before="120" w:after="120" w:line="240" w:lineRule="auto"/>
              <w:jc w:val="left"/>
              <w:rPr>
                <w:b/>
              </w:rPr>
            </w:pPr>
            <w:r w:rsidRPr="006906E4">
              <w:rPr>
                <w:b/>
              </w:rPr>
              <w:t>Note:</w:t>
            </w:r>
          </w:p>
          <w:p w14:paraId="142958A0" w14:textId="77777777" w:rsidR="00CB36D7" w:rsidRDefault="00CB36D7" w:rsidP="00CB36D7">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1139B8DC" w14:textId="77777777" w:rsidR="00CB36D7" w:rsidRPr="00EF6B89" w:rsidRDefault="00CB36D7" w:rsidP="00CB36D7">
            <w:pPr>
              <w:spacing w:after="0"/>
              <w:jc w:val="left"/>
            </w:pPr>
            <w:r>
              <w:t xml:space="preserve">The </w:t>
            </w:r>
            <w:r w:rsidRPr="00EF6B89">
              <w:t>most recent Corporate Plan for AMSA can be found at:</w:t>
            </w:r>
          </w:p>
          <w:p w14:paraId="6E759561" w14:textId="59CF6364" w:rsidR="00CB36D7" w:rsidRPr="004160BE" w:rsidRDefault="004160BE" w:rsidP="00CB36D7">
            <w:pPr>
              <w:jc w:val="left"/>
              <w:rPr>
                <w:u w:val="single"/>
              </w:rPr>
            </w:pPr>
            <w:r w:rsidRPr="004160BE">
              <w:rPr>
                <w:rFonts w:cs="Tahoma"/>
                <w:u w:val="single"/>
              </w:rPr>
              <w:t>https://www.amsa.gov.au/about/corporate-publications/corporate-plan-2022-23</w:t>
            </w:r>
          </w:p>
          <w:p w14:paraId="2FF092B1" w14:textId="77777777" w:rsidR="00CB36D7" w:rsidRPr="00EF6B89" w:rsidRDefault="00CB36D7" w:rsidP="00CB36D7">
            <w:pPr>
              <w:spacing w:after="0"/>
              <w:jc w:val="left"/>
            </w:pPr>
            <w:r w:rsidRPr="00EF6B89">
              <w:t>The most recent annual performance statement can be found at:</w:t>
            </w:r>
          </w:p>
          <w:p w14:paraId="3B384BDF" w14:textId="0843E4F2" w:rsidR="00CB36D7" w:rsidRPr="000A3B1D" w:rsidRDefault="000A3B1D" w:rsidP="00CB36D7">
            <w:pPr>
              <w:jc w:val="left"/>
              <w:rPr>
                <w:u w:val="single"/>
              </w:rPr>
            </w:pPr>
            <w:r w:rsidRPr="000A3B1D">
              <w:rPr>
                <w:u w:val="single"/>
              </w:rPr>
              <w:t>https://www.amsa.gov.au/about/corporate-publications</w:t>
            </w:r>
          </w:p>
        </w:tc>
      </w:tr>
    </w:tbl>
    <w:p w14:paraId="59395B4F" w14:textId="78A481A0" w:rsidR="00CB36D7" w:rsidRPr="00C152E5" w:rsidRDefault="00CB36D7" w:rsidP="00CB36D7">
      <w:pPr>
        <w:spacing w:before="240" w:after="120"/>
      </w:pPr>
      <w:r w:rsidRPr="00C152E5">
        <w:t xml:space="preserve">AMSA contributes to </w:t>
      </w:r>
      <w:r w:rsidR="00F20888">
        <w:t xml:space="preserve">one </w:t>
      </w:r>
      <w:r w:rsidRPr="00C152E5">
        <w:t xml:space="preserve">Outcome and one Program, which is divided into two </w:t>
      </w:r>
      <w:r w:rsidR="00F20888">
        <w:t>S</w:t>
      </w:r>
      <w:r w:rsidRPr="00C152E5">
        <w:t>ub</w:t>
      </w:r>
      <w:r w:rsidR="00F20888">
        <w:noBreakHyphen/>
      </w:r>
      <w:r w:rsidRPr="00C152E5">
        <w:t>programs:</w:t>
      </w:r>
    </w:p>
    <w:p w14:paraId="0870DC77" w14:textId="77777777" w:rsidR="00CB36D7" w:rsidRPr="00475A6B" w:rsidRDefault="00CB36D7" w:rsidP="008D0F63">
      <w:pPr>
        <w:pStyle w:val="ListParagraph"/>
        <w:numPr>
          <w:ilvl w:val="3"/>
          <w:numId w:val="104"/>
        </w:numPr>
        <w:ind w:left="426"/>
        <w:rPr>
          <w:rFonts w:ascii="Book Antiqua" w:hAnsi="Book Antiqua"/>
          <w:sz w:val="20"/>
          <w:szCs w:val="20"/>
        </w:rPr>
      </w:pPr>
      <w:r w:rsidRPr="00475A6B">
        <w:rPr>
          <w:rFonts w:ascii="Book Antiqua" w:hAnsi="Book Antiqua"/>
          <w:b/>
          <w:bCs/>
          <w:sz w:val="20"/>
          <w:szCs w:val="20"/>
        </w:rPr>
        <w:t>Sub-program 1: Seafarer and ship safety and environmental protection</w:t>
      </w:r>
      <w:r w:rsidRPr="00475A6B">
        <w:rPr>
          <w:rFonts w:ascii="Book Antiqua" w:hAnsi="Book Antiqua"/>
          <w:sz w:val="20"/>
          <w:szCs w:val="20"/>
        </w:rPr>
        <w:t xml:space="preserve"> aims to achieve the first part of AMSA’s Outcome: Minimise the risk of shipping incidents and pollution in Australian waters through ship safety and environment protection regulation and services</w:t>
      </w:r>
      <w:r>
        <w:rPr>
          <w:rFonts w:ascii="Book Antiqua" w:hAnsi="Book Antiqua"/>
          <w:sz w:val="20"/>
          <w:szCs w:val="20"/>
        </w:rPr>
        <w:t>.</w:t>
      </w:r>
    </w:p>
    <w:p w14:paraId="6CC670E2" w14:textId="77777777" w:rsidR="00CB36D7" w:rsidRPr="00475A6B" w:rsidRDefault="00CB36D7" w:rsidP="008D0F63">
      <w:pPr>
        <w:pStyle w:val="ListParagraph"/>
        <w:numPr>
          <w:ilvl w:val="0"/>
          <w:numId w:val="104"/>
        </w:numPr>
        <w:ind w:left="426"/>
        <w:rPr>
          <w:rFonts w:ascii="Book Antiqua" w:hAnsi="Book Antiqua"/>
          <w:sz w:val="20"/>
          <w:szCs w:val="20"/>
        </w:rPr>
      </w:pPr>
      <w:r w:rsidRPr="00475A6B">
        <w:rPr>
          <w:rFonts w:ascii="Book Antiqua" w:hAnsi="Book Antiqua"/>
          <w:b/>
          <w:sz w:val="20"/>
          <w:szCs w:val="20"/>
        </w:rPr>
        <w:t>Sub-program 2: Search and rescue</w:t>
      </w:r>
      <w:r w:rsidRPr="00475A6B">
        <w:rPr>
          <w:rFonts w:ascii="Book Antiqua" w:hAnsi="Book Antiqua"/>
          <w:sz w:val="20"/>
          <w:szCs w:val="20"/>
        </w:rPr>
        <w:t xml:space="preserve"> aims to achieve the second part of AMSA’s Outcome: Maximising the number of people saved from maritime and aviation incidents through search and </w:t>
      </w:r>
      <w:r>
        <w:rPr>
          <w:rFonts w:ascii="Book Antiqua" w:hAnsi="Book Antiqua"/>
          <w:sz w:val="20"/>
          <w:szCs w:val="20"/>
        </w:rPr>
        <w:t>rescue</w:t>
      </w:r>
      <w:r w:rsidRPr="00475A6B">
        <w:rPr>
          <w:rFonts w:ascii="Book Antiqua" w:hAnsi="Book Antiqua"/>
          <w:sz w:val="20"/>
          <w:szCs w:val="20"/>
        </w:rPr>
        <w:t xml:space="preserve"> coordination.</w:t>
      </w:r>
    </w:p>
    <w:p w14:paraId="2E3B9A89" w14:textId="77777777" w:rsidR="000A3B1D" w:rsidRDefault="000A3B1D">
      <w:pPr>
        <w:spacing w:after="0" w:line="240" w:lineRule="auto"/>
        <w:rPr>
          <w:rFonts w:ascii="Arial Bold" w:hAnsi="Arial Bold"/>
          <w:b/>
          <w:sz w:val="22"/>
        </w:rPr>
      </w:pPr>
      <w:bookmarkStart w:id="15" w:name="_Toc97582511"/>
      <w:bookmarkStart w:id="16" w:name="_Toc99123124"/>
      <w:r>
        <w:br w:type="page"/>
      </w:r>
    </w:p>
    <w:p w14:paraId="65D3B7A3" w14:textId="1EF8149D" w:rsidR="00CB36D7" w:rsidRPr="00F743D8" w:rsidRDefault="00CB36D7" w:rsidP="00CB36D7">
      <w:pPr>
        <w:pStyle w:val="Heading3-AMSA"/>
      </w:pPr>
      <w:r>
        <w:lastRenderedPageBreak/>
        <w:t>2.1</w:t>
      </w:r>
      <w:r w:rsidRPr="00F743D8">
        <w:tab/>
        <w:t xml:space="preserve">Budgeted expenses and performance for Outcome </w:t>
      </w:r>
      <w:r>
        <w:t>1</w:t>
      </w:r>
      <w:bookmarkEnd w:id="15"/>
      <w:bookmarkEnd w:id="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36D7" w:rsidRPr="005E6F2B" w14:paraId="4CA9EB8A" w14:textId="77777777" w:rsidTr="00CB36D7">
        <w:tc>
          <w:tcPr>
            <w:tcW w:w="7704" w:type="dxa"/>
            <w:shd w:val="clear" w:color="auto" w:fill="E6E6E6"/>
          </w:tcPr>
          <w:p w14:paraId="0638D0AB" w14:textId="77777777" w:rsidR="00CB36D7" w:rsidRPr="005E6F2B" w:rsidRDefault="00CB36D7" w:rsidP="00CB36D7">
            <w:pPr>
              <w:pStyle w:val="TableColumnHeadingLeft"/>
            </w:pPr>
            <w:r w:rsidRPr="005E6F2B">
              <w:t xml:space="preserve">Outcome </w:t>
            </w:r>
            <w:r w:rsidRPr="00AB2540">
              <w:t>1: 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2DBDE88C" w14:textId="77777777" w:rsidR="00CB36D7" w:rsidRDefault="00CB36D7" w:rsidP="00CB36D7">
      <w:pPr>
        <w:pStyle w:val="Heading4"/>
        <w:spacing w:after="0"/>
      </w:pPr>
    </w:p>
    <w:p w14:paraId="698F0D69" w14:textId="77777777" w:rsidR="00CB36D7" w:rsidRPr="00317389" w:rsidRDefault="00CB36D7" w:rsidP="00CB36D7">
      <w:pPr>
        <w:pStyle w:val="Heading4"/>
      </w:pPr>
      <w:r w:rsidRPr="00317389">
        <w:t>Linked programs</w:t>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CB36D7" w:rsidRPr="00317389" w14:paraId="67D2DAB8" w14:textId="77777777" w:rsidTr="00CB36D7">
        <w:trPr>
          <w:trHeight w:val="113"/>
        </w:trPr>
        <w:tc>
          <w:tcPr>
            <w:tcW w:w="7700" w:type="dxa"/>
            <w:tcBorders>
              <w:top w:val="single" w:sz="4" w:space="0" w:color="auto"/>
              <w:left w:val="single" w:sz="4" w:space="0" w:color="auto"/>
              <w:bottom w:val="nil"/>
              <w:right w:val="single" w:sz="4" w:space="0" w:color="auto"/>
            </w:tcBorders>
          </w:tcPr>
          <w:p w14:paraId="30026B15" w14:textId="77777777" w:rsidR="00CB36D7" w:rsidRPr="00076636" w:rsidRDefault="00CB36D7" w:rsidP="00CB36D7">
            <w:pPr>
              <w:pStyle w:val="ExampleText0"/>
              <w:spacing w:before="120" w:after="60" w:line="240" w:lineRule="auto"/>
              <w:rPr>
                <w:b/>
                <w:bCs/>
                <w:i w:val="0"/>
                <w:color w:val="auto"/>
              </w:rPr>
            </w:pPr>
            <w:r w:rsidRPr="00076636">
              <w:rPr>
                <w:rFonts w:cs="Arial"/>
                <w:b/>
                <w:bCs/>
                <w:i w:val="0"/>
                <w:color w:val="auto"/>
              </w:rPr>
              <w:t xml:space="preserve">Attorney General’s </w:t>
            </w:r>
            <w:r>
              <w:rPr>
                <w:rFonts w:cs="Arial"/>
                <w:b/>
                <w:bCs/>
                <w:i w:val="0"/>
                <w:color w:val="auto"/>
              </w:rPr>
              <w:t>Department</w:t>
            </w:r>
            <w:r w:rsidRPr="00076636">
              <w:rPr>
                <w:rFonts w:cs="Arial"/>
                <w:b/>
                <w:bCs/>
                <w:i w:val="0"/>
                <w:color w:val="auto"/>
              </w:rPr>
              <w:t xml:space="preserve">  </w:t>
            </w:r>
          </w:p>
        </w:tc>
      </w:tr>
      <w:tr w:rsidR="00CB36D7" w:rsidRPr="00317389" w14:paraId="3A942638" w14:textId="77777777" w:rsidTr="00CB36D7">
        <w:trPr>
          <w:trHeight w:val="113"/>
        </w:trPr>
        <w:tc>
          <w:tcPr>
            <w:tcW w:w="7700" w:type="dxa"/>
            <w:tcBorders>
              <w:top w:val="nil"/>
              <w:left w:val="single" w:sz="4" w:space="0" w:color="auto"/>
              <w:bottom w:val="nil"/>
              <w:right w:val="single" w:sz="4" w:space="0" w:color="auto"/>
            </w:tcBorders>
          </w:tcPr>
          <w:p w14:paraId="1F1DB9BC" w14:textId="77777777" w:rsidR="00CB36D7" w:rsidRPr="00317389" w:rsidRDefault="00CB36D7" w:rsidP="00CB36D7">
            <w:pPr>
              <w:spacing w:before="60" w:after="60" w:line="240" w:lineRule="auto"/>
              <w:rPr>
                <w:rFonts w:cs="Arial"/>
                <w:b/>
                <w:iCs/>
                <w:lang w:val="x-none" w:eastAsia="x-none"/>
              </w:rPr>
            </w:pPr>
            <w:r w:rsidRPr="00317389">
              <w:rPr>
                <w:rFonts w:cs="Arial"/>
                <w:b/>
                <w:iCs/>
                <w:lang w:val="x-none" w:eastAsia="x-none"/>
              </w:rPr>
              <w:t>Programs</w:t>
            </w:r>
          </w:p>
          <w:p w14:paraId="526B228F" w14:textId="77777777" w:rsidR="00CB36D7" w:rsidRPr="008375A0" w:rsidRDefault="00CB36D7" w:rsidP="008D0F63">
            <w:pPr>
              <w:numPr>
                <w:ilvl w:val="0"/>
                <w:numId w:val="88"/>
              </w:numPr>
              <w:spacing w:before="60" w:after="60" w:line="240" w:lineRule="auto"/>
              <w:ind w:left="447"/>
              <w:rPr>
                <w:rFonts w:cs="Arial"/>
                <w:iCs/>
                <w:lang w:val="x-none" w:eastAsia="x-none"/>
              </w:rPr>
            </w:pPr>
            <w:r w:rsidRPr="008375A0">
              <w:rPr>
                <w:rFonts w:cs="Arial"/>
                <w:iCs/>
                <w:lang w:val="x-none" w:eastAsia="x-none"/>
              </w:rPr>
              <w:t xml:space="preserve">Program 1.1 </w:t>
            </w:r>
            <w:r>
              <w:rPr>
                <w:rFonts w:cs="Arial"/>
                <w:iCs/>
                <w:lang w:val="x-none" w:eastAsia="x-none"/>
              </w:rPr>
              <w:t>–</w:t>
            </w:r>
            <w:r w:rsidRPr="008375A0">
              <w:rPr>
                <w:rFonts w:cs="Arial"/>
                <w:iCs/>
                <w:lang w:val="x-none" w:eastAsia="x-none"/>
              </w:rPr>
              <w:t xml:space="preserve"> Attorney-General's </w:t>
            </w:r>
            <w:r>
              <w:rPr>
                <w:rFonts w:cs="Arial"/>
                <w:iCs/>
                <w:lang w:val="x-none" w:eastAsia="x-none"/>
              </w:rPr>
              <w:t>Department</w:t>
            </w:r>
            <w:r w:rsidRPr="008375A0">
              <w:rPr>
                <w:rFonts w:cs="Arial"/>
                <w:iCs/>
                <w:lang w:val="x-none" w:eastAsia="x-none"/>
              </w:rPr>
              <w:t xml:space="preserve"> Operating Expenses – Legal Services and Families </w:t>
            </w:r>
          </w:p>
          <w:p w14:paraId="7319A9CE" w14:textId="77777777" w:rsidR="00CB36D7" w:rsidRPr="008375A0" w:rsidRDefault="00CB36D7" w:rsidP="008D0F63">
            <w:pPr>
              <w:numPr>
                <w:ilvl w:val="0"/>
                <w:numId w:val="88"/>
              </w:numPr>
              <w:spacing w:before="60" w:after="60" w:line="240" w:lineRule="auto"/>
              <w:ind w:left="447"/>
              <w:rPr>
                <w:rStyle w:val="ExampletextCharChar"/>
              </w:rPr>
            </w:pPr>
            <w:r w:rsidRPr="00317389">
              <w:rPr>
                <w:rFonts w:cs="Arial"/>
                <w:iCs/>
                <w:lang w:val="x-none" w:eastAsia="x-none"/>
              </w:rPr>
              <w:t xml:space="preserve">Program 1.2 – Attorney-General’s </w:t>
            </w:r>
            <w:r>
              <w:rPr>
                <w:rFonts w:cs="Arial"/>
                <w:iCs/>
                <w:lang w:val="x-none" w:eastAsia="x-none"/>
              </w:rPr>
              <w:t>Department</w:t>
            </w:r>
            <w:r w:rsidRPr="00317389">
              <w:rPr>
                <w:rFonts w:cs="Arial"/>
                <w:iCs/>
                <w:lang w:val="x-none" w:eastAsia="x-none"/>
              </w:rPr>
              <w:t xml:space="preserve"> Operating Expenses—National Security, Integrity and International Program</w:t>
            </w:r>
          </w:p>
        </w:tc>
      </w:tr>
      <w:tr w:rsidR="00CB36D7" w:rsidRPr="00B12FA1" w14:paraId="463D5C34" w14:textId="77777777" w:rsidTr="00CB36D7">
        <w:trPr>
          <w:trHeight w:val="113"/>
        </w:trPr>
        <w:tc>
          <w:tcPr>
            <w:tcW w:w="7700" w:type="dxa"/>
            <w:tcBorders>
              <w:top w:val="nil"/>
              <w:left w:val="single" w:sz="4" w:space="0" w:color="auto"/>
              <w:bottom w:val="single" w:sz="4" w:space="0" w:color="auto"/>
              <w:right w:val="single" w:sz="4" w:space="0" w:color="auto"/>
            </w:tcBorders>
          </w:tcPr>
          <w:p w14:paraId="608AF8DA" w14:textId="77777777" w:rsidR="00CB36D7" w:rsidRPr="00317389" w:rsidRDefault="00CB36D7" w:rsidP="00CB36D7">
            <w:pPr>
              <w:spacing w:before="60" w:after="60" w:line="240" w:lineRule="auto"/>
              <w:rPr>
                <w:rFonts w:cs="Arial"/>
                <w:b/>
                <w:iCs/>
                <w:lang w:eastAsia="x-none"/>
              </w:rPr>
            </w:pPr>
            <w:r w:rsidRPr="00317389">
              <w:rPr>
                <w:rFonts w:cs="Arial"/>
                <w:b/>
                <w:iCs/>
                <w:lang w:val="x-none" w:eastAsia="x-none"/>
              </w:rPr>
              <w:t>Contribution to Outcome 1 made by linked program</w:t>
            </w:r>
            <w:r w:rsidRPr="00317389">
              <w:rPr>
                <w:rFonts w:cs="Arial"/>
                <w:b/>
                <w:iCs/>
                <w:lang w:eastAsia="x-none"/>
              </w:rPr>
              <w:t>s</w:t>
            </w:r>
          </w:p>
          <w:p w14:paraId="4E799A1D" w14:textId="77777777" w:rsidR="00CB36D7" w:rsidRPr="00317389" w:rsidRDefault="00CB36D7" w:rsidP="00CB36D7">
            <w:pPr>
              <w:spacing w:before="60" w:after="60" w:line="240" w:lineRule="auto"/>
              <w:rPr>
                <w:rFonts w:cs="Arial"/>
                <w:bCs/>
                <w:iCs/>
                <w:lang w:eastAsia="x-none"/>
              </w:rPr>
            </w:pPr>
            <w:r w:rsidRPr="00317389">
              <w:rPr>
                <w:rFonts w:cs="Arial"/>
                <w:bCs/>
                <w:iCs/>
                <w:lang w:eastAsia="x-none"/>
              </w:rPr>
              <w:t xml:space="preserve">The Attorney General’s </w:t>
            </w:r>
            <w:r>
              <w:rPr>
                <w:rFonts w:cs="Arial"/>
                <w:bCs/>
                <w:iCs/>
                <w:lang w:eastAsia="x-none"/>
              </w:rPr>
              <w:t>Department</w:t>
            </w:r>
            <w:r w:rsidRPr="00317389">
              <w:rPr>
                <w:rFonts w:cs="Arial"/>
                <w:bCs/>
                <w:iCs/>
                <w:lang w:eastAsia="x-none"/>
              </w:rPr>
              <w:t xml:space="preserve"> provides high quality legal policy advice to the Australian Government and its entities in relation to national security and criminal justice, protecting and promoting the rule of law and ensuring an effective and efficient Commonwealth criminal justice system, and building a safe and secure Australia.</w:t>
            </w:r>
          </w:p>
          <w:p w14:paraId="2A1A18FD" w14:textId="77777777" w:rsidR="00CB36D7" w:rsidRPr="00317389" w:rsidRDefault="00CB36D7" w:rsidP="00CB36D7">
            <w:pPr>
              <w:spacing w:before="60" w:after="60" w:line="240" w:lineRule="auto"/>
              <w:rPr>
                <w:rStyle w:val="ExampletextCharChar"/>
                <w:b/>
                <w:i w:val="0"/>
              </w:rPr>
            </w:pPr>
            <w:r w:rsidRPr="00317389">
              <w:rPr>
                <w:rFonts w:cs="Arial"/>
                <w:bCs/>
                <w:iCs/>
                <w:lang w:eastAsia="x-none"/>
              </w:rPr>
              <w:t xml:space="preserve">AMSA engages with the Attorney General’s </w:t>
            </w:r>
            <w:r>
              <w:rPr>
                <w:rFonts w:cs="Arial"/>
                <w:bCs/>
                <w:iCs/>
                <w:lang w:eastAsia="x-none"/>
              </w:rPr>
              <w:t>Department</w:t>
            </w:r>
            <w:r w:rsidRPr="00317389">
              <w:rPr>
                <w:rFonts w:cs="Arial"/>
                <w:bCs/>
                <w:iCs/>
                <w:lang w:eastAsia="x-none"/>
              </w:rPr>
              <w:t xml:space="preserve"> to obtain expert legal advice and assistance when needed. This advice ensures that AMSA operates within its regulatory remit, and that ongoing operation of AMSA’s aids to navigation network is considered within the Commonwealth’s response to native title claims.</w:t>
            </w:r>
          </w:p>
        </w:tc>
      </w:tr>
      <w:tr w:rsidR="00CB36D7" w:rsidRPr="005A19DA" w14:paraId="1AEB52A8" w14:textId="77777777" w:rsidTr="00CB36D7">
        <w:trPr>
          <w:trHeight w:val="113"/>
        </w:trPr>
        <w:tc>
          <w:tcPr>
            <w:tcW w:w="7700" w:type="dxa"/>
            <w:tcBorders>
              <w:top w:val="single" w:sz="4" w:space="0" w:color="auto"/>
              <w:left w:val="single" w:sz="4" w:space="0" w:color="auto"/>
              <w:bottom w:val="nil"/>
              <w:right w:val="single" w:sz="4" w:space="0" w:color="auto"/>
            </w:tcBorders>
          </w:tcPr>
          <w:p w14:paraId="3B071CDE" w14:textId="77777777" w:rsidR="00CB36D7" w:rsidRPr="005A4A4B" w:rsidRDefault="00CB36D7" w:rsidP="00CB36D7">
            <w:pPr>
              <w:pStyle w:val="ExampleText0"/>
              <w:spacing w:before="120" w:after="60" w:line="240" w:lineRule="auto"/>
              <w:rPr>
                <w:i w:val="0"/>
                <w:iCs/>
                <w:color w:val="000000" w:themeColor="text1"/>
                <w:highlight w:val="yellow"/>
              </w:rPr>
            </w:pPr>
            <w:r w:rsidRPr="005A19DA">
              <w:rPr>
                <w:rFonts w:cs="Arial"/>
                <w:b/>
                <w:i w:val="0"/>
                <w:iCs/>
                <w:color w:val="auto"/>
              </w:rPr>
              <w:t>Civil Aviation Safety Authority (CASA)</w:t>
            </w:r>
          </w:p>
        </w:tc>
      </w:tr>
      <w:tr w:rsidR="00CB36D7" w:rsidRPr="005A19DA" w14:paraId="45643388" w14:textId="77777777" w:rsidTr="00CB36D7">
        <w:trPr>
          <w:trHeight w:val="113"/>
        </w:trPr>
        <w:tc>
          <w:tcPr>
            <w:tcW w:w="7700" w:type="dxa"/>
            <w:tcBorders>
              <w:top w:val="nil"/>
              <w:left w:val="single" w:sz="4" w:space="0" w:color="auto"/>
              <w:bottom w:val="nil"/>
              <w:right w:val="single" w:sz="4" w:space="0" w:color="auto"/>
            </w:tcBorders>
          </w:tcPr>
          <w:p w14:paraId="50CEC0FC" w14:textId="77777777" w:rsidR="00CB36D7" w:rsidRDefault="00CB36D7" w:rsidP="00CB36D7">
            <w:pPr>
              <w:spacing w:before="60" w:after="60" w:line="240" w:lineRule="auto"/>
              <w:rPr>
                <w:rFonts w:cs="Arial"/>
                <w:b/>
                <w:iCs/>
                <w:color w:val="000000" w:themeColor="text1"/>
                <w:lang w:val="x-none" w:eastAsia="x-none"/>
              </w:rPr>
            </w:pPr>
            <w:r w:rsidRPr="005A4A4B">
              <w:rPr>
                <w:rFonts w:cs="Arial"/>
                <w:b/>
                <w:iCs/>
                <w:color w:val="000000" w:themeColor="text1"/>
                <w:lang w:val="x-none" w:eastAsia="x-none"/>
              </w:rPr>
              <w:t>Program</w:t>
            </w:r>
          </w:p>
          <w:p w14:paraId="26CE681A" w14:textId="77777777" w:rsidR="00CB36D7" w:rsidRPr="00AA1100" w:rsidRDefault="00CB36D7" w:rsidP="007431A4">
            <w:pPr>
              <w:pStyle w:val="ListParagraph"/>
              <w:numPr>
                <w:ilvl w:val="0"/>
                <w:numId w:val="113"/>
              </w:numPr>
              <w:spacing w:before="60" w:after="60" w:line="240" w:lineRule="auto"/>
              <w:ind w:left="447" w:hanging="447"/>
              <w:rPr>
                <w:rFonts w:ascii="Book Antiqua" w:hAnsi="Book Antiqua" w:cs="Arial"/>
                <w:b/>
                <w:iCs/>
                <w:color w:val="000000" w:themeColor="text1"/>
                <w:lang w:val="x-none" w:eastAsia="x-none"/>
              </w:rPr>
            </w:pPr>
            <w:r w:rsidRPr="00CB0AF7">
              <w:rPr>
                <w:rFonts w:ascii="Book Antiqua" w:eastAsia="Times New Roman" w:hAnsi="Book Antiqua"/>
                <w:bCs/>
                <w:sz w:val="20"/>
                <w:szCs w:val="20"/>
                <w:lang w:val="en-AU" w:eastAsia="en-AU"/>
              </w:rPr>
              <w:t xml:space="preserve">Program 1.1: </w:t>
            </w:r>
          </w:p>
          <w:p w14:paraId="577C7E24" w14:textId="77777777" w:rsidR="00CB36D7" w:rsidRPr="00AA1100" w:rsidRDefault="00CB36D7" w:rsidP="007431A4">
            <w:pPr>
              <w:pStyle w:val="ListParagraph"/>
              <w:numPr>
                <w:ilvl w:val="1"/>
                <w:numId w:val="115"/>
              </w:numPr>
              <w:spacing w:before="60" w:after="60" w:line="240" w:lineRule="auto"/>
              <w:ind w:left="589" w:hanging="283"/>
              <w:rPr>
                <w:rFonts w:ascii="Book Antiqua" w:hAnsi="Book Antiqua" w:cs="Arial"/>
                <w:b/>
                <w:iCs/>
                <w:color w:val="000000" w:themeColor="text1"/>
                <w:lang w:val="x-none" w:eastAsia="x-none"/>
              </w:rPr>
            </w:pPr>
            <w:r>
              <w:rPr>
                <w:rFonts w:ascii="Book Antiqua" w:eastAsia="Times New Roman" w:hAnsi="Book Antiqua"/>
                <w:bCs/>
                <w:sz w:val="20"/>
                <w:szCs w:val="20"/>
                <w:lang w:val="en-AU" w:eastAsia="en-AU"/>
              </w:rPr>
              <w:t>P</w:t>
            </w:r>
            <w:r w:rsidRPr="00CB0AF7">
              <w:rPr>
                <w:rFonts w:ascii="Book Antiqua" w:eastAsia="Times New Roman" w:hAnsi="Book Antiqua"/>
                <w:bCs/>
                <w:sz w:val="20"/>
                <w:szCs w:val="20"/>
                <w:lang w:val="en-AU" w:eastAsia="en-AU"/>
              </w:rPr>
              <w:t>art 1</w:t>
            </w:r>
            <w:r>
              <w:rPr>
                <w:rFonts w:ascii="Book Antiqua" w:eastAsia="Times New Roman" w:hAnsi="Book Antiqua"/>
                <w:bCs/>
                <w:sz w:val="20"/>
                <w:szCs w:val="20"/>
                <w:lang w:val="en-AU" w:eastAsia="en-AU"/>
              </w:rPr>
              <w:t>:</w:t>
            </w:r>
            <w:r w:rsidRPr="00CB0AF7">
              <w:rPr>
                <w:rFonts w:ascii="Book Antiqua" w:eastAsia="Times New Roman" w:hAnsi="Book Antiqua"/>
                <w:bCs/>
                <w:sz w:val="20"/>
                <w:szCs w:val="20"/>
                <w:lang w:val="en-AU" w:eastAsia="en-AU"/>
              </w:rPr>
              <w:t xml:space="preserve"> Maintain and enhance a fair, effective, and efficient aviation safety regulation system </w:t>
            </w:r>
          </w:p>
          <w:p w14:paraId="5E001CF8" w14:textId="77777777" w:rsidR="00CB36D7" w:rsidRPr="00CB0AF7" w:rsidRDefault="00CB36D7" w:rsidP="007431A4">
            <w:pPr>
              <w:pStyle w:val="ListParagraph"/>
              <w:numPr>
                <w:ilvl w:val="1"/>
                <w:numId w:val="115"/>
              </w:numPr>
              <w:spacing w:before="60" w:after="60" w:line="240" w:lineRule="auto"/>
              <w:ind w:left="589" w:hanging="283"/>
              <w:rPr>
                <w:rStyle w:val="ExampletextCharChar"/>
                <w:rFonts w:cs="Arial"/>
                <w:b/>
                <w:i w:val="0"/>
                <w:iCs/>
                <w:color w:val="000000" w:themeColor="text1"/>
                <w:lang w:val="x-none" w:eastAsia="x-none"/>
              </w:rPr>
            </w:pPr>
            <w:r>
              <w:rPr>
                <w:rFonts w:ascii="Book Antiqua" w:eastAsia="Times New Roman" w:hAnsi="Book Antiqua"/>
                <w:bCs/>
                <w:sz w:val="20"/>
                <w:szCs w:val="20"/>
                <w:lang w:val="en-AU" w:eastAsia="en-AU"/>
              </w:rPr>
              <w:t xml:space="preserve">Part </w:t>
            </w:r>
            <w:r w:rsidRPr="00CB0AF7">
              <w:rPr>
                <w:rFonts w:ascii="Book Antiqua" w:eastAsia="Times New Roman" w:hAnsi="Book Antiqua"/>
                <w:bCs/>
                <w:sz w:val="20"/>
                <w:szCs w:val="20"/>
                <w:lang w:val="en-AU" w:eastAsia="en-AU"/>
              </w:rPr>
              <w:t>2</w:t>
            </w:r>
            <w:r>
              <w:rPr>
                <w:rFonts w:ascii="Book Antiqua" w:eastAsia="Times New Roman" w:hAnsi="Book Antiqua"/>
                <w:bCs/>
                <w:sz w:val="20"/>
                <w:szCs w:val="20"/>
                <w:lang w:val="en-AU" w:eastAsia="en-AU"/>
              </w:rPr>
              <w:t>:</w:t>
            </w:r>
            <w:r w:rsidRPr="00CB0AF7">
              <w:rPr>
                <w:rFonts w:ascii="Book Antiqua" w:eastAsia="Times New Roman" w:hAnsi="Book Antiqua"/>
                <w:bCs/>
                <w:sz w:val="20"/>
                <w:szCs w:val="20"/>
                <w:lang w:val="en-AU" w:eastAsia="en-AU"/>
              </w:rPr>
              <w:t xml:space="preserve"> Collaborative engagement with the aviation industry and wider community to promote and support aviation</w:t>
            </w:r>
            <w:r w:rsidRPr="00CB0AF7">
              <w:rPr>
                <w:rFonts w:cs="Arial"/>
              </w:rPr>
              <w:t xml:space="preserve"> </w:t>
            </w:r>
          </w:p>
        </w:tc>
      </w:tr>
      <w:tr w:rsidR="00CB36D7" w:rsidRPr="005A19DA" w14:paraId="31F0FB88" w14:textId="77777777" w:rsidTr="00CB36D7">
        <w:trPr>
          <w:trHeight w:val="113"/>
        </w:trPr>
        <w:tc>
          <w:tcPr>
            <w:tcW w:w="7700" w:type="dxa"/>
            <w:tcBorders>
              <w:top w:val="nil"/>
              <w:left w:val="single" w:sz="4" w:space="0" w:color="auto"/>
              <w:bottom w:val="single" w:sz="4" w:space="0" w:color="auto"/>
              <w:right w:val="single" w:sz="4" w:space="0" w:color="auto"/>
            </w:tcBorders>
          </w:tcPr>
          <w:p w14:paraId="3019AF4A" w14:textId="77777777" w:rsidR="00CB36D7" w:rsidRPr="005A4A4B" w:rsidRDefault="00CB36D7" w:rsidP="00CB36D7">
            <w:pPr>
              <w:spacing w:before="60" w:after="60" w:line="240" w:lineRule="auto"/>
              <w:rPr>
                <w:rFonts w:cs="Arial"/>
                <w:b/>
                <w:color w:val="000000" w:themeColor="text1"/>
              </w:rPr>
            </w:pPr>
            <w:r w:rsidRPr="005A4A4B">
              <w:rPr>
                <w:rFonts w:cs="Arial"/>
                <w:b/>
                <w:color w:val="000000" w:themeColor="text1"/>
              </w:rPr>
              <w:t>Contribution to Outcome 1 made by linked program</w:t>
            </w:r>
          </w:p>
          <w:p w14:paraId="64667D47" w14:textId="77777777" w:rsidR="00CB36D7" w:rsidRPr="005A4A4B" w:rsidRDefault="00CB36D7" w:rsidP="00CB36D7">
            <w:pPr>
              <w:tabs>
                <w:tab w:val="left" w:pos="709"/>
              </w:tabs>
              <w:spacing w:before="60" w:after="60" w:line="240" w:lineRule="auto"/>
              <w:rPr>
                <w:color w:val="000000" w:themeColor="text1"/>
              </w:rPr>
            </w:pPr>
            <w:r w:rsidRPr="005A4A4B">
              <w:rPr>
                <w:rFonts w:cs="Arial"/>
                <w:color w:val="000000" w:themeColor="text1"/>
              </w:rPr>
              <w:t>CASA is responsible for regulating the aviation industry. The regulation of industry ensures that aircraft tasked by AMSA are meeting regulatory requirements</w:t>
            </w:r>
            <w:r>
              <w:rPr>
                <w:rFonts w:cs="Arial"/>
                <w:color w:val="000000" w:themeColor="text1"/>
              </w:rPr>
              <w:t>,</w:t>
            </w:r>
            <w:r w:rsidRPr="005A4A4B">
              <w:rPr>
                <w:rFonts w:cs="Arial"/>
                <w:color w:val="000000" w:themeColor="text1"/>
              </w:rPr>
              <w:t xml:space="preserve"> which supports operational risk management for responses, and accordingly the corporate risk that AMSA may be exposed to.</w:t>
            </w:r>
            <w:r w:rsidRPr="005A4A4B">
              <w:rPr>
                <w:color w:val="000000" w:themeColor="text1"/>
              </w:rPr>
              <w:t xml:space="preserve"> </w:t>
            </w:r>
          </w:p>
          <w:p w14:paraId="4AE0ED00" w14:textId="77777777" w:rsidR="00CB36D7" w:rsidRPr="005A4A4B" w:rsidRDefault="00CB36D7" w:rsidP="00CB36D7">
            <w:pPr>
              <w:spacing w:before="60" w:after="60" w:line="240" w:lineRule="auto"/>
              <w:rPr>
                <w:rStyle w:val="ExampletextCharChar"/>
                <w:rFonts w:cs="Arial"/>
                <w:i w:val="0"/>
                <w:color w:val="000000" w:themeColor="text1"/>
              </w:rPr>
            </w:pPr>
            <w:r w:rsidRPr="005A4A4B">
              <w:rPr>
                <w:rFonts w:cs="Arial"/>
                <w:color w:val="000000" w:themeColor="text1"/>
              </w:rPr>
              <w:t>AMSA is responsible for delivering Australia’s commitment to International Civil Aviation Authority’s (ICAO) Annex 12 (Search and Rescue)</w:t>
            </w:r>
            <w:r>
              <w:rPr>
                <w:rFonts w:cs="Arial"/>
                <w:color w:val="000000" w:themeColor="text1"/>
              </w:rPr>
              <w:t>,</w:t>
            </w:r>
            <w:r w:rsidRPr="005A4A4B">
              <w:rPr>
                <w:rFonts w:cs="Arial"/>
                <w:color w:val="000000" w:themeColor="text1"/>
              </w:rPr>
              <w:t xml:space="preserve"> and works with CASA and other aviation agencies to ensure a co-ordinated approach.</w:t>
            </w:r>
          </w:p>
        </w:tc>
      </w:tr>
    </w:tbl>
    <w:p w14:paraId="229F2503" w14:textId="77777777" w:rsidR="000A3B1D" w:rsidRDefault="000A3B1D">
      <w:r>
        <w:rPr>
          <w:i/>
        </w:rPr>
        <w:br w:type="page"/>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CB36D7" w:rsidRPr="005A19DA" w14:paraId="489CEE00" w14:textId="77777777" w:rsidTr="00CB36D7">
        <w:trPr>
          <w:trHeight w:val="113"/>
        </w:trPr>
        <w:tc>
          <w:tcPr>
            <w:tcW w:w="7700" w:type="dxa"/>
            <w:tcBorders>
              <w:top w:val="single" w:sz="4" w:space="0" w:color="auto"/>
              <w:left w:val="single" w:sz="4" w:space="0" w:color="auto"/>
              <w:bottom w:val="nil"/>
              <w:right w:val="single" w:sz="4" w:space="0" w:color="auto"/>
            </w:tcBorders>
          </w:tcPr>
          <w:p w14:paraId="04EE64C8" w14:textId="5D0BA3FE" w:rsidR="00CB36D7" w:rsidRPr="00EF6BA4" w:rsidRDefault="00CB36D7" w:rsidP="00CB36D7">
            <w:pPr>
              <w:pStyle w:val="ExampleText0"/>
              <w:spacing w:before="120" w:after="60" w:line="240" w:lineRule="auto"/>
              <w:rPr>
                <w:rFonts w:cs="Arial"/>
                <w:b/>
                <w:bCs/>
                <w:i w:val="0"/>
                <w:color w:val="auto"/>
              </w:rPr>
            </w:pPr>
            <w:r>
              <w:rPr>
                <w:rFonts w:cs="Arial"/>
                <w:b/>
                <w:bCs/>
                <w:i w:val="0"/>
                <w:color w:val="auto"/>
              </w:rPr>
              <w:lastRenderedPageBreak/>
              <w:t>Department</w:t>
            </w:r>
            <w:r w:rsidRPr="00EF6BA4">
              <w:rPr>
                <w:rFonts w:cs="Arial"/>
                <w:b/>
                <w:bCs/>
                <w:i w:val="0"/>
                <w:color w:val="auto"/>
              </w:rPr>
              <w:t xml:space="preserve"> of </w:t>
            </w:r>
            <w:r w:rsidRPr="00CB0AF7">
              <w:rPr>
                <w:rFonts w:cs="Arial"/>
                <w:b/>
                <w:i w:val="0"/>
                <w:color w:val="auto"/>
              </w:rPr>
              <w:t>Department of Climate Change, Energy, the Environment and Water (</w:t>
            </w:r>
            <w:r w:rsidRPr="00CB0AF7">
              <w:rPr>
                <w:b/>
                <w:i w:val="0"/>
                <w:color w:val="auto"/>
              </w:rPr>
              <w:t>DCCEEW)</w:t>
            </w:r>
          </w:p>
        </w:tc>
      </w:tr>
      <w:tr w:rsidR="00CB36D7" w:rsidRPr="005A19DA" w14:paraId="7F3AFB31" w14:textId="77777777" w:rsidTr="00CB36D7">
        <w:trPr>
          <w:trHeight w:val="113"/>
        </w:trPr>
        <w:tc>
          <w:tcPr>
            <w:tcW w:w="7700" w:type="dxa"/>
            <w:tcBorders>
              <w:top w:val="nil"/>
              <w:left w:val="single" w:sz="4" w:space="0" w:color="auto"/>
              <w:bottom w:val="nil"/>
              <w:right w:val="single" w:sz="4" w:space="0" w:color="auto"/>
            </w:tcBorders>
          </w:tcPr>
          <w:p w14:paraId="47634952" w14:textId="77777777" w:rsidR="00CB36D7" w:rsidRPr="00523297" w:rsidRDefault="00CB36D7" w:rsidP="00CB36D7">
            <w:pPr>
              <w:spacing w:before="60" w:after="60" w:line="240" w:lineRule="auto"/>
              <w:rPr>
                <w:rFonts w:cs="Arial"/>
                <w:b/>
                <w:iCs/>
                <w:color w:val="000000" w:themeColor="text1"/>
                <w:lang w:val="x-none" w:eastAsia="x-none"/>
              </w:rPr>
            </w:pPr>
            <w:r w:rsidRPr="00523297">
              <w:rPr>
                <w:rFonts w:cs="Arial"/>
                <w:b/>
                <w:iCs/>
                <w:color w:val="000000" w:themeColor="text1"/>
                <w:lang w:val="x-none" w:eastAsia="x-none"/>
              </w:rPr>
              <w:t>Program</w:t>
            </w:r>
          </w:p>
          <w:p w14:paraId="4700A807" w14:textId="77777777" w:rsidR="00CB36D7" w:rsidRPr="00523297" w:rsidRDefault="00CB36D7" w:rsidP="008D0F63">
            <w:pPr>
              <w:numPr>
                <w:ilvl w:val="0"/>
                <w:numId w:val="88"/>
              </w:numPr>
              <w:spacing w:before="60" w:after="60" w:line="240" w:lineRule="auto"/>
              <w:ind w:left="447"/>
              <w:rPr>
                <w:rStyle w:val="ExampletextCharChar"/>
                <w:i w:val="0"/>
                <w:color w:val="000000" w:themeColor="text1"/>
              </w:rPr>
            </w:pPr>
            <w:r w:rsidRPr="00523297">
              <w:rPr>
                <w:rFonts w:cs="Arial"/>
                <w:color w:val="000000" w:themeColor="text1"/>
              </w:rPr>
              <w:t>Program 2.6: Management of Hazardous Wastes, Substances and Pollutants</w:t>
            </w:r>
          </w:p>
        </w:tc>
      </w:tr>
      <w:tr w:rsidR="00CB36D7" w:rsidRPr="005A19DA" w14:paraId="3E50A0B2" w14:textId="77777777" w:rsidTr="00CB36D7">
        <w:trPr>
          <w:trHeight w:val="113"/>
        </w:trPr>
        <w:tc>
          <w:tcPr>
            <w:tcW w:w="7700" w:type="dxa"/>
            <w:tcBorders>
              <w:top w:val="nil"/>
              <w:left w:val="single" w:sz="4" w:space="0" w:color="auto"/>
              <w:bottom w:val="single" w:sz="4" w:space="0" w:color="auto"/>
              <w:right w:val="single" w:sz="4" w:space="0" w:color="auto"/>
            </w:tcBorders>
          </w:tcPr>
          <w:p w14:paraId="14C38129" w14:textId="77777777" w:rsidR="00CB36D7" w:rsidRPr="00523297" w:rsidRDefault="00CB36D7" w:rsidP="00CB36D7">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2B3ECD33" w14:textId="77777777" w:rsidR="00CB36D7" w:rsidRPr="00523297" w:rsidRDefault="00CB36D7" w:rsidP="00CB36D7">
            <w:pPr>
              <w:spacing w:before="120" w:after="120"/>
              <w:rPr>
                <w:rFonts w:cs="Arial"/>
                <w:i/>
                <w:iCs/>
                <w:color w:val="000000" w:themeColor="text1"/>
              </w:rPr>
            </w:pPr>
            <w:r w:rsidRPr="00523297">
              <w:rPr>
                <w:rFonts w:cs="Arial"/>
                <w:color w:val="000000" w:themeColor="text1"/>
              </w:rPr>
              <w:t>DCCEEW works with AMSA to determine the feasibility of recycling clean and segregated waste from international ships at Australian ports and to develop a nationally consistent framework to support this activity in the longer term</w:t>
            </w:r>
            <w:r w:rsidRPr="00523297">
              <w:rPr>
                <w:rFonts w:cs="Arial"/>
                <w:i/>
                <w:iCs/>
                <w:color w:val="000000" w:themeColor="text1"/>
              </w:rPr>
              <w:t xml:space="preserve">. </w:t>
            </w:r>
          </w:p>
          <w:p w14:paraId="2352E60F" w14:textId="77777777" w:rsidR="00CB36D7" w:rsidRPr="00523297" w:rsidRDefault="00CB36D7" w:rsidP="00CB36D7">
            <w:pPr>
              <w:spacing w:before="60" w:after="60" w:line="240" w:lineRule="auto"/>
              <w:rPr>
                <w:rStyle w:val="ExampletextCharChar"/>
                <w:color w:val="000000" w:themeColor="text1"/>
              </w:rPr>
            </w:pPr>
            <w:r w:rsidRPr="00523297">
              <w:rPr>
                <w:rFonts w:cs="Arial"/>
                <w:color w:val="000000" w:themeColor="text1"/>
              </w:rPr>
              <w:t>This action is identified in the National Waste Action Plan and supports Australia’s National Waste Plan to reduce landfill and increase the circular economy. Additionally, activity is undertaken to support the International Maritime Organizations Action Plan to Address Marine Plastic Litter from Ships that identifies the need to improve the effectiveness of port reception facilities in reducing marine plastic litter through the provision of recycling facilities.</w:t>
            </w:r>
          </w:p>
        </w:tc>
      </w:tr>
      <w:tr w:rsidR="00CB36D7" w:rsidRPr="0066450A" w14:paraId="28AB2199" w14:textId="77777777" w:rsidTr="00CB36D7">
        <w:trPr>
          <w:trHeight w:val="113"/>
        </w:trPr>
        <w:tc>
          <w:tcPr>
            <w:tcW w:w="7700" w:type="dxa"/>
            <w:tcBorders>
              <w:top w:val="single" w:sz="4" w:space="0" w:color="auto"/>
              <w:left w:val="single" w:sz="4" w:space="0" w:color="auto"/>
              <w:bottom w:val="nil"/>
              <w:right w:val="single" w:sz="4" w:space="0" w:color="auto"/>
            </w:tcBorders>
          </w:tcPr>
          <w:p w14:paraId="36319EF0" w14:textId="77777777" w:rsidR="00CB36D7" w:rsidRPr="002F7F2B" w:rsidRDefault="00CB36D7" w:rsidP="00CB36D7">
            <w:pPr>
              <w:pStyle w:val="ExampleText0"/>
              <w:spacing w:before="120" w:after="60" w:line="240" w:lineRule="auto"/>
              <w:rPr>
                <w:i w:val="0"/>
                <w:iCs/>
                <w:color w:val="auto"/>
              </w:rPr>
            </w:pPr>
            <w:r>
              <w:rPr>
                <w:rFonts w:cs="Arial"/>
                <w:b/>
                <w:bCs/>
                <w:i w:val="0"/>
                <w:color w:val="auto"/>
              </w:rPr>
              <w:t>Department</w:t>
            </w:r>
            <w:r w:rsidRPr="002F7F2B">
              <w:rPr>
                <w:rFonts w:cs="Arial"/>
                <w:b/>
                <w:bCs/>
                <w:i w:val="0"/>
                <w:color w:val="auto"/>
              </w:rPr>
              <w:t xml:space="preserve"> of Defence</w:t>
            </w:r>
            <w:r w:rsidRPr="002F7F2B">
              <w:rPr>
                <w:rFonts w:cs="Arial"/>
                <w:b/>
                <w:i w:val="0"/>
                <w:iCs/>
                <w:color w:val="auto"/>
              </w:rPr>
              <w:t xml:space="preserve"> </w:t>
            </w:r>
          </w:p>
        </w:tc>
      </w:tr>
      <w:tr w:rsidR="00CB36D7" w:rsidRPr="0066450A" w14:paraId="64062CBE" w14:textId="77777777" w:rsidTr="00CB36D7">
        <w:trPr>
          <w:trHeight w:val="113"/>
        </w:trPr>
        <w:tc>
          <w:tcPr>
            <w:tcW w:w="7700" w:type="dxa"/>
            <w:tcBorders>
              <w:top w:val="nil"/>
              <w:left w:val="single" w:sz="4" w:space="0" w:color="auto"/>
              <w:bottom w:val="nil"/>
              <w:right w:val="single" w:sz="4" w:space="0" w:color="auto"/>
            </w:tcBorders>
          </w:tcPr>
          <w:p w14:paraId="4834BE34" w14:textId="77777777" w:rsidR="00CB36D7" w:rsidRPr="00523297" w:rsidRDefault="00CB36D7" w:rsidP="00CB36D7">
            <w:pPr>
              <w:spacing w:before="60" w:after="60" w:line="240" w:lineRule="auto"/>
              <w:rPr>
                <w:rFonts w:cs="Arial"/>
                <w:b/>
                <w:iCs/>
                <w:color w:val="000000" w:themeColor="text1"/>
                <w:lang w:val="x-none" w:eastAsia="x-none"/>
              </w:rPr>
            </w:pPr>
            <w:r w:rsidRPr="00523297">
              <w:rPr>
                <w:rFonts w:cs="Arial"/>
                <w:b/>
                <w:iCs/>
                <w:color w:val="000000" w:themeColor="text1"/>
                <w:lang w:val="x-none" w:eastAsia="x-none"/>
              </w:rPr>
              <w:t>Program</w:t>
            </w:r>
          </w:p>
          <w:p w14:paraId="2A719FA4" w14:textId="77777777" w:rsidR="00CB36D7" w:rsidRPr="00523297" w:rsidRDefault="00CB36D7" w:rsidP="008D0F63">
            <w:pPr>
              <w:numPr>
                <w:ilvl w:val="0"/>
                <w:numId w:val="88"/>
              </w:numPr>
              <w:spacing w:before="60" w:after="60" w:line="240" w:lineRule="auto"/>
              <w:ind w:left="447"/>
              <w:rPr>
                <w:rStyle w:val="ExampletextCharChar"/>
                <w:i w:val="0"/>
                <w:color w:val="000000" w:themeColor="text1"/>
              </w:rPr>
            </w:pPr>
            <w:r w:rsidRPr="00523297">
              <w:rPr>
                <w:rFonts w:cs="Arial"/>
                <w:color w:val="000000" w:themeColor="text1"/>
                <w:lang w:eastAsia="x-none"/>
              </w:rPr>
              <w:t xml:space="preserve">Program </w:t>
            </w:r>
            <w:r w:rsidRPr="00523297">
              <w:rPr>
                <w:rFonts w:cs="Arial"/>
                <w:color w:val="000000" w:themeColor="text1"/>
                <w:lang w:val="x-none" w:eastAsia="x-none"/>
              </w:rPr>
              <w:t>2.14: Defence Intelligence</w:t>
            </w:r>
          </w:p>
        </w:tc>
      </w:tr>
      <w:tr w:rsidR="00CB36D7" w:rsidRPr="0066450A" w14:paraId="6AB56BC1" w14:textId="77777777" w:rsidTr="00CB36D7">
        <w:trPr>
          <w:trHeight w:val="113"/>
        </w:trPr>
        <w:tc>
          <w:tcPr>
            <w:tcW w:w="7700" w:type="dxa"/>
            <w:tcBorders>
              <w:top w:val="nil"/>
              <w:left w:val="single" w:sz="4" w:space="0" w:color="auto"/>
              <w:bottom w:val="single" w:sz="4" w:space="0" w:color="auto"/>
              <w:right w:val="single" w:sz="4" w:space="0" w:color="auto"/>
            </w:tcBorders>
          </w:tcPr>
          <w:p w14:paraId="5BEF70E1" w14:textId="77777777" w:rsidR="00CB36D7" w:rsidRPr="00523297" w:rsidRDefault="00CB36D7" w:rsidP="00CB36D7">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0BCA4B3F" w14:textId="649708FD" w:rsidR="00CB36D7" w:rsidRPr="00523297" w:rsidRDefault="00CB36D7" w:rsidP="00CB36D7">
            <w:pPr>
              <w:spacing w:before="60" w:after="60" w:line="240" w:lineRule="auto"/>
              <w:rPr>
                <w:rStyle w:val="ExampletextCharChar"/>
                <w:color w:val="000000" w:themeColor="text1"/>
              </w:rPr>
            </w:pPr>
            <w:r w:rsidRPr="00523297">
              <w:rPr>
                <w:rFonts w:cs="Arial"/>
                <w:color w:val="000000" w:themeColor="text1"/>
              </w:rPr>
              <w:t>AMSA provides advice and direction on the provision of nautical charts and publications to best support maritime safety.</w:t>
            </w:r>
          </w:p>
        </w:tc>
      </w:tr>
      <w:tr w:rsidR="00CB36D7" w:rsidRPr="00F036C6" w14:paraId="3ACC8DA6" w14:textId="77777777" w:rsidTr="00CB36D7">
        <w:trPr>
          <w:trHeight w:val="113"/>
        </w:trPr>
        <w:tc>
          <w:tcPr>
            <w:tcW w:w="7700" w:type="dxa"/>
            <w:tcBorders>
              <w:top w:val="single" w:sz="4" w:space="0" w:color="auto"/>
              <w:left w:val="single" w:sz="4" w:space="0" w:color="auto"/>
              <w:bottom w:val="nil"/>
              <w:right w:val="single" w:sz="4" w:space="0" w:color="auto"/>
            </w:tcBorders>
          </w:tcPr>
          <w:p w14:paraId="4CF3A9F9" w14:textId="77777777" w:rsidR="00CB36D7" w:rsidRPr="002F7F2B" w:rsidRDefault="00CB36D7" w:rsidP="00CB36D7">
            <w:pPr>
              <w:pStyle w:val="ExampleText0"/>
              <w:spacing w:before="120" w:after="60" w:line="240" w:lineRule="auto"/>
              <w:rPr>
                <w:i w:val="0"/>
                <w:iCs/>
                <w:color w:val="auto"/>
              </w:rPr>
            </w:pPr>
            <w:r>
              <w:rPr>
                <w:rFonts w:cs="Arial"/>
                <w:b/>
                <w:bCs/>
                <w:i w:val="0"/>
                <w:color w:val="auto"/>
              </w:rPr>
              <w:t>Department</w:t>
            </w:r>
            <w:r w:rsidRPr="002F7F2B">
              <w:rPr>
                <w:rFonts w:cs="Arial"/>
                <w:b/>
                <w:bCs/>
                <w:i w:val="0"/>
                <w:color w:val="auto"/>
              </w:rPr>
              <w:t xml:space="preserve"> of Foreign Affairs and Trade (DFAT)</w:t>
            </w:r>
            <w:r w:rsidRPr="002F7F2B">
              <w:rPr>
                <w:rFonts w:cs="Arial"/>
                <w:b/>
                <w:i w:val="0"/>
                <w:iCs/>
                <w:color w:val="auto"/>
              </w:rPr>
              <w:t xml:space="preserve"> </w:t>
            </w:r>
          </w:p>
        </w:tc>
      </w:tr>
      <w:tr w:rsidR="00CB36D7" w:rsidRPr="00F036C6" w14:paraId="0CAA5DC8" w14:textId="77777777" w:rsidTr="00CB36D7">
        <w:trPr>
          <w:trHeight w:val="113"/>
        </w:trPr>
        <w:tc>
          <w:tcPr>
            <w:tcW w:w="7700" w:type="dxa"/>
            <w:tcBorders>
              <w:top w:val="nil"/>
              <w:left w:val="single" w:sz="4" w:space="0" w:color="auto"/>
              <w:bottom w:val="nil"/>
              <w:right w:val="single" w:sz="4" w:space="0" w:color="auto"/>
            </w:tcBorders>
          </w:tcPr>
          <w:p w14:paraId="5462EB20" w14:textId="77777777" w:rsidR="00CB36D7" w:rsidRPr="00523297" w:rsidRDefault="00CB36D7" w:rsidP="00CB36D7">
            <w:pPr>
              <w:spacing w:before="60" w:after="60" w:line="240" w:lineRule="auto"/>
              <w:rPr>
                <w:rFonts w:cs="Arial"/>
                <w:b/>
                <w:iCs/>
                <w:color w:val="000000" w:themeColor="text1"/>
                <w:lang w:val="x-none" w:eastAsia="x-none"/>
              </w:rPr>
            </w:pPr>
            <w:r w:rsidRPr="00523297">
              <w:rPr>
                <w:rFonts w:cs="Arial"/>
                <w:b/>
                <w:iCs/>
                <w:color w:val="000000" w:themeColor="text1"/>
                <w:lang w:val="x-none" w:eastAsia="x-none"/>
              </w:rPr>
              <w:t>Programs</w:t>
            </w:r>
          </w:p>
          <w:p w14:paraId="71E311F3" w14:textId="77777777" w:rsidR="00CB36D7" w:rsidRPr="00523297" w:rsidRDefault="00CB36D7" w:rsidP="008D0F63">
            <w:pPr>
              <w:numPr>
                <w:ilvl w:val="0"/>
                <w:numId w:val="88"/>
              </w:numPr>
              <w:spacing w:before="60" w:after="60" w:line="240" w:lineRule="auto"/>
              <w:ind w:left="447"/>
              <w:rPr>
                <w:rFonts w:cs="Arial"/>
                <w:color w:val="000000" w:themeColor="text1"/>
              </w:rPr>
            </w:pPr>
            <w:r w:rsidRPr="00523297">
              <w:rPr>
                <w:rFonts w:cs="Arial"/>
                <w:color w:val="000000" w:themeColor="text1"/>
              </w:rPr>
              <w:t>Program 1.1: Foreign Affairs and Trade Operations</w:t>
            </w:r>
          </w:p>
          <w:p w14:paraId="2F3483A0" w14:textId="77777777" w:rsidR="00CB36D7" w:rsidRPr="00523297" w:rsidRDefault="00CB36D7" w:rsidP="008D0F63">
            <w:pPr>
              <w:numPr>
                <w:ilvl w:val="0"/>
                <w:numId w:val="88"/>
              </w:numPr>
              <w:spacing w:before="60" w:after="60" w:line="240" w:lineRule="auto"/>
              <w:ind w:left="447"/>
              <w:rPr>
                <w:rStyle w:val="ExampletextCharChar"/>
                <w:i w:val="0"/>
                <w:color w:val="000000" w:themeColor="text1"/>
              </w:rPr>
            </w:pPr>
            <w:r w:rsidRPr="00523297">
              <w:rPr>
                <w:rFonts w:cs="Arial"/>
                <w:color w:val="000000" w:themeColor="text1"/>
              </w:rPr>
              <w:t>Program 2.1: Consular Services</w:t>
            </w:r>
          </w:p>
        </w:tc>
      </w:tr>
      <w:tr w:rsidR="00CB36D7" w:rsidRPr="00F036C6" w14:paraId="5088CA07" w14:textId="77777777" w:rsidTr="00CB36D7">
        <w:trPr>
          <w:trHeight w:val="113"/>
        </w:trPr>
        <w:tc>
          <w:tcPr>
            <w:tcW w:w="7700" w:type="dxa"/>
            <w:tcBorders>
              <w:top w:val="nil"/>
              <w:left w:val="single" w:sz="4" w:space="0" w:color="auto"/>
              <w:bottom w:val="single" w:sz="4" w:space="0" w:color="auto"/>
              <w:right w:val="single" w:sz="4" w:space="0" w:color="auto"/>
            </w:tcBorders>
          </w:tcPr>
          <w:p w14:paraId="7EDC6E29" w14:textId="77777777" w:rsidR="00CB36D7" w:rsidRPr="00523297" w:rsidRDefault="00CB36D7" w:rsidP="00CB36D7">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697B170C" w14:textId="77777777" w:rsidR="00CB36D7" w:rsidRPr="00523297" w:rsidRDefault="00CB36D7" w:rsidP="00CB36D7">
            <w:pPr>
              <w:spacing w:before="120" w:after="120"/>
              <w:rPr>
                <w:rFonts w:cs="Arial"/>
                <w:color w:val="000000" w:themeColor="text1"/>
              </w:rPr>
            </w:pPr>
            <w:r w:rsidRPr="00523297">
              <w:rPr>
                <w:rFonts w:cs="Arial"/>
                <w:color w:val="000000" w:themeColor="text1"/>
              </w:rPr>
              <w:t>DFAT provides funding support to AMSA for delivery of bilateral capacity building programs with Indonesia and Papua New Guinea, along with individual projects across the Indo-Pacific region.</w:t>
            </w:r>
          </w:p>
          <w:p w14:paraId="323026D0" w14:textId="77777777" w:rsidR="00CB36D7" w:rsidRPr="00523297" w:rsidRDefault="00CB36D7" w:rsidP="00CB36D7">
            <w:pPr>
              <w:spacing w:before="120" w:after="120"/>
              <w:rPr>
                <w:rFonts w:cs="Arial"/>
                <w:color w:val="000000" w:themeColor="text1"/>
              </w:rPr>
            </w:pPr>
            <w:r w:rsidRPr="00523297">
              <w:rPr>
                <w:rFonts w:cs="Arial"/>
                <w:color w:val="000000" w:themeColor="text1"/>
              </w:rPr>
              <w:t xml:space="preserve">DFAT also supports Australia’s re-election campaign to the International Maritime Organization (IMO) Council every two years.  </w:t>
            </w:r>
          </w:p>
          <w:p w14:paraId="7C4DD246" w14:textId="77777777" w:rsidR="00CB36D7" w:rsidRPr="00523297" w:rsidRDefault="00CB36D7" w:rsidP="00CB36D7">
            <w:pPr>
              <w:spacing w:before="60" w:after="60" w:line="240" w:lineRule="auto"/>
              <w:rPr>
                <w:rStyle w:val="ExampletextCharChar"/>
                <w:color w:val="000000" w:themeColor="text1"/>
              </w:rPr>
            </w:pPr>
            <w:r w:rsidRPr="00523297">
              <w:rPr>
                <w:rFonts w:cs="Arial"/>
                <w:color w:val="000000" w:themeColor="text1"/>
              </w:rPr>
              <w:t>Using DFAT funding, this year AMSA contributed AU$200,000 to the IMO’s Integrated Technical Cooperation Committee to support development of Small Island Developing States and Least Developed Countries, seafarer welfare and women in maritime initiatives. A further AU$50,000 was also donated to the World Maritime University (WMU) Annual Fund to support the work of the organisation.</w:t>
            </w:r>
          </w:p>
        </w:tc>
      </w:tr>
    </w:tbl>
    <w:p w14:paraId="2ABB5F76" w14:textId="77777777" w:rsidR="00CB36D7" w:rsidRDefault="00CB36D7" w:rsidP="00CB36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CB36D7" w14:paraId="3F262225" w14:textId="77777777" w:rsidTr="00C753A4">
        <w:trPr>
          <w:trHeight w:val="113"/>
        </w:trPr>
        <w:tc>
          <w:tcPr>
            <w:tcW w:w="5000" w:type="pct"/>
            <w:tcBorders>
              <w:top w:val="single" w:sz="4" w:space="0" w:color="auto"/>
              <w:left w:val="single" w:sz="4" w:space="0" w:color="auto"/>
              <w:bottom w:val="nil"/>
              <w:right w:val="single" w:sz="4" w:space="0" w:color="auto"/>
            </w:tcBorders>
            <w:hideMark/>
          </w:tcPr>
          <w:p w14:paraId="714A0170" w14:textId="77777777" w:rsidR="00CB36D7" w:rsidRDefault="00CB36D7" w:rsidP="00CB36D7">
            <w:pPr>
              <w:spacing w:before="60" w:after="60" w:line="240" w:lineRule="auto"/>
              <w:rPr>
                <w:rFonts w:cs="Arial"/>
                <w:b/>
              </w:rPr>
            </w:pPr>
            <w:r w:rsidRPr="00EF6BA4">
              <w:rPr>
                <w:rFonts w:cs="Arial"/>
                <w:b/>
                <w:bCs/>
              </w:rPr>
              <w:lastRenderedPageBreak/>
              <w:t>Great Barrier Reef Marine Park Authority (GBRMPA)</w:t>
            </w:r>
          </w:p>
        </w:tc>
      </w:tr>
      <w:tr w:rsidR="00CB36D7" w14:paraId="13D0D8CF" w14:textId="77777777" w:rsidTr="00C753A4">
        <w:trPr>
          <w:trHeight w:val="113"/>
        </w:trPr>
        <w:tc>
          <w:tcPr>
            <w:tcW w:w="5000" w:type="pct"/>
            <w:tcBorders>
              <w:top w:val="nil"/>
              <w:left w:val="single" w:sz="4" w:space="0" w:color="auto"/>
              <w:bottom w:val="nil"/>
              <w:right w:val="single" w:sz="4" w:space="0" w:color="auto"/>
            </w:tcBorders>
            <w:hideMark/>
          </w:tcPr>
          <w:p w14:paraId="34F8B40B" w14:textId="77777777" w:rsidR="00CB36D7" w:rsidRDefault="00CB36D7" w:rsidP="00CB36D7">
            <w:pPr>
              <w:spacing w:before="60" w:after="60" w:line="240" w:lineRule="auto"/>
              <w:rPr>
                <w:rFonts w:cs="Arial"/>
                <w:b/>
                <w:iCs/>
                <w:lang w:val="x-none" w:eastAsia="x-none"/>
              </w:rPr>
            </w:pPr>
            <w:r>
              <w:rPr>
                <w:rFonts w:cs="Arial"/>
                <w:b/>
                <w:iCs/>
                <w:lang w:val="x-none" w:eastAsia="x-none"/>
              </w:rPr>
              <w:t>Programs</w:t>
            </w:r>
          </w:p>
          <w:p w14:paraId="441FD23A" w14:textId="77777777" w:rsidR="00CB36D7" w:rsidRDefault="00CB36D7" w:rsidP="008D0F63">
            <w:pPr>
              <w:numPr>
                <w:ilvl w:val="0"/>
                <w:numId w:val="88"/>
              </w:numPr>
              <w:spacing w:before="60" w:after="60" w:line="240" w:lineRule="auto"/>
              <w:ind w:left="447"/>
              <w:rPr>
                <w:rFonts w:cs="Arial"/>
                <w:b/>
                <w:iCs/>
                <w:lang w:val="x-none" w:eastAsia="x-none"/>
              </w:rPr>
            </w:pPr>
            <w:r>
              <w:rPr>
                <w:rFonts w:cs="Arial"/>
              </w:rPr>
              <w:t>Program 1.1 – Great Barrier Reef Marine Park Authority</w:t>
            </w:r>
          </w:p>
        </w:tc>
      </w:tr>
      <w:tr w:rsidR="00CB36D7" w14:paraId="15C79F1C" w14:textId="77777777" w:rsidTr="00C753A4">
        <w:trPr>
          <w:trHeight w:val="113"/>
        </w:trPr>
        <w:tc>
          <w:tcPr>
            <w:tcW w:w="5000" w:type="pct"/>
            <w:tcBorders>
              <w:top w:val="nil"/>
              <w:left w:val="single" w:sz="4" w:space="0" w:color="auto"/>
              <w:bottom w:val="single" w:sz="4" w:space="0" w:color="auto"/>
              <w:right w:val="single" w:sz="4" w:space="0" w:color="auto"/>
            </w:tcBorders>
          </w:tcPr>
          <w:p w14:paraId="4E1A3997" w14:textId="77777777" w:rsidR="00CB36D7" w:rsidRDefault="00CB36D7" w:rsidP="00CB36D7">
            <w:pPr>
              <w:spacing w:before="60" w:after="60" w:line="240" w:lineRule="auto"/>
              <w:rPr>
                <w:rFonts w:cs="Arial"/>
                <w:b/>
              </w:rPr>
            </w:pPr>
            <w:r>
              <w:rPr>
                <w:rFonts w:cs="Arial"/>
                <w:b/>
              </w:rPr>
              <w:t>Contribution to Outcome 1 made by linked program</w:t>
            </w:r>
          </w:p>
          <w:p w14:paraId="5F203F21" w14:textId="77777777" w:rsidR="00CB36D7" w:rsidRDefault="00CB36D7" w:rsidP="00CB36D7">
            <w:pPr>
              <w:spacing w:before="60" w:after="60" w:line="240" w:lineRule="auto"/>
              <w:rPr>
                <w:rFonts w:cs="Arial"/>
              </w:rPr>
            </w:pPr>
            <w:r>
              <w:rPr>
                <w:rFonts w:cs="Arial"/>
              </w:rPr>
              <w:t>GBRMPA is the regulator responsible for the management of the Great Barrier Reef Marine Park.  AMSA supports the ongoing management of the Great Barrier Reef (GBR) through providing services to enable safer shipping within the reef, such as: aids to navigation, GBR Vessel Traffic Services, emergency response arrangements to minimise maritime pollution incidents (including delivery of a dedicated emergency towage vessel) and regulation of shipping for safety and environmental performance.</w:t>
            </w:r>
          </w:p>
          <w:p w14:paraId="7322B6B1" w14:textId="77777777" w:rsidR="00CB36D7" w:rsidRPr="00446BB5" w:rsidRDefault="00CB36D7" w:rsidP="00CB36D7">
            <w:pPr>
              <w:spacing w:before="60" w:after="60" w:line="240" w:lineRule="auto"/>
              <w:rPr>
                <w:rFonts w:cs="Arial"/>
              </w:rPr>
            </w:pPr>
            <w:r>
              <w:rPr>
                <w:rFonts w:cs="Arial"/>
              </w:rPr>
              <w:t>GBRMPA supports AMSA emergency response functions through provision of resources and subject matter expertise.</w:t>
            </w:r>
          </w:p>
        </w:tc>
      </w:tr>
      <w:tr w:rsidR="00CB36D7" w14:paraId="117C0AE8" w14:textId="77777777" w:rsidTr="00C753A4">
        <w:trPr>
          <w:trHeight w:val="113"/>
        </w:trPr>
        <w:tc>
          <w:tcPr>
            <w:tcW w:w="5000" w:type="pct"/>
            <w:tcBorders>
              <w:top w:val="single" w:sz="4" w:space="0" w:color="auto"/>
              <w:left w:val="single" w:sz="4" w:space="0" w:color="auto"/>
              <w:bottom w:val="nil"/>
              <w:right w:val="single" w:sz="4" w:space="0" w:color="auto"/>
            </w:tcBorders>
            <w:hideMark/>
          </w:tcPr>
          <w:p w14:paraId="262FC3EC" w14:textId="77777777" w:rsidR="00CB36D7" w:rsidRPr="005A4A4B" w:rsidRDefault="00CB36D7" w:rsidP="00CB36D7">
            <w:pPr>
              <w:pStyle w:val="ExampleText0"/>
              <w:spacing w:before="120" w:after="60" w:line="240" w:lineRule="auto"/>
              <w:rPr>
                <w:rFonts w:cs="Arial"/>
                <w:b/>
                <w:color w:val="000000" w:themeColor="text1"/>
              </w:rPr>
            </w:pPr>
            <w:r>
              <w:rPr>
                <w:rFonts w:cs="Arial"/>
                <w:b/>
                <w:bCs/>
                <w:i w:val="0"/>
                <w:color w:val="000000" w:themeColor="text1"/>
              </w:rPr>
              <w:t>Department</w:t>
            </w:r>
            <w:r w:rsidRPr="005A4A4B">
              <w:rPr>
                <w:rFonts w:cs="Arial"/>
                <w:b/>
                <w:bCs/>
                <w:i w:val="0"/>
                <w:color w:val="000000" w:themeColor="text1"/>
              </w:rPr>
              <w:t xml:space="preserve"> of Home Affairs</w:t>
            </w:r>
          </w:p>
        </w:tc>
      </w:tr>
      <w:tr w:rsidR="00CB36D7" w14:paraId="6F9020A0" w14:textId="77777777" w:rsidTr="00C753A4">
        <w:trPr>
          <w:trHeight w:val="113"/>
        </w:trPr>
        <w:tc>
          <w:tcPr>
            <w:tcW w:w="5000" w:type="pct"/>
            <w:tcBorders>
              <w:top w:val="nil"/>
              <w:left w:val="single" w:sz="4" w:space="0" w:color="auto"/>
              <w:bottom w:val="nil"/>
              <w:right w:val="single" w:sz="4" w:space="0" w:color="auto"/>
            </w:tcBorders>
            <w:hideMark/>
          </w:tcPr>
          <w:p w14:paraId="5EBB1569" w14:textId="77777777" w:rsidR="00CB36D7" w:rsidRPr="005A4A4B" w:rsidRDefault="00CB36D7" w:rsidP="00CB36D7">
            <w:pPr>
              <w:spacing w:before="60" w:after="60" w:line="240" w:lineRule="auto"/>
              <w:rPr>
                <w:rFonts w:cs="Arial"/>
                <w:bCs/>
                <w:color w:val="000000" w:themeColor="text1"/>
              </w:rPr>
            </w:pPr>
            <w:r w:rsidRPr="005A4A4B">
              <w:rPr>
                <w:rFonts w:cs="Arial"/>
                <w:b/>
                <w:color w:val="000000" w:themeColor="text1"/>
              </w:rPr>
              <w:t xml:space="preserve">Outcomes </w:t>
            </w:r>
            <w:r w:rsidRPr="005A4A4B">
              <w:rPr>
                <w:rFonts w:cs="Arial"/>
                <w:bCs/>
                <w:color w:val="000000" w:themeColor="text1"/>
                <w:vertAlign w:val="superscript"/>
              </w:rPr>
              <w:t>(a)</w:t>
            </w:r>
          </w:p>
          <w:p w14:paraId="4A3140A6" w14:textId="77777777" w:rsidR="00CB36D7" w:rsidRPr="005A4A4B" w:rsidRDefault="00CB36D7" w:rsidP="008D0F63">
            <w:pPr>
              <w:numPr>
                <w:ilvl w:val="0"/>
                <w:numId w:val="88"/>
              </w:numPr>
              <w:spacing w:before="60" w:after="60" w:line="240" w:lineRule="auto"/>
              <w:ind w:left="447"/>
              <w:rPr>
                <w:rFonts w:cs="Arial"/>
                <w:bCs/>
                <w:color w:val="000000" w:themeColor="text1"/>
              </w:rPr>
            </w:pPr>
            <w:r w:rsidRPr="005A4A4B">
              <w:rPr>
                <w:rFonts w:cs="Arial"/>
                <w:bCs/>
                <w:color w:val="000000" w:themeColor="text1"/>
              </w:rPr>
              <w:t>Outcome 2: Support a prosperous and united Australia through effective coordination and delivery of immigration and social cohesion policies and programs</w:t>
            </w:r>
          </w:p>
          <w:p w14:paraId="5E8A0289" w14:textId="77777777" w:rsidR="00CB36D7" w:rsidRPr="005A4A4B" w:rsidRDefault="00CB36D7" w:rsidP="008D0F63">
            <w:pPr>
              <w:numPr>
                <w:ilvl w:val="0"/>
                <w:numId w:val="88"/>
              </w:numPr>
              <w:spacing w:before="60" w:after="60" w:line="240" w:lineRule="auto"/>
              <w:ind w:left="447"/>
              <w:rPr>
                <w:rFonts w:cs="Arial"/>
                <w:b/>
                <w:color w:val="000000" w:themeColor="text1"/>
              </w:rPr>
            </w:pPr>
            <w:r w:rsidRPr="005A4A4B">
              <w:rPr>
                <w:rFonts w:cs="Arial"/>
                <w:bCs/>
                <w:color w:val="000000" w:themeColor="text1"/>
              </w:rPr>
              <w:t>Outcome 3: Advance a prosperous and secure Australia through trade and travel facilitation and modernisation, and effective customs, immigration, maritime and enforcement activities across the border continuum</w:t>
            </w:r>
          </w:p>
        </w:tc>
      </w:tr>
      <w:tr w:rsidR="00CB36D7" w14:paraId="3BF564AC" w14:textId="77777777" w:rsidTr="00C753A4">
        <w:trPr>
          <w:trHeight w:val="113"/>
        </w:trPr>
        <w:tc>
          <w:tcPr>
            <w:tcW w:w="5000" w:type="pct"/>
            <w:tcBorders>
              <w:top w:val="nil"/>
              <w:left w:val="single" w:sz="4" w:space="0" w:color="auto"/>
              <w:bottom w:val="single" w:sz="4" w:space="0" w:color="auto"/>
              <w:right w:val="single" w:sz="4" w:space="0" w:color="auto"/>
            </w:tcBorders>
            <w:hideMark/>
          </w:tcPr>
          <w:p w14:paraId="074098AF" w14:textId="77777777" w:rsidR="00CB36D7" w:rsidRDefault="00CB36D7" w:rsidP="00CB36D7">
            <w:pPr>
              <w:spacing w:before="60" w:after="60" w:line="240" w:lineRule="auto"/>
              <w:rPr>
                <w:rFonts w:cs="Arial"/>
                <w:b/>
              </w:rPr>
            </w:pPr>
            <w:r>
              <w:rPr>
                <w:rFonts w:cs="Arial"/>
                <w:b/>
              </w:rPr>
              <w:t>Contribution to Outcome 1 made by Outcomes</w:t>
            </w:r>
          </w:p>
          <w:p w14:paraId="542E1D1B" w14:textId="77777777" w:rsidR="00CB36D7" w:rsidRPr="00332EEC" w:rsidRDefault="00CB36D7" w:rsidP="00CB36D7">
            <w:pPr>
              <w:spacing w:before="120" w:after="120"/>
              <w:rPr>
                <w:rFonts w:cs="Arial"/>
                <w:bCs/>
              </w:rPr>
            </w:pPr>
            <w:r w:rsidRPr="00332EEC">
              <w:rPr>
                <w:rFonts w:cs="Arial"/>
                <w:bCs/>
              </w:rPr>
              <w:t>Home Affairs is responsible for immigration and border policy, and has responsibilities across emergency management, critical infrastructure protection, and transport security. The Home Affairs portfolio structure enhances AMSA’s ability to mobilise and share across AMSA’s aids to navigation responsibilities for maritime safety (critical infrastructure) and operational responses (emergency management and transport security). Home Affairs provides the national coordination mechanisms through which AMSA can respond, delivering a synchronised effect across the whole of government.</w:t>
            </w:r>
          </w:p>
          <w:p w14:paraId="081F831B" w14:textId="77777777" w:rsidR="00CB36D7" w:rsidRDefault="00CB36D7" w:rsidP="00CB36D7">
            <w:pPr>
              <w:spacing w:before="60" w:after="60" w:line="240" w:lineRule="auto"/>
              <w:rPr>
                <w:rFonts w:cs="Arial"/>
                <w:b/>
              </w:rPr>
            </w:pPr>
            <w:r w:rsidRPr="00332EEC">
              <w:rPr>
                <w:rFonts w:cs="Arial"/>
                <w:bCs/>
              </w:rPr>
              <w:t>AMSA supports Home Affairs through the provision of data such as vessel locations (automatic identification system) and occasional use of AMSA response assets under a Memorandum of Understanding. Through leading Australia’s engagement at the International Maritime Organisation, AMSA also supports Home Affair’s maritime security role.</w:t>
            </w:r>
          </w:p>
        </w:tc>
      </w:tr>
    </w:tbl>
    <w:p w14:paraId="5023E75C" w14:textId="77777777" w:rsidR="00CB36D7" w:rsidRDefault="00CB36D7" w:rsidP="00CB36D7">
      <w:r>
        <w:rPr>
          <w:i/>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tblGrid>
      <w:tr w:rsidR="00CB36D7" w14:paraId="30C819F5" w14:textId="77777777" w:rsidTr="00CB36D7">
        <w:trPr>
          <w:trHeight w:val="113"/>
        </w:trPr>
        <w:tc>
          <w:tcPr>
            <w:tcW w:w="7711" w:type="dxa"/>
            <w:tcBorders>
              <w:top w:val="single" w:sz="4" w:space="0" w:color="auto"/>
              <w:left w:val="single" w:sz="4" w:space="0" w:color="auto"/>
              <w:bottom w:val="nil"/>
              <w:right w:val="single" w:sz="4" w:space="0" w:color="auto"/>
            </w:tcBorders>
            <w:hideMark/>
          </w:tcPr>
          <w:p w14:paraId="0C6F9C33" w14:textId="7914EC92" w:rsidR="00CB36D7" w:rsidRPr="00733BC0" w:rsidRDefault="00CB36D7" w:rsidP="00CB36D7">
            <w:pPr>
              <w:pStyle w:val="ExampleText0"/>
              <w:spacing w:before="120" w:after="60" w:line="240" w:lineRule="auto"/>
              <w:rPr>
                <w:rFonts w:cs="Arial"/>
                <w:b/>
                <w:color w:val="000000" w:themeColor="text1"/>
              </w:rPr>
            </w:pPr>
            <w:r w:rsidRPr="00EF6BA4">
              <w:rPr>
                <w:rFonts w:cs="Arial"/>
                <w:b/>
                <w:bCs/>
                <w:i w:val="0"/>
                <w:color w:val="auto"/>
              </w:rPr>
              <w:lastRenderedPageBreak/>
              <w:t>National Offshore Petroleum Safety</w:t>
            </w:r>
            <w:r>
              <w:rPr>
                <w:rFonts w:cs="Arial"/>
                <w:b/>
                <w:bCs/>
                <w:i w:val="0"/>
                <w:color w:val="auto"/>
              </w:rPr>
              <w:t xml:space="preserve"> and Environmental</w:t>
            </w:r>
            <w:r w:rsidRPr="00EF6BA4">
              <w:rPr>
                <w:rFonts w:cs="Arial"/>
                <w:b/>
                <w:bCs/>
                <w:i w:val="0"/>
                <w:color w:val="auto"/>
              </w:rPr>
              <w:t xml:space="preserve"> </w:t>
            </w:r>
            <w:r w:rsidR="00737E26">
              <w:rPr>
                <w:rFonts w:cs="Arial"/>
                <w:b/>
                <w:bCs/>
                <w:i w:val="0"/>
                <w:color w:val="auto"/>
              </w:rPr>
              <w:t xml:space="preserve">Management </w:t>
            </w:r>
            <w:r w:rsidRPr="00EF6BA4">
              <w:rPr>
                <w:rFonts w:cs="Arial"/>
                <w:b/>
                <w:bCs/>
                <w:i w:val="0"/>
                <w:color w:val="auto"/>
              </w:rPr>
              <w:t>Authority (NO</w:t>
            </w:r>
            <w:r>
              <w:rPr>
                <w:rFonts w:cs="Arial"/>
                <w:b/>
                <w:bCs/>
                <w:i w:val="0"/>
                <w:color w:val="auto"/>
              </w:rPr>
              <w:t>P</w:t>
            </w:r>
            <w:r w:rsidRPr="00EF6BA4">
              <w:rPr>
                <w:rFonts w:cs="Arial"/>
                <w:b/>
                <w:bCs/>
                <w:i w:val="0"/>
                <w:color w:val="auto"/>
              </w:rPr>
              <w:t>S</w:t>
            </w:r>
            <w:r>
              <w:rPr>
                <w:rFonts w:cs="Arial"/>
                <w:b/>
                <w:bCs/>
                <w:i w:val="0"/>
                <w:color w:val="auto"/>
              </w:rPr>
              <w:t>EM</w:t>
            </w:r>
            <w:r w:rsidRPr="00EF6BA4">
              <w:rPr>
                <w:rFonts w:cs="Arial"/>
                <w:b/>
                <w:bCs/>
                <w:i w:val="0"/>
                <w:color w:val="auto"/>
              </w:rPr>
              <w:t>A)</w:t>
            </w:r>
          </w:p>
        </w:tc>
      </w:tr>
      <w:tr w:rsidR="00CB36D7" w14:paraId="2C60E308" w14:textId="77777777" w:rsidTr="00CB36D7">
        <w:trPr>
          <w:trHeight w:val="113"/>
        </w:trPr>
        <w:tc>
          <w:tcPr>
            <w:tcW w:w="7711" w:type="dxa"/>
            <w:tcBorders>
              <w:top w:val="nil"/>
              <w:left w:val="single" w:sz="4" w:space="0" w:color="auto"/>
              <w:bottom w:val="nil"/>
              <w:right w:val="single" w:sz="4" w:space="0" w:color="auto"/>
            </w:tcBorders>
            <w:hideMark/>
          </w:tcPr>
          <w:p w14:paraId="0798A625" w14:textId="77777777" w:rsidR="00CB36D7" w:rsidRDefault="00CB36D7" w:rsidP="00CB36D7">
            <w:pPr>
              <w:spacing w:before="60" w:after="60" w:line="240" w:lineRule="auto"/>
              <w:rPr>
                <w:rFonts w:cs="Arial"/>
                <w:b/>
              </w:rPr>
            </w:pPr>
            <w:r>
              <w:rPr>
                <w:rFonts w:cs="Arial"/>
                <w:b/>
              </w:rPr>
              <w:t>Programs</w:t>
            </w:r>
          </w:p>
          <w:p w14:paraId="062AA0A1" w14:textId="77777777" w:rsidR="00CB36D7" w:rsidRDefault="00CB36D7" w:rsidP="008D0F63">
            <w:pPr>
              <w:numPr>
                <w:ilvl w:val="0"/>
                <w:numId w:val="88"/>
              </w:numPr>
              <w:spacing w:before="60" w:after="60" w:line="240" w:lineRule="auto"/>
              <w:ind w:left="447"/>
              <w:rPr>
                <w:rFonts w:cs="Arial"/>
                <w:bCs/>
              </w:rPr>
            </w:pPr>
            <w:r>
              <w:rPr>
                <w:rFonts w:cs="Arial"/>
                <w:bCs/>
              </w:rPr>
              <w:t>Program 1 – Regulatory oversight of Safety Cases, Well Operations Management Plans and Environment Plans coupled with effective monitoring, investigation and enforcement.</w:t>
            </w:r>
          </w:p>
        </w:tc>
      </w:tr>
      <w:tr w:rsidR="00CB36D7" w14:paraId="2605BAF6" w14:textId="77777777" w:rsidTr="00CB36D7">
        <w:trPr>
          <w:trHeight w:val="113"/>
        </w:trPr>
        <w:tc>
          <w:tcPr>
            <w:tcW w:w="7711" w:type="dxa"/>
            <w:tcBorders>
              <w:top w:val="nil"/>
              <w:left w:val="single" w:sz="4" w:space="0" w:color="auto"/>
              <w:bottom w:val="single" w:sz="4" w:space="0" w:color="auto"/>
              <w:right w:val="single" w:sz="4" w:space="0" w:color="auto"/>
            </w:tcBorders>
            <w:hideMark/>
          </w:tcPr>
          <w:p w14:paraId="1BF279A2" w14:textId="77777777" w:rsidR="00CB36D7" w:rsidRDefault="00CB36D7" w:rsidP="00CB36D7">
            <w:pPr>
              <w:keepNext/>
              <w:spacing w:before="60" w:after="60" w:line="240" w:lineRule="auto"/>
              <w:rPr>
                <w:rFonts w:cs="Arial"/>
                <w:b/>
              </w:rPr>
            </w:pPr>
            <w:r>
              <w:rPr>
                <w:rFonts w:cs="Arial"/>
                <w:b/>
              </w:rPr>
              <w:t>Contribution to Outcome 1 made by linked program</w:t>
            </w:r>
          </w:p>
          <w:p w14:paraId="4030F985" w14:textId="77777777" w:rsidR="00CB36D7" w:rsidRPr="00332EEC" w:rsidRDefault="00CB36D7" w:rsidP="00CB36D7">
            <w:pPr>
              <w:spacing w:before="120" w:after="120"/>
              <w:rPr>
                <w:rFonts w:cs="Arial"/>
                <w:bCs/>
              </w:rPr>
            </w:pPr>
            <w:r w:rsidRPr="00332EEC">
              <w:rPr>
                <w:rFonts w:cs="Arial"/>
                <w:bCs/>
              </w:rPr>
              <w:t>NOPS</w:t>
            </w:r>
            <w:r>
              <w:rPr>
                <w:rFonts w:cs="Arial"/>
                <w:bCs/>
              </w:rPr>
              <w:t>EM</w:t>
            </w:r>
            <w:r w:rsidRPr="00332EEC">
              <w:rPr>
                <w:rFonts w:cs="Arial"/>
                <w:bCs/>
              </w:rPr>
              <w:t>A are responsible for promoting and enforcing the effective management of risks to the workforce, the environment and the structural integrity of facilities, wells and well-related equipment of the Australian offshore petroleum and greenhouse gas storage industries through regulatory oversight.</w:t>
            </w:r>
          </w:p>
          <w:p w14:paraId="31E1299A" w14:textId="77777777" w:rsidR="00CB36D7" w:rsidRDefault="00CB36D7" w:rsidP="00CB36D7">
            <w:pPr>
              <w:spacing w:before="60" w:after="60" w:line="240" w:lineRule="auto"/>
              <w:rPr>
                <w:rFonts w:cs="Arial"/>
                <w:b/>
              </w:rPr>
            </w:pPr>
            <w:r w:rsidRPr="00332EEC">
              <w:rPr>
                <w:rFonts w:cs="Arial"/>
                <w:bCs/>
              </w:rPr>
              <w:t>AMSA manages the National Plan for Maritime Environmental Emergencies.  Arrangements within the National Plan and AMSA response resources support the response to offshore petroleum oil spill incidents. NOPSEMA regulates the duty holder’s compliance with implementing their oil pollution emergency plan (OPEP).</w:t>
            </w:r>
          </w:p>
        </w:tc>
      </w:tr>
    </w:tbl>
    <w:p w14:paraId="44E223D1" w14:textId="77777777" w:rsidR="00CB36D7" w:rsidRPr="00E95830" w:rsidRDefault="00CB36D7" w:rsidP="008D0F63">
      <w:pPr>
        <w:pStyle w:val="ChartandTableFootnoteAlpha"/>
        <w:numPr>
          <w:ilvl w:val="0"/>
          <w:numId w:val="152"/>
        </w:numPr>
        <w:tabs>
          <w:tab w:val="clear" w:pos="284"/>
          <w:tab w:val="num" w:pos="426"/>
        </w:tabs>
        <w:spacing w:before="60"/>
        <w:ind w:left="426" w:hanging="426"/>
        <w:jc w:val="left"/>
        <w:rPr>
          <w:color w:val="000000" w:themeColor="text1"/>
        </w:rPr>
      </w:pPr>
      <w:r w:rsidRPr="00F76DDA">
        <w:t xml:space="preserve">AMSA and Home Affairs agreed that the relationship was best described at an </w:t>
      </w:r>
      <w:r w:rsidRPr="00E95830">
        <w:rPr>
          <w:color w:val="000000" w:themeColor="text1"/>
        </w:rPr>
        <w:t>Outcome level.</w:t>
      </w:r>
    </w:p>
    <w:p w14:paraId="3284E876" w14:textId="77777777" w:rsidR="00CB36D7" w:rsidRPr="000A7F0D" w:rsidRDefault="00CB36D7" w:rsidP="00CB36D7">
      <w:pPr>
        <w:pStyle w:val="Heading5"/>
        <w:rPr>
          <w:b/>
          <w:bCs w:val="0"/>
        </w:rPr>
      </w:pPr>
      <w:r>
        <w:br w:type="page"/>
      </w:r>
      <w:r w:rsidRPr="000A7F0D">
        <w:rPr>
          <w:b/>
          <w:bCs w:val="0"/>
        </w:rPr>
        <w:lastRenderedPageBreak/>
        <w:t xml:space="preserve">Budgeted expenses for Outcome </w:t>
      </w:r>
      <w:r>
        <w:rPr>
          <w:b/>
          <w:bCs w:val="0"/>
        </w:rPr>
        <w:t>1</w:t>
      </w:r>
    </w:p>
    <w:p w14:paraId="2FD6C10C" w14:textId="77777777" w:rsidR="00CB36D7" w:rsidRDefault="00CB36D7" w:rsidP="00CB36D7">
      <w:r w:rsidRPr="00950281">
        <w:t>Th</w:t>
      </w:r>
      <w:r>
        <w:t xml:space="preserve">e following </w:t>
      </w:r>
      <w:r w:rsidRPr="00950281">
        <w:t>table</w:t>
      </w:r>
      <w:r>
        <w:t>s</w:t>
      </w:r>
      <w:r w:rsidRPr="00950281">
        <w:t xml:space="preserve"> shows how much </w:t>
      </w:r>
      <w:r>
        <w:t xml:space="preserve">AMSA </w:t>
      </w:r>
      <w:r w:rsidRPr="00950281">
        <w:t>intends to spend (on an accrual basis) on achieving the outcome, broken down by program</w:t>
      </w:r>
      <w:r>
        <w:t>.</w:t>
      </w:r>
    </w:p>
    <w:p w14:paraId="5CB8BC74" w14:textId="77777777" w:rsidR="00CB36D7" w:rsidRPr="005A4A4B" w:rsidRDefault="00CB36D7" w:rsidP="00CB36D7">
      <w:pPr>
        <w:spacing w:after="0"/>
        <w:rPr>
          <w:color w:val="000000" w:themeColor="text1"/>
        </w:rPr>
      </w:pPr>
      <w:r w:rsidRPr="002F7F2B">
        <w:rPr>
          <w:rFonts w:ascii="Arial" w:hAnsi="Arial" w:cs="Arial"/>
          <w:b/>
        </w:rPr>
        <w:t>Table 2.1.1: Budgeted expenses for Outcome 1</w:t>
      </w:r>
      <w:r w:rsidRPr="00D47EFB">
        <w:t xml:space="preserve"> </w:t>
      </w:r>
    </w:p>
    <w:tbl>
      <w:tblPr>
        <w:tblW w:w="5000" w:type="pct"/>
        <w:tblLook w:val="04A0" w:firstRow="1" w:lastRow="0" w:firstColumn="1" w:lastColumn="0" w:noHBand="0" w:noVBand="1"/>
      </w:tblPr>
      <w:tblGrid>
        <w:gridCol w:w="3176"/>
        <w:gridCol w:w="945"/>
        <w:gridCol w:w="896"/>
        <w:gridCol w:w="896"/>
        <w:gridCol w:w="896"/>
        <w:gridCol w:w="901"/>
      </w:tblGrid>
      <w:tr w:rsidR="00CB36D7" w:rsidRPr="00F87B09" w14:paraId="5A522282" w14:textId="77777777" w:rsidTr="007431A4">
        <w:trPr>
          <w:trHeight w:val="204"/>
        </w:trPr>
        <w:tc>
          <w:tcPr>
            <w:tcW w:w="2060" w:type="pct"/>
            <w:tcBorders>
              <w:top w:val="single" w:sz="4" w:space="0" w:color="auto"/>
              <w:left w:val="nil"/>
              <w:bottom w:val="nil"/>
              <w:right w:val="nil"/>
            </w:tcBorders>
            <w:shd w:val="clear" w:color="auto" w:fill="auto"/>
            <w:vAlign w:val="bottom"/>
            <w:hideMark/>
          </w:tcPr>
          <w:p w14:paraId="362298D7" w14:textId="77777777" w:rsidR="00CB36D7" w:rsidRPr="00F87B09" w:rsidRDefault="00CB36D7" w:rsidP="00CB36D7">
            <w:pPr>
              <w:spacing w:after="0" w:line="240" w:lineRule="auto"/>
              <w:rPr>
                <w:rFonts w:ascii="Arial" w:hAnsi="Arial" w:cs="Arial"/>
                <w:b/>
                <w:bCs/>
                <w:color w:val="000000"/>
                <w:sz w:val="16"/>
                <w:szCs w:val="16"/>
              </w:rPr>
            </w:pPr>
            <w:r w:rsidRPr="00F87B09">
              <w:rPr>
                <w:rFonts w:ascii="Arial" w:hAnsi="Arial" w:cs="Arial"/>
                <w:b/>
                <w:bCs/>
                <w:color w:val="000000"/>
                <w:sz w:val="16"/>
                <w:szCs w:val="16"/>
              </w:rPr>
              <w:t> </w:t>
            </w:r>
          </w:p>
        </w:tc>
        <w:tc>
          <w:tcPr>
            <w:tcW w:w="613" w:type="pct"/>
            <w:tcBorders>
              <w:top w:val="single" w:sz="4" w:space="0" w:color="auto"/>
              <w:left w:val="nil"/>
              <w:bottom w:val="single" w:sz="4" w:space="0" w:color="auto"/>
              <w:right w:val="nil"/>
            </w:tcBorders>
            <w:shd w:val="clear" w:color="auto" w:fill="auto"/>
            <w:vAlign w:val="bottom"/>
            <w:hideMark/>
          </w:tcPr>
          <w:p w14:paraId="684E3CC1"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2021-22 Estimated actual</w:t>
            </w:r>
            <w:r w:rsidRPr="00F87B09">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E6E6E6"/>
            <w:vAlign w:val="bottom"/>
            <w:hideMark/>
          </w:tcPr>
          <w:p w14:paraId="1C7DB15A"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2022-23</w:t>
            </w:r>
            <w:r w:rsidRPr="00F87B09">
              <w:rPr>
                <w:rFonts w:ascii="Arial" w:hAnsi="Arial" w:cs="Arial"/>
                <w:sz w:val="16"/>
                <w:szCs w:val="16"/>
              </w:rPr>
              <w:br/>
              <w:t>Budget</w:t>
            </w:r>
            <w:r w:rsidRPr="00F87B09">
              <w:rPr>
                <w:rFonts w:ascii="Arial" w:hAnsi="Arial" w:cs="Arial"/>
                <w:sz w:val="16"/>
                <w:szCs w:val="16"/>
              </w:rPr>
              <w:br/>
            </w:r>
            <w:r w:rsidRPr="00F87B09">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1D097921"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2023-24 Forward estimate</w:t>
            </w:r>
            <w:r w:rsidRPr="00F87B09">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0F7899A5"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2024-25 Forward estimate</w:t>
            </w:r>
            <w:r w:rsidRPr="00F87B0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0AAFA54"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2025-26</w:t>
            </w:r>
            <w:r w:rsidRPr="00F87B09">
              <w:rPr>
                <w:rFonts w:ascii="Arial" w:hAnsi="Arial" w:cs="Arial"/>
                <w:sz w:val="16"/>
                <w:szCs w:val="16"/>
              </w:rPr>
              <w:br/>
              <w:t>Forward estimate</w:t>
            </w:r>
            <w:r w:rsidRPr="00F87B09">
              <w:rPr>
                <w:rFonts w:ascii="Arial" w:hAnsi="Arial" w:cs="Arial"/>
                <w:sz w:val="16"/>
                <w:szCs w:val="16"/>
              </w:rPr>
              <w:br/>
              <w:t>$'000</w:t>
            </w:r>
          </w:p>
        </w:tc>
      </w:tr>
      <w:tr w:rsidR="00CB36D7" w:rsidRPr="00F87B09" w14:paraId="316709CB" w14:textId="77777777" w:rsidTr="007431A4">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C02C5B2"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Program 1.1: Seafarer and ship safety, maritime environment protection, and search and rescue</w:t>
            </w:r>
          </w:p>
        </w:tc>
      </w:tr>
      <w:tr w:rsidR="00CB36D7" w:rsidRPr="00F87B09" w14:paraId="7C3D9D42" w14:textId="77777777" w:rsidTr="007431A4">
        <w:trPr>
          <w:trHeight w:val="204"/>
        </w:trPr>
        <w:tc>
          <w:tcPr>
            <w:tcW w:w="2060" w:type="pct"/>
            <w:tcBorders>
              <w:top w:val="nil"/>
              <w:left w:val="nil"/>
              <w:bottom w:val="nil"/>
              <w:right w:val="nil"/>
            </w:tcBorders>
            <w:shd w:val="clear" w:color="auto" w:fill="auto"/>
            <w:noWrap/>
            <w:vAlign w:val="bottom"/>
            <w:hideMark/>
          </w:tcPr>
          <w:p w14:paraId="58EF7933"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Revenue from Government</w:t>
            </w:r>
          </w:p>
        </w:tc>
        <w:tc>
          <w:tcPr>
            <w:tcW w:w="613" w:type="pct"/>
            <w:tcBorders>
              <w:top w:val="nil"/>
              <w:left w:val="nil"/>
              <w:bottom w:val="nil"/>
              <w:right w:val="nil"/>
            </w:tcBorders>
            <w:shd w:val="clear" w:color="auto" w:fill="auto"/>
            <w:noWrap/>
            <w:vAlign w:val="bottom"/>
            <w:hideMark/>
          </w:tcPr>
          <w:p w14:paraId="76098C2A" w14:textId="77777777" w:rsidR="00CB36D7" w:rsidRPr="00B70FB0" w:rsidRDefault="00CB36D7" w:rsidP="00CB36D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E6E6E6"/>
            <w:noWrap/>
            <w:vAlign w:val="bottom"/>
            <w:hideMark/>
          </w:tcPr>
          <w:p w14:paraId="67532403" w14:textId="77777777" w:rsidR="00CB36D7" w:rsidRPr="00EC7A4B" w:rsidRDefault="00CB36D7" w:rsidP="00CB36D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7B99718F" w14:textId="77777777" w:rsidR="00CB36D7" w:rsidRPr="00B70FB0" w:rsidRDefault="00CB36D7" w:rsidP="00CB36D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48A67F6C" w14:textId="77777777" w:rsidR="00CB36D7" w:rsidRPr="002F7F2B" w:rsidRDefault="00CB36D7" w:rsidP="00CB36D7">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36733178" w14:textId="77777777" w:rsidR="00CB36D7" w:rsidRPr="002F7F2B" w:rsidRDefault="00CB36D7" w:rsidP="00CB36D7">
            <w:pPr>
              <w:spacing w:after="0" w:line="240" w:lineRule="auto"/>
              <w:jc w:val="right"/>
              <w:rPr>
                <w:rFonts w:ascii="Times New Roman" w:hAnsi="Times New Roman"/>
                <w:sz w:val="16"/>
                <w:szCs w:val="16"/>
              </w:rPr>
            </w:pPr>
          </w:p>
        </w:tc>
      </w:tr>
      <w:tr w:rsidR="00CB36D7" w:rsidRPr="00F87B09" w14:paraId="1BD12878" w14:textId="77777777" w:rsidTr="007431A4">
        <w:trPr>
          <w:trHeight w:val="204"/>
        </w:trPr>
        <w:tc>
          <w:tcPr>
            <w:tcW w:w="2060" w:type="pct"/>
            <w:tcBorders>
              <w:top w:val="nil"/>
              <w:left w:val="nil"/>
              <w:bottom w:val="nil"/>
              <w:right w:val="nil"/>
            </w:tcBorders>
            <w:shd w:val="clear" w:color="auto" w:fill="auto"/>
            <w:vAlign w:val="bottom"/>
            <w:hideMark/>
          </w:tcPr>
          <w:p w14:paraId="62C6F6EB" w14:textId="77777777" w:rsidR="00CB36D7" w:rsidRPr="00EC7A4B" w:rsidRDefault="00CB36D7" w:rsidP="00CB36D7">
            <w:pPr>
              <w:spacing w:after="0" w:line="240" w:lineRule="auto"/>
              <w:ind w:left="113"/>
              <w:rPr>
                <w:rFonts w:ascii="Arial" w:hAnsi="Arial" w:cs="Arial"/>
                <w:sz w:val="16"/>
                <w:szCs w:val="16"/>
              </w:rPr>
            </w:pPr>
            <w:r w:rsidRPr="00B70FB0">
              <w:rPr>
                <w:rFonts w:ascii="Arial" w:hAnsi="Arial" w:cs="Arial"/>
                <w:sz w:val="16"/>
                <w:szCs w:val="16"/>
              </w:rPr>
              <w:t xml:space="preserve">Ordinary annual services </w:t>
            </w:r>
            <w:r>
              <w:rPr>
                <w:rFonts w:ascii="Arial" w:hAnsi="Arial" w:cs="Arial"/>
                <w:sz w:val="16"/>
                <w:szCs w:val="16"/>
              </w:rPr>
              <w:t>(</w:t>
            </w:r>
            <w:r w:rsidRPr="002F7F2B">
              <w:rPr>
                <w:rFonts w:ascii="Arial" w:hAnsi="Arial" w:cs="Arial"/>
                <w:iCs/>
                <w:sz w:val="16"/>
                <w:szCs w:val="16"/>
              </w:rPr>
              <w:t>Appropriation Bill No. 1</w:t>
            </w:r>
            <w:r w:rsidRPr="00B70FB0">
              <w:rPr>
                <w:rFonts w:ascii="Arial" w:hAnsi="Arial" w:cs="Arial"/>
                <w:sz w:val="16"/>
                <w:szCs w:val="16"/>
              </w:rPr>
              <w:t>)</w:t>
            </w:r>
          </w:p>
        </w:tc>
        <w:tc>
          <w:tcPr>
            <w:tcW w:w="613" w:type="pct"/>
            <w:tcBorders>
              <w:top w:val="nil"/>
              <w:left w:val="nil"/>
              <w:bottom w:val="nil"/>
              <w:right w:val="nil"/>
            </w:tcBorders>
            <w:shd w:val="clear" w:color="auto" w:fill="auto"/>
            <w:noWrap/>
            <w:vAlign w:val="bottom"/>
            <w:hideMark/>
          </w:tcPr>
          <w:p w14:paraId="05FB7EA6"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87,80</w:t>
            </w:r>
            <w:r>
              <w:rPr>
                <w:rFonts w:ascii="Arial" w:hAnsi="Arial" w:cs="Arial"/>
                <w:color w:val="000000"/>
                <w:sz w:val="16"/>
                <w:szCs w:val="16"/>
              </w:rPr>
              <w:t>4</w:t>
            </w:r>
          </w:p>
        </w:tc>
        <w:tc>
          <w:tcPr>
            <w:tcW w:w="581" w:type="pct"/>
            <w:tcBorders>
              <w:top w:val="nil"/>
              <w:left w:val="nil"/>
              <w:bottom w:val="nil"/>
              <w:right w:val="nil"/>
            </w:tcBorders>
            <w:shd w:val="clear" w:color="auto" w:fill="E6E6E6"/>
            <w:noWrap/>
            <w:vAlign w:val="bottom"/>
            <w:hideMark/>
          </w:tcPr>
          <w:p w14:paraId="1C3661A7"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92,893</w:t>
            </w:r>
          </w:p>
        </w:tc>
        <w:tc>
          <w:tcPr>
            <w:tcW w:w="581" w:type="pct"/>
            <w:tcBorders>
              <w:top w:val="nil"/>
              <w:left w:val="nil"/>
              <w:bottom w:val="nil"/>
              <w:right w:val="nil"/>
            </w:tcBorders>
            <w:shd w:val="clear" w:color="auto" w:fill="auto"/>
            <w:noWrap/>
            <w:vAlign w:val="bottom"/>
            <w:hideMark/>
          </w:tcPr>
          <w:p w14:paraId="6D4CF1BF" w14:textId="77777777" w:rsidR="00CB36D7" w:rsidRPr="00B70FB0" w:rsidRDefault="00CB36D7" w:rsidP="00CB36D7">
            <w:pPr>
              <w:spacing w:after="0" w:line="240" w:lineRule="auto"/>
              <w:jc w:val="right"/>
              <w:rPr>
                <w:rFonts w:ascii="Arial" w:hAnsi="Arial" w:cs="Arial"/>
                <w:sz w:val="16"/>
                <w:szCs w:val="16"/>
              </w:rPr>
            </w:pPr>
            <w:r>
              <w:rPr>
                <w:rFonts w:ascii="Arial" w:hAnsi="Arial" w:cs="Arial"/>
                <w:sz w:val="16"/>
                <w:szCs w:val="16"/>
              </w:rPr>
              <w:t>83,724</w:t>
            </w:r>
          </w:p>
        </w:tc>
        <w:tc>
          <w:tcPr>
            <w:tcW w:w="581" w:type="pct"/>
            <w:tcBorders>
              <w:top w:val="nil"/>
              <w:left w:val="nil"/>
              <w:bottom w:val="nil"/>
              <w:right w:val="nil"/>
            </w:tcBorders>
            <w:shd w:val="clear" w:color="auto" w:fill="auto"/>
            <w:noWrap/>
            <w:vAlign w:val="bottom"/>
            <w:hideMark/>
          </w:tcPr>
          <w:p w14:paraId="3BE3216D" w14:textId="77777777" w:rsidR="00CB36D7" w:rsidRPr="00B70FB0" w:rsidRDefault="00CB36D7" w:rsidP="00CB36D7">
            <w:pPr>
              <w:spacing w:after="0" w:line="240" w:lineRule="auto"/>
              <w:jc w:val="right"/>
              <w:rPr>
                <w:rFonts w:ascii="Arial" w:hAnsi="Arial" w:cs="Arial"/>
                <w:sz w:val="16"/>
                <w:szCs w:val="16"/>
              </w:rPr>
            </w:pPr>
            <w:r>
              <w:rPr>
                <w:rFonts w:ascii="Arial" w:hAnsi="Arial" w:cs="Arial"/>
                <w:sz w:val="16"/>
                <w:szCs w:val="16"/>
              </w:rPr>
              <w:t>85,242</w:t>
            </w:r>
          </w:p>
        </w:tc>
        <w:tc>
          <w:tcPr>
            <w:tcW w:w="584" w:type="pct"/>
            <w:tcBorders>
              <w:top w:val="nil"/>
              <w:left w:val="nil"/>
              <w:bottom w:val="nil"/>
              <w:right w:val="nil"/>
            </w:tcBorders>
            <w:shd w:val="clear" w:color="auto" w:fill="auto"/>
            <w:noWrap/>
            <w:vAlign w:val="bottom"/>
            <w:hideMark/>
          </w:tcPr>
          <w:p w14:paraId="138621F3" w14:textId="77777777" w:rsidR="00CB36D7" w:rsidRPr="00B70FB0" w:rsidRDefault="00CB36D7" w:rsidP="00CB36D7">
            <w:pPr>
              <w:spacing w:after="0" w:line="240" w:lineRule="auto"/>
              <w:jc w:val="right"/>
              <w:rPr>
                <w:rFonts w:ascii="Arial" w:hAnsi="Arial" w:cs="Arial"/>
                <w:sz w:val="16"/>
                <w:szCs w:val="16"/>
              </w:rPr>
            </w:pPr>
            <w:r>
              <w:rPr>
                <w:rFonts w:ascii="Arial" w:hAnsi="Arial" w:cs="Arial"/>
                <w:sz w:val="16"/>
                <w:szCs w:val="16"/>
              </w:rPr>
              <w:t>86,297</w:t>
            </w:r>
          </w:p>
        </w:tc>
      </w:tr>
      <w:tr w:rsidR="00CB36D7" w:rsidRPr="00F87B09" w14:paraId="1B0D8B2B" w14:textId="77777777" w:rsidTr="007431A4">
        <w:trPr>
          <w:trHeight w:val="204"/>
        </w:trPr>
        <w:tc>
          <w:tcPr>
            <w:tcW w:w="2060" w:type="pct"/>
            <w:tcBorders>
              <w:top w:val="nil"/>
              <w:left w:val="nil"/>
              <w:bottom w:val="nil"/>
              <w:right w:val="nil"/>
            </w:tcBorders>
            <w:shd w:val="clear" w:color="auto" w:fill="auto"/>
            <w:noWrap/>
            <w:vAlign w:val="bottom"/>
            <w:hideMark/>
          </w:tcPr>
          <w:p w14:paraId="420A381E"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Payment from related entities</w:t>
            </w:r>
          </w:p>
        </w:tc>
        <w:tc>
          <w:tcPr>
            <w:tcW w:w="613" w:type="pct"/>
            <w:tcBorders>
              <w:top w:val="nil"/>
              <w:left w:val="nil"/>
              <w:bottom w:val="nil"/>
              <w:right w:val="nil"/>
            </w:tcBorders>
            <w:shd w:val="clear" w:color="auto" w:fill="auto"/>
            <w:noWrap/>
            <w:vAlign w:val="bottom"/>
            <w:hideMark/>
          </w:tcPr>
          <w:p w14:paraId="1D17BD67"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3,</w:t>
            </w:r>
            <w:r>
              <w:rPr>
                <w:rFonts w:ascii="Arial" w:hAnsi="Arial" w:cs="Arial"/>
                <w:color w:val="000000"/>
                <w:sz w:val="16"/>
                <w:szCs w:val="16"/>
              </w:rPr>
              <w:t>478</w:t>
            </w:r>
          </w:p>
        </w:tc>
        <w:tc>
          <w:tcPr>
            <w:tcW w:w="581" w:type="pct"/>
            <w:tcBorders>
              <w:top w:val="nil"/>
              <w:left w:val="nil"/>
              <w:bottom w:val="nil"/>
              <w:right w:val="nil"/>
            </w:tcBorders>
            <w:shd w:val="clear" w:color="auto" w:fill="E6E6E6"/>
            <w:noWrap/>
            <w:vAlign w:val="bottom"/>
            <w:hideMark/>
          </w:tcPr>
          <w:p w14:paraId="32C9DE7A"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0568C1CB"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1EDF4990"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7715D15B"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r>
      <w:tr w:rsidR="00CB36D7" w:rsidRPr="00F87B09" w14:paraId="363E3006" w14:textId="77777777" w:rsidTr="007431A4">
        <w:trPr>
          <w:trHeight w:val="204"/>
        </w:trPr>
        <w:tc>
          <w:tcPr>
            <w:tcW w:w="2060" w:type="pct"/>
            <w:tcBorders>
              <w:top w:val="nil"/>
              <w:left w:val="nil"/>
              <w:bottom w:val="nil"/>
              <w:right w:val="nil"/>
            </w:tcBorders>
            <w:shd w:val="clear" w:color="auto" w:fill="auto"/>
            <w:noWrap/>
            <w:vAlign w:val="bottom"/>
            <w:hideMark/>
          </w:tcPr>
          <w:p w14:paraId="71A0B4E1"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Special appropriations</w:t>
            </w:r>
          </w:p>
        </w:tc>
        <w:tc>
          <w:tcPr>
            <w:tcW w:w="613" w:type="pct"/>
            <w:tcBorders>
              <w:top w:val="nil"/>
              <w:left w:val="nil"/>
              <w:bottom w:val="nil"/>
              <w:right w:val="nil"/>
            </w:tcBorders>
            <w:shd w:val="clear" w:color="auto" w:fill="auto"/>
            <w:noWrap/>
            <w:vAlign w:val="bottom"/>
            <w:hideMark/>
          </w:tcPr>
          <w:p w14:paraId="3D4807C9" w14:textId="77777777" w:rsidR="00CB36D7" w:rsidRPr="00B70FB0" w:rsidRDefault="00CB36D7" w:rsidP="00CB36D7">
            <w:pPr>
              <w:spacing w:after="0" w:line="240" w:lineRule="auto"/>
              <w:ind w:firstLineChars="100" w:firstLine="160"/>
              <w:jc w:val="right"/>
              <w:rPr>
                <w:rFonts w:ascii="Arial" w:hAnsi="Arial" w:cs="Arial"/>
                <w:sz w:val="16"/>
                <w:szCs w:val="16"/>
              </w:rPr>
            </w:pPr>
          </w:p>
        </w:tc>
        <w:tc>
          <w:tcPr>
            <w:tcW w:w="581" w:type="pct"/>
            <w:tcBorders>
              <w:top w:val="nil"/>
              <w:left w:val="nil"/>
              <w:bottom w:val="nil"/>
              <w:right w:val="nil"/>
            </w:tcBorders>
            <w:shd w:val="clear" w:color="auto" w:fill="E6E6E6"/>
            <w:noWrap/>
            <w:vAlign w:val="bottom"/>
            <w:hideMark/>
          </w:tcPr>
          <w:p w14:paraId="0F5F812A" w14:textId="77777777" w:rsidR="00CB36D7" w:rsidRPr="00EC7A4B" w:rsidRDefault="00CB36D7" w:rsidP="00CB36D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5DEAE53F" w14:textId="77777777" w:rsidR="00CB36D7" w:rsidRPr="00B70FB0" w:rsidRDefault="00CB36D7" w:rsidP="00CB36D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17699C8C" w14:textId="77777777" w:rsidR="00CB36D7" w:rsidRPr="002F7F2B" w:rsidRDefault="00CB36D7" w:rsidP="00CB36D7">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49A76799" w14:textId="77777777" w:rsidR="00CB36D7" w:rsidRPr="002F7F2B" w:rsidRDefault="00CB36D7" w:rsidP="00CB36D7">
            <w:pPr>
              <w:spacing w:after="0" w:line="240" w:lineRule="auto"/>
              <w:jc w:val="right"/>
              <w:rPr>
                <w:rFonts w:ascii="Times New Roman" w:hAnsi="Times New Roman"/>
                <w:sz w:val="16"/>
                <w:szCs w:val="16"/>
              </w:rPr>
            </w:pPr>
          </w:p>
        </w:tc>
      </w:tr>
      <w:tr w:rsidR="00CB36D7" w:rsidRPr="00F87B09" w14:paraId="1EA406BA" w14:textId="77777777" w:rsidTr="007431A4">
        <w:trPr>
          <w:trHeight w:val="204"/>
        </w:trPr>
        <w:tc>
          <w:tcPr>
            <w:tcW w:w="2060" w:type="pct"/>
            <w:tcBorders>
              <w:top w:val="nil"/>
              <w:left w:val="nil"/>
              <w:bottom w:val="nil"/>
              <w:right w:val="nil"/>
            </w:tcBorders>
            <w:shd w:val="clear" w:color="auto" w:fill="auto"/>
            <w:vAlign w:val="bottom"/>
            <w:hideMark/>
          </w:tcPr>
          <w:p w14:paraId="0AC52F0C" w14:textId="77777777" w:rsidR="00CB36D7" w:rsidRPr="00F87B09" w:rsidRDefault="00CB36D7" w:rsidP="00CB36D7">
            <w:pPr>
              <w:spacing w:after="0" w:line="240" w:lineRule="auto"/>
              <w:ind w:left="227"/>
              <w:rPr>
                <w:rFonts w:ascii="Arial" w:hAnsi="Arial" w:cs="Arial"/>
                <w:i/>
                <w:iCs/>
                <w:sz w:val="16"/>
                <w:szCs w:val="16"/>
              </w:rPr>
            </w:pPr>
            <w:r w:rsidRPr="00F87B09">
              <w:rPr>
                <w:rFonts w:ascii="Arial" w:hAnsi="Arial" w:cs="Arial"/>
                <w:i/>
                <w:iCs/>
                <w:sz w:val="16"/>
                <w:szCs w:val="16"/>
              </w:rPr>
              <w:t>Australian Maritime Safety Authority Act 1990</w:t>
            </w:r>
          </w:p>
        </w:tc>
        <w:tc>
          <w:tcPr>
            <w:tcW w:w="613" w:type="pct"/>
            <w:tcBorders>
              <w:top w:val="nil"/>
              <w:left w:val="nil"/>
              <w:bottom w:val="nil"/>
              <w:right w:val="nil"/>
            </w:tcBorders>
            <w:shd w:val="clear" w:color="auto" w:fill="auto"/>
            <w:noWrap/>
            <w:vAlign w:val="bottom"/>
            <w:hideMark/>
          </w:tcPr>
          <w:p w14:paraId="49AAA32B"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13</w:t>
            </w:r>
            <w:r>
              <w:rPr>
                <w:rFonts w:ascii="Arial" w:hAnsi="Arial" w:cs="Arial"/>
                <w:color w:val="000000"/>
                <w:sz w:val="16"/>
                <w:szCs w:val="16"/>
              </w:rPr>
              <w:t>4</w:t>
            </w:r>
            <w:r w:rsidRPr="00B70FB0">
              <w:rPr>
                <w:rFonts w:ascii="Arial" w:hAnsi="Arial" w:cs="Arial"/>
                <w:color w:val="000000"/>
                <w:sz w:val="16"/>
                <w:szCs w:val="16"/>
              </w:rPr>
              <w:t>,</w:t>
            </w:r>
            <w:r>
              <w:rPr>
                <w:rFonts w:ascii="Arial" w:hAnsi="Arial" w:cs="Arial"/>
                <w:color w:val="000000"/>
                <w:sz w:val="16"/>
                <w:szCs w:val="16"/>
              </w:rPr>
              <w:t>2</w:t>
            </w:r>
            <w:r w:rsidRPr="00B70FB0">
              <w:rPr>
                <w:rFonts w:ascii="Arial" w:hAnsi="Arial" w:cs="Arial"/>
                <w:color w:val="000000"/>
                <w:sz w:val="16"/>
                <w:szCs w:val="16"/>
              </w:rPr>
              <w:t>16</w:t>
            </w:r>
          </w:p>
        </w:tc>
        <w:tc>
          <w:tcPr>
            <w:tcW w:w="581" w:type="pct"/>
            <w:tcBorders>
              <w:top w:val="nil"/>
              <w:left w:val="nil"/>
              <w:bottom w:val="nil"/>
              <w:right w:val="nil"/>
            </w:tcBorders>
            <w:shd w:val="clear" w:color="auto" w:fill="E6E6E6"/>
            <w:noWrap/>
            <w:vAlign w:val="bottom"/>
            <w:hideMark/>
          </w:tcPr>
          <w:p w14:paraId="32429139"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136,059</w:t>
            </w:r>
          </w:p>
        </w:tc>
        <w:tc>
          <w:tcPr>
            <w:tcW w:w="581" w:type="pct"/>
            <w:tcBorders>
              <w:top w:val="nil"/>
              <w:left w:val="nil"/>
              <w:bottom w:val="nil"/>
              <w:right w:val="nil"/>
            </w:tcBorders>
            <w:shd w:val="clear" w:color="auto" w:fill="auto"/>
            <w:noWrap/>
            <w:vAlign w:val="bottom"/>
            <w:hideMark/>
          </w:tcPr>
          <w:p w14:paraId="3ECA0110"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154,055</w:t>
            </w:r>
          </w:p>
        </w:tc>
        <w:tc>
          <w:tcPr>
            <w:tcW w:w="581" w:type="pct"/>
            <w:tcBorders>
              <w:top w:val="nil"/>
              <w:left w:val="nil"/>
              <w:bottom w:val="nil"/>
              <w:right w:val="nil"/>
            </w:tcBorders>
            <w:shd w:val="clear" w:color="auto" w:fill="auto"/>
            <w:noWrap/>
            <w:vAlign w:val="bottom"/>
            <w:hideMark/>
          </w:tcPr>
          <w:p w14:paraId="669795FB"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157,161</w:t>
            </w:r>
          </w:p>
        </w:tc>
        <w:tc>
          <w:tcPr>
            <w:tcW w:w="584" w:type="pct"/>
            <w:tcBorders>
              <w:top w:val="nil"/>
              <w:left w:val="nil"/>
              <w:bottom w:val="nil"/>
              <w:right w:val="nil"/>
            </w:tcBorders>
            <w:shd w:val="clear" w:color="auto" w:fill="auto"/>
            <w:noWrap/>
            <w:vAlign w:val="bottom"/>
            <w:hideMark/>
          </w:tcPr>
          <w:p w14:paraId="6061AFD9"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160,325</w:t>
            </w:r>
          </w:p>
        </w:tc>
      </w:tr>
      <w:tr w:rsidR="00CB36D7" w:rsidRPr="00F87B09" w14:paraId="3B2BE3E8" w14:textId="77777777" w:rsidTr="007431A4">
        <w:trPr>
          <w:trHeight w:val="204"/>
        </w:trPr>
        <w:tc>
          <w:tcPr>
            <w:tcW w:w="2060" w:type="pct"/>
            <w:tcBorders>
              <w:top w:val="nil"/>
              <w:left w:val="nil"/>
              <w:bottom w:val="nil"/>
              <w:right w:val="nil"/>
            </w:tcBorders>
            <w:shd w:val="clear" w:color="auto" w:fill="auto"/>
            <w:vAlign w:val="bottom"/>
            <w:hideMark/>
          </w:tcPr>
          <w:p w14:paraId="15A2E0D2" w14:textId="0ECB53A3"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 xml:space="preserve">Expenses not requiring appropriation in the </w:t>
            </w:r>
            <w:r w:rsidR="00927ADA">
              <w:rPr>
                <w:rFonts w:ascii="Arial" w:hAnsi="Arial" w:cs="Arial"/>
                <w:sz w:val="16"/>
                <w:szCs w:val="16"/>
              </w:rPr>
              <w:t>Budget year</w:t>
            </w:r>
            <w:r w:rsidRPr="00F87B09">
              <w:rPr>
                <w:rFonts w:ascii="Arial" w:hAnsi="Arial" w:cs="Arial"/>
                <w:sz w:val="16"/>
                <w:szCs w:val="16"/>
              </w:rPr>
              <w:t xml:space="preserve"> </w:t>
            </w:r>
            <w:r w:rsidRPr="00F87B09">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24978433"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r>
              <w:rPr>
                <w:rFonts w:ascii="Arial" w:hAnsi="Arial" w:cs="Arial"/>
                <w:color w:val="000000"/>
                <w:sz w:val="16"/>
                <w:szCs w:val="16"/>
              </w:rPr>
              <w:t>14,939</w:t>
            </w:r>
            <w:r w:rsidRPr="00B70FB0">
              <w:rPr>
                <w:rFonts w:ascii="Arial" w:hAnsi="Arial" w:cs="Arial"/>
                <w:color w:val="000000"/>
                <w:sz w:val="16"/>
                <w:szCs w:val="16"/>
              </w:rPr>
              <w:t>)</w:t>
            </w:r>
          </w:p>
        </w:tc>
        <w:tc>
          <w:tcPr>
            <w:tcW w:w="581" w:type="pct"/>
            <w:tcBorders>
              <w:top w:val="nil"/>
              <w:left w:val="nil"/>
              <w:bottom w:val="nil"/>
              <w:right w:val="nil"/>
            </w:tcBorders>
            <w:shd w:val="clear" w:color="auto" w:fill="E6E6E6"/>
            <w:noWrap/>
            <w:vAlign w:val="bottom"/>
            <w:hideMark/>
          </w:tcPr>
          <w:p w14:paraId="63B75CEF"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(397)</w:t>
            </w:r>
          </w:p>
        </w:tc>
        <w:tc>
          <w:tcPr>
            <w:tcW w:w="581" w:type="pct"/>
            <w:tcBorders>
              <w:top w:val="nil"/>
              <w:left w:val="nil"/>
              <w:bottom w:val="nil"/>
              <w:right w:val="nil"/>
            </w:tcBorders>
            <w:shd w:val="clear" w:color="auto" w:fill="auto"/>
            <w:noWrap/>
            <w:vAlign w:val="bottom"/>
            <w:hideMark/>
          </w:tcPr>
          <w:p w14:paraId="0C7536D0"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581" w:type="pct"/>
            <w:tcBorders>
              <w:top w:val="nil"/>
              <w:left w:val="nil"/>
              <w:bottom w:val="nil"/>
              <w:right w:val="nil"/>
            </w:tcBorders>
            <w:shd w:val="clear" w:color="auto" w:fill="auto"/>
            <w:noWrap/>
            <w:vAlign w:val="bottom"/>
            <w:hideMark/>
          </w:tcPr>
          <w:p w14:paraId="07C471F4"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584" w:type="pct"/>
            <w:tcBorders>
              <w:top w:val="nil"/>
              <w:left w:val="nil"/>
              <w:bottom w:val="nil"/>
              <w:right w:val="nil"/>
            </w:tcBorders>
            <w:shd w:val="clear" w:color="auto" w:fill="auto"/>
            <w:noWrap/>
            <w:vAlign w:val="bottom"/>
            <w:hideMark/>
          </w:tcPr>
          <w:p w14:paraId="16544D73"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CB36D7" w:rsidRPr="00F87B09" w14:paraId="49291C33" w14:textId="77777777" w:rsidTr="007431A4">
        <w:trPr>
          <w:trHeight w:val="204"/>
        </w:trPr>
        <w:tc>
          <w:tcPr>
            <w:tcW w:w="2060" w:type="pct"/>
            <w:tcBorders>
              <w:top w:val="nil"/>
              <w:left w:val="nil"/>
              <w:bottom w:val="nil"/>
              <w:right w:val="nil"/>
            </w:tcBorders>
            <w:shd w:val="clear" w:color="auto" w:fill="auto"/>
            <w:vAlign w:val="bottom"/>
            <w:hideMark/>
          </w:tcPr>
          <w:p w14:paraId="1DD31ECA"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 xml:space="preserve">Revenues from other independent sources </w:t>
            </w:r>
          </w:p>
        </w:tc>
        <w:tc>
          <w:tcPr>
            <w:tcW w:w="613" w:type="pct"/>
            <w:tcBorders>
              <w:top w:val="nil"/>
              <w:left w:val="nil"/>
              <w:bottom w:val="nil"/>
              <w:right w:val="nil"/>
            </w:tcBorders>
            <w:shd w:val="clear" w:color="auto" w:fill="auto"/>
            <w:noWrap/>
            <w:vAlign w:val="bottom"/>
            <w:hideMark/>
          </w:tcPr>
          <w:p w14:paraId="4750E740" w14:textId="77777777" w:rsidR="00CB36D7" w:rsidRPr="00B70FB0"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21,470</w:t>
            </w:r>
          </w:p>
        </w:tc>
        <w:tc>
          <w:tcPr>
            <w:tcW w:w="581" w:type="pct"/>
            <w:tcBorders>
              <w:top w:val="nil"/>
              <w:left w:val="nil"/>
              <w:bottom w:val="nil"/>
              <w:right w:val="nil"/>
            </w:tcBorders>
            <w:shd w:val="clear" w:color="auto" w:fill="E6E6E6"/>
            <w:noWrap/>
            <w:vAlign w:val="bottom"/>
            <w:hideMark/>
          </w:tcPr>
          <w:p w14:paraId="05C4611D"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13,271</w:t>
            </w:r>
          </w:p>
        </w:tc>
        <w:tc>
          <w:tcPr>
            <w:tcW w:w="581" w:type="pct"/>
            <w:tcBorders>
              <w:top w:val="nil"/>
              <w:left w:val="nil"/>
              <w:bottom w:val="nil"/>
              <w:right w:val="nil"/>
            </w:tcBorders>
            <w:shd w:val="clear" w:color="auto" w:fill="auto"/>
            <w:noWrap/>
            <w:vAlign w:val="bottom"/>
            <w:hideMark/>
          </w:tcPr>
          <w:p w14:paraId="59CE475C"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12,676</w:t>
            </w:r>
          </w:p>
        </w:tc>
        <w:tc>
          <w:tcPr>
            <w:tcW w:w="581" w:type="pct"/>
            <w:tcBorders>
              <w:top w:val="nil"/>
              <w:left w:val="nil"/>
              <w:bottom w:val="nil"/>
              <w:right w:val="nil"/>
            </w:tcBorders>
            <w:shd w:val="clear" w:color="auto" w:fill="auto"/>
            <w:noWrap/>
            <w:vAlign w:val="bottom"/>
            <w:hideMark/>
          </w:tcPr>
          <w:p w14:paraId="59948C9B"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12,828</w:t>
            </w:r>
          </w:p>
        </w:tc>
        <w:tc>
          <w:tcPr>
            <w:tcW w:w="584" w:type="pct"/>
            <w:tcBorders>
              <w:top w:val="nil"/>
              <w:left w:val="nil"/>
              <w:bottom w:val="nil"/>
              <w:right w:val="nil"/>
            </w:tcBorders>
            <w:shd w:val="clear" w:color="auto" w:fill="auto"/>
            <w:noWrap/>
            <w:vAlign w:val="bottom"/>
            <w:hideMark/>
          </w:tcPr>
          <w:p w14:paraId="32E2FDA3"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13,106</w:t>
            </w:r>
          </w:p>
        </w:tc>
      </w:tr>
      <w:tr w:rsidR="00CB36D7" w:rsidRPr="00F87B09" w14:paraId="21EB6FEF" w14:textId="77777777" w:rsidTr="007431A4">
        <w:trPr>
          <w:trHeight w:val="204"/>
        </w:trPr>
        <w:tc>
          <w:tcPr>
            <w:tcW w:w="2060" w:type="pct"/>
            <w:tcBorders>
              <w:top w:val="nil"/>
              <w:left w:val="nil"/>
              <w:bottom w:val="nil"/>
              <w:right w:val="nil"/>
            </w:tcBorders>
            <w:shd w:val="clear" w:color="auto" w:fill="auto"/>
            <w:noWrap/>
            <w:vAlign w:val="bottom"/>
            <w:hideMark/>
          </w:tcPr>
          <w:p w14:paraId="492B9D07"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Total expenses for Program 1.1</w:t>
            </w:r>
          </w:p>
        </w:tc>
        <w:tc>
          <w:tcPr>
            <w:tcW w:w="613" w:type="pct"/>
            <w:tcBorders>
              <w:top w:val="single" w:sz="4" w:space="0" w:color="auto"/>
              <w:left w:val="nil"/>
              <w:bottom w:val="single" w:sz="4" w:space="0" w:color="auto"/>
              <w:right w:val="nil"/>
            </w:tcBorders>
            <w:shd w:val="clear" w:color="auto" w:fill="auto"/>
            <w:noWrap/>
            <w:vAlign w:val="bottom"/>
            <w:hideMark/>
          </w:tcPr>
          <w:p w14:paraId="293400D8" w14:textId="77777777" w:rsidR="00CB36D7" w:rsidRPr="00B70FB0" w:rsidRDefault="00CB36D7" w:rsidP="00CB36D7">
            <w:pPr>
              <w:spacing w:after="0" w:line="240" w:lineRule="auto"/>
              <w:jc w:val="right"/>
              <w:rPr>
                <w:rFonts w:ascii="Arial" w:hAnsi="Arial" w:cs="Arial"/>
                <w:b/>
                <w:bCs/>
                <w:color w:val="000000"/>
                <w:sz w:val="16"/>
                <w:szCs w:val="16"/>
              </w:rPr>
            </w:pPr>
            <w:r>
              <w:rPr>
                <w:rFonts w:ascii="Arial" w:hAnsi="Arial" w:cs="Arial"/>
                <w:b/>
                <w:bCs/>
                <w:color w:val="000000"/>
                <w:sz w:val="16"/>
                <w:szCs w:val="16"/>
              </w:rPr>
              <w:t>232,029</w:t>
            </w:r>
          </w:p>
        </w:tc>
        <w:tc>
          <w:tcPr>
            <w:tcW w:w="581" w:type="pct"/>
            <w:tcBorders>
              <w:top w:val="single" w:sz="4" w:space="0" w:color="auto"/>
              <w:left w:val="nil"/>
              <w:bottom w:val="single" w:sz="4" w:space="0" w:color="auto"/>
              <w:right w:val="nil"/>
            </w:tcBorders>
            <w:shd w:val="clear" w:color="auto" w:fill="E6E6E6"/>
            <w:noWrap/>
            <w:vAlign w:val="bottom"/>
            <w:hideMark/>
          </w:tcPr>
          <w:p w14:paraId="4B111624" w14:textId="77777777" w:rsidR="00CB36D7" w:rsidRPr="00EC7A4B" w:rsidRDefault="00CB36D7" w:rsidP="00CB36D7">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241,826</w:t>
            </w:r>
          </w:p>
        </w:tc>
        <w:tc>
          <w:tcPr>
            <w:tcW w:w="581" w:type="pct"/>
            <w:tcBorders>
              <w:top w:val="single" w:sz="4" w:space="0" w:color="auto"/>
              <w:left w:val="nil"/>
              <w:bottom w:val="single" w:sz="4" w:space="0" w:color="auto"/>
              <w:right w:val="nil"/>
            </w:tcBorders>
            <w:shd w:val="clear" w:color="auto" w:fill="auto"/>
            <w:noWrap/>
            <w:vAlign w:val="bottom"/>
            <w:hideMark/>
          </w:tcPr>
          <w:p w14:paraId="698B3B57" w14:textId="77777777" w:rsidR="00CB36D7" w:rsidRPr="00B70FB0" w:rsidRDefault="00CB36D7" w:rsidP="00CB36D7">
            <w:pPr>
              <w:spacing w:after="0" w:line="240" w:lineRule="auto"/>
              <w:jc w:val="right"/>
              <w:rPr>
                <w:rFonts w:ascii="Arial" w:hAnsi="Arial" w:cs="Arial"/>
                <w:b/>
                <w:bCs/>
                <w:sz w:val="16"/>
                <w:szCs w:val="16"/>
              </w:rPr>
            </w:pPr>
            <w:r>
              <w:rPr>
                <w:rFonts w:ascii="Arial" w:hAnsi="Arial" w:cs="Arial"/>
                <w:b/>
                <w:bCs/>
                <w:sz w:val="16"/>
                <w:szCs w:val="16"/>
              </w:rPr>
              <w:t>250,035</w:t>
            </w:r>
          </w:p>
        </w:tc>
        <w:tc>
          <w:tcPr>
            <w:tcW w:w="581" w:type="pct"/>
            <w:tcBorders>
              <w:top w:val="single" w:sz="4" w:space="0" w:color="auto"/>
              <w:left w:val="nil"/>
              <w:bottom w:val="single" w:sz="4" w:space="0" w:color="auto"/>
              <w:right w:val="nil"/>
            </w:tcBorders>
            <w:shd w:val="clear" w:color="auto" w:fill="auto"/>
            <w:noWrap/>
            <w:vAlign w:val="bottom"/>
            <w:hideMark/>
          </w:tcPr>
          <w:p w14:paraId="1D7077C3" w14:textId="77777777" w:rsidR="00CB36D7" w:rsidRPr="00B70FB0" w:rsidRDefault="00CB36D7" w:rsidP="00CB36D7">
            <w:pPr>
              <w:spacing w:after="0" w:line="240" w:lineRule="auto"/>
              <w:jc w:val="right"/>
              <w:rPr>
                <w:rFonts w:ascii="Arial" w:hAnsi="Arial" w:cs="Arial"/>
                <w:b/>
                <w:bCs/>
                <w:sz w:val="16"/>
                <w:szCs w:val="16"/>
              </w:rPr>
            </w:pPr>
            <w:r>
              <w:rPr>
                <w:rFonts w:ascii="Arial" w:hAnsi="Arial" w:cs="Arial"/>
                <w:b/>
                <w:bCs/>
                <w:sz w:val="16"/>
                <w:szCs w:val="16"/>
              </w:rPr>
              <w:t>254,223</w:t>
            </w:r>
          </w:p>
        </w:tc>
        <w:tc>
          <w:tcPr>
            <w:tcW w:w="584" w:type="pct"/>
            <w:tcBorders>
              <w:top w:val="single" w:sz="4" w:space="0" w:color="auto"/>
              <w:left w:val="nil"/>
              <w:bottom w:val="single" w:sz="4" w:space="0" w:color="auto"/>
              <w:right w:val="nil"/>
            </w:tcBorders>
            <w:shd w:val="clear" w:color="auto" w:fill="auto"/>
            <w:noWrap/>
            <w:vAlign w:val="bottom"/>
            <w:hideMark/>
          </w:tcPr>
          <w:p w14:paraId="7EAF30AE" w14:textId="77777777" w:rsidR="00CB36D7" w:rsidRPr="00B70FB0" w:rsidRDefault="00CB36D7" w:rsidP="00CB36D7">
            <w:pPr>
              <w:spacing w:after="0" w:line="240" w:lineRule="auto"/>
              <w:jc w:val="right"/>
              <w:rPr>
                <w:rFonts w:ascii="Arial" w:hAnsi="Arial" w:cs="Arial"/>
                <w:b/>
                <w:bCs/>
                <w:sz w:val="16"/>
                <w:szCs w:val="16"/>
              </w:rPr>
            </w:pPr>
            <w:r>
              <w:rPr>
                <w:rFonts w:ascii="Arial" w:hAnsi="Arial" w:cs="Arial"/>
                <w:b/>
                <w:bCs/>
                <w:sz w:val="16"/>
                <w:szCs w:val="16"/>
              </w:rPr>
              <w:t>252,784</w:t>
            </w:r>
          </w:p>
        </w:tc>
      </w:tr>
      <w:tr w:rsidR="00CB36D7" w:rsidRPr="00F87B09" w14:paraId="76595165" w14:textId="77777777" w:rsidTr="007431A4">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031ECE1"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Outcome 1 totals by resource type</w:t>
            </w:r>
          </w:p>
        </w:tc>
      </w:tr>
      <w:tr w:rsidR="00CB36D7" w:rsidRPr="00F87B09" w14:paraId="4700566C" w14:textId="77777777" w:rsidTr="007431A4">
        <w:trPr>
          <w:trHeight w:val="204"/>
        </w:trPr>
        <w:tc>
          <w:tcPr>
            <w:tcW w:w="2060" w:type="pct"/>
            <w:tcBorders>
              <w:top w:val="nil"/>
              <w:left w:val="nil"/>
              <w:bottom w:val="nil"/>
              <w:right w:val="nil"/>
            </w:tcBorders>
            <w:shd w:val="clear" w:color="auto" w:fill="auto"/>
            <w:noWrap/>
            <w:vAlign w:val="bottom"/>
            <w:hideMark/>
          </w:tcPr>
          <w:p w14:paraId="5B9491D7"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Revenue from Government</w:t>
            </w:r>
          </w:p>
        </w:tc>
        <w:tc>
          <w:tcPr>
            <w:tcW w:w="613" w:type="pct"/>
            <w:tcBorders>
              <w:top w:val="nil"/>
              <w:left w:val="nil"/>
              <w:bottom w:val="nil"/>
              <w:right w:val="nil"/>
            </w:tcBorders>
            <w:shd w:val="clear" w:color="auto" w:fill="auto"/>
            <w:noWrap/>
            <w:vAlign w:val="bottom"/>
            <w:hideMark/>
          </w:tcPr>
          <w:p w14:paraId="6DABD293" w14:textId="77777777" w:rsidR="00CB36D7" w:rsidRPr="00B70FB0" w:rsidRDefault="00CB36D7" w:rsidP="00085518">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E6E6E6"/>
            <w:noWrap/>
            <w:vAlign w:val="bottom"/>
            <w:hideMark/>
          </w:tcPr>
          <w:p w14:paraId="73BA39B3" w14:textId="77777777" w:rsidR="00CB36D7" w:rsidRPr="00EC7A4B" w:rsidRDefault="00CB36D7" w:rsidP="00085518">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4A44823C" w14:textId="77777777" w:rsidR="00CB36D7" w:rsidRPr="00B70FB0" w:rsidRDefault="00CB36D7" w:rsidP="00085518">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41451B87" w14:textId="77777777" w:rsidR="00CB36D7" w:rsidRPr="002F7F2B" w:rsidRDefault="00CB36D7" w:rsidP="00085518">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133DDAD2" w14:textId="77777777" w:rsidR="00CB36D7" w:rsidRPr="002F7F2B" w:rsidRDefault="00CB36D7" w:rsidP="00085518">
            <w:pPr>
              <w:spacing w:after="0" w:line="240" w:lineRule="auto"/>
              <w:jc w:val="right"/>
              <w:rPr>
                <w:rFonts w:ascii="Times New Roman" w:hAnsi="Times New Roman"/>
                <w:sz w:val="16"/>
                <w:szCs w:val="16"/>
              </w:rPr>
            </w:pPr>
          </w:p>
        </w:tc>
      </w:tr>
      <w:tr w:rsidR="00CB36D7" w:rsidRPr="00F87B09" w14:paraId="5DD44F97" w14:textId="77777777" w:rsidTr="007431A4">
        <w:trPr>
          <w:trHeight w:val="204"/>
        </w:trPr>
        <w:tc>
          <w:tcPr>
            <w:tcW w:w="2060" w:type="pct"/>
            <w:tcBorders>
              <w:top w:val="nil"/>
              <w:left w:val="nil"/>
              <w:bottom w:val="nil"/>
              <w:right w:val="nil"/>
            </w:tcBorders>
            <w:shd w:val="clear" w:color="auto" w:fill="auto"/>
            <w:vAlign w:val="bottom"/>
            <w:hideMark/>
          </w:tcPr>
          <w:p w14:paraId="7300468C"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 xml:space="preserve">Ordinary annual services </w:t>
            </w:r>
            <w:r w:rsidRPr="00B70FB0">
              <w:rPr>
                <w:rFonts w:ascii="Arial" w:hAnsi="Arial" w:cs="Arial"/>
                <w:sz w:val="16"/>
                <w:szCs w:val="16"/>
              </w:rPr>
              <w:t>(</w:t>
            </w:r>
            <w:r w:rsidRPr="002F7F2B">
              <w:rPr>
                <w:rFonts w:ascii="Arial" w:hAnsi="Arial" w:cs="Arial"/>
                <w:iCs/>
                <w:sz w:val="16"/>
                <w:szCs w:val="16"/>
              </w:rPr>
              <w:t>Appropriation Bill No. 1</w:t>
            </w:r>
            <w:r w:rsidRPr="00B70FB0">
              <w:rPr>
                <w:rFonts w:ascii="Arial" w:hAnsi="Arial" w:cs="Arial"/>
                <w:sz w:val="16"/>
                <w:szCs w:val="16"/>
              </w:rPr>
              <w:t>)</w:t>
            </w:r>
          </w:p>
        </w:tc>
        <w:tc>
          <w:tcPr>
            <w:tcW w:w="613" w:type="pct"/>
            <w:tcBorders>
              <w:top w:val="nil"/>
              <w:left w:val="nil"/>
              <w:bottom w:val="nil"/>
              <w:right w:val="nil"/>
            </w:tcBorders>
            <w:shd w:val="clear" w:color="auto" w:fill="auto"/>
            <w:noWrap/>
            <w:vAlign w:val="bottom"/>
            <w:hideMark/>
          </w:tcPr>
          <w:p w14:paraId="6C9F567A" w14:textId="77777777" w:rsidR="00CB36D7" w:rsidRPr="00EC7A4B"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87,80</w:t>
            </w:r>
            <w:r>
              <w:rPr>
                <w:rFonts w:ascii="Arial" w:hAnsi="Arial" w:cs="Arial"/>
                <w:color w:val="000000"/>
                <w:sz w:val="16"/>
                <w:szCs w:val="16"/>
              </w:rPr>
              <w:t>4</w:t>
            </w:r>
          </w:p>
        </w:tc>
        <w:tc>
          <w:tcPr>
            <w:tcW w:w="581" w:type="pct"/>
            <w:tcBorders>
              <w:top w:val="nil"/>
              <w:left w:val="nil"/>
              <w:bottom w:val="nil"/>
              <w:right w:val="nil"/>
            </w:tcBorders>
            <w:shd w:val="clear" w:color="auto" w:fill="E6E6E6"/>
            <w:noWrap/>
            <w:vAlign w:val="bottom"/>
            <w:hideMark/>
          </w:tcPr>
          <w:p w14:paraId="37C57CA2" w14:textId="77777777" w:rsidR="00CB36D7" w:rsidRPr="00B70FB0" w:rsidRDefault="00CB36D7" w:rsidP="00085518">
            <w:pPr>
              <w:spacing w:after="0" w:line="240" w:lineRule="auto"/>
              <w:jc w:val="right"/>
              <w:rPr>
                <w:rFonts w:ascii="Arial" w:hAnsi="Arial" w:cs="Arial"/>
                <w:sz w:val="16"/>
                <w:szCs w:val="16"/>
              </w:rPr>
            </w:pPr>
            <w:r w:rsidRPr="00B70FB0">
              <w:rPr>
                <w:rFonts w:ascii="Arial" w:hAnsi="Arial" w:cs="Arial"/>
                <w:sz w:val="16"/>
                <w:szCs w:val="16"/>
              </w:rPr>
              <w:t>92,893</w:t>
            </w:r>
          </w:p>
        </w:tc>
        <w:tc>
          <w:tcPr>
            <w:tcW w:w="581" w:type="pct"/>
            <w:tcBorders>
              <w:top w:val="nil"/>
              <w:left w:val="nil"/>
              <w:bottom w:val="nil"/>
              <w:right w:val="nil"/>
            </w:tcBorders>
            <w:shd w:val="clear" w:color="auto" w:fill="auto"/>
            <w:noWrap/>
            <w:vAlign w:val="bottom"/>
            <w:hideMark/>
          </w:tcPr>
          <w:p w14:paraId="2E4B2580"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sz w:val="16"/>
                <w:szCs w:val="16"/>
              </w:rPr>
              <w:t>83,724</w:t>
            </w:r>
          </w:p>
        </w:tc>
        <w:tc>
          <w:tcPr>
            <w:tcW w:w="581" w:type="pct"/>
            <w:tcBorders>
              <w:top w:val="nil"/>
              <w:left w:val="nil"/>
              <w:bottom w:val="nil"/>
              <w:right w:val="nil"/>
            </w:tcBorders>
            <w:shd w:val="clear" w:color="auto" w:fill="auto"/>
            <w:noWrap/>
            <w:vAlign w:val="bottom"/>
            <w:hideMark/>
          </w:tcPr>
          <w:p w14:paraId="13EA6064"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sz w:val="16"/>
                <w:szCs w:val="16"/>
              </w:rPr>
              <w:t>85,242</w:t>
            </w:r>
          </w:p>
        </w:tc>
        <w:tc>
          <w:tcPr>
            <w:tcW w:w="584" w:type="pct"/>
            <w:tcBorders>
              <w:top w:val="nil"/>
              <w:left w:val="nil"/>
              <w:bottom w:val="nil"/>
              <w:right w:val="nil"/>
            </w:tcBorders>
            <w:shd w:val="clear" w:color="auto" w:fill="auto"/>
            <w:noWrap/>
            <w:vAlign w:val="bottom"/>
            <w:hideMark/>
          </w:tcPr>
          <w:p w14:paraId="21809B58"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sz w:val="16"/>
                <w:szCs w:val="16"/>
              </w:rPr>
              <w:t>86,297</w:t>
            </w:r>
          </w:p>
        </w:tc>
      </w:tr>
      <w:tr w:rsidR="00CB36D7" w:rsidRPr="00F87B09" w14:paraId="11BB41D9" w14:textId="77777777" w:rsidTr="007431A4">
        <w:trPr>
          <w:trHeight w:val="204"/>
        </w:trPr>
        <w:tc>
          <w:tcPr>
            <w:tcW w:w="2060" w:type="pct"/>
            <w:tcBorders>
              <w:top w:val="nil"/>
              <w:left w:val="nil"/>
              <w:bottom w:val="nil"/>
              <w:right w:val="nil"/>
            </w:tcBorders>
            <w:shd w:val="clear" w:color="auto" w:fill="auto"/>
            <w:noWrap/>
            <w:vAlign w:val="bottom"/>
            <w:hideMark/>
          </w:tcPr>
          <w:p w14:paraId="34FE3EC7"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Payment from related entities</w:t>
            </w:r>
          </w:p>
        </w:tc>
        <w:tc>
          <w:tcPr>
            <w:tcW w:w="613" w:type="pct"/>
            <w:tcBorders>
              <w:top w:val="nil"/>
              <w:left w:val="nil"/>
              <w:bottom w:val="nil"/>
              <w:right w:val="nil"/>
            </w:tcBorders>
            <w:shd w:val="clear" w:color="auto" w:fill="auto"/>
            <w:noWrap/>
            <w:vAlign w:val="bottom"/>
            <w:hideMark/>
          </w:tcPr>
          <w:p w14:paraId="18BB39DA"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3,</w:t>
            </w:r>
            <w:r>
              <w:rPr>
                <w:rFonts w:ascii="Arial" w:hAnsi="Arial" w:cs="Arial"/>
                <w:color w:val="000000"/>
                <w:sz w:val="16"/>
                <w:szCs w:val="16"/>
              </w:rPr>
              <w:t>478</w:t>
            </w:r>
          </w:p>
        </w:tc>
        <w:tc>
          <w:tcPr>
            <w:tcW w:w="581" w:type="pct"/>
            <w:tcBorders>
              <w:top w:val="nil"/>
              <w:left w:val="nil"/>
              <w:bottom w:val="nil"/>
              <w:right w:val="nil"/>
            </w:tcBorders>
            <w:shd w:val="clear" w:color="auto" w:fill="E6E6E6"/>
            <w:noWrap/>
            <w:vAlign w:val="bottom"/>
            <w:hideMark/>
          </w:tcPr>
          <w:p w14:paraId="61A726B3"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64849E4E"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4EBA0B26"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24A9176"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w:t>
            </w:r>
          </w:p>
        </w:tc>
      </w:tr>
      <w:tr w:rsidR="00CB36D7" w:rsidRPr="00F87B09" w14:paraId="6B49DDCB" w14:textId="77777777" w:rsidTr="007431A4">
        <w:trPr>
          <w:trHeight w:val="204"/>
        </w:trPr>
        <w:tc>
          <w:tcPr>
            <w:tcW w:w="2060" w:type="pct"/>
            <w:tcBorders>
              <w:top w:val="nil"/>
              <w:left w:val="nil"/>
              <w:bottom w:val="nil"/>
              <w:right w:val="nil"/>
            </w:tcBorders>
            <w:shd w:val="clear" w:color="auto" w:fill="auto"/>
            <w:noWrap/>
            <w:vAlign w:val="bottom"/>
            <w:hideMark/>
          </w:tcPr>
          <w:p w14:paraId="57D9DD79"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Special appropriations</w:t>
            </w:r>
          </w:p>
        </w:tc>
        <w:tc>
          <w:tcPr>
            <w:tcW w:w="613" w:type="pct"/>
            <w:tcBorders>
              <w:top w:val="nil"/>
              <w:left w:val="nil"/>
              <w:bottom w:val="nil"/>
              <w:right w:val="nil"/>
            </w:tcBorders>
            <w:shd w:val="clear" w:color="auto" w:fill="auto"/>
            <w:noWrap/>
            <w:vAlign w:val="bottom"/>
            <w:hideMark/>
          </w:tcPr>
          <w:p w14:paraId="5C125B46"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13</w:t>
            </w:r>
            <w:r>
              <w:rPr>
                <w:rFonts w:ascii="Arial" w:hAnsi="Arial" w:cs="Arial"/>
                <w:color w:val="000000"/>
                <w:sz w:val="16"/>
                <w:szCs w:val="16"/>
              </w:rPr>
              <w:t>4</w:t>
            </w:r>
            <w:r w:rsidRPr="00B70FB0">
              <w:rPr>
                <w:rFonts w:ascii="Arial" w:hAnsi="Arial" w:cs="Arial"/>
                <w:color w:val="000000"/>
                <w:sz w:val="16"/>
                <w:szCs w:val="16"/>
              </w:rPr>
              <w:t>,</w:t>
            </w:r>
            <w:r>
              <w:rPr>
                <w:rFonts w:ascii="Arial" w:hAnsi="Arial" w:cs="Arial"/>
                <w:color w:val="000000"/>
                <w:sz w:val="16"/>
                <w:szCs w:val="16"/>
              </w:rPr>
              <w:t>2</w:t>
            </w:r>
            <w:r w:rsidRPr="00B70FB0">
              <w:rPr>
                <w:rFonts w:ascii="Arial" w:hAnsi="Arial" w:cs="Arial"/>
                <w:color w:val="000000"/>
                <w:sz w:val="16"/>
                <w:szCs w:val="16"/>
              </w:rPr>
              <w:t>16</w:t>
            </w:r>
          </w:p>
        </w:tc>
        <w:tc>
          <w:tcPr>
            <w:tcW w:w="581" w:type="pct"/>
            <w:tcBorders>
              <w:top w:val="nil"/>
              <w:left w:val="nil"/>
              <w:bottom w:val="nil"/>
              <w:right w:val="nil"/>
            </w:tcBorders>
            <w:shd w:val="clear" w:color="auto" w:fill="E6E6E6"/>
            <w:noWrap/>
            <w:vAlign w:val="bottom"/>
            <w:hideMark/>
          </w:tcPr>
          <w:p w14:paraId="474470FC"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136,059</w:t>
            </w:r>
          </w:p>
        </w:tc>
        <w:tc>
          <w:tcPr>
            <w:tcW w:w="581" w:type="pct"/>
            <w:tcBorders>
              <w:top w:val="nil"/>
              <w:left w:val="nil"/>
              <w:bottom w:val="nil"/>
              <w:right w:val="nil"/>
            </w:tcBorders>
            <w:shd w:val="clear" w:color="auto" w:fill="auto"/>
            <w:noWrap/>
            <w:vAlign w:val="bottom"/>
            <w:hideMark/>
          </w:tcPr>
          <w:p w14:paraId="27AF443F"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154,055</w:t>
            </w:r>
          </w:p>
        </w:tc>
        <w:tc>
          <w:tcPr>
            <w:tcW w:w="581" w:type="pct"/>
            <w:tcBorders>
              <w:top w:val="nil"/>
              <w:left w:val="nil"/>
              <w:bottom w:val="nil"/>
              <w:right w:val="nil"/>
            </w:tcBorders>
            <w:shd w:val="clear" w:color="auto" w:fill="auto"/>
            <w:noWrap/>
            <w:vAlign w:val="bottom"/>
            <w:hideMark/>
          </w:tcPr>
          <w:p w14:paraId="09D9F06B"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157,161</w:t>
            </w:r>
          </w:p>
        </w:tc>
        <w:tc>
          <w:tcPr>
            <w:tcW w:w="584" w:type="pct"/>
            <w:tcBorders>
              <w:top w:val="nil"/>
              <w:left w:val="nil"/>
              <w:bottom w:val="nil"/>
              <w:right w:val="nil"/>
            </w:tcBorders>
            <w:shd w:val="clear" w:color="auto" w:fill="auto"/>
            <w:noWrap/>
            <w:vAlign w:val="bottom"/>
            <w:hideMark/>
          </w:tcPr>
          <w:p w14:paraId="08E8EFF2"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160,325</w:t>
            </w:r>
          </w:p>
        </w:tc>
      </w:tr>
      <w:tr w:rsidR="00CB36D7" w:rsidRPr="00F87B09" w14:paraId="49FB437D" w14:textId="77777777" w:rsidTr="007431A4">
        <w:trPr>
          <w:trHeight w:val="204"/>
        </w:trPr>
        <w:tc>
          <w:tcPr>
            <w:tcW w:w="2060" w:type="pct"/>
            <w:tcBorders>
              <w:top w:val="nil"/>
              <w:left w:val="nil"/>
              <w:bottom w:val="nil"/>
              <w:right w:val="nil"/>
            </w:tcBorders>
            <w:shd w:val="clear" w:color="auto" w:fill="auto"/>
            <w:vAlign w:val="bottom"/>
            <w:hideMark/>
          </w:tcPr>
          <w:p w14:paraId="0BCEAE82" w14:textId="05482356"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 xml:space="preserve">Expenses not requiring appropriation in the </w:t>
            </w:r>
            <w:r w:rsidR="00927ADA">
              <w:rPr>
                <w:rFonts w:ascii="Arial" w:hAnsi="Arial" w:cs="Arial"/>
                <w:sz w:val="16"/>
                <w:szCs w:val="16"/>
              </w:rPr>
              <w:t>Budget year</w:t>
            </w:r>
            <w:r w:rsidRPr="00F87B09">
              <w:rPr>
                <w:rFonts w:ascii="Arial" w:hAnsi="Arial" w:cs="Arial"/>
                <w:sz w:val="16"/>
                <w:szCs w:val="16"/>
              </w:rPr>
              <w:t xml:space="preserve"> </w:t>
            </w:r>
            <w:r w:rsidRPr="00F87B09">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13096B26"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r>
              <w:rPr>
                <w:rFonts w:ascii="Arial" w:hAnsi="Arial" w:cs="Arial"/>
                <w:color w:val="000000"/>
                <w:sz w:val="16"/>
                <w:szCs w:val="16"/>
              </w:rPr>
              <w:t>14,939</w:t>
            </w:r>
            <w:r w:rsidRPr="00B70FB0">
              <w:rPr>
                <w:rFonts w:ascii="Arial" w:hAnsi="Arial" w:cs="Arial"/>
                <w:color w:val="000000"/>
                <w:sz w:val="16"/>
                <w:szCs w:val="16"/>
              </w:rPr>
              <w:t>)</w:t>
            </w:r>
          </w:p>
        </w:tc>
        <w:tc>
          <w:tcPr>
            <w:tcW w:w="581" w:type="pct"/>
            <w:tcBorders>
              <w:top w:val="nil"/>
              <w:left w:val="nil"/>
              <w:bottom w:val="nil"/>
              <w:right w:val="nil"/>
            </w:tcBorders>
            <w:shd w:val="clear" w:color="auto" w:fill="E6E6E6"/>
            <w:noWrap/>
            <w:vAlign w:val="bottom"/>
            <w:hideMark/>
          </w:tcPr>
          <w:p w14:paraId="6B6053F0"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(397)</w:t>
            </w:r>
          </w:p>
        </w:tc>
        <w:tc>
          <w:tcPr>
            <w:tcW w:w="581" w:type="pct"/>
            <w:tcBorders>
              <w:top w:val="nil"/>
              <w:left w:val="nil"/>
              <w:bottom w:val="nil"/>
              <w:right w:val="nil"/>
            </w:tcBorders>
            <w:shd w:val="clear" w:color="auto" w:fill="auto"/>
            <w:noWrap/>
            <w:vAlign w:val="bottom"/>
            <w:hideMark/>
          </w:tcPr>
          <w:p w14:paraId="698114CC"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581" w:type="pct"/>
            <w:tcBorders>
              <w:top w:val="nil"/>
              <w:left w:val="nil"/>
              <w:bottom w:val="nil"/>
              <w:right w:val="nil"/>
            </w:tcBorders>
            <w:shd w:val="clear" w:color="auto" w:fill="auto"/>
            <w:noWrap/>
            <w:vAlign w:val="bottom"/>
            <w:hideMark/>
          </w:tcPr>
          <w:p w14:paraId="1807C4A2"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584" w:type="pct"/>
            <w:tcBorders>
              <w:top w:val="nil"/>
              <w:left w:val="nil"/>
              <w:bottom w:val="nil"/>
              <w:right w:val="nil"/>
            </w:tcBorders>
            <w:shd w:val="clear" w:color="auto" w:fill="auto"/>
            <w:noWrap/>
            <w:vAlign w:val="bottom"/>
            <w:hideMark/>
          </w:tcPr>
          <w:p w14:paraId="7D0F2B40"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CB36D7" w:rsidRPr="00F87B09" w14:paraId="3F15B9B2" w14:textId="77777777" w:rsidTr="007431A4">
        <w:trPr>
          <w:trHeight w:val="204"/>
        </w:trPr>
        <w:tc>
          <w:tcPr>
            <w:tcW w:w="2060" w:type="pct"/>
            <w:tcBorders>
              <w:top w:val="nil"/>
              <w:left w:val="nil"/>
              <w:right w:val="nil"/>
            </w:tcBorders>
            <w:shd w:val="clear" w:color="auto" w:fill="auto"/>
            <w:vAlign w:val="bottom"/>
            <w:hideMark/>
          </w:tcPr>
          <w:p w14:paraId="4758FB62"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 xml:space="preserve">Revenues from other independent sources </w:t>
            </w:r>
          </w:p>
        </w:tc>
        <w:tc>
          <w:tcPr>
            <w:tcW w:w="613" w:type="pct"/>
            <w:tcBorders>
              <w:top w:val="nil"/>
              <w:left w:val="nil"/>
              <w:bottom w:val="nil"/>
              <w:right w:val="nil"/>
            </w:tcBorders>
            <w:shd w:val="clear" w:color="auto" w:fill="auto"/>
            <w:noWrap/>
            <w:vAlign w:val="bottom"/>
            <w:hideMark/>
          </w:tcPr>
          <w:p w14:paraId="3BB0CACC"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color w:val="000000"/>
                <w:sz w:val="16"/>
                <w:szCs w:val="16"/>
              </w:rPr>
              <w:t>21,470</w:t>
            </w:r>
          </w:p>
        </w:tc>
        <w:tc>
          <w:tcPr>
            <w:tcW w:w="581" w:type="pct"/>
            <w:tcBorders>
              <w:top w:val="nil"/>
              <w:left w:val="nil"/>
              <w:bottom w:val="nil"/>
              <w:right w:val="nil"/>
            </w:tcBorders>
            <w:shd w:val="clear" w:color="auto" w:fill="E6E6E6"/>
            <w:noWrap/>
            <w:vAlign w:val="bottom"/>
            <w:hideMark/>
          </w:tcPr>
          <w:p w14:paraId="0860D90B"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13,271</w:t>
            </w:r>
          </w:p>
        </w:tc>
        <w:tc>
          <w:tcPr>
            <w:tcW w:w="581" w:type="pct"/>
            <w:tcBorders>
              <w:top w:val="nil"/>
              <w:left w:val="nil"/>
              <w:bottom w:val="nil"/>
              <w:right w:val="nil"/>
            </w:tcBorders>
            <w:shd w:val="clear" w:color="auto" w:fill="auto"/>
            <w:noWrap/>
            <w:vAlign w:val="bottom"/>
            <w:hideMark/>
          </w:tcPr>
          <w:p w14:paraId="067321D0"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12,676</w:t>
            </w:r>
          </w:p>
        </w:tc>
        <w:tc>
          <w:tcPr>
            <w:tcW w:w="581" w:type="pct"/>
            <w:tcBorders>
              <w:top w:val="nil"/>
              <w:left w:val="nil"/>
              <w:bottom w:val="nil"/>
              <w:right w:val="nil"/>
            </w:tcBorders>
            <w:shd w:val="clear" w:color="auto" w:fill="auto"/>
            <w:noWrap/>
            <w:vAlign w:val="bottom"/>
            <w:hideMark/>
          </w:tcPr>
          <w:p w14:paraId="09E4DF7D"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12,828</w:t>
            </w:r>
          </w:p>
        </w:tc>
        <w:tc>
          <w:tcPr>
            <w:tcW w:w="584" w:type="pct"/>
            <w:tcBorders>
              <w:top w:val="nil"/>
              <w:left w:val="nil"/>
              <w:bottom w:val="nil"/>
              <w:right w:val="nil"/>
            </w:tcBorders>
            <w:shd w:val="clear" w:color="auto" w:fill="auto"/>
            <w:noWrap/>
            <w:vAlign w:val="bottom"/>
            <w:hideMark/>
          </w:tcPr>
          <w:p w14:paraId="2C5E775B"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sz w:val="16"/>
                <w:szCs w:val="16"/>
              </w:rPr>
              <w:t>13,106</w:t>
            </w:r>
          </w:p>
        </w:tc>
      </w:tr>
      <w:tr w:rsidR="00CB36D7" w:rsidRPr="00F87B09" w14:paraId="0CF6332C" w14:textId="77777777" w:rsidTr="007431A4">
        <w:trPr>
          <w:trHeight w:val="204"/>
        </w:trPr>
        <w:tc>
          <w:tcPr>
            <w:tcW w:w="2060" w:type="pct"/>
            <w:tcBorders>
              <w:top w:val="nil"/>
              <w:left w:val="nil"/>
              <w:bottom w:val="single" w:sz="4" w:space="0" w:color="auto"/>
              <w:right w:val="nil"/>
            </w:tcBorders>
            <w:shd w:val="clear" w:color="auto" w:fill="auto"/>
            <w:noWrap/>
            <w:vAlign w:val="bottom"/>
            <w:hideMark/>
          </w:tcPr>
          <w:p w14:paraId="3F81C120"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Total expenses for Outcome 1</w:t>
            </w:r>
          </w:p>
        </w:tc>
        <w:tc>
          <w:tcPr>
            <w:tcW w:w="613" w:type="pct"/>
            <w:tcBorders>
              <w:top w:val="single" w:sz="4" w:space="0" w:color="auto"/>
              <w:left w:val="nil"/>
              <w:bottom w:val="single" w:sz="4" w:space="0" w:color="auto"/>
              <w:right w:val="nil"/>
            </w:tcBorders>
            <w:shd w:val="clear" w:color="auto" w:fill="auto"/>
            <w:noWrap/>
            <w:vAlign w:val="bottom"/>
            <w:hideMark/>
          </w:tcPr>
          <w:p w14:paraId="6FDAABD5" w14:textId="77777777" w:rsidR="00CB36D7" w:rsidRPr="00CB0AF7" w:rsidRDefault="00CB36D7" w:rsidP="00085518">
            <w:pPr>
              <w:spacing w:after="0" w:line="240" w:lineRule="auto"/>
              <w:jc w:val="right"/>
              <w:rPr>
                <w:rFonts w:ascii="Arial" w:hAnsi="Arial" w:cs="Arial"/>
                <w:b/>
                <w:bCs/>
                <w:color w:val="000000"/>
                <w:sz w:val="16"/>
                <w:szCs w:val="16"/>
              </w:rPr>
            </w:pPr>
            <w:r>
              <w:rPr>
                <w:rFonts w:ascii="Arial" w:hAnsi="Arial" w:cs="Arial"/>
                <w:b/>
                <w:bCs/>
                <w:color w:val="000000"/>
                <w:sz w:val="16"/>
                <w:szCs w:val="16"/>
              </w:rPr>
              <w:t>232,029</w:t>
            </w:r>
          </w:p>
        </w:tc>
        <w:tc>
          <w:tcPr>
            <w:tcW w:w="581" w:type="pct"/>
            <w:tcBorders>
              <w:top w:val="single" w:sz="4" w:space="0" w:color="auto"/>
              <w:left w:val="nil"/>
              <w:bottom w:val="single" w:sz="4" w:space="0" w:color="auto"/>
              <w:right w:val="nil"/>
            </w:tcBorders>
            <w:shd w:val="clear" w:color="auto" w:fill="E6E6E6"/>
            <w:noWrap/>
            <w:vAlign w:val="bottom"/>
            <w:hideMark/>
          </w:tcPr>
          <w:p w14:paraId="32FF07F6" w14:textId="77777777" w:rsidR="00CB36D7" w:rsidRPr="00CB0AF7" w:rsidRDefault="00CB36D7" w:rsidP="00085518">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241,826</w:t>
            </w:r>
          </w:p>
        </w:tc>
        <w:tc>
          <w:tcPr>
            <w:tcW w:w="581" w:type="pct"/>
            <w:tcBorders>
              <w:top w:val="single" w:sz="4" w:space="0" w:color="auto"/>
              <w:left w:val="nil"/>
              <w:bottom w:val="single" w:sz="4" w:space="0" w:color="auto"/>
              <w:right w:val="nil"/>
            </w:tcBorders>
            <w:shd w:val="clear" w:color="auto" w:fill="auto"/>
            <w:noWrap/>
            <w:vAlign w:val="bottom"/>
            <w:hideMark/>
          </w:tcPr>
          <w:p w14:paraId="7CE12C53" w14:textId="77777777" w:rsidR="00CB36D7" w:rsidRPr="00CB0AF7" w:rsidRDefault="00CB36D7" w:rsidP="00085518">
            <w:pPr>
              <w:spacing w:after="0" w:line="240" w:lineRule="auto"/>
              <w:jc w:val="right"/>
              <w:rPr>
                <w:rFonts w:ascii="Arial" w:hAnsi="Arial" w:cs="Arial"/>
                <w:b/>
                <w:bCs/>
                <w:sz w:val="16"/>
                <w:szCs w:val="16"/>
              </w:rPr>
            </w:pPr>
            <w:r>
              <w:rPr>
                <w:rFonts w:ascii="Arial" w:hAnsi="Arial" w:cs="Arial"/>
                <w:b/>
                <w:bCs/>
                <w:sz w:val="16"/>
                <w:szCs w:val="16"/>
              </w:rPr>
              <w:t>250,035</w:t>
            </w:r>
          </w:p>
        </w:tc>
        <w:tc>
          <w:tcPr>
            <w:tcW w:w="581" w:type="pct"/>
            <w:tcBorders>
              <w:top w:val="single" w:sz="4" w:space="0" w:color="auto"/>
              <w:left w:val="nil"/>
              <w:bottom w:val="single" w:sz="4" w:space="0" w:color="auto"/>
              <w:right w:val="nil"/>
            </w:tcBorders>
            <w:shd w:val="clear" w:color="auto" w:fill="auto"/>
            <w:noWrap/>
            <w:vAlign w:val="bottom"/>
            <w:hideMark/>
          </w:tcPr>
          <w:p w14:paraId="656E62B0" w14:textId="77777777" w:rsidR="00CB36D7" w:rsidRPr="00CB0AF7" w:rsidRDefault="00CB36D7" w:rsidP="00085518">
            <w:pPr>
              <w:spacing w:after="0" w:line="240" w:lineRule="auto"/>
              <w:jc w:val="right"/>
              <w:rPr>
                <w:rFonts w:ascii="Arial" w:hAnsi="Arial" w:cs="Arial"/>
                <w:b/>
                <w:bCs/>
                <w:sz w:val="16"/>
                <w:szCs w:val="16"/>
              </w:rPr>
            </w:pPr>
            <w:r>
              <w:rPr>
                <w:rFonts w:ascii="Arial" w:hAnsi="Arial" w:cs="Arial"/>
                <w:b/>
                <w:bCs/>
                <w:sz w:val="16"/>
                <w:szCs w:val="16"/>
              </w:rPr>
              <w:t>254,223</w:t>
            </w:r>
          </w:p>
        </w:tc>
        <w:tc>
          <w:tcPr>
            <w:tcW w:w="584" w:type="pct"/>
            <w:tcBorders>
              <w:top w:val="single" w:sz="4" w:space="0" w:color="auto"/>
              <w:left w:val="nil"/>
              <w:bottom w:val="single" w:sz="4" w:space="0" w:color="auto"/>
              <w:right w:val="nil"/>
            </w:tcBorders>
            <w:shd w:val="clear" w:color="auto" w:fill="auto"/>
            <w:noWrap/>
            <w:vAlign w:val="bottom"/>
            <w:hideMark/>
          </w:tcPr>
          <w:p w14:paraId="56CCE190" w14:textId="77777777" w:rsidR="00CB36D7" w:rsidRPr="00CB0AF7" w:rsidRDefault="00CB36D7" w:rsidP="00085518">
            <w:pPr>
              <w:spacing w:after="0" w:line="240" w:lineRule="auto"/>
              <w:jc w:val="right"/>
              <w:rPr>
                <w:rFonts w:ascii="Arial" w:hAnsi="Arial" w:cs="Arial"/>
                <w:b/>
                <w:bCs/>
                <w:sz w:val="16"/>
                <w:szCs w:val="16"/>
              </w:rPr>
            </w:pPr>
            <w:r>
              <w:rPr>
                <w:rFonts w:ascii="Arial" w:hAnsi="Arial" w:cs="Arial"/>
                <w:b/>
                <w:bCs/>
                <w:sz w:val="16"/>
                <w:szCs w:val="16"/>
              </w:rPr>
              <w:t>252,784</w:t>
            </w:r>
          </w:p>
        </w:tc>
      </w:tr>
    </w:tbl>
    <w:p w14:paraId="5C15DB00" w14:textId="77777777" w:rsidR="00CB36D7" w:rsidRPr="00957351" w:rsidRDefault="00CB36D7" w:rsidP="00CB36D7">
      <w:pPr>
        <w:pStyle w:val="ChartandTableFootnoteAlpha"/>
        <w:numPr>
          <w:ilvl w:val="0"/>
          <w:numId w:val="0"/>
        </w:numPr>
        <w:ind w:left="284"/>
        <w:contextualSpacing/>
        <w:jc w:val="left"/>
        <w:rPr>
          <w:szCs w:val="16"/>
        </w:rPr>
      </w:pPr>
    </w:p>
    <w:tbl>
      <w:tblPr>
        <w:tblW w:w="0" w:type="auto"/>
        <w:tblLayout w:type="fixed"/>
        <w:tblLook w:val="04A0" w:firstRow="1" w:lastRow="0" w:firstColumn="1" w:lastColumn="0" w:noHBand="0" w:noVBand="1"/>
      </w:tblPr>
      <w:tblGrid>
        <w:gridCol w:w="3206"/>
        <w:gridCol w:w="938"/>
        <w:gridCol w:w="882"/>
      </w:tblGrid>
      <w:tr w:rsidR="00CB36D7" w:rsidRPr="005A4A4B" w14:paraId="2332831A" w14:textId="77777777" w:rsidTr="00085518">
        <w:trPr>
          <w:trHeight w:val="204"/>
        </w:trPr>
        <w:tc>
          <w:tcPr>
            <w:tcW w:w="3206" w:type="dxa"/>
            <w:tcBorders>
              <w:top w:val="single" w:sz="4" w:space="0" w:color="auto"/>
              <w:left w:val="nil"/>
              <w:bottom w:val="nil"/>
              <w:right w:val="nil"/>
            </w:tcBorders>
            <w:shd w:val="clear" w:color="auto" w:fill="auto"/>
            <w:noWrap/>
            <w:vAlign w:val="bottom"/>
            <w:hideMark/>
          </w:tcPr>
          <w:p w14:paraId="4D7F7BCC" w14:textId="77777777" w:rsidR="00CB36D7" w:rsidRPr="005A4A4B" w:rsidRDefault="00CB36D7" w:rsidP="00CB36D7">
            <w:pPr>
              <w:spacing w:after="0" w:line="240" w:lineRule="auto"/>
              <w:rPr>
                <w:rFonts w:ascii="Arial" w:hAnsi="Arial" w:cs="Arial"/>
                <w:sz w:val="16"/>
                <w:szCs w:val="16"/>
              </w:rPr>
            </w:pPr>
            <w:r w:rsidRPr="005A4A4B">
              <w:rPr>
                <w:rFonts w:ascii="Arial" w:hAnsi="Arial" w:cs="Arial"/>
                <w:sz w:val="16"/>
                <w:szCs w:val="16"/>
              </w:rPr>
              <w:t> </w:t>
            </w:r>
          </w:p>
        </w:tc>
        <w:tc>
          <w:tcPr>
            <w:tcW w:w="938" w:type="dxa"/>
            <w:tcBorders>
              <w:top w:val="single" w:sz="4" w:space="0" w:color="auto"/>
              <w:left w:val="nil"/>
              <w:bottom w:val="single" w:sz="4" w:space="0" w:color="auto"/>
              <w:right w:val="nil"/>
            </w:tcBorders>
            <w:shd w:val="clear" w:color="auto" w:fill="auto"/>
            <w:noWrap/>
            <w:vAlign w:val="bottom"/>
            <w:hideMark/>
          </w:tcPr>
          <w:p w14:paraId="2EBD110F" w14:textId="77777777" w:rsidR="00CB36D7" w:rsidRPr="005A4A4B" w:rsidRDefault="00CB36D7" w:rsidP="00CB36D7">
            <w:pPr>
              <w:spacing w:after="0" w:line="240" w:lineRule="auto"/>
              <w:jc w:val="right"/>
              <w:rPr>
                <w:rFonts w:ascii="Arial" w:hAnsi="Arial" w:cs="Arial"/>
                <w:sz w:val="16"/>
                <w:szCs w:val="16"/>
              </w:rPr>
            </w:pPr>
            <w:r w:rsidRPr="005A4A4B">
              <w:rPr>
                <w:rFonts w:ascii="Arial" w:hAnsi="Arial" w:cs="Arial"/>
                <w:sz w:val="16"/>
                <w:szCs w:val="16"/>
              </w:rPr>
              <w:t>2021-22</w:t>
            </w:r>
          </w:p>
        </w:tc>
        <w:tc>
          <w:tcPr>
            <w:tcW w:w="882" w:type="dxa"/>
            <w:tcBorders>
              <w:top w:val="single" w:sz="4" w:space="0" w:color="auto"/>
              <w:left w:val="nil"/>
              <w:bottom w:val="single" w:sz="4" w:space="0" w:color="auto"/>
              <w:right w:val="nil"/>
            </w:tcBorders>
            <w:shd w:val="clear" w:color="auto" w:fill="EBEBEB"/>
            <w:noWrap/>
            <w:vAlign w:val="bottom"/>
            <w:hideMark/>
          </w:tcPr>
          <w:p w14:paraId="26443F06" w14:textId="77777777" w:rsidR="00CB36D7" w:rsidRPr="005A4A4B" w:rsidRDefault="00CB36D7" w:rsidP="00CB36D7">
            <w:pPr>
              <w:spacing w:after="0" w:line="240" w:lineRule="auto"/>
              <w:jc w:val="right"/>
              <w:rPr>
                <w:rFonts w:ascii="Arial" w:hAnsi="Arial" w:cs="Arial"/>
                <w:sz w:val="16"/>
                <w:szCs w:val="16"/>
              </w:rPr>
            </w:pPr>
            <w:r w:rsidRPr="005A4A4B">
              <w:rPr>
                <w:rFonts w:ascii="Arial" w:hAnsi="Arial" w:cs="Arial"/>
                <w:sz w:val="16"/>
                <w:szCs w:val="16"/>
              </w:rPr>
              <w:t>2022-23</w:t>
            </w:r>
          </w:p>
        </w:tc>
      </w:tr>
      <w:tr w:rsidR="00CB36D7" w:rsidRPr="005A4A4B" w14:paraId="0FBC0597" w14:textId="77777777" w:rsidTr="00085518">
        <w:trPr>
          <w:trHeight w:val="204"/>
        </w:trPr>
        <w:tc>
          <w:tcPr>
            <w:tcW w:w="3206" w:type="dxa"/>
            <w:tcBorders>
              <w:top w:val="nil"/>
              <w:left w:val="nil"/>
              <w:bottom w:val="single" w:sz="4" w:space="0" w:color="auto"/>
              <w:right w:val="nil"/>
            </w:tcBorders>
            <w:shd w:val="clear" w:color="auto" w:fill="auto"/>
            <w:noWrap/>
            <w:vAlign w:val="bottom"/>
            <w:hideMark/>
          </w:tcPr>
          <w:p w14:paraId="63DC3F94" w14:textId="77777777" w:rsidR="00CB36D7" w:rsidRPr="005A4A4B" w:rsidRDefault="00CB36D7" w:rsidP="00CB36D7">
            <w:pPr>
              <w:spacing w:after="0" w:line="240" w:lineRule="auto"/>
              <w:rPr>
                <w:rFonts w:ascii="Arial" w:hAnsi="Arial" w:cs="Arial"/>
                <w:b/>
                <w:bCs/>
                <w:color w:val="000000"/>
                <w:sz w:val="16"/>
                <w:szCs w:val="16"/>
              </w:rPr>
            </w:pPr>
            <w:r w:rsidRPr="005A4A4B">
              <w:rPr>
                <w:rFonts w:ascii="Arial" w:hAnsi="Arial" w:cs="Arial"/>
                <w:b/>
                <w:bCs/>
                <w:color w:val="000000"/>
                <w:sz w:val="16"/>
                <w:szCs w:val="16"/>
              </w:rPr>
              <w:t>Average staffing level (number)</w:t>
            </w:r>
          </w:p>
        </w:tc>
        <w:tc>
          <w:tcPr>
            <w:tcW w:w="938" w:type="dxa"/>
            <w:tcBorders>
              <w:top w:val="nil"/>
              <w:left w:val="nil"/>
              <w:bottom w:val="single" w:sz="4" w:space="0" w:color="auto"/>
              <w:right w:val="nil"/>
            </w:tcBorders>
            <w:shd w:val="clear" w:color="auto" w:fill="auto"/>
            <w:noWrap/>
            <w:vAlign w:val="bottom"/>
            <w:hideMark/>
          </w:tcPr>
          <w:p w14:paraId="13800761" w14:textId="77777777" w:rsidR="00CB36D7" w:rsidRPr="005A4A4B" w:rsidRDefault="00CB36D7" w:rsidP="00CB36D7">
            <w:pPr>
              <w:spacing w:after="0" w:line="240" w:lineRule="auto"/>
              <w:jc w:val="right"/>
              <w:rPr>
                <w:rFonts w:ascii="Arial" w:hAnsi="Arial" w:cs="Arial"/>
                <w:color w:val="000000"/>
                <w:sz w:val="16"/>
                <w:szCs w:val="16"/>
              </w:rPr>
            </w:pPr>
            <w:r w:rsidRPr="005A4A4B">
              <w:rPr>
                <w:rFonts w:ascii="Arial" w:hAnsi="Arial" w:cs="Arial"/>
                <w:color w:val="000000"/>
                <w:sz w:val="16"/>
                <w:szCs w:val="16"/>
              </w:rPr>
              <w:t>4</w:t>
            </w:r>
            <w:r>
              <w:rPr>
                <w:rFonts w:ascii="Arial" w:hAnsi="Arial" w:cs="Arial"/>
                <w:color w:val="000000"/>
                <w:sz w:val="16"/>
                <w:szCs w:val="16"/>
              </w:rPr>
              <w:t>25</w:t>
            </w:r>
          </w:p>
        </w:tc>
        <w:tc>
          <w:tcPr>
            <w:tcW w:w="882" w:type="dxa"/>
            <w:tcBorders>
              <w:top w:val="nil"/>
              <w:left w:val="nil"/>
              <w:bottom w:val="single" w:sz="4" w:space="0" w:color="auto"/>
              <w:right w:val="nil"/>
            </w:tcBorders>
            <w:shd w:val="clear" w:color="auto" w:fill="EBEBEB"/>
            <w:noWrap/>
            <w:vAlign w:val="bottom"/>
            <w:hideMark/>
          </w:tcPr>
          <w:p w14:paraId="31A7DC52" w14:textId="77777777" w:rsidR="00CB36D7" w:rsidRPr="005A4A4B" w:rsidRDefault="00CB36D7" w:rsidP="00CB36D7">
            <w:pPr>
              <w:spacing w:after="0" w:line="240" w:lineRule="auto"/>
              <w:jc w:val="right"/>
              <w:rPr>
                <w:rFonts w:ascii="Arial" w:hAnsi="Arial" w:cs="Arial"/>
                <w:color w:val="000000"/>
                <w:sz w:val="16"/>
                <w:szCs w:val="16"/>
              </w:rPr>
            </w:pPr>
            <w:r w:rsidRPr="005A4A4B">
              <w:rPr>
                <w:rFonts w:ascii="Arial" w:hAnsi="Arial" w:cs="Arial"/>
                <w:color w:val="000000"/>
                <w:sz w:val="16"/>
                <w:szCs w:val="16"/>
              </w:rPr>
              <w:t>448</w:t>
            </w:r>
          </w:p>
        </w:tc>
      </w:tr>
    </w:tbl>
    <w:p w14:paraId="3B2F367E" w14:textId="7777777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1D4A41F0" w14:textId="77777777" w:rsidR="00CB36D7" w:rsidRDefault="00CB36D7" w:rsidP="008D0F63">
      <w:pPr>
        <w:pStyle w:val="ChartandTableFootnoteAlpha"/>
        <w:numPr>
          <w:ilvl w:val="0"/>
          <w:numId w:val="153"/>
        </w:numPr>
        <w:tabs>
          <w:tab w:val="clear" w:pos="284"/>
        </w:tabs>
        <w:spacing w:before="60"/>
        <w:ind w:left="426" w:hanging="426"/>
        <w:contextualSpacing/>
        <w:jc w:val="left"/>
      </w:pPr>
      <w:r w:rsidRPr="00770B53">
        <w:t>Expenses not requiring appropriation in the Budget year are made up of the operating result.</w:t>
      </w:r>
    </w:p>
    <w:p w14:paraId="44D05693" w14:textId="77777777" w:rsidR="00CB36D7" w:rsidRDefault="00CB36D7" w:rsidP="00CB36D7">
      <w:pPr>
        <w:spacing w:after="0" w:line="240" w:lineRule="auto"/>
        <w:rPr>
          <w:b/>
        </w:rPr>
      </w:pPr>
      <w:r>
        <w:rPr>
          <w:b/>
        </w:rPr>
        <w:br w:type="page"/>
      </w:r>
    </w:p>
    <w:p w14:paraId="07961CB3" w14:textId="77777777" w:rsidR="00CB36D7" w:rsidRDefault="00CB36D7" w:rsidP="00CB36D7">
      <w:pPr>
        <w:spacing w:after="0"/>
      </w:pPr>
      <w:r w:rsidRPr="002F7F2B">
        <w:rPr>
          <w:rFonts w:ascii="Arial" w:hAnsi="Arial" w:cs="Arial"/>
          <w:b/>
        </w:rPr>
        <w:lastRenderedPageBreak/>
        <w:t>Table 2.1.2: Program components of Outcome 1</w:t>
      </w:r>
      <w:r w:rsidRPr="00186D86">
        <w:t xml:space="preserve"> </w:t>
      </w:r>
    </w:p>
    <w:tbl>
      <w:tblPr>
        <w:tblW w:w="5002" w:type="pct"/>
        <w:tblLook w:val="04A0" w:firstRow="1" w:lastRow="0" w:firstColumn="1" w:lastColumn="0" w:noHBand="0" w:noVBand="1"/>
      </w:tblPr>
      <w:tblGrid>
        <w:gridCol w:w="3087"/>
        <w:gridCol w:w="963"/>
        <w:gridCol w:w="913"/>
        <w:gridCol w:w="913"/>
        <w:gridCol w:w="913"/>
        <w:gridCol w:w="924"/>
      </w:tblGrid>
      <w:tr w:rsidR="00CB36D7" w:rsidRPr="00F87B09" w14:paraId="56AEF28D" w14:textId="77777777" w:rsidTr="007431A4">
        <w:trPr>
          <w:trHeight w:val="204"/>
        </w:trPr>
        <w:tc>
          <w:tcPr>
            <w:tcW w:w="2001" w:type="pct"/>
            <w:tcBorders>
              <w:top w:val="single" w:sz="4" w:space="0" w:color="auto"/>
              <w:left w:val="nil"/>
              <w:bottom w:val="nil"/>
              <w:right w:val="nil"/>
            </w:tcBorders>
            <w:shd w:val="clear" w:color="auto" w:fill="auto"/>
            <w:vAlign w:val="bottom"/>
            <w:hideMark/>
          </w:tcPr>
          <w:p w14:paraId="24D7A398" w14:textId="77777777" w:rsidR="00CB36D7" w:rsidRPr="00F87B09" w:rsidRDefault="00CB36D7" w:rsidP="00CB36D7">
            <w:pPr>
              <w:spacing w:after="0" w:line="240" w:lineRule="auto"/>
              <w:rPr>
                <w:rFonts w:ascii="Arial" w:hAnsi="Arial" w:cs="Arial"/>
                <w:b/>
                <w:bCs/>
                <w:color w:val="000000"/>
                <w:sz w:val="16"/>
                <w:szCs w:val="16"/>
              </w:rPr>
            </w:pPr>
            <w:r w:rsidRPr="00F87B09">
              <w:rPr>
                <w:rFonts w:ascii="Arial" w:hAnsi="Arial" w:cs="Arial"/>
                <w:b/>
                <w:bCs/>
                <w:color w:val="000000"/>
                <w:sz w:val="16"/>
                <w:szCs w:val="16"/>
              </w:rPr>
              <w:t> </w:t>
            </w:r>
          </w:p>
        </w:tc>
        <w:tc>
          <w:tcPr>
            <w:tcW w:w="624" w:type="pct"/>
            <w:tcBorders>
              <w:top w:val="single" w:sz="4" w:space="0" w:color="auto"/>
              <w:left w:val="nil"/>
              <w:bottom w:val="single" w:sz="4" w:space="0" w:color="auto"/>
              <w:right w:val="nil"/>
            </w:tcBorders>
            <w:shd w:val="clear" w:color="auto" w:fill="auto"/>
            <w:vAlign w:val="bottom"/>
            <w:hideMark/>
          </w:tcPr>
          <w:p w14:paraId="7FABCA44"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2021-22 Estimated actual</w:t>
            </w:r>
            <w:r w:rsidRPr="00F87B09">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E6E6E6"/>
            <w:vAlign w:val="bottom"/>
            <w:hideMark/>
          </w:tcPr>
          <w:p w14:paraId="7C7BA0EA"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2022-23</w:t>
            </w:r>
            <w:r w:rsidRPr="00F87B09">
              <w:rPr>
                <w:rFonts w:ascii="Arial" w:hAnsi="Arial" w:cs="Arial"/>
                <w:sz w:val="16"/>
                <w:szCs w:val="16"/>
              </w:rPr>
              <w:br/>
              <w:t>Budget</w:t>
            </w:r>
            <w:r w:rsidRPr="00F87B09">
              <w:rPr>
                <w:rFonts w:ascii="Arial" w:hAnsi="Arial" w:cs="Arial"/>
                <w:sz w:val="16"/>
                <w:szCs w:val="16"/>
              </w:rPr>
              <w:br/>
            </w:r>
            <w:r w:rsidRPr="00F87B09">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2DD927EC"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2023-24 Forward estimate</w:t>
            </w:r>
            <w:r w:rsidRPr="00F87B09">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7EDD4666"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2024-25 Forward estimate</w:t>
            </w:r>
            <w:r w:rsidRPr="00F87B09">
              <w:rPr>
                <w:rFonts w:ascii="Arial" w:hAnsi="Arial" w:cs="Arial"/>
                <w:sz w:val="16"/>
                <w:szCs w:val="16"/>
              </w:rPr>
              <w:br/>
              <w:t>$'000</w:t>
            </w:r>
          </w:p>
        </w:tc>
        <w:tc>
          <w:tcPr>
            <w:tcW w:w="598" w:type="pct"/>
            <w:tcBorders>
              <w:top w:val="single" w:sz="4" w:space="0" w:color="auto"/>
              <w:left w:val="nil"/>
              <w:bottom w:val="single" w:sz="4" w:space="0" w:color="auto"/>
              <w:right w:val="nil"/>
            </w:tcBorders>
            <w:shd w:val="clear" w:color="auto" w:fill="auto"/>
            <w:vAlign w:val="bottom"/>
            <w:hideMark/>
          </w:tcPr>
          <w:p w14:paraId="09E2A3B4" w14:textId="77777777" w:rsidR="00CB36D7" w:rsidRPr="00F87B09" w:rsidRDefault="00CB36D7" w:rsidP="00CB36D7">
            <w:pPr>
              <w:spacing w:after="0" w:line="240" w:lineRule="auto"/>
              <w:jc w:val="right"/>
              <w:rPr>
                <w:rFonts w:ascii="Arial" w:hAnsi="Arial" w:cs="Arial"/>
                <w:sz w:val="16"/>
                <w:szCs w:val="16"/>
              </w:rPr>
            </w:pPr>
            <w:r w:rsidRPr="00F87B09">
              <w:rPr>
                <w:rFonts w:ascii="Arial" w:hAnsi="Arial" w:cs="Arial"/>
                <w:sz w:val="16"/>
                <w:szCs w:val="16"/>
              </w:rPr>
              <w:t>2025-26</w:t>
            </w:r>
            <w:r w:rsidRPr="00F87B09">
              <w:rPr>
                <w:rFonts w:ascii="Arial" w:hAnsi="Arial" w:cs="Arial"/>
                <w:sz w:val="16"/>
                <w:szCs w:val="16"/>
              </w:rPr>
              <w:br/>
              <w:t>Forward estimate</w:t>
            </w:r>
            <w:r w:rsidRPr="00F87B09">
              <w:rPr>
                <w:rFonts w:ascii="Arial" w:hAnsi="Arial" w:cs="Arial"/>
                <w:sz w:val="16"/>
                <w:szCs w:val="16"/>
              </w:rPr>
              <w:br/>
              <w:t>$'000</w:t>
            </w:r>
          </w:p>
        </w:tc>
      </w:tr>
      <w:tr w:rsidR="00CB36D7" w:rsidRPr="00F87B09" w14:paraId="49EB6EC0" w14:textId="77777777" w:rsidTr="007431A4">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09BF3FA"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Sub-program 1.1.1: Seafarer and ship safety and environment</w:t>
            </w:r>
          </w:p>
        </w:tc>
      </w:tr>
      <w:tr w:rsidR="00CB36D7" w:rsidRPr="00F87B09" w14:paraId="6C21F541" w14:textId="77777777" w:rsidTr="007431A4">
        <w:trPr>
          <w:trHeight w:val="204"/>
        </w:trPr>
        <w:tc>
          <w:tcPr>
            <w:tcW w:w="2001" w:type="pct"/>
            <w:tcBorders>
              <w:top w:val="nil"/>
              <w:left w:val="nil"/>
              <w:bottom w:val="nil"/>
              <w:right w:val="nil"/>
            </w:tcBorders>
            <w:shd w:val="clear" w:color="auto" w:fill="auto"/>
            <w:noWrap/>
            <w:vAlign w:val="bottom"/>
            <w:hideMark/>
          </w:tcPr>
          <w:p w14:paraId="680486AD"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Revenue from Government</w:t>
            </w:r>
          </w:p>
        </w:tc>
        <w:tc>
          <w:tcPr>
            <w:tcW w:w="624" w:type="pct"/>
            <w:tcBorders>
              <w:top w:val="nil"/>
              <w:left w:val="nil"/>
              <w:bottom w:val="nil"/>
              <w:right w:val="nil"/>
            </w:tcBorders>
            <w:shd w:val="clear" w:color="auto" w:fill="auto"/>
            <w:noWrap/>
            <w:vAlign w:val="bottom"/>
            <w:hideMark/>
          </w:tcPr>
          <w:p w14:paraId="10AF8D44" w14:textId="77777777" w:rsidR="00CB36D7" w:rsidRPr="00B70FB0" w:rsidRDefault="00CB36D7" w:rsidP="00CB36D7">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E6E6E6"/>
            <w:noWrap/>
            <w:vAlign w:val="bottom"/>
            <w:hideMark/>
          </w:tcPr>
          <w:p w14:paraId="39CB2B31" w14:textId="77777777" w:rsidR="00CB36D7" w:rsidRPr="00EC7A4B" w:rsidRDefault="00CB36D7" w:rsidP="00CB36D7">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4244C733" w14:textId="77777777" w:rsidR="00CB36D7" w:rsidRPr="00B70FB0" w:rsidRDefault="00CB36D7" w:rsidP="00CB36D7">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639AC58B" w14:textId="77777777" w:rsidR="00CB36D7" w:rsidRPr="002F7F2B" w:rsidRDefault="00CB36D7" w:rsidP="00CB36D7">
            <w:pPr>
              <w:spacing w:after="0" w:line="240" w:lineRule="auto"/>
              <w:jc w:val="right"/>
              <w:rPr>
                <w:rFonts w:ascii="Times New Roman" w:hAnsi="Times New Roman"/>
                <w:sz w:val="16"/>
                <w:szCs w:val="16"/>
              </w:rPr>
            </w:pPr>
          </w:p>
        </w:tc>
        <w:tc>
          <w:tcPr>
            <w:tcW w:w="598" w:type="pct"/>
            <w:tcBorders>
              <w:top w:val="nil"/>
              <w:left w:val="nil"/>
              <w:bottom w:val="nil"/>
              <w:right w:val="nil"/>
            </w:tcBorders>
            <w:shd w:val="clear" w:color="auto" w:fill="auto"/>
            <w:noWrap/>
            <w:vAlign w:val="bottom"/>
            <w:hideMark/>
          </w:tcPr>
          <w:p w14:paraId="4399536A" w14:textId="77777777" w:rsidR="00CB36D7" w:rsidRPr="002F7F2B" w:rsidRDefault="00CB36D7" w:rsidP="00CB36D7">
            <w:pPr>
              <w:spacing w:after="0" w:line="240" w:lineRule="auto"/>
              <w:jc w:val="right"/>
              <w:rPr>
                <w:rFonts w:ascii="Times New Roman" w:hAnsi="Times New Roman"/>
                <w:sz w:val="16"/>
                <w:szCs w:val="16"/>
              </w:rPr>
            </w:pPr>
          </w:p>
        </w:tc>
      </w:tr>
      <w:tr w:rsidR="00CB36D7" w:rsidRPr="00F87B09" w14:paraId="7E09D59A" w14:textId="77777777" w:rsidTr="00410D0D">
        <w:trPr>
          <w:trHeight w:val="204"/>
        </w:trPr>
        <w:tc>
          <w:tcPr>
            <w:tcW w:w="2001" w:type="pct"/>
            <w:tcBorders>
              <w:top w:val="nil"/>
              <w:left w:val="nil"/>
              <w:bottom w:val="nil"/>
              <w:right w:val="nil"/>
            </w:tcBorders>
            <w:shd w:val="clear" w:color="auto" w:fill="auto"/>
            <w:vAlign w:val="bottom"/>
            <w:hideMark/>
          </w:tcPr>
          <w:p w14:paraId="6DCAA018"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Ordinary annual services (</w:t>
            </w:r>
            <w:r w:rsidRPr="00F87B09">
              <w:rPr>
                <w:rFonts w:ascii="Arial" w:hAnsi="Arial" w:cs="Arial"/>
                <w:i/>
                <w:iCs/>
                <w:sz w:val="16"/>
                <w:szCs w:val="16"/>
              </w:rPr>
              <w:t>Appropriation Bill No. 1</w:t>
            </w:r>
            <w:r w:rsidRPr="00F87B09">
              <w:rPr>
                <w:rFonts w:ascii="Arial" w:hAnsi="Arial" w:cs="Arial"/>
                <w:sz w:val="16"/>
                <w:szCs w:val="16"/>
              </w:rPr>
              <w:t>)</w:t>
            </w:r>
          </w:p>
        </w:tc>
        <w:tc>
          <w:tcPr>
            <w:tcW w:w="624" w:type="pct"/>
            <w:tcBorders>
              <w:top w:val="nil"/>
              <w:left w:val="nil"/>
              <w:bottom w:val="nil"/>
              <w:right w:val="nil"/>
            </w:tcBorders>
            <w:shd w:val="clear" w:color="auto" w:fill="auto"/>
            <w:noWrap/>
            <w:vAlign w:val="bottom"/>
            <w:hideMark/>
          </w:tcPr>
          <w:p w14:paraId="116C9EB3"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16,523</w:t>
            </w:r>
          </w:p>
        </w:tc>
        <w:tc>
          <w:tcPr>
            <w:tcW w:w="592" w:type="pct"/>
            <w:tcBorders>
              <w:top w:val="nil"/>
              <w:left w:val="nil"/>
              <w:bottom w:val="nil"/>
              <w:right w:val="nil"/>
            </w:tcBorders>
            <w:shd w:val="clear" w:color="auto" w:fill="E6E6E6"/>
            <w:noWrap/>
            <w:vAlign w:val="bottom"/>
            <w:hideMark/>
          </w:tcPr>
          <w:p w14:paraId="0F10F4C0" w14:textId="77777777" w:rsidR="00CB36D7" w:rsidRPr="00EC7A4B" w:rsidRDefault="00CB36D7" w:rsidP="00CB36D7">
            <w:pPr>
              <w:spacing w:after="0" w:line="240" w:lineRule="auto"/>
              <w:jc w:val="right"/>
              <w:rPr>
                <w:rFonts w:ascii="Arial" w:hAnsi="Arial" w:cs="Arial"/>
                <w:sz w:val="16"/>
                <w:szCs w:val="16"/>
              </w:rPr>
            </w:pPr>
            <w:r>
              <w:rPr>
                <w:rFonts w:ascii="Arial" w:hAnsi="Arial" w:cs="Arial"/>
                <w:sz w:val="16"/>
                <w:szCs w:val="16"/>
              </w:rPr>
              <w:t>18,567</w:t>
            </w:r>
          </w:p>
        </w:tc>
        <w:tc>
          <w:tcPr>
            <w:tcW w:w="592" w:type="pct"/>
            <w:tcBorders>
              <w:top w:val="nil"/>
              <w:left w:val="nil"/>
              <w:bottom w:val="nil"/>
              <w:right w:val="nil"/>
            </w:tcBorders>
            <w:shd w:val="clear" w:color="auto" w:fill="auto"/>
            <w:noWrap/>
            <w:vAlign w:val="bottom"/>
            <w:hideMark/>
          </w:tcPr>
          <w:p w14:paraId="188A1450"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4,941</w:t>
            </w:r>
          </w:p>
        </w:tc>
        <w:tc>
          <w:tcPr>
            <w:tcW w:w="592" w:type="pct"/>
            <w:tcBorders>
              <w:top w:val="nil"/>
              <w:left w:val="nil"/>
              <w:bottom w:val="nil"/>
              <w:right w:val="nil"/>
            </w:tcBorders>
            <w:shd w:val="clear" w:color="auto" w:fill="auto"/>
            <w:noWrap/>
            <w:vAlign w:val="bottom"/>
            <w:hideMark/>
          </w:tcPr>
          <w:p w14:paraId="0439FB23"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4,811</w:t>
            </w:r>
          </w:p>
        </w:tc>
        <w:tc>
          <w:tcPr>
            <w:tcW w:w="598" w:type="pct"/>
            <w:tcBorders>
              <w:top w:val="nil"/>
              <w:left w:val="nil"/>
              <w:bottom w:val="nil"/>
              <w:right w:val="nil"/>
            </w:tcBorders>
            <w:shd w:val="clear" w:color="auto" w:fill="auto"/>
            <w:noWrap/>
            <w:vAlign w:val="bottom"/>
            <w:hideMark/>
          </w:tcPr>
          <w:p w14:paraId="3F64186D"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4,578</w:t>
            </w:r>
          </w:p>
        </w:tc>
      </w:tr>
      <w:tr w:rsidR="00CB36D7" w:rsidRPr="00F87B09" w14:paraId="137AE011" w14:textId="77777777" w:rsidTr="00410D0D">
        <w:trPr>
          <w:trHeight w:val="204"/>
        </w:trPr>
        <w:tc>
          <w:tcPr>
            <w:tcW w:w="2001" w:type="pct"/>
            <w:tcBorders>
              <w:top w:val="nil"/>
              <w:left w:val="nil"/>
              <w:bottom w:val="nil"/>
              <w:right w:val="nil"/>
            </w:tcBorders>
            <w:shd w:val="clear" w:color="auto" w:fill="auto"/>
            <w:noWrap/>
            <w:vAlign w:val="bottom"/>
            <w:hideMark/>
          </w:tcPr>
          <w:p w14:paraId="5A546423"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Payment from related entities</w:t>
            </w:r>
          </w:p>
        </w:tc>
        <w:tc>
          <w:tcPr>
            <w:tcW w:w="624" w:type="pct"/>
            <w:tcBorders>
              <w:top w:val="nil"/>
              <w:left w:val="nil"/>
              <w:bottom w:val="nil"/>
              <w:right w:val="nil"/>
            </w:tcBorders>
            <w:shd w:val="clear" w:color="auto" w:fill="auto"/>
            <w:noWrap/>
            <w:vAlign w:val="bottom"/>
            <w:hideMark/>
          </w:tcPr>
          <w:p w14:paraId="729281D5"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3,</w:t>
            </w:r>
            <w:r>
              <w:rPr>
                <w:rFonts w:ascii="Arial" w:hAnsi="Arial" w:cs="Arial"/>
                <w:color w:val="000000"/>
                <w:sz w:val="16"/>
                <w:szCs w:val="16"/>
              </w:rPr>
              <w:t>433</w:t>
            </w:r>
          </w:p>
        </w:tc>
        <w:tc>
          <w:tcPr>
            <w:tcW w:w="592" w:type="pct"/>
            <w:tcBorders>
              <w:top w:val="nil"/>
              <w:left w:val="nil"/>
              <w:bottom w:val="nil"/>
              <w:right w:val="nil"/>
            </w:tcBorders>
            <w:shd w:val="clear" w:color="auto" w:fill="E6E6E6"/>
            <w:noWrap/>
            <w:vAlign w:val="bottom"/>
            <w:hideMark/>
          </w:tcPr>
          <w:p w14:paraId="798BB087"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w:t>
            </w:r>
          </w:p>
        </w:tc>
        <w:tc>
          <w:tcPr>
            <w:tcW w:w="592" w:type="pct"/>
            <w:tcBorders>
              <w:top w:val="nil"/>
              <w:left w:val="nil"/>
              <w:bottom w:val="nil"/>
              <w:right w:val="nil"/>
            </w:tcBorders>
            <w:shd w:val="clear" w:color="auto" w:fill="auto"/>
            <w:noWrap/>
            <w:vAlign w:val="bottom"/>
            <w:hideMark/>
          </w:tcPr>
          <w:p w14:paraId="7F001776"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c>
          <w:tcPr>
            <w:tcW w:w="592" w:type="pct"/>
            <w:tcBorders>
              <w:top w:val="nil"/>
              <w:left w:val="nil"/>
              <w:bottom w:val="nil"/>
              <w:right w:val="nil"/>
            </w:tcBorders>
            <w:shd w:val="clear" w:color="auto" w:fill="auto"/>
            <w:noWrap/>
            <w:vAlign w:val="bottom"/>
            <w:hideMark/>
          </w:tcPr>
          <w:p w14:paraId="419103C7"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c>
          <w:tcPr>
            <w:tcW w:w="598" w:type="pct"/>
            <w:tcBorders>
              <w:top w:val="nil"/>
              <w:left w:val="nil"/>
              <w:bottom w:val="nil"/>
              <w:right w:val="nil"/>
            </w:tcBorders>
            <w:shd w:val="clear" w:color="auto" w:fill="auto"/>
            <w:noWrap/>
            <w:vAlign w:val="bottom"/>
            <w:hideMark/>
          </w:tcPr>
          <w:p w14:paraId="734AB125"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w:t>
            </w:r>
          </w:p>
        </w:tc>
      </w:tr>
      <w:tr w:rsidR="00CB36D7" w:rsidRPr="00F87B09" w14:paraId="25D9EC61" w14:textId="77777777" w:rsidTr="00410D0D">
        <w:trPr>
          <w:trHeight w:val="204"/>
        </w:trPr>
        <w:tc>
          <w:tcPr>
            <w:tcW w:w="2001" w:type="pct"/>
            <w:tcBorders>
              <w:top w:val="nil"/>
              <w:left w:val="nil"/>
              <w:bottom w:val="nil"/>
              <w:right w:val="nil"/>
            </w:tcBorders>
            <w:shd w:val="clear" w:color="auto" w:fill="auto"/>
            <w:noWrap/>
            <w:vAlign w:val="bottom"/>
            <w:hideMark/>
          </w:tcPr>
          <w:p w14:paraId="6BF296F5"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Special appropriations</w:t>
            </w:r>
          </w:p>
        </w:tc>
        <w:tc>
          <w:tcPr>
            <w:tcW w:w="624" w:type="pct"/>
            <w:tcBorders>
              <w:top w:val="nil"/>
              <w:left w:val="nil"/>
              <w:bottom w:val="nil"/>
              <w:right w:val="nil"/>
            </w:tcBorders>
            <w:shd w:val="clear" w:color="auto" w:fill="auto"/>
            <w:noWrap/>
            <w:vAlign w:val="bottom"/>
            <w:hideMark/>
          </w:tcPr>
          <w:p w14:paraId="54962A57" w14:textId="77777777" w:rsidR="00CB36D7" w:rsidRPr="00B70FB0" w:rsidRDefault="00CB36D7" w:rsidP="00CB36D7">
            <w:pPr>
              <w:spacing w:after="0" w:line="240" w:lineRule="auto"/>
              <w:ind w:firstLineChars="100" w:firstLine="160"/>
              <w:jc w:val="right"/>
              <w:rPr>
                <w:rFonts w:ascii="Arial" w:hAnsi="Arial" w:cs="Arial"/>
                <w:sz w:val="16"/>
                <w:szCs w:val="16"/>
              </w:rPr>
            </w:pPr>
          </w:p>
        </w:tc>
        <w:tc>
          <w:tcPr>
            <w:tcW w:w="592" w:type="pct"/>
            <w:tcBorders>
              <w:top w:val="nil"/>
              <w:left w:val="nil"/>
              <w:bottom w:val="nil"/>
              <w:right w:val="nil"/>
            </w:tcBorders>
            <w:shd w:val="clear" w:color="auto" w:fill="E6E6E6"/>
            <w:noWrap/>
            <w:vAlign w:val="bottom"/>
            <w:hideMark/>
          </w:tcPr>
          <w:p w14:paraId="1FE336D5" w14:textId="77777777" w:rsidR="00CB36D7" w:rsidRPr="00EC7A4B" w:rsidRDefault="00CB36D7" w:rsidP="00CB36D7">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6ABB3A14" w14:textId="77777777" w:rsidR="00CB36D7" w:rsidRPr="00B70FB0" w:rsidRDefault="00CB36D7" w:rsidP="00CB36D7">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2BB01404" w14:textId="77777777" w:rsidR="00CB36D7" w:rsidRPr="002F7F2B" w:rsidRDefault="00CB36D7" w:rsidP="00CB36D7">
            <w:pPr>
              <w:spacing w:after="0" w:line="240" w:lineRule="auto"/>
              <w:jc w:val="right"/>
              <w:rPr>
                <w:rFonts w:ascii="Times New Roman" w:hAnsi="Times New Roman"/>
                <w:sz w:val="16"/>
                <w:szCs w:val="16"/>
              </w:rPr>
            </w:pPr>
          </w:p>
        </w:tc>
        <w:tc>
          <w:tcPr>
            <w:tcW w:w="598" w:type="pct"/>
            <w:tcBorders>
              <w:top w:val="nil"/>
              <w:left w:val="nil"/>
              <w:bottom w:val="nil"/>
              <w:right w:val="nil"/>
            </w:tcBorders>
            <w:shd w:val="clear" w:color="auto" w:fill="auto"/>
            <w:noWrap/>
            <w:vAlign w:val="bottom"/>
            <w:hideMark/>
          </w:tcPr>
          <w:p w14:paraId="1CFCB5DF" w14:textId="77777777" w:rsidR="00CB36D7" w:rsidRPr="002F7F2B" w:rsidRDefault="00CB36D7" w:rsidP="00CB36D7">
            <w:pPr>
              <w:spacing w:after="0" w:line="240" w:lineRule="auto"/>
              <w:jc w:val="right"/>
              <w:rPr>
                <w:rFonts w:ascii="Times New Roman" w:hAnsi="Times New Roman"/>
                <w:sz w:val="16"/>
                <w:szCs w:val="16"/>
              </w:rPr>
            </w:pPr>
          </w:p>
        </w:tc>
      </w:tr>
      <w:tr w:rsidR="00CB36D7" w:rsidRPr="00F87B09" w14:paraId="62CF446F" w14:textId="77777777" w:rsidTr="00410D0D">
        <w:trPr>
          <w:trHeight w:val="204"/>
        </w:trPr>
        <w:tc>
          <w:tcPr>
            <w:tcW w:w="2001" w:type="pct"/>
            <w:tcBorders>
              <w:top w:val="nil"/>
              <w:left w:val="nil"/>
              <w:bottom w:val="nil"/>
              <w:right w:val="nil"/>
            </w:tcBorders>
            <w:shd w:val="clear" w:color="auto" w:fill="auto"/>
            <w:vAlign w:val="bottom"/>
            <w:hideMark/>
          </w:tcPr>
          <w:p w14:paraId="344DF9D7" w14:textId="77777777" w:rsidR="00CB36D7" w:rsidRPr="00F87B09" w:rsidRDefault="00CB36D7" w:rsidP="00CB36D7">
            <w:pPr>
              <w:spacing w:after="0" w:line="240" w:lineRule="auto"/>
              <w:ind w:left="227"/>
              <w:rPr>
                <w:rFonts w:ascii="Arial" w:hAnsi="Arial" w:cs="Arial"/>
                <w:i/>
                <w:iCs/>
                <w:sz w:val="16"/>
                <w:szCs w:val="16"/>
              </w:rPr>
            </w:pPr>
            <w:r w:rsidRPr="00F87B09">
              <w:rPr>
                <w:rFonts w:ascii="Arial" w:hAnsi="Arial" w:cs="Arial"/>
                <w:i/>
                <w:iCs/>
                <w:sz w:val="16"/>
                <w:szCs w:val="16"/>
              </w:rPr>
              <w:t>Special appropriation Australian Maritime Safety Authority Act 1990</w:t>
            </w:r>
          </w:p>
        </w:tc>
        <w:tc>
          <w:tcPr>
            <w:tcW w:w="624" w:type="pct"/>
            <w:tcBorders>
              <w:top w:val="nil"/>
              <w:left w:val="nil"/>
              <w:bottom w:val="nil"/>
              <w:right w:val="nil"/>
            </w:tcBorders>
            <w:shd w:val="clear" w:color="auto" w:fill="auto"/>
            <w:noWrap/>
            <w:vAlign w:val="bottom"/>
            <w:hideMark/>
          </w:tcPr>
          <w:p w14:paraId="2E767437" w14:textId="77777777" w:rsidR="00CB36D7" w:rsidRPr="00B70FB0"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134,216</w:t>
            </w:r>
          </w:p>
        </w:tc>
        <w:tc>
          <w:tcPr>
            <w:tcW w:w="592" w:type="pct"/>
            <w:tcBorders>
              <w:top w:val="nil"/>
              <w:left w:val="nil"/>
              <w:bottom w:val="nil"/>
              <w:right w:val="nil"/>
            </w:tcBorders>
            <w:shd w:val="clear" w:color="auto" w:fill="E6E6E6"/>
            <w:noWrap/>
            <w:vAlign w:val="bottom"/>
            <w:hideMark/>
          </w:tcPr>
          <w:p w14:paraId="115523EC" w14:textId="77777777" w:rsidR="00CB36D7" w:rsidRPr="00EC7A4B" w:rsidRDefault="00CB36D7" w:rsidP="00CB36D7">
            <w:pPr>
              <w:spacing w:after="0" w:line="240" w:lineRule="auto"/>
              <w:jc w:val="right"/>
              <w:rPr>
                <w:rFonts w:ascii="Arial" w:hAnsi="Arial" w:cs="Arial"/>
                <w:sz w:val="16"/>
                <w:szCs w:val="16"/>
              </w:rPr>
            </w:pPr>
            <w:r>
              <w:rPr>
                <w:rFonts w:ascii="Arial" w:hAnsi="Arial" w:cs="Arial"/>
                <w:sz w:val="16"/>
                <w:szCs w:val="16"/>
              </w:rPr>
              <w:t>136,059</w:t>
            </w:r>
          </w:p>
        </w:tc>
        <w:tc>
          <w:tcPr>
            <w:tcW w:w="592" w:type="pct"/>
            <w:tcBorders>
              <w:top w:val="nil"/>
              <w:left w:val="nil"/>
              <w:bottom w:val="nil"/>
              <w:right w:val="nil"/>
            </w:tcBorders>
            <w:shd w:val="clear" w:color="auto" w:fill="auto"/>
            <w:noWrap/>
            <w:vAlign w:val="bottom"/>
            <w:hideMark/>
          </w:tcPr>
          <w:p w14:paraId="0A4FC238" w14:textId="77777777" w:rsidR="00CB36D7" w:rsidRPr="00B70FB0" w:rsidRDefault="00CB36D7" w:rsidP="00CB36D7">
            <w:pPr>
              <w:spacing w:after="0" w:line="240" w:lineRule="auto"/>
              <w:jc w:val="right"/>
              <w:rPr>
                <w:rFonts w:ascii="Arial" w:hAnsi="Arial" w:cs="Arial"/>
                <w:sz w:val="16"/>
                <w:szCs w:val="16"/>
              </w:rPr>
            </w:pPr>
            <w:r>
              <w:rPr>
                <w:rFonts w:ascii="Arial" w:hAnsi="Arial" w:cs="Arial"/>
                <w:sz w:val="16"/>
                <w:szCs w:val="16"/>
              </w:rPr>
              <w:t>154,055</w:t>
            </w:r>
          </w:p>
        </w:tc>
        <w:tc>
          <w:tcPr>
            <w:tcW w:w="592" w:type="pct"/>
            <w:tcBorders>
              <w:top w:val="nil"/>
              <w:left w:val="nil"/>
              <w:bottom w:val="nil"/>
              <w:right w:val="nil"/>
            </w:tcBorders>
            <w:shd w:val="clear" w:color="auto" w:fill="auto"/>
            <w:noWrap/>
            <w:vAlign w:val="bottom"/>
            <w:hideMark/>
          </w:tcPr>
          <w:p w14:paraId="30DA9BA3"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157,161</w:t>
            </w:r>
          </w:p>
        </w:tc>
        <w:tc>
          <w:tcPr>
            <w:tcW w:w="598" w:type="pct"/>
            <w:tcBorders>
              <w:top w:val="nil"/>
              <w:left w:val="nil"/>
              <w:bottom w:val="nil"/>
              <w:right w:val="nil"/>
            </w:tcBorders>
            <w:shd w:val="clear" w:color="auto" w:fill="auto"/>
            <w:noWrap/>
            <w:vAlign w:val="bottom"/>
            <w:hideMark/>
          </w:tcPr>
          <w:p w14:paraId="4D918605" w14:textId="77777777" w:rsidR="00CB36D7" w:rsidRPr="00B70FB0" w:rsidRDefault="00CB36D7" w:rsidP="00CB36D7">
            <w:pPr>
              <w:spacing w:after="0" w:line="240" w:lineRule="auto"/>
              <w:jc w:val="right"/>
              <w:rPr>
                <w:rFonts w:ascii="Arial" w:hAnsi="Arial" w:cs="Arial"/>
                <w:sz w:val="16"/>
                <w:szCs w:val="16"/>
              </w:rPr>
            </w:pPr>
            <w:r w:rsidRPr="00B70FB0">
              <w:rPr>
                <w:rFonts w:ascii="Arial" w:hAnsi="Arial" w:cs="Arial"/>
                <w:sz w:val="16"/>
                <w:szCs w:val="16"/>
              </w:rPr>
              <w:t>160,325</w:t>
            </w:r>
          </w:p>
        </w:tc>
      </w:tr>
      <w:tr w:rsidR="00CB36D7" w:rsidRPr="00F87B09" w14:paraId="0C6BDA7F" w14:textId="77777777" w:rsidTr="00410D0D">
        <w:trPr>
          <w:trHeight w:val="204"/>
        </w:trPr>
        <w:tc>
          <w:tcPr>
            <w:tcW w:w="2001" w:type="pct"/>
            <w:tcBorders>
              <w:top w:val="nil"/>
              <w:left w:val="nil"/>
              <w:bottom w:val="nil"/>
              <w:right w:val="nil"/>
            </w:tcBorders>
            <w:shd w:val="clear" w:color="auto" w:fill="auto"/>
            <w:vAlign w:val="bottom"/>
            <w:hideMark/>
          </w:tcPr>
          <w:p w14:paraId="44812F44" w14:textId="2F52736C"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 xml:space="preserve">Expenses not requiring appropriation in the </w:t>
            </w:r>
            <w:r w:rsidR="00927ADA">
              <w:rPr>
                <w:rFonts w:ascii="Arial" w:hAnsi="Arial" w:cs="Arial"/>
                <w:sz w:val="16"/>
                <w:szCs w:val="16"/>
              </w:rPr>
              <w:t>Budget year</w:t>
            </w:r>
            <w:r w:rsidRPr="00F87B09">
              <w:rPr>
                <w:rFonts w:ascii="Arial" w:hAnsi="Arial" w:cs="Arial"/>
                <w:sz w:val="16"/>
                <w:szCs w:val="16"/>
              </w:rPr>
              <w:t xml:space="preserve"> </w:t>
            </w:r>
            <w:r w:rsidRPr="00F87B09">
              <w:rPr>
                <w:rFonts w:ascii="Arial" w:hAnsi="Arial" w:cs="Arial"/>
                <w:sz w:val="16"/>
                <w:szCs w:val="16"/>
                <w:vertAlign w:val="superscript"/>
              </w:rPr>
              <w:t>(a)</w:t>
            </w:r>
          </w:p>
        </w:tc>
        <w:tc>
          <w:tcPr>
            <w:tcW w:w="624" w:type="pct"/>
            <w:tcBorders>
              <w:top w:val="nil"/>
              <w:left w:val="nil"/>
              <w:bottom w:val="nil"/>
              <w:right w:val="nil"/>
            </w:tcBorders>
            <w:shd w:val="clear" w:color="auto" w:fill="auto"/>
            <w:noWrap/>
            <w:vAlign w:val="bottom"/>
            <w:hideMark/>
          </w:tcPr>
          <w:p w14:paraId="2AFF0E7C"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w:t>
            </w:r>
            <w:r>
              <w:rPr>
                <w:rFonts w:ascii="Arial" w:hAnsi="Arial" w:cs="Arial"/>
                <w:color w:val="000000"/>
                <w:sz w:val="16"/>
                <w:szCs w:val="16"/>
              </w:rPr>
              <w:t>14,939</w:t>
            </w:r>
          </w:p>
        </w:tc>
        <w:tc>
          <w:tcPr>
            <w:tcW w:w="592" w:type="pct"/>
            <w:tcBorders>
              <w:top w:val="nil"/>
              <w:left w:val="nil"/>
              <w:bottom w:val="nil"/>
              <w:right w:val="nil"/>
            </w:tcBorders>
            <w:shd w:val="clear" w:color="auto" w:fill="E6E6E6"/>
            <w:noWrap/>
            <w:vAlign w:val="bottom"/>
            <w:hideMark/>
          </w:tcPr>
          <w:p w14:paraId="15DB692A" w14:textId="77777777" w:rsidR="00CB36D7" w:rsidRPr="00EC7A4B" w:rsidRDefault="00CB36D7" w:rsidP="00CB36D7">
            <w:pPr>
              <w:spacing w:after="0" w:line="240" w:lineRule="auto"/>
              <w:jc w:val="right"/>
              <w:rPr>
                <w:rFonts w:ascii="Arial" w:hAnsi="Arial" w:cs="Arial"/>
                <w:sz w:val="16"/>
                <w:szCs w:val="16"/>
              </w:rPr>
            </w:pPr>
            <w:r w:rsidRPr="00EC7A4B">
              <w:rPr>
                <w:rFonts w:ascii="Arial" w:hAnsi="Arial" w:cs="Arial"/>
                <w:sz w:val="16"/>
                <w:szCs w:val="16"/>
              </w:rPr>
              <w:t>(397)</w:t>
            </w:r>
          </w:p>
        </w:tc>
        <w:tc>
          <w:tcPr>
            <w:tcW w:w="592" w:type="pct"/>
            <w:tcBorders>
              <w:top w:val="nil"/>
              <w:left w:val="nil"/>
              <w:bottom w:val="nil"/>
              <w:right w:val="nil"/>
            </w:tcBorders>
            <w:shd w:val="clear" w:color="auto" w:fill="auto"/>
            <w:noWrap/>
            <w:vAlign w:val="bottom"/>
            <w:hideMark/>
          </w:tcPr>
          <w:p w14:paraId="1D5E39FD"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(420)</w:t>
            </w:r>
          </w:p>
        </w:tc>
        <w:tc>
          <w:tcPr>
            <w:tcW w:w="592" w:type="pct"/>
            <w:tcBorders>
              <w:top w:val="nil"/>
              <w:left w:val="nil"/>
              <w:bottom w:val="nil"/>
              <w:right w:val="nil"/>
            </w:tcBorders>
            <w:shd w:val="clear" w:color="auto" w:fill="auto"/>
            <w:noWrap/>
            <w:vAlign w:val="bottom"/>
            <w:hideMark/>
          </w:tcPr>
          <w:p w14:paraId="42E36E8F"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(1,008)</w:t>
            </w:r>
          </w:p>
        </w:tc>
        <w:tc>
          <w:tcPr>
            <w:tcW w:w="598" w:type="pct"/>
            <w:tcBorders>
              <w:top w:val="nil"/>
              <w:left w:val="nil"/>
              <w:bottom w:val="nil"/>
              <w:right w:val="nil"/>
            </w:tcBorders>
            <w:shd w:val="clear" w:color="auto" w:fill="auto"/>
            <w:noWrap/>
            <w:vAlign w:val="bottom"/>
            <w:hideMark/>
          </w:tcPr>
          <w:p w14:paraId="2A154103"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(6,944)</w:t>
            </w:r>
          </w:p>
        </w:tc>
      </w:tr>
      <w:tr w:rsidR="00CB36D7" w:rsidRPr="00F87B09" w14:paraId="5A5DA9C5" w14:textId="77777777" w:rsidTr="007431A4">
        <w:trPr>
          <w:trHeight w:val="204"/>
        </w:trPr>
        <w:tc>
          <w:tcPr>
            <w:tcW w:w="2001" w:type="pct"/>
            <w:tcBorders>
              <w:top w:val="nil"/>
              <w:left w:val="nil"/>
              <w:bottom w:val="nil"/>
              <w:right w:val="nil"/>
            </w:tcBorders>
            <w:shd w:val="clear" w:color="auto" w:fill="auto"/>
            <w:vAlign w:val="bottom"/>
            <w:hideMark/>
          </w:tcPr>
          <w:p w14:paraId="20A9FBC7"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 xml:space="preserve">Revenues from other independent sources </w:t>
            </w:r>
          </w:p>
        </w:tc>
        <w:tc>
          <w:tcPr>
            <w:tcW w:w="624" w:type="pct"/>
            <w:tcBorders>
              <w:top w:val="nil"/>
              <w:left w:val="nil"/>
              <w:bottom w:val="nil"/>
              <w:right w:val="nil"/>
            </w:tcBorders>
            <w:shd w:val="clear" w:color="auto" w:fill="auto"/>
            <w:noWrap/>
            <w:vAlign w:val="bottom"/>
            <w:hideMark/>
          </w:tcPr>
          <w:p w14:paraId="342CB944" w14:textId="77777777" w:rsidR="00CB36D7" w:rsidRPr="00B70FB0"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21,322</w:t>
            </w:r>
          </w:p>
        </w:tc>
        <w:tc>
          <w:tcPr>
            <w:tcW w:w="592" w:type="pct"/>
            <w:tcBorders>
              <w:top w:val="nil"/>
              <w:left w:val="nil"/>
              <w:bottom w:val="nil"/>
              <w:right w:val="nil"/>
            </w:tcBorders>
            <w:shd w:val="clear" w:color="auto" w:fill="E6E6E6"/>
            <w:noWrap/>
            <w:vAlign w:val="bottom"/>
            <w:hideMark/>
          </w:tcPr>
          <w:p w14:paraId="32CC337B" w14:textId="77777777" w:rsidR="00CB36D7" w:rsidRPr="00EC7A4B" w:rsidRDefault="00CB36D7" w:rsidP="00CB36D7">
            <w:pPr>
              <w:spacing w:after="0" w:line="240" w:lineRule="auto"/>
              <w:jc w:val="right"/>
              <w:rPr>
                <w:rFonts w:ascii="Arial" w:hAnsi="Arial" w:cs="Arial"/>
                <w:sz w:val="16"/>
                <w:szCs w:val="16"/>
              </w:rPr>
            </w:pPr>
            <w:r>
              <w:rPr>
                <w:rFonts w:ascii="Arial" w:hAnsi="Arial" w:cs="Arial"/>
                <w:sz w:val="16"/>
                <w:szCs w:val="16"/>
              </w:rPr>
              <w:t>13,123</w:t>
            </w:r>
          </w:p>
        </w:tc>
        <w:tc>
          <w:tcPr>
            <w:tcW w:w="592" w:type="pct"/>
            <w:tcBorders>
              <w:top w:val="nil"/>
              <w:left w:val="nil"/>
              <w:bottom w:val="nil"/>
              <w:right w:val="nil"/>
            </w:tcBorders>
            <w:shd w:val="clear" w:color="auto" w:fill="auto"/>
            <w:noWrap/>
            <w:vAlign w:val="bottom"/>
            <w:hideMark/>
          </w:tcPr>
          <w:p w14:paraId="5EDFBDFD"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12,42</w:t>
            </w:r>
            <w:r>
              <w:rPr>
                <w:rFonts w:ascii="Arial" w:hAnsi="Arial" w:cs="Arial"/>
                <w:color w:val="000000"/>
                <w:sz w:val="16"/>
                <w:szCs w:val="16"/>
              </w:rPr>
              <w:t>1</w:t>
            </w:r>
          </w:p>
        </w:tc>
        <w:tc>
          <w:tcPr>
            <w:tcW w:w="592" w:type="pct"/>
            <w:tcBorders>
              <w:top w:val="nil"/>
              <w:left w:val="nil"/>
              <w:bottom w:val="nil"/>
              <w:right w:val="nil"/>
            </w:tcBorders>
            <w:shd w:val="clear" w:color="auto" w:fill="auto"/>
            <w:noWrap/>
            <w:vAlign w:val="bottom"/>
            <w:hideMark/>
          </w:tcPr>
          <w:p w14:paraId="4888779D"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12,</w:t>
            </w:r>
            <w:r>
              <w:rPr>
                <w:rFonts w:ascii="Arial" w:hAnsi="Arial" w:cs="Arial"/>
                <w:color w:val="000000"/>
                <w:sz w:val="16"/>
                <w:szCs w:val="16"/>
              </w:rPr>
              <w:t>524</w:t>
            </w:r>
          </w:p>
        </w:tc>
        <w:tc>
          <w:tcPr>
            <w:tcW w:w="598" w:type="pct"/>
            <w:tcBorders>
              <w:top w:val="nil"/>
              <w:left w:val="nil"/>
              <w:bottom w:val="nil"/>
              <w:right w:val="nil"/>
            </w:tcBorders>
            <w:shd w:val="clear" w:color="auto" w:fill="auto"/>
            <w:noWrap/>
            <w:vAlign w:val="bottom"/>
            <w:hideMark/>
          </w:tcPr>
          <w:p w14:paraId="3661A0AC" w14:textId="77777777" w:rsidR="00CB36D7" w:rsidRPr="00B70FB0" w:rsidRDefault="00CB36D7" w:rsidP="00CB36D7">
            <w:pPr>
              <w:spacing w:after="0" w:line="240" w:lineRule="auto"/>
              <w:jc w:val="right"/>
              <w:rPr>
                <w:rFonts w:ascii="Arial" w:hAnsi="Arial" w:cs="Arial"/>
                <w:color w:val="000000"/>
                <w:sz w:val="16"/>
                <w:szCs w:val="16"/>
              </w:rPr>
            </w:pPr>
            <w:r w:rsidRPr="00B70FB0">
              <w:rPr>
                <w:rFonts w:ascii="Arial" w:hAnsi="Arial" w:cs="Arial"/>
                <w:color w:val="000000"/>
                <w:sz w:val="16"/>
                <w:szCs w:val="16"/>
              </w:rPr>
              <w:t>12,7</w:t>
            </w:r>
            <w:r>
              <w:rPr>
                <w:rFonts w:ascii="Arial" w:hAnsi="Arial" w:cs="Arial"/>
                <w:color w:val="000000"/>
                <w:sz w:val="16"/>
                <w:szCs w:val="16"/>
              </w:rPr>
              <w:t>15</w:t>
            </w:r>
          </w:p>
        </w:tc>
      </w:tr>
      <w:tr w:rsidR="00CB36D7" w:rsidRPr="00F87B09" w14:paraId="68588F90" w14:textId="77777777" w:rsidTr="007431A4">
        <w:trPr>
          <w:trHeight w:val="204"/>
        </w:trPr>
        <w:tc>
          <w:tcPr>
            <w:tcW w:w="2001" w:type="pct"/>
            <w:tcBorders>
              <w:top w:val="nil"/>
              <w:left w:val="nil"/>
              <w:bottom w:val="nil"/>
              <w:right w:val="nil"/>
            </w:tcBorders>
            <w:shd w:val="clear" w:color="auto" w:fill="auto"/>
            <w:vAlign w:val="bottom"/>
            <w:hideMark/>
          </w:tcPr>
          <w:p w14:paraId="5646C8C0"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Total sub-program 1.1.1 expenses</w:t>
            </w:r>
          </w:p>
        </w:tc>
        <w:tc>
          <w:tcPr>
            <w:tcW w:w="624" w:type="pct"/>
            <w:tcBorders>
              <w:top w:val="single" w:sz="4" w:space="0" w:color="auto"/>
              <w:left w:val="nil"/>
              <w:bottom w:val="single" w:sz="4" w:space="0" w:color="auto"/>
              <w:right w:val="nil"/>
            </w:tcBorders>
            <w:shd w:val="clear" w:color="auto" w:fill="auto"/>
            <w:noWrap/>
            <w:vAlign w:val="bottom"/>
            <w:hideMark/>
          </w:tcPr>
          <w:p w14:paraId="749053F3" w14:textId="77777777" w:rsidR="00CB36D7" w:rsidRPr="00B70FB0" w:rsidRDefault="00CB36D7" w:rsidP="00CB36D7">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16</w:t>
            </w:r>
            <w:r>
              <w:rPr>
                <w:rFonts w:ascii="Arial" w:hAnsi="Arial" w:cs="Arial"/>
                <w:b/>
                <w:bCs/>
                <w:color w:val="000000"/>
                <w:sz w:val="16"/>
                <w:szCs w:val="16"/>
              </w:rPr>
              <w:t>0,555</w:t>
            </w:r>
          </w:p>
        </w:tc>
        <w:tc>
          <w:tcPr>
            <w:tcW w:w="592" w:type="pct"/>
            <w:tcBorders>
              <w:top w:val="single" w:sz="4" w:space="0" w:color="auto"/>
              <w:left w:val="nil"/>
              <w:bottom w:val="single" w:sz="4" w:space="0" w:color="auto"/>
              <w:right w:val="nil"/>
            </w:tcBorders>
            <w:shd w:val="clear" w:color="auto" w:fill="E6E6E6"/>
            <w:noWrap/>
            <w:vAlign w:val="bottom"/>
            <w:hideMark/>
          </w:tcPr>
          <w:p w14:paraId="5FF18830" w14:textId="77777777" w:rsidR="00CB36D7" w:rsidRPr="00EC7A4B" w:rsidRDefault="00CB36D7" w:rsidP="00CB36D7">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167,35</w:t>
            </w:r>
            <w:r>
              <w:rPr>
                <w:rFonts w:ascii="Arial" w:hAnsi="Arial" w:cs="Arial"/>
                <w:b/>
                <w:bCs/>
                <w:color w:val="000000"/>
                <w:sz w:val="16"/>
                <w:szCs w:val="16"/>
              </w:rPr>
              <w:t>2</w:t>
            </w:r>
          </w:p>
        </w:tc>
        <w:tc>
          <w:tcPr>
            <w:tcW w:w="592" w:type="pct"/>
            <w:tcBorders>
              <w:top w:val="single" w:sz="4" w:space="0" w:color="auto"/>
              <w:left w:val="nil"/>
              <w:bottom w:val="single" w:sz="4" w:space="0" w:color="auto"/>
              <w:right w:val="nil"/>
            </w:tcBorders>
            <w:shd w:val="clear" w:color="auto" w:fill="auto"/>
            <w:noWrap/>
            <w:vAlign w:val="bottom"/>
            <w:hideMark/>
          </w:tcPr>
          <w:p w14:paraId="50027D77" w14:textId="77777777" w:rsidR="00CB36D7" w:rsidRPr="00B70FB0" w:rsidRDefault="00CB36D7" w:rsidP="00CB36D7">
            <w:pPr>
              <w:spacing w:after="0" w:line="240" w:lineRule="auto"/>
              <w:jc w:val="right"/>
              <w:rPr>
                <w:rFonts w:ascii="Arial" w:hAnsi="Arial" w:cs="Arial"/>
                <w:b/>
                <w:bCs/>
                <w:sz w:val="16"/>
                <w:szCs w:val="16"/>
              </w:rPr>
            </w:pPr>
            <w:r w:rsidRPr="00B70FB0">
              <w:rPr>
                <w:rFonts w:ascii="Arial" w:hAnsi="Arial" w:cs="Arial"/>
                <w:b/>
                <w:bCs/>
                <w:sz w:val="16"/>
                <w:szCs w:val="16"/>
              </w:rPr>
              <w:t>17</w:t>
            </w:r>
            <w:r>
              <w:rPr>
                <w:rFonts w:ascii="Arial" w:hAnsi="Arial" w:cs="Arial"/>
                <w:b/>
                <w:bCs/>
                <w:sz w:val="16"/>
                <w:szCs w:val="16"/>
              </w:rPr>
              <w:t>0,997</w:t>
            </w:r>
          </w:p>
        </w:tc>
        <w:tc>
          <w:tcPr>
            <w:tcW w:w="592" w:type="pct"/>
            <w:tcBorders>
              <w:top w:val="single" w:sz="4" w:space="0" w:color="auto"/>
              <w:left w:val="nil"/>
              <w:bottom w:val="single" w:sz="4" w:space="0" w:color="auto"/>
              <w:right w:val="nil"/>
            </w:tcBorders>
            <w:shd w:val="clear" w:color="auto" w:fill="auto"/>
            <w:noWrap/>
            <w:vAlign w:val="bottom"/>
            <w:hideMark/>
          </w:tcPr>
          <w:p w14:paraId="0A942AE1" w14:textId="77777777" w:rsidR="00CB36D7" w:rsidRPr="00B70FB0" w:rsidRDefault="00CB36D7" w:rsidP="00CB36D7">
            <w:pPr>
              <w:spacing w:after="0" w:line="240" w:lineRule="auto"/>
              <w:jc w:val="right"/>
              <w:rPr>
                <w:rFonts w:ascii="Arial" w:hAnsi="Arial" w:cs="Arial"/>
                <w:b/>
                <w:bCs/>
                <w:sz w:val="16"/>
                <w:szCs w:val="16"/>
              </w:rPr>
            </w:pPr>
            <w:r w:rsidRPr="00B70FB0">
              <w:rPr>
                <w:rFonts w:ascii="Arial" w:hAnsi="Arial" w:cs="Arial"/>
                <w:b/>
                <w:bCs/>
                <w:sz w:val="16"/>
                <w:szCs w:val="16"/>
              </w:rPr>
              <w:t>173,</w:t>
            </w:r>
            <w:r>
              <w:rPr>
                <w:rFonts w:ascii="Arial" w:hAnsi="Arial" w:cs="Arial"/>
                <w:b/>
                <w:bCs/>
                <w:sz w:val="16"/>
                <w:szCs w:val="16"/>
              </w:rPr>
              <w:t>488</w:t>
            </w:r>
          </w:p>
        </w:tc>
        <w:tc>
          <w:tcPr>
            <w:tcW w:w="598" w:type="pct"/>
            <w:tcBorders>
              <w:top w:val="single" w:sz="4" w:space="0" w:color="auto"/>
              <w:left w:val="nil"/>
              <w:bottom w:val="single" w:sz="4" w:space="0" w:color="auto"/>
              <w:right w:val="nil"/>
            </w:tcBorders>
            <w:shd w:val="clear" w:color="auto" w:fill="auto"/>
            <w:noWrap/>
            <w:vAlign w:val="bottom"/>
            <w:hideMark/>
          </w:tcPr>
          <w:p w14:paraId="713DBBBF" w14:textId="77777777" w:rsidR="00CB36D7" w:rsidRPr="00B70FB0" w:rsidRDefault="00CB36D7" w:rsidP="00CB36D7">
            <w:pPr>
              <w:spacing w:after="0" w:line="240" w:lineRule="auto"/>
              <w:jc w:val="right"/>
              <w:rPr>
                <w:rFonts w:ascii="Arial" w:hAnsi="Arial" w:cs="Arial"/>
                <w:b/>
                <w:bCs/>
                <w:sz w:val="16"/>
                <w:szCs w:val="16"/>
              </w:rPr>
            </w:pPr>
            <w:r w:rsidRPr="00B70FB0">
              <w:rPr>
                <w:rFonts w:ascii="Arial" w:hAnsi="Arial" w:cs="Arial"/>
                <w:b/>
                <w:bCs/>
                <w:sz w:val="16"/>
                <w:szCs w:val="16"/>
              </w:rPr>
              <w:t>170,6</w:t>
            </w:r>
            <w:r>
              <w:rPr>
                <w:rFonts w:ascii="Arial" w:hAnsi="Arial" w:cs="Arial"/>
                <w:b/>
                <w:bCs/>
                <w:sz w:val="16"/>
                <w:szCs w:val="16"/>
              </w:rPr>
              <w:t>74</w:t>
            </w:r>
          </w:p>
        </w:tc>
      </w:tr>
      <w:tr w:rsidR="00CB36D7" w:rsidRPr="00F87B09" w14:paraId="13DE5D04" w14:textId="77777777" w:rsidTr="007431A4">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88866D9"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Sub-program 1.1.2: Search and rescue</w:t>
            </w:r>
          </w:p>
        </w:tc>
      </w:tr>
      <w:tr w:rsidR="00CB36D7" w:rsidRPr="00F87B09" w14:paraId="157BB23E" w14:textId="77777777" w:rsidTr="007431A4">
        <w:trPr>
          <w:trHeight w:val="204"/>
        </w:trPr>
        <w:tc>
          <w:tcPr>
            <w:tcW w:w="2001" w:type="pct"/>
            <w:tcBorders>
              <w:top w:val="nil"/>
              <w:left w:val="nil"/>
              <w:bottom w:val="nil"/>
              <w:right w:val="nil"/>
            </w:tcBorders>
            <w:shd w:val="clear" w:color="auto" w:fill="auto"/>
            <w:noWrap/>
            <w:vAlign w:val="bottom"/>
            <w:hideMark/>
          </w:tcPr>
          <w:p w14:paraId="54A30F2F"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Revenue from Government</w:t>
            </w:r>
          </w:p>
        </w:tc>
        <w:tc>
          <w:tcPr>
            <w:tcW w:w="624" w:type="pct"/>
            <w:tcBorders>
              <w:top w:val="nil"/>
              <w:left w:val="nil"/>
              <w:bottom w:val="nil"/>
              <w:right w:val="nil"/>
            </w:tcBorders>
            <w:shd w:val="clear" w:color="auto" w:fill="auto"/>
            <w:noWrap/>
            <w:vAlign w:val="bottom"/>
            <w:hideMark/>
          </w:tcPr>
          <w:p w14:paraId="0E8A68C7" w14:textId="77777777" w:rsidR="00CB36D7" w:rsidRPr="00B70FB0" w:rsidRDefault="00CB36D7" w:rsidP="00085518">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E6E6E6"/>
            <w:noWrap/>
            <w:vAlign w:val="bottom"/>
            <w:hideMark/>
          </w:tcPr>
          <w:p w14:paraId="6EE24094" w14:textId="77777777" w:rsidR="00CB36D7" w:rsidRPr="00EC7A4B" w:rsidRDefault="00CB36D7" w:rsidP="00085518">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78D466FF" w14:textId="77777777" w:rsidR="00CB36D7" w:rsidRPr="00B70FB0" w:rsidRDefault="00CB36D7" w:rsidP="00085518">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078040F2" w14:textId="77777777" w:rsidR="00CB36D7" w:rsidRPr="002F7F2B" w:rsidRDefault="00CB36D7" w:rsidP="00085518">
            <w:pPr>
              <w:spacing w:after="0" w:line="240" w:lineRule="auto"/>
              <w:jc w:val="right"/>
              <w:rPr>
                <w:rFonts w:ascii="Times New Roman" w:hAnsi="Times New Roman"/>
                <w:sz w:val="16"/>
                <w:szCs w:val="16"/>
              </w:rPr>
            </w:pPr>
          </w:p>
        </w:tc>
        <w:tc>
          <w:tcPr>
            <w:tcW w:w="598" w:type="pct"/>
            <w:tcBorders>
              <w:top w:val="nil"/>
              <w:left w:val="nil"/>
              <w:bottom w:val="nil"/>
              <w:right w:val="nil"/>
            </w:tcBorders>
            <w:shd w:val="clear" w:color="auto" w:fill="auto"/>
            <w:noWrap/>
            <w:vAlign w:val="bottom"/>
            <w:hideMark/>
          </w:tcPr>
          <w:p w14:paraId="5E484493" w14:textId="77777777" w:rsidR="00CB36D7" w:rsidRPr="002F7F2B" w:rsidRDefault="00CB36D7" w:rsidP="00085518">
            <w:pPr>
              <w:spacing w:after="0" w:line="240" w:lineRule="auto"/>
              <w:jc w:val="right"/>
              <w:rPr>
                <w:rFonts w:ascii="Times New Roman" w:hAnsi="Times New Roman"/>
                <w:sz w:val="16"/>
                <w:szCs w:val="16"/>
              </w:rPr>
            </w:pPr>
          </w:p>
        </w:tc>
      </w:tr>
      <w:tr w:rsidR="00CB36D7" w:rsidRPr="00F87B09" w14:paraId="45D6D69A" w14:textId="77777777" w:rsidTr="00410D0D">
        <w:trPr>
          <w:trHeight w:val="204"/>
        </w:trPr>
        <w:tc>
          <w:tcPr>
            <w:tcW w:w="2001" w:type="pct"/>
            <w:tcBorders>
              <w:top w:val="nil"/>
              <w:left w:val="nil"/>
              <w:bottom w:val="nil"/>
              <w:right w:val="nil"/>
            </w:tcBorders>
            <w:shd w:val="clear" w:color="auto" w:fill="auto"/>
            <w:vAlign w:val="bottom"/>
            <w:hideMark/>
          </w:tcPr>
          <w:p w14:paraId="4571AB25"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Ordinary annual services (Appropriation Bill No. 1)</w:t>
            </w:r>
          </w:p>
        </w:tc>
        <w:tc>
          <w:tcPr>
            <w:tcW w:w="624" w:type="pct"/>
            <w:tcBorders>
              <w:top w:val="nil"/>
              <w:left w:val="nil"/>
              <w:bottom w:val="nil"/>
              <w:right w:val="nil"/>
            </w:tcBorders>
            <w:shd w:val="clear" w:color="auto" w:fill="auto"/>
            <w:noWrap/>
            <w:vAlign w:val="bottom"/>
            <w:hideMark/>
          </w:tcPr>
          <w:p w14:paraId="34BF943E"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71,2</w:t>
            </w:r>
            <w:r>
              <w:rPr>
                <w:rFonts w:ascii="Arial" w:hAnsi="Arial" w:cs="Arial"/>
                <w:color w:val="000000"/>
                <w:sz w:val="16"/>
                <w:szCs w:val="16"/>
              </w:rPr>
              <w:t>81</w:t>
            </w:r>
          </w:p>
        </w:tc>
        <w:tc>
          <w:tcPr>
            <w:tcW w:w="592" w:type="pct"/>
            <w:tcBorders>
              <w:top w:val="nil"/>
              <w:left w:val="nil"/>
              <w:bottom w:val="nil"/>
              <w:right w:val="nil"/>
            </w:tcBorders>
            <w:shd w:val="clear" w:color="auto" w:fill="E6E6E6"/>
            <w:noWrap/>
            <w:vAlign w:val="bottom"/>
            <w:hideMark/>
          </w:tcPr>
          <w:p w14:paraId="34A6D448"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74,3</w:t>
            </w:r>
            <w:r>
              <w:rPr>
                <w:rFonts w:ascii="Arial" w:hAnsi="Arial" w:cs="Arial"/>
                <w:sz w:val="16"/>
                <w:szCs w:val="16"/>
              </w:rPr>
              <w:t>26</w:t>
            </w:r>
          </w:p>
        </w:tc>
        <w:tc>
          <w:tcPr>
            <w:tcW w:w="592" w:type="pct"/>
            <w:tcBorders>
              <w:top w:val="nil"/>
              <w:left w:val="nil"/>
              <w:bottom w:val="nil"/>
              <w:right w:val="nil"/>
            </w:tcBorders>
            <w:shd w:val="clear" w:color="auto" w:fill="auto"/>
            <w:noWrap/>
            <w:vAlign w:val="bottom"/>
            <w:hideMark/>
          </w:tcPr>
          <w:p w14:paraId="7F2AAC1D" w14:textId="77777777" w:rsidR="00CB36D7" w:rsidRPr="00B70FB0" w:rsidRDefault="00CB36D7" w:rsidP="00085518">
            <w:pPr>
              <w:spacing w:after="0" w:line="240" w:lineRule="auto"/>
              <w:jc w:val="right"/>
              <w:rPr>
                <w:rFonts w:ascii="Arial" w:hAnsi="Arial" w:cs="Arial"/>
                <w:sz w:val="16"/>
                <w:szCs w:val="16"/>
              </w:rPr>
            </w:pPr>
            <w:r w:rsidRPr="00B70FB0">
              <w:rPr>
                <w:rFonts w:ascii="Arial" w:hAnsi="Arial" w:cs="Arial"/>
                <w:sz w:val="16"/>
                <w:szCs w:val="16"/>
              </w:rPr>
              <w:t>7</w:t>
            </w:r>
            <w:r>
              <w:rPr>
                <w:rFonts w:ascii="Arial" w:hAnsi="Arial" w:cs="Arial"/>
                <w:sz w:val="16"/>
                <w:szCs w:val="16"/>
              </w:rPr>
              <w:t>8,783</w:t>
            </w:r>
          </w:p>
        </w:tc>
        <w:tc>
          <w:tcPr>
            <w:tcW w:w="592" w:type="pct"/>
            <w:tcBorders>
              <w:top w:val="nil"/>
              <w:left w:val="nil"/>
              <w:bottom w:val="nil"/>
              <w:right w:val="nil"/>
            </w:tcBorders>
            <w:shd w:val="clear" w:color="auto" w:fill="auto"/>
            <w:noWrap/>
            <w:vAlign w:val="bottom"/>
            <w:hideMark/>
          </w:tcPr>
          <w:p w14:paraId="2319CC33" w14:textId="77777777" w:rsidR="00CB36D7" w:rsidRPr="00B70FB0" w:rsidRDefault="00CB36D7" w:rsidP="00085518">
            <w:pPr>
              <w:spacing w:after="0" w:line="240" w:lineRule="auto"/>
              <w:jc w:val="right"/>
              <w:rPr>
                <w:rFonts w:ascii="Arial" w:hAnsi="Arial" w:cs="Arial"/>
                <w:sz w:val="16"/>
                <w:szCs w:val="16"/>
              </w:rPr>
            </w:pPr>
            <w:r>
              <w:rPr>
                <w:rFonts w:ascii="Arial" w:hAnsi="Arial" w:cs="Arial"/>
                <w:sz w:val="16"/>
                <w:szCs w:val="16"/>
              </w:rPr>
              <w:t>80,431</w:t>
            </w:r>
          </w:p>
        </w:tc>
        <w:tc>
          <w:tcPr>
            <w:tcW w:w="598" w:type="pct"/>
            <w:tcBorders>
              <w:top w:val="nil"/>
              <w:left w:val="nil"/>
              <w:bottom w:val="nil"/>
              <w:right w:val="nil"/>
            </w:tcBorders>
            <w:shd w:val="clear" w:color="auto" w:fill="auto"/>
            <w:noWrap/>
            <w:vAlign w:val="bottom"/>
            <w:hideMark/>
          </w:tcPr>
          <w:p w14:paraId="2FBB7727" w14:textId="77777777" w:rsidR="00CB36D7" w:rsidRPr="00B70FB0" w:rsidRDefault="00CB36D7" w:rsidP="00085518">
            <w:pPr>
              <w:spacing w:after="0" w:line="240" w:lineRule="auto"/>
              <w:jc w:val="right"/>
              <w:rPr>
                <w:rFonts w:ascii="Arial" w:hAnsi="Arial" w:cs="Arial"/>
                <w:sz w:val="16"/>
                <w:szCs w:val="16"/>
              </w:rPr>
            </w:pPr>
            <w:r>
              <w:rPr>
                <w:rFonts w:ascii="Arial" w:hAnsi="Arial" w:cs="Arial"/>
                <w:sz w:val="16"/>
                <w:szCs w:val="16"/>
              </w:rPr>
              <w:t>81,719</w:t>
            </w:r>
          </w:p>
        </w:tc>
      </w:tr>
      <w:tr w:rsidR="00CB36D7" w:rsidRPr="00F87B09" w14:paraId="12B294C5" w14:textId="77777777" w:rsidTr="007431A4">
        <w:trPr>
          <w:trHeight w:val="204"/>
        </w:trPr>
        <w:tc>
          <w:tcPr>
            <w:tcW w:w="2001" w:type="pct"/>
            <w:tcBorders>
              <w:top w:val="nil"/>
              <w:left w:val="nil"/>
              <w:right w:val="nil"/>
            </w:tcBorders>
            <w:shd w:val="clear" w:color="auto" w:fill="auto"/>
            <w:noWrap/>
            <w:vAlign w:val="bottom"/>
            <w:hideMark/>
          </w:tcPr>
          <w:p w14:paraId="5DF3BE11" w14:textId="77777777" w:rsidR="00CB36D7" w:rsidRPr="00F87B09" w:rsidRDefault="00CB36D7" w:rsidP="00CB36D7">
            <w:pPr>
              <w:spacing w:after="0" w:line="240" w:lineRule="auto"/>
              <w:ind w:left="113"/>
              <w:rPr>
                <w:rFonts w:ascii="Arial" w:hAnsi="Arial" w:cs="Arial"/>
                <w:sz w:val="16"/>
                <w:szCs w:val="16"/>
              </w:rPr>
            </w:pPr>
            <w:r w:rsidRPr="00F87B09">
              <w:rPr>
                <w:rFonts w:ascii="Arial" w:hAnsi="Arial" w:cs="Arial"/>
                <w:sz w:val="16"/>
                <w:szCs w:val="16"/>
              </w:rPr>
              <w:t>Payment from related entities</w:t>
            </w:r>
          </w:p>
        </w:tc>
        <w:tc>
          <w:tcPr>
            <w:tcW w:w="624" w:type="pct"/>
            <w:tcBorders>
              <w:top w:val="nil"/>
              <w:left w:val="nil"/>
              <w:bottom w:val="nil"/>
              <w:right w:val="nil"/>
            </w:tcBorders>
            <w:shd w:val="clear" w:color="auto" w:fill="auto"/>
            <w:noWrap/>
            <w:vAlign w:val="bottom"/>
            <w:hideMark/>
          </w:tcPr>
          <w:p w14:paraId="6ACF7022"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4</w:t>
            </w:r>
            <w:r>
              <w:rPr>
                <w:rFonts w:ascii="Arial" w:hAnsi="Arial" w:cs="Arial"/>
                <w:color w:val="000000"/>
                <w:sz w:val="16"/>
                <w:szCs w:val="16"/>
              </w:rPr>
              <w:t>5</w:t>
            </w:r>
          </w:p>
        </w:tc>
        <w:tc>
          <w:tcPr>
            <w:tcW w:w="592" w:type="pct"/>
            <w:tcBorders>
              <w:top w:val="nil"/>
              <w:left w:val="nil"/>
              <w:bottom w:val="nil"/>
              <w:right w:val="nil"/>
            </w:tcBorders>
            <w:shd w:val="clear" w:color="auto" w:fill="E6E6E6"/>
            <w:noWrap/>
            <w:vAlign w:val="bottom"/>
            <w:hideMark/>
          </w:tcPr>
          <w:p w14:paraId="330DC003" w14:textId="77777777" w:rsidR="00CB36D7" w:rsidRPr="00EC7A4B" w:rsidRDefault="00CB36D7" w:rsidP="00085518">
            <w:pPr>
              <w:spacing w:after="0" w:line="240" w:lineRule="auto"/>
              <w:jc w:val="right"/>
              <w:rPr>
                <w:rFonts w:ascii="Arial" w:hAnsi="Arial" w:cs="Arial"/>
                <w:sz w:val="16"/>
                <w:szCs w:val="16"/>
              </w:rPr>
            </w:pPr>
            <w:r w:rsidRPr="00EC7A4B">
              <w:rPr>
                <w:rFonts w:ascii="Arial" w:hAnsi="Arial" w:cs="Arial"/>
                <w:sz w:val="16"/>
                <w:szCs w:val="16"/>
              </w:rPr>
              <w:t>-</w:t>
            </w:r>
          </w:p>
        </w:tc>
        <w:tc>
          <w:tcPr>
            <w:tcW w:w="592" w:type="pct"/>
            <w:tcBorders>
              <w:top w:val="nil"/>
              <w:left w:val="nil"/>
              <w:bottom w:val="nil"/>
              <w:right w:val="nil"/>
            </w:tcBorders>
            <w:shd w:val="clear" w:color="auto" w:fill="auto"/>
            <w:noWrap/>
            <w:vAlign w:val="bottom"/>
            <w:hideMark/>
          </w:tcPr>
          <w:p w14:paraId="318C1014" w14:textId="77777777" w:rsidR="00CB36D7" w:rsidRPr="00B70FB0" w:rsidRDefault="00CB36D7" w:rsidP="00085518">
            <w:pPr>
              <w:spacing w:after="0" w:line="240" w:lineRule="auto"/>
              <w:jc w:val="right"/>
              <w:rPr>
                <w:rFonts w:ascii="Arial" w:hAnsi="Arial" w:cs="Arial"/>
                <w:sz w:val="16"/>
                <w:szCs w:val="16"/>
              </w:rPr>
            </w:pPr>
            <w:r w:rsidRPr="00B70FB0">
              <w:rPr>
                <w:rFonts w:ascii="Arial" w:hAnsi="Arial" w:cs="Arial"/>
                <w:sz w:val="16"/>
                <w:szCs w:val="16"/>
              </w:rPr>
              <w:t>-</w:t>
            </w:r>
          </w:p>
        </w:tc>
        <w:tc>
          <w:tcPr>
            <w:tcW w:w="592" w:type="pct"/>
            <w:tcBorders>
              <w:top w:val="nil"/>
              <w:left w:val="nil"/>
              <w:bottom w:val="nil"/>
              <w:right w:val="nil"/>
            </w:tcBorders>
            <w:shd w:val="clear" w:color="auto" w:fill="auto"/>
            <w:noWrap/>
            <w:vAlign w:val="bottom"/>
            <w:hideMark/>
          </w:tcPr>
          <w:p w14:paraId="655192B3" w14:textId="77777777" w:rsidR="00CB36D7" w:rsidRPr="00B70FB0" w:rsidRDefault="00CB36D7" w:rsidP="00085518">
            <w:pPr>
              <w:spacing w:after="0" w:line="240" w:lineRule="auto"/>
              <w:jc w:val="right"/>
              <w:rPr>
                <w:rFonts w:ascii="Arial" w:hAnsi="Arial" w:cs="Arial"/>
                <w:sz w:val="16"/>
                <w:szCs w:val="16"/>
              </w:rPr>
            </w:pPr>
            <w:r w:rsidRPr="00B70FB0">
              <w:rPr>
                <w:rFonts w:ascii="Arial" w:hAnsi="Arial" w:cs="Arial"/>
                <w:sz w:val="16"/>
                <w:szCs w:val="16"/>
              </w:rPr>
              <w:t>-</w:t>
            </w:r>
          </w:p>
        </w:tc>
        <w:tc>
          <w:tcPr>
            <w:tcW w:w="598" w:type="pct"/>
            <w:tcBorders>
              <w:top w:val="nil"/>
              <w:left w:val="nil"/>
              <w:bottom w:val="nil"/>
              <w:right w:val="nil"/>
            </w:tcBorders>
            <w:shd w:val="clear" w:color="auto" w:fill="auto"/>
            <w:noWrap/>
            <w:vAlign w:val="bottom"/>
            <w:hideMark/>
          </w:tcPr>
          <w:p w14:paraId="0575C927" w14:textId="77777777" w:rsidR="00CB36D7" w:rsidRPr="00B70FB0" w:rsidRDefault="00CB36D7" w:rsidP="00085518">
            <w:pPr>
              <w:spacing w:after="0" w:line="240" w:lineRule="auto"/>
              <w:jc w:val="right"/>
              <w:rPr>
                <w:rFonts w:ascii="Arial" w:hAnsi="Arial" w:cs="Arial"/>
                <w:sz w:val="16"/>
                <w:szCs w:val="16"/>
              </w:rPr>
            </w:pPr>
            <w:r w:rsidRPr="00B70FB0">
              <w:rPr>
                <w:rFonts w:ascii="Arial" w:hAnsi="Arial" w:cs="Arial"/>
                <w:sz w:val="16"/>
                <w:szCs w:val="16"/>
              </w:rPr>
              <w:t>-</w:t>
            </w:r>
          </w:p>
        </w:tc>
      </w:tr>
      <w:tr w:rsidR="00CB36D7" w:rsidRPr="00F87B09" w14:paraId="5D171CB6" w14:textId="77777777" w:rsidTr="007431A4">
        <w:trPr>
          <w:trHeight w:val="204"/>
        </w:trPr>
        <w:tc>
          <w:tcPr>
            <w:tcW w:w="2001" w:type="pct"/>
            <w:tcBorders>
              <w:top w:val="nil"/>
              <w:left w:val="nil"/>
              <w:bottom w:val="nil"/>
              <w:right w:val="nil"/>
            </w:tcBorders>
            <w:shd w:val="clear" w:color="auto" w:fill="auto"/>
            <w:vAlign w:val="bottom"/>
            <w:hideMark/>
          </w:tcPr>
          <w:p w14:paraId="6801F480" w14:textId="77777777" w:rsidR="00CB36D7" w:rsidRPr="00F87B09" w:rsidRDefault="00CB36D7" w:rsidP="00CB36D7">
            <w:pPr>
              <w:spacing w:after="0" w:line="240" w:lineRule="auto"/>
              <w:rPr>
                <w:rFonts w:ascii="Arial" w:hAnsi="Arial" w:cs="Arial"/>
                <w:sz w:val="16"/>
                <w:szCs w:val="16"/>
              </w:rPr>
            </w:pPr>
            <w:r w:rsidRPr="00F87B09">
              <w:rPr>
                <w:rFonts w:ascii="Arial" w:hAnsi="Arial" w:cs="Arial"/>
                <w:sz w:val="16"/>
                <w:szCs w:val="16"/>
              </w:rPr>
              <w:t xml:space="preserve">Revenues from other independent sources </w:t>
            </w:r>
          </w:p>
        </w:tc>
        <w:tc>
          <w:tcPr>
            <w:tcW w:w="624" w:type="pct"/>
            <w:tcBorders>
              <w:top w:val="nil"/>
              <w:left w:val="nil"/>
              <w:bottom w:val="nil"/>
              <w:right w:val="nil"/>
            </w:tcBorders>
            <w:shd w:val="clear" w:color="auto" w:fill="auto"/>
            <w:noWrap/>
            <w:vAlign w:val="bottom"/>
            <w:hideMark/>
          </w:tcPr>
          <w:p w14:paraId="2E0DAF6A" w14:textId="77777777" w:rsidR="00CB36D7" w:rsidRPr="00B70FB0" w:rsidRDefault="00CB36D7" w:rsidP="00085518">
            <w:pPr>
              <w:spacing w:after="0" w:line="240" w:lineRule="auto"/>
              <w:jc w:val="right"/>
              <w:rPr>
                <w:rFonts w:ascii="Arial" w:hAnsi="Arial" w:cs="Arial"/>
                <w:color w:val="000000"/>
                <w:sz w:val="16"/>
                <w:szCs w:val="16"/>
              </w:rPr>
            </w:pPr>
            <w:r w:rsidRPr="00B70FB0">
              <w:rPr>
                <w:rFonts w:ascii="Arial" w:hAnsi="Arial" w:cs="Arial"/>
                <w:color w:val="000000"/>
                <w:sz w:val="16"/>
                <w:szCs w:val="16"/>
              </w:rPr>
              <w:t>1</w:t>
            </w:r>
            <w:r>
              <w:rPr>
                <w:rFonts w:ascii="Arial" w:hAnsi="Arial" w:cs="Arial"/>
                <w:color w:val="000000"/>
                <w:sz w:val="16"/>
                <w:szCs w:val="16"/>
              </w:rPr>
              <w:t>48</w:t>
            </w:r>
          </w:p>
        </w:tc>
        <w:tc>
          <w:tcPr>
            <w:tcW w:w="592" w:type="pct"/>
            <w:tcBorders>
              <w:top w:val="nil"/>
              <w:left w:val="nil"/>
              <w:bottom w:val="nil"/>
              <w:right w:val="nil"/>
            </w:tcBorders>
            <w:shd w:val="clear" w:color="auto" w:fill="E6E6E6"/>
            <w:noWrap/>
            <w:vAlign w:val="bottom"/>
            <w:hideMark/>
          </w:tcPr>
          <w:p w14:paraId="5E0F31F9" w14:textId="77777777" w:rsidR="00CB36D7" w:rsidRPr="00EC7A4B" w:rsidRDefault="00CB36D7" w:rsidP="00085518">
            <w:pPr>
              <w:spacing w:after="0" w:line="240" w:lineRule="auto"/>
              <w:jc w:val="right"/>
              <w:rPr>
                <w:rFonts w:ascii="Arial" w:hAnsi="Arial" w:cs="Arial"/>
                <w:sz w:val="16"/>
                <w:szCs w:val="16"/>
              </w:rPr>
            </w:pPr>
            <w:r>
              <w:rPr>
                <w:rFonts w:ascii="Arial" w:hAnsi="Arial" w:cs="Arial"/>
                <w:sz w:val="16"/>
                <w:szCs w:val="16"/>
              </w:rPr>
              <w:t>148</w:t>
            </w:r>
          </w:p>
        </w:tc>
        <w:tc>
          <w:tcPr>
            <w:tcW w:w="592" w:type="pct"/>
            <w:tcBorders>
              <w:top w:val="nil"/>
              <w:left w:val="nil"/>
              <w:bottom w:val="nil"/>
              <w:right w:val="nil"/>
            </w:tcBorders>
            <w:shd w:val="clear" w:color="auto" w:fill="auto"/>
            <w:noWrap/>
            <w:vAlign w:val="bottom"/>
            <w:hideMark/>
          </w:tcPr>
          <w:p w14:paraId="07FD0DB4"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color w:val="000000"/>
                <w:sz w:val="16"/>
                <w:szCs w:val="16"/>
              </w:rPr>
              <w:t>255</w:t>
            </w:r>
          </w:p>
        </w:tc>
        <w:tc>
          <w:tcPr>
            <w:tcW w:w="592" w:type="pct"/>
            <w:tcBorders>
              <w:top w:val="nil"/>
              <w:left w:val="nil"/>
              <w:bottom w:val="nil"/>
              <w:right w:val="nil"/>
            </w:tcBorders>
            <w:shd w:val="clear" w:color="auto" w:fill="auto"/>
            <w:noWrap/>
            <w:vAlign w:val="bottom"/>
            <w:hideMark/>
          </w:tcPr>
          <w:p w14:paraId="1203699E"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color w:val="000000"/>
                <w:sz w:val="16"/>
                <w:szCs w:val="16"/>
              </w:rPr>
              <w:t>304</w:t>
            </w:r>
          </w:p>
        </w:tc>
        <w:tc>
          <w:tcPr>
            <w:tcW w:w="598" w:type="pct"/>
            <w:tcBorders>
              <w:top w:val="nil"/>
              <w:left w:val="nil"/>
              <w:bottom w:val="nil"/>
              <w:right w:val="nil"/>
            </w:tcBorders>
            <w:shd w:val="clear" w:color="auto" w:fill="auto"/>
            <w:noWrap/>
            <w:vAlign w:val="bottom"/>
            <w:hideMark/>
          </w:tcPr>
          <w:p w14:paraId="27F780DB" w14:textId="77777777" w:rsidR="00CB36D7" w:rsidRPr="00B70FB0" w:rsidRDefault="00CB36D7" w:rsidP="00085518">
            <w:pPr>
              <w:spacing w:after="0" w:line="240" w:lineRule="auto"/>
              <w:jc w:val="right"/>
              <w:rPr>
                <w:rFonts w:ascii="Arial" w:hAnsi="Arial" w:cs="Arial"/>
                <w:color w:val="000000"/>
                <w:sz w:val="16"/>
                <w:szCs w:val="16"/>
              </w:rPr>
            </w:pPr>
            <w:r>
              <w:rPr>
                <w:rFonts w:ascii="Arial" w:hAnsi="Arial" w:cs="Arial"/>
                <w:color w:val="000000"/>
                <w:sz w:val="16"/>
                <w:szCs w:val="16"/>
              </w:rPr>
              <w:t>391</w:t>
            </w:r>
          </w:p>
        </w:tc>
      </w:tr>
      <w:tr w:rsidR="00CB36D7" w:rsidRPr="00F87B09" w14:paraId="343AD1D9" w14:textId="77777777" w:rsidTr="00410D0D">
        <w:trPr>
          <w:trHeight w:val="204"/>
        </w:trPr>
        <w:tc>
          <w:tcPr>
            <w:tcW w:w="2001" w:type="pct"/>
            <w:tcBorders>
              <w:left w:val="nil"/>
              <w:right w:val="nil"/>
            </w:tcBorders>
            <w:shd w:val="clear" w:color="auto" w:fill="auto"/>
            <w:vAlign w:val="bottom"/>
            <w:hideMark/>
          </w:tcPr>
          <w:p w14:paraId="5AB55313" w14:textId="77777777" w:rsidR="00CB36D7" w:rsidRPr="00F87B09" w:rsidRDefault="00CB36D7" w:rsidP="00CB36D7">
            <w:pPr>
              <w:spacing w:after="0" w:line="240" w:lineRule="auto"/>
              <w:rPr>
                <w:rFonts w:ascii="Arial" w:hAnsi="Arial" w:cs="Arial"/>
                <w:b/>
                <w:bCs/>
                <w:sz w:val="16"/>
                <w:szCs w:val="16"/>
              </w:rPr>
            </w:pPr>
            <w:r w:rsidRPr="00F87B09">
              <w:rPr>
                <w:rFonts w:ascii="Arial" w:hAnsi="Arial" w:cs="Arial"/>
                <w:b/>
                <w:bCs/>
                <w:sz w:val="16"/>
                <w:szCs w:val="16"/>
              </w:rPr>
              <w:t>Total sub-program 1.1.2 expenses</w:t>
            </w:r>
          </w:p>
        </w:tc>
        <w:tc>
          <w:tcPr>
            <w:tcW w:w="624" w:type="pct"/>
            <w:tcBorders>
              <w:top w:val="single" w:sz="4" w:space="0" w:color="auto"/>
              <w:left w:val="nil"/>
              <w:bottom w:val="single" w:sz="4" w:space="0" w:color="auto"/>
              <w:right w:val="nil"/>
            </w:tcBorders>
            <w:shd w:val="clear" w:color="auto" w:fill="auto"/>
            <w:noWrap/>
            <w:vAlign w:val="bottom"/>
            <w:hideMark/>
          </w:tcPr>
          <w:p w14:paraId="7940DB63" w14:textId="77777777" w:rsidR="00CB36D7" w:rsidRPr="00B70FB0" w:rsidRDefault="00CB36D7" w:rsidP="00085518">
            <w:pPr>
              <w:spacing w:after="0" w:line="240" w:lineRule="auto"/>
              <w:jc w:val="right"/>
              <w:rPr>
                <w:rFonts w:ascii="Arial" w:hAnsi="Arial" w:cs="Arial"/>
                <w:b/>
                <w:bCs/>
                <w:color w:val="000000"/>
                <w:sz w:val="16"/>
                <w:szCs w:val="16"/>
              </w:rPr>
            </w:pPr>
            <w:r w:rsidRPr="00B70FB0">
              <w:rPr>
                <w:rFonts w:ascii="Arial" w:hAnsi="Arial" w:cs="Arial"/>
                <w:b/>
                <w:bCs/>
                <w:color w:val="000000"/>
                <w:sz w:val="16"/>
                <w:szCs w:val="16"/>
              </w:rPr>
              <w:t>71,4</w:t>
            </w:r>
            <w:r>
              <w:rPr>
                <w:rFonts w:ascii="Arial" w:hAnsi="Arial" w:cs="Arial"/>
                <w:b/>
                <w:bCs/>
                <w:color w:val="000000"/>
                <w:sz w:val="16"/>
                <w:szCs w:val="16"/>
              </w:rPr>
              <w:t>74</w:t>
            </w:r>
          </w:p>
        </w:tc>
        <w:tc>
          <w:tcPr>
            <w:tcW w:w="592" w:type="pct"/>
            <w:tcBorders>
              <w:top w:val="single" w:sz="4" w:space="0" w:color="auto"/>
              <w:left w:val="nil"/>
              <w:bottom w:val="single" w:sz="4" w:space="0" w:color="auto"/>
              <w:right w:val="nil"/>
            </w:tcBorders>
            <w:shd w:val="clear" w:color="auto" w:fill="E6E6E6"/>
            <w:noWrap/>
            <w:vAlign w:val="bottom"/>
            <w:hideMark/>
          </w:tcPr>
          <w:p w14:paraId="482D5CDA" w14:textId="77777777" w:rsidR="00CB36D7" w:rsidRPr="00B70FB0" w:rsidRDefault="00CB36D7" w:rsidP="00085518">
            <w:pPr>
              <w:spacing w:after="0" w:line="240" w:lineRule="auto"/>
              <w:jc w:val="right"/>
              <w:rPr>
                <w:rFonts w:ascii="Arial" w:hAnsi="Arial" w:cs="Arial"/>
                <w:b/>
                <w:bCs/>
                <w:color w:val="000000"/>
                <w:sz w:val="16"/>
                <w:szCs w:val="16"/>
              </w:rPr>
            </w:pPr>
            <w:r w:rsidRPr="00EC7A4B">
              <w:rPr>
                <w:rFonts w:ascii="Arial" w:hAnsi="Arial" w:cs="Arial"/>
                <w:b/>
                <w:bCs/>
                <w:color w:val="000000"/>
                <w:sz w:val="16"/>
                <w:szCs w:val="16"/>
              </w:rPr>
              <w:t>74,</w:t>
            </w:r>
            <w:r w:rsidRPr="00B70FB0">
              <w:rPr>
                <w:rFonts w:ascii="Arial" w:hAnsi="Arial" w:cs="Arial"/>
                <w:b/>
                <w:bCs/>
                <w:color w:val="000000"/>
                <w:sz w:val="16"/>
                <w:szCs w:val="16"/>
              </w:rPr>
              <w:t>47</w:t>
            </w:r>
            <w:r>
              <w:rPr>
                <w:rFonts w:ascii="Arial" w:hAnsi="Arial" w:cs="Arial"/>
                <w:b/>
                <w:bCs/>
                <w:color w:val="000000"/>
                <w:sz w:val="16"/>
                <w:szCs w:val="16"/>
              </w:rPr>
              <w:t>4</w:t>
            </w:r>
          </w:p>
        </w:tc>
        <w:tc>
          <w:tcPr>
            <w:tcW w:w="592" w:type="pct"/>
            <w:tcBorders>
              <w:top w:val="single" w:sz="4" w:space="0" w:color="auto"/>
              <w:left w:val="nil"/>
              <w:bottom w:val="single" w:sz="4" w:space="0" w:color="auto"/>
              <w:right w:val="nil"/>
            </w:tcBorders>
            <w:shd w:val="clear" w:color="auto" w:fill="auto"/>
            <w:noWrap/>
            <w:vAlign w:val="bottom"/>
            <w:hideMark/>
          </w:tcPr>
          <w:p w14:paraId="0F4FE2A7" w14:textId="77777777" w:rsidR="00CB36D7" w:rsidRPr="00B70FB0" w:rsidRDefault="00CB36D7" w:rsidP="00085518">
            <w:pPr>
              <w:spacing w:after="0" w:line="240" w:lineRule="auto"/>
              <w:jc w:val="right"/>
              <w:rPr>
                <w:rFonts w:ascii="Arial" w:hAnsi="Arial" w:cs="Arial"/>
                <w:b/>
                <w:bCs/>
                <w:sz w:val="16"/>
                <w:szCs w:val="16"/>
              </w:rPr>
            </w:pPr>
            <w:r>
              <w:rPr>
                <w:rFonts w:ascii="Arial" w:hAnsi="Arial" w:cs="Arial"/>
                <w:b/>
                <w:bCs/>
                <w:sz w:val="16"/>
                <w:szCs w:val="16"/>
              </w:rPr>
              <w:t>79,038</w:t>
            </w:r>
          </w:p>
        </w:tc>
        <w:tc>
          <w:tcPr>
            <w:tcW w:w="592" w:type="pct"/>
            <w:tcBorders>
              <w:top w:val="single" w:sz="4" w:space="0" w:color="auto"/>
              <w:left w:val="nil"/>
              <w:bottom w:val="single" w:sz="4" w:space="0" w:color="auto"/>
              <w:right w:val="nil"/>
            </w:tcBorders>
            <w:shd w:val="clear" w:color="auto" w:fill="auto"/>
            <w:noWrap/>
            <w:vAlign w:val="bottom"/>
            <w:hideMark/>
          </w:tcPr>
          <w:p w14:paraId="06B6D0C7" w14:textId="77777777" w:rsidR="00CB36D7" w:rsidRPr="00EC7A4B" w:rsidRDefault="00CB36D7" w:rsidP="00085518">
            <w:pPr>
              <w:spacing w:after="0" w:line="240" w:lineRule="auto"/>
              <w:jc w:val="right"/>
              <w:rPr>
                <w:rFonts w:ascii="Arial" w:hAnsi="Arial" w:cs="Arial"/>
                <w:b/>
                <w:bCs/>
                <w:sz w:val="16"/>
                <w:szCs w:val="16"/>
              </w:rPr>
            </w:pPr>
            <w:r>
              <w:rPr>
                <w:rFonts w:ascii="Arial" w:hAnsi="Arial" w:cs="Arial"/>
                <w:b/>
                <w:bCs/>
                <w:sz w:val="16"/>
                <w:szCs w:val="16"/>
              </w:rPr>
              <w:t>80,735</w:t>
            </w:r>
          </w:p>
        </w:tc>
        <w:tc>
          <w:tcPr>
            <w:tcW w:w="598" w:type="pct"/>
            <w:tcBorders>
              <w:top w:val="single" w:sz="4" w:space="0" w:color="auto"/>
              <w:left w:val="nil"/>
              <w:bottom w:val="single" w:sz="4" w:space="0" w:color="auto"/>
              <w:right w:val="nil"/>
            </w:tcBorders>
            <w:shd w:val="clear" w:color="auto" w:fill="auto"/>
            <w:noWrap/>
            <w:vAlign w:val="bottom"/>
            <w:hideMark/>
          </w:tcPr>
          <w:p w14:paraId="2E7406EF" w14:textId="77777777" w:rsidR="00CB36D7" w:rsidRPr="00B70FB0" w:rsidRDefault="00CB36D7" w:rsidP="00085518">
            <w:pPr>
              <w:spacing w:after="0" w:line="240" w:lineRule="auto"/>
              <w:jc w:val="right"/>
              <w:rPr>
                <w:rFonts w:ascii="Arial" w:hAnsi="Arial" w:cs="Arial"/>
                <w:b/>
                <w:bCs/>
                <w:sz w:val="16"/>
                <w:szCs w:val="16"/>
              </w:rPr>
            </w:pPr>
            <w:r>
              <w:rPr>
                <w:rFonts w:ascii="Arial" w:hAnsi="Arial" w:cs="Arial"/>
                <w:b/>
                <w:bCs/>
                <w:sz w:val="16"/>
                <w:szCs w:val="16"/>
              </w:rPr>
              <w:t>82,110</w:t>
            </w:r>
          </w:p>
        </w:tc>
      </w:tr>
      <w:tr w:rsidR="00CB36D7" w:rsidRPr="00F87B09" w14:paraId="2C10D139" w14:textId="77777777" w:rsidTr="00410D0D">
        <w:trPr>
          <w:trHeight w:val="204"/>
        </w:trPr>
        <w:tc>
          <w:tcPr>
            <w:tcW w:w="2001" w:type="pct"/>
            <w:tcBorders>
              <w:left w:val="nil"/>
              <w:bottom w:val="single" w:sz="4" w:space="0" w:color="auto"/>
              <w:right w:val="nil"/>
            </w:tcBorders>
            <w:shd w:val="clear" w:color="auto" w:fill="auto"/>
            <w:noWrap/>
            <w:vAlign w:val="bottom"/>
            <w:hideMark/>
          </w:tcPr>
          <w:p w14:paraId="4F912F33" w14:textId="77777777" w:rsidR="00CB36D7" w:rsidRPr="00F87B09" w:rsidRDefault="00CB36D7" w:rsidP="00CB36D7">
            <w:pPr>
              <w:spacing w:after="0" w:line="240" w:lineRule="auto"/>
              <w:rPr>
                <w:rFonts w:ascii="Arial" w:hAnsi="Arial" w:cs="Arial"/>
                <w:b/>
                <w:bCs/>
                <w:color w:val="000000"/>
                <w:sz w:val="16"/>
                <w:szCs w:val="16"/>
              </w:rPr>
            </w:pPr>
            <w:r w:rsidRPr="00F87B09">
              <w:rPr>
                <w:rFonts w:ascii="Arial" w:hAnsi="Arial" w:cs="Arial"/>
                <w:b/>
                <w:bCs/>
                <w:color w:val="000000"/>
                <w:sz w:val="16"/>
                <w:szCs w:val="16"/>
              </w:rPr>
              <w:t>Total program expenses</w:t>
            </w:r>
          </w:p>
        </w:tc>
        <w:tc>
          <w:tcPr>
            <w:tcW w:w="624" w:type="pct"/>
            <w:tcBorders>
              <w:top w:val="single" w:sz="4" w:space="0" w:color="auto"/>
              <w:left w:val="nil"/>
              <w:bottom w:val="single" w:sz="4" w:space="0" w:color="auto"/>
              <w:right w:val="nil"/>
            </w:tcBorders>
            <w:shd w:val="clear" w:color="auto" w:fill="auto"/>
            <w:noWrap/>
            <w:vAlign w:val="bottom"/>
            <w:hideMark/>
          </w:tcPr>
          <w:p w14:paraId="0FCC884E" w14:textId="77777777" w:rsidR="00CB36D7" w:rsidRPr="00B70FB0" w:rsidRDefault="00CB36D7" w:rsidP="00085518">
            <w:pPr>
              <w:spacing w:after="0" w:line="240" w:lineRule="auto"/>
              <w:jc w:val="right"/>
              <w:rPr>
                <w:rFonts w:ascii="Arial" w:hAnsi="Arial" w:cs="Arial"/>
                <w:b/>
                <w:bCs/>
                <w:color w:val="000000"/>
                <w:sz w:val="16"/>
                <w:szCs w:val="16"/>
              </w:rPr>
            </w:pPr>
            <w:r>
              <w:rPr>
                <w:rFonts w:ascii="Arial" w:hAnsi="Arial" w:cs="Arial"/>
                <w:b/>
                <w:bCs/>
                <w:color w:val="000000"/>
                <w:sz w:val="16"/>
                <w:szCs w:val="16"/>
              </w:rPr>
              <w:t>232,029</w:t>
            </w:r>
          </w:p>
        </w:tc>
        <w:tc>
          <w:tcPr>
            <w:tcW w:w="592" w:type="pct"/>
            <w:tcBorders>
              <w:top w:val="single" w:sz="4" w:space="0" w:color="auto"/>
              <w:left w:val="nil"/>
              <w:bottom w:val="single" w:sz="4" w:space="0" w:color="auto"/>
              <w:right w:val="nil"/>
            </w:tcBorders>
            <w:shd w:val="clear" w:color="auto" w:fill="E6E6E6"/>
            <w:noWrap/>
            <w:vAlign w:val="bottom"/>
            <w:hideMark/>
          </w:tcPr>
          <w:p w14:paraId="3495C478" w14:textId="77777777" w:rsidR="00CB36D7" w:rsidRPr="00EC7A4B" w:rsidRDefault="00CB36D7" w:rsidP="00085518">
            <w:pPr>
              <w:spacing w:after="0" w:line="240" w:lineRule="auto"/>
              <w:jc w:val="right"/>
              <w:rPr>
                <w:rFonts w:ascii="Arial" w:hAnsi="Arial" w:cs="Arial"/>
                <w:b/>
                <w:bCs/>
                <w:color w:val="000000"/>
                <w:sz w:val="16"/>
                <w:szCs w:val="16"/>
              </w:rPr>
            </w:pPr>
            <w:r>
              <w:rPr>
                <w:rFonts w:ascii="Arial" w:hAnsi="Arial" w:cs="Arial"/>
                <w:b/>
                <w:bCs/>
                <w:color w:val="000000"/>
                <w:sz w:val="16"/>
                <w:szCs w:val="16"/>
              </w:rPr>
              <w:t>241,826</w:t>
            </w:r>
          </w:p>
        </w:tc>
        <w:tc>
          <w:tcPr>
            <w:tcW w:w="592" w:type="pct"/>
            <w:tcBorders>
              <w:top w:val="single" w:sz="4" w:space="0" w:color="auto"/>
              <w:left w:val="nil"/>
              <w:bottom w:val="single" w:sz="4" w:space="0" w:color="auto"/>
              <w:right w:val="nil"/>
            </w:tcBorders>
            <w:shd w:val="clear" w:color="auto" w:fill="auto"/>
            <w:noWrap/>
            <w:vAlign w:val="bottom"/>
            <w:hideMark/>
          </w:tcPr>
          <w:p w14:paraId="709F08E8" w14:textId="77777777" w:rsidR="00CB36D7" w:rsidRPr="00B70FB0" w:rsidRDefault="00CB36D7" w:rsidP="00085518">
            <w:pPr>
              <w:spacing w:after="0" w:line="240" w:lineRule="auto"/>
              <w:jc w:val="right"/>
              <w:rPr>
                <w:rFonts w:ascii="Arial" w:hAnsi="Arial" w:cs="Arial"/>
                <w:b/>
                <w:bCs/>
                <w:sz w:val="16"/>
                <w:szCs w:val="16"/>
              </w:rPr>
            </w:pPr>
            <w:r>
              <w:rPr>
                <w:rFonts w:ascii="Arial" w:hAnsi="Arial" w:cs="Arial"/>
                <w:b/>
                <w:bCs/>
                <w:sz w:val="16"/>
                <w:szCs w:val="16"/>
              </w:rPr>
              <w:t>250,035</w:t>
            </w:r>
          </w:p>
        </w:tc>
        <w:tc>
          <w:tcPr>
            <w:tcW w:w="592" w:type="pct"/>
            <w:tcBorders>
              <w:top w:val="single" w:sz="4" w:space="0" w:color="auto"/>
              <w:left w:val="nil"/>
              <w:bottom w:val="single" w:sz="4" w:space="0" w:color="auto"/>
              <w:right w:val="nil"/>
            </w:tcBorders>
            <w:shd w:val="clear" w:color="auto" w:fill="auto"/>
            <w:noWrap/>
            <w:vAlign w:val="bottom"/>
            <w:hideMark/>
          </w:tcPr>
          <w:p w14:paraId="202599E7" w14:textId="77777777" w:rsidR="00CB36D7" w:rsidRPr="00B70FB0" w:rsidRDefault="00CB36D7" w:rsidP="00085518">
            <w:pPr>
              <w:spacing w:after="0" w:line="240" w:lineRule="auto"/>
              <w:jc w:val="right"/>
              <w:rPr>
                <w:rFonts w:ascii="Arial" w:hAnsi="Arial" w:cs="Arial"/>
                <w:b/>
                <w:bCs/>
                <w:sz w:val="16"/>
                <w:szCs w:val="16"/>
              </w:rPr>
            </w:pPr>
            <w:r>
              <w:rPr>
                <w:rFonts w:ascii="Arial" w:hAnsi="Arial" w:cs="Arial"/>
                <w:b/>
                <w:bCs/>
                <w:sz w:val="16"/>
                <w:szCs w:val="16"/>
              </w:rPr>
              <w:t>254,223</w:t>
            </w:r>
          </w:p>
        </w:tc>
        <w:tc>
          <w:tcPr>
            <w:tcW w:w="598" w:type="pct"/>
            <w:tcBorders>
              <w:top w:val="single" w:sz="4" w:space="0" w:color="auto"/>
              <w:left w:val="nil"/>
              <w:bottom w:val="single" w:sz="4" w:space="0" w:color="auto"/>
              <w:right w:val="nil"/>
            </w:tcBorders>
            <w:shd w:val="clear" w:color="auto" w:fill="auto"/>
            <w:noWrap/>
            <w:vAlign w:val="bottom"/>
            <w:hideMark/>
          </w:tcPr>
          <w:p w14:paraId="5D8E02DD" w14:textId="77777777" w:rsidR="00CB36D7" w:rsidRPr="00B70FB0" w:rsidRDefault="00CB36D7" w:rsidP="00085518">
            <w:pPr>
              <w:spacing w:after="0" w:line="240" w:lineRule="auto"/>
              <w:jc w:val="right"/>
              <w:rPr>
                <w:rFonts w:ascii="Arial" w:hAnsi="Arial" w:cs="Arial"/>
                <w:b/>
                <w:bCs/>
                <w:sz w:val="16"/>
                <w:szCs w:val="16"/>
              </w:rPr>
            </w:pPr>
            <w:r>
              <w:rPr>
                <w:rFonts w:ascii="Arial" w:hAnsi="Arial" w:cs="Arial"/>
                <w:b/>
                <w:bCs/>
                <w:sz w:val="16"/>
                <w:szCs w:val="16"/>
              </w:rPr>
              <w:t>252,784</w:t>
            </w:r>
          </w:p>
        </w:tc>
      </w:tr>
    </w:tbl>
    <w:p w14:paraId="1C3731A1" w14:textId="7777777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0C77B0A1" w14:textId="77777777" w:rsidR="00CB36D7" w:rsidRDefault="00CB36D7" w:rsidP="008D0F63">
      <w:pPr>
        <w:pStyle w:val="ChartandTableFootnoteAlpha"/>
        <w:numPr>
          <w:ilvl w:val="0"/>
          <w:numId w:val="154"/>
        </w:numPr>
        <w:spacing w:before="60"/>
        <w:contextualSpacing/>
        <w:jc w:val="left"/>
      </w:pPr>
      <w:r w:rsidRPr="00770B53">
        <w:t>Expenses not requiring appropriation in the Budget year are made up of the operating result.</w:t>
      </w:r>
    </w:p>
    <w:p w14:paraId="66BFBA5F" w14:textId="4DF63DAB" w:rsidR="00CB36D7" w:rsidRPr="00615D1A" w:rsidRDefault="00CB36D7" w:rsidP="00CB36D7">
      <w:pPr>
        <w:pStyle w:val="ChartandTableFootnoteAlpha"/>
        <w:numPr>
          <w:ilvl w:val="0"/>
          <w:numId w:val="0"/>
        </w:numPr>
        <w:spacing w:before="60" w:after="120"/>
        <w:jc w:val="left"/>
      </w:pPr>
      <w:r w:rsidRPr="00615D1A">
        <w:t xml:space="preserve">Note: </w:t>
      </w:r>
      <w:r>
        <w:t>Department</w:t>
      </w:r>
      <w:r w:rsidRPr="00615D1A">
        <w:t xml:space="preserve">al appropriation splits and totals are indicative estimates and may change in the course of the </w:t>
      </w:r>
      <w:r w:rsidR="00927ADA">
        <w:t>Budget year</w:t>
      </w:r>
      <w:r w:rsidRPr="00615D1A">
        <w:t xml:space="preserve"> as government priorities change.</w:t>
      </w:r>
    </w:p>
    <w:p w14:paraId="7B26D2CD" w14:textId="77777777" w:rsidR="00CB36D7" w:rsidRPr="00985AC8" w:rsidRDefault="00CB36D7" w:rsidP="00CB36D7">
      <w:pPr>
        <w:pStyle w:val="TableHeading"/>
        <w:spacing w:after="120"/>
        <w:rPr>
          <w:lang w:val="en-AU"/>
        </w:rPr>
      </w:pPr>
      <w:r>
        <w:rPr>
          <w:highlight w:val="yellow"/>
          <w:lang w:val="en-US"/>
        </w:rPr>
        <w:br w:type="page"/>
      </w:r>
      <w:r w:rsidRPr="00F71634">
        <w:lastRenderedPageBreak/>
        <w:t>Table 2.</w:t>
      </w:r>
      <w:r>
        <w:rPr>
          <w:lang w:val="en-AU"/>
        </w:rPr>
        <w:t>1</w:t>
      </w:r>
      <w:r w:rsidRPr="00F71634">
        <w:t xml:space="preserve">.3: Performance </w:t>
      </w:r>
      <w:r>
        <w:rPr>
          <w:lang w:val="en-AU"/>
        </w:rPr>
        <w:t>measures</w:t>
      </w:r>
      <w:r w:rsidRPr="00F71634">
        <w:t xml:space="preserve"> for Outcome </w:t>
      </w:r>
      <w:r>
        <w:rPr>
          <w:lang w:val="en-AU"/>
        </w:rPr>
        <w:t>1</w:t>
      </w:r>
    </w:p>
    <w:p w14:paraId="1B71ED79" w14:textId="77777777" w:rsidR="00CB36D7" w:rsidRDefault="00CB36D7" w:rsidP="00BA273A">
      <w:pPr>
        <w:spacing w:before="120"/>
      </w:pPr>
      <w:r w:rsidRPr="00484BC6">
        <w:t xml:space="preserve">Table 2.1.3 details the performance measures for each program and sub-program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w:t>
      </w:r>
      <w:r>
        <w:t>B</w:t>
      </w:r>
      <w:r w:rsidRPr="00484BC6">
        <w:t>udget measures that have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B36D7" w:rsidRPr="001B2F81" w14:paraId="068E50A7" w14:textId="77777777" w:rsidTr="007431A4">
        <w:trPr>
          <w:trHeight w:val="569"/>
        </w:trPr>
        <w:tc>
          <w:tcPr>
            <w:tcW w:w="5000" w:type="pct"/>
            <w:gridSpan w:val="3"/>
            <w:shd w:val="clear" w:color="auto" w:fill="E6E6E6"/>
          </w:tcPr>
          <w:p w14:paraId="7CAFFD1E" w14:textId="77777777" w:rsidR="00CB36D7" w:rsidRPr="00C41058" w:rsidRDefault="00CB36D7" w:rsidP="00BA273A">
            <w:pPr>
              <w:pStyle w:val="TableColumnHeadingLeft"/>
            </w:pPr>
            <w:r w:rsidRPr="005B0569">
              <w:rPr>
                <w:rStyle w:val="TableHeadingChar"/>
                <w:b/>
              </w:rPr>
              <w:t>Outcome 1</w:t>
            </w:r>
            <w:r w:rsidRPr="00D6189F">
              <w:rPr>
                <w:rStyle w:val="TableHeadingChar"/>
                <w:bCs/>
              </w:rPr>
              <w:t xml:space="preserve"> – </w:t>
            </w:r>
            <w:r w:rsidRPr="00C92016">
              <w:rPr>
                <w:rStyle w:val="TableHeadingChar"/>
                <w:bCs/>
              </w:rPr>
              <w:t>Minimise the risk of shipping incidents and pollution in Australian waters through ship safety and environment protection regulation and services and maximise people saved from maritime and aviation incidents through search and rescue coordination</w:t>
            </w:r>
          </w:p>
        </w:tc>
      </w:tr>
      <w:tr w:rsidR="00CB36D7" w:rsidRPr="001B2F81" w14:paraId="400A211F" w14:textId="77777777" w:rsidTr="007431A4">
        <w:trPr>
          <w:trHeight w:val="522"/>
        </w:trPr>
        <w:tc>
          <w:tcPr>
            <w:tcW w:w="5000" w:type="pct"/>
            <w:gridSpan w:val="3"/>
            <w:shd w:val="clear" w:color="auto" w:fill="E6E6E6"/>
          </w:tcPr>
          <w:p w14:paraId="1CB8C7C0" w14:textId="77777777" w:rsidR="00CB36D7" w:rsidRPr="00934BFE" w:rsidRDefault="00CB36D7" w:rsidP="00BA273A">
            <w:pPr>
              <w:pStyle w:val="TableTextLeft"/>
              <w:rPr>
                <w:b/>
              </w:rPr>
            </w:pPr>
            <w:r w:rsidRPr="00934BFE">
              <w:rPr>
                <w:b/>
              </w:rPr>
              <w:t>Program 1.1</w:t>
            </w:r>
            <w:r>
              <w:rPr>
                <w:b/>
              </w:rPr>
              <w:t xml:space="preserve"> – </w:t>
            </w:r>
            <w:r w:rsidRPr="00934BFE">
              <w:rPr>
                <w:b/>
              </w:rPr>
              <w:t>Seafarer and ship safety, environment protection and search and rescue.</w:t>
            </w:r>
          </w:p>
          <w:p w14:paraId="77D3C340" w14:textId="77777777" w:rsidR="00CB36D7" w:rsidRPr="00255C3D" w:rsidRDefault="00CB36D7" w:rsidP="00BA273A">
            <w:pPr>
              <w:pStyle w:val="TableTextLeft"/>
              <w:rPr>
                <w:bCs/>
              </w:rPr>
            </w:pPr>
            <w:r w:rsidRPr="00255C3D">
              <w:rPr>
                <w:bCs/>
              </w:rPr>
              <w:t>Sub-program 1.1.1 – Seafarer and ship safety and environment protection aims to minimise the risk of shipping incidents and pollution in Australian waters through ship safety and environment protection regulation and services.</w:t>
            </w:r>
          </w:p>
          <w:p w14:paraId="11F6586D" w14:textId="77777777" w:rsidR="00CB36D7" w:rsidRPr="00255C3D" w:rsidRDefault="00CB36D7" w:rsidP="00BA273A">
            <w:pPr>
              <w:pStyle w:val="TableTextLeft"/>
              <w:rPr>
                <w:bCs/>
              </w:rPr>
            </w:pPr>
            <w:r w:rsidRPr="00255C3D">
              <w:rPr>
                <w:bCs/>
              </w:rPr>
              <w:t>Sub-program 1.1.2 – Search and rescue aims to maximise the number of people saved from maritime and aviation incidents through coordinating search and rescue.</w:t>
            </w:r>
          </w:p>
          <w:p w14:paraId="32AB0FE9" w14:textId="77777777" w:rsidR="00CB36D7" w:rsidRPr="00255C3D" w:rsidRDefault="00CB36D7" w:rsidP="00BA273A">
            <w:pPr>
              <w:pStyle w:val="TableTextLeft"/>
              <w:rPr>
                <w:bCs/>
              </w:rPr>
            </w:pPr>
            <w:r w:rsidRPr="00255C3D">
              <w:rPr>
                <w:bCs/>
              </w:rPr>
              <w:t>As Australia’s national maritime regulatory body, AMSA promotes the safety and protection of our marine environment and combats ship-sourced pollution. AMSA provides the infrastructure for safety of navigation in Australian waters and maintains a national search and rescue service for the maritime and aviation sectors.</w:t>
            </w:r>
          </w:p>
          <w:p w14:paraId="678E2DF7" w14:textId="77777777" w:rsidR="00CB36D7" w:rsidRPr="00255C3D" w:rsidRDefault="00CB36D7" w:rsidP="00BA273A">
            <w:pPr>
              <w:pStyle w:val="TableTextLeft"/>
              <w:rPr>
                <w:bCs/>
              </w:rPr>
            </w:pPr>
            <w:r w:rsidRPr="00255C3D">
              <w:rPr>
                <w:bCs/>
              </w:rPr>
              <w:t>Vision: Safe and clean seas, saving lives.</w:t>
            </w:r>
          </w:p>
          <w:p w14:paraId="54865224" w14:textId="77777777" w:rsidR="00CB36D7" w:rsidRPr="001B2F81" w:rsidRDefault="00CB36D7" w:rsidP="00BA273A">
            <w:pPr>
              <w:pStyle w:val="TableTextLeft"/>
            </w:pPr>
            <w:r w:rsidRPr="00255C3D">
              <w:rPr>
                <w:bCs/>
              </w:rPr>
              <w:t>Mission: Ensuring safe vessel operations, combatting marine pollution, and rescuing people in distress.</w:t>
            </w:r>
          </w:p>
        </w:tc>
      </w:tr>
      <w:tr w:rsidR="00CB36D7" w:rsidRPr="001B2F81" w14:paraId="18F3357F" w14:textId="77777777" w:rsidTr="00C753A4">
        <w:trPr>
          <w:trHeight w:val="694"/>
        </w:trPr>
        <w:tc>
          <w:tcPr>
            <w:tcW w:w="1001" w:type="pct"/>
            <w:tcBorders>
              <w:bottom w:val="double" w:sz="4" w:space="0" w:color="auto"/>
            </w:tcBorders>
          </w:tcPr>
          <w:p w14:paraId="5FA56745" w14:textId="6D32FBF7" w:rsidR="00CB36D7" w:rsidRPr="00160C23" w:rsidRDefault="00CB36D7" w:rsidP="00BA273A">
            <w:pPr>
              <w:tabs>
                <w:tab w:val="left" w:pos="709"/>
              </w:tabs>
              <w:spacing w:before="60"/>
              <w:rPr>
                <w:rFonts w:ascii="Arial" w:hAnsi="Arial" w:cs="Arial"/>
                <w:b/>
                <w:sz w:val="16"/>
                <w:szCs w:val="16"/>
              </w:rPr>
            </w:pPr>
            <w:r w:rsidRPr="00160C23">
              <w:rPr>
                <w:rFonts w:ascii="Arial" w:hAnsi="Arial" w:cs="Arial"/>
                <w:b/>
                <w:sz w:val="16"/>
                <w:szCs w:val="16"/>
              </w:rPr>
              <w:t>Key Activities</w:t>
            </w:r>
            <w:r>
              <w:rPr>
                <w:rFonts w:ascii="Arial" w:hAnsi="Arial" w:cs="Arial"/>
                <w:b/>
                <w:sz w:val="16"/>
                <w:szCs w:val="16"/>
              </w:rPr>
              <w:t xml:space="preserve"> </w:t>
            </w:r>
            <w:r w:rsidRPr="00FC35F1">
              <w:rPr>
                <w:rFonts w:ascii="Arial" w:hAnsi="Arial" w:cs="Arial"/>
                <w:bCs/>
                <w:sz w:val="16"/>
                <w:szCs w:val="16"/>
                <w:vertAlign w:val="superscript"/>
              </w:rPr>
              <w:t>(a</w:t>
            </w:r>
            <w:r>
              <w:rPr>
                <w:rFonts w:ascii="Arial" w:hAnsi="Arial" w:cs="Arial"/>
                <w:bCs/>
                <w:sz w:val="16"/>
                <w:szCs w:val="16"/>
                <w:vertAlign w:val="superscript"/>
              </w:rPr>
              <w:t>)(b)(c)(d)</w:t>
            </w:r>
          </w:p>
        </w:tc>
        <w:tc>
          <w:tcPr>
            <w:tcW w:w="3999" w:type="pct"/>
            <w:gridSpan w:val="2"/>
            <w:tcBorders>
              <w:bottom w:val="double" w:sz="4" w:space="0" w:color="auto"/>
            </w:tcBorders>
          </w:tcPr>
          <w:p w14:paraId="6777A711" w14:textId="77777777" w:rsidR="00CB36D7" w:rsidRPr="005B0569" w:rsidRDefault="00CB36D7" w:rsidP="00BA273A">
            <w:pPr>
              <w:numPr>
                <w:ilvl w:val="0"/>
                <w:numId w:val="13"/>
              </w:numPr>
              <w:spacing w:before="60" w:after="60" w:line="240" w:lineRule="auto"/>
              <w:ind w:left="227" w:hanging="227"/>
              <w:rPr>
                <w:rFonts w:ascii="Arial" w:hAnsi="Arial" w:cs="Arial"/>
                <w:iCs/>
                <w:sz w:val="16"/>
                <w:szCs w:val="16"/>
              </w:rPr>
            </w:pPr>
            <w:r w:rsidRPr="005B0569">
              <w:rPr>
                <w:rFonts w:ascii="Arial" w:eastAsia="Calibri" w:hAnsi="Arial" w:cs="Arial"/>
                <w:sz w:val="16"/>
                <w:szCs w:val="16"/>
                <w:lang w:eastAsia="en-US"/>
              </w:rPr>
              <w:t>Promote</w:t>
            </w:r>
            <w:r w:rsidRPr="005B0569">
              <w:rPr>
                <w:rFonts w:ascii="Arial" w:hAnsi="Arial" w:cs="Arial"/>
                <w:iCs/>
                <w:sz w:val="16"/>
                <w:szCs w:val="16"/>
              </w:rPr>
              <w:t xml:space="preserve"> maritime safety</w:t>
            </w:r>
          </w:p>
          <w:p w14:paraId="745131AE" w14:textId="77777777" w:rsidR="00CB36D7" w:rsidRDefault="00CB36D7" w:rsidP="00BA273A">
            <w:pPr>
              <w:numPr>
                <w:ilvl w:val="0"/>
                <w:numId w:val="13"/>
              </w:numPr>
              <w:spacing w:before="60" w:after="60" w:line="240" w:lineRule="auto"/>
              <w:ind w:left="227" w:hanging="227"/>
              <w:rPr>
                <w:rFonts w:ascii="Arial" w:hAnsi="Arial" w:cs="Arial"/>
                <w:iCs/>
                <w:sz w:val="16"/>
                <w:szCs w:val="16"/>
              </w:rPr>
            </w:pPr>
            <w:r>
              <w:rPr>
                <w:rFonts w:ascii="Arial" w:hAnsi="Arial" w:cs="Arial"/>
                <w:iCs/>
                <w:sz w:val="16"/>
                <w:szCs w:val="16"/>
              </w:rPr>
              <w:t xml:space="preserve">Protect </w:t>
            </w:r>
            <w:r w:rsidRPr="005B0569">
              <w:rPr>
                <w:rFonts w:ascii="Arial" w:eastAsia="Calibri" w:hAnsi="Arial" w:cs="Arial"/>
                <w:sz w:val="16"/>
                <w:szCs w:val="16"/>
                <w:lang w:eastAsia="en-US"/>
              </w:rPr>
              <w:t>the</w:t>
            </w:r>
            <w:r>
              <w:rPr>
                <w:rFonts w:ascii="Arial" w:hAnsi="Arial" w:cs="Arial"/>
                <w:iCs/>
                <w:sz w:val="16"/>
                <w:szCs w:val="16"/>
              </w:rPr>
              <w:t xml:space="preserve"> </w:t>
            </w:r>
            <w:r w:rsidRPr="006714EF">
              <w:rPr>
                <w:rFonts w:ascii="Arial" w:hAnsi="Arial" w:cs="Arial"/>
                <w:iCs/>
                <w:sz w:val="16"/>
                <w:szCs w:val="16"/>
              </w:rPr>
              <w:t>marine environment from pollution from ships; and other environmental damage caused by shipping</w:t>
            </w:r>
          </w:p>
          <w:p w14:paraId="69EBDFBD" w14:textId="77777777" w:rsidR="00CB36D7" w:rsidRPr="00E71531" w:rsidRDefault="00CB36D7" w:rsidP="00BA273A">
            <w:pPr>
              <w:numPr>
                <w:ilvl w:val="0"/>
                <w:numId w:val="13"/>
              </w:numPr>
              <w:spacing w:before="60" w:after="60" w:line="240" w:lineRule="auto"/>
              <w:ind w:left="227" w:hanging="227"/>
              <w:rPr>
                <w:rFonts w:ascii="Arial" w:hAnsi="Arial" w:cs="Arial"/>
                <w:iCs/>
                <w:sz w:val="16"/>
                <w:szCs w:val="16"/>
              </w:rPr>
            </w:pPr>
            <w:r w:rsidRPr="005B0569">
              <w:rPr>
                <w:rFonts w:ascii="Arial" w:eastAsia="Calibri" w:hAnsi="Arial" w:cs="Arial"/>
                <w:sz w:val="16"/>
                <w:szCs w:val="16"/>
                <w:lang w:eastAsia="en-US"/>
              </w:rPr>
              <w:t>Provide</w:t>
            </w:r>
            <w:r>
              <w:rPr>
                <w:rFonts w:ascii="Arial" w:hAnsi="Arial" w:cs="Arial"/>
                <w:iCs/>
                <w:sz w:val="16"/>
                <w:szCs w:val="16"/>
              </w:rPr>
              <w:t xml:space="preserve"> for a national search and rescue service</w:t>
            </w:r>
          </w:p>
        </w:tc>
      </w:tr>
      <w:tr w:rsidR="00CB36D7" w:rsidRPr="001B2F81" w14:paraId="193DE3B8" w14:textId="77777777" w:rsidTr="00C753A4">
        <w:trPr>
          <w:trHeight w:val="258"/>
        </w:trPr>
        <w:tc>
          <w:tcPr>
            <w:tcW w:w="1001" w:type="pct"/>
            <w:tcBorders>
              <w:top w:val="double" w:sz="4" w:space="0" w:color="auto"/>
              <w:bottom w:val="single" w:sz="4" w:space="0" w:color="auto"/>
              <w:right w:val="single" w:sz="4" w:space="0" w:color="auto"/>
            </w:tcBorders>
          </w:tcPr>
          <w:p w14:paraId="455808D3" w14:textId="77777777" w:rsidR="00CB36D7" w:rsidRPr="00160C23" w:rsidRDefault="00CB36D7" w:rsidP="00BA273A">
            <w:pPr>
              <w:pStyle w:val="TableTextBase"/>
              <w:rPr>
                <w:b/>
                <w:sz w:val="16"/>
                <w:szCs w:val="16"/>
              </w:rPr>
            </w:pPr>
            <w:r w:rsidRPr="00160C23">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5D576FA0" w14:textId="77777777" w:rsidR="00CB36D7" w:rsidRPr="00160C23" w:rsidRDefault="00CB36D7" w:rsidP="00BA273A">
            <w:pPr>
              <w:pStyle w:val="TableTextBase"/>
              <w:rPr>
                <w:rFonts w:cs="Arial"/>
                <w:b/>
                <w:sz w:val="16"/>
                <w:szCs w:val="16"/>
              </w:rPr>
            </w:pPr>
            <w:r w:rsidRPr="00160C23">
              <w:rPr>
                <w:rFonts w:cs="Arial"/>
                <w:b/>
                <w:sz w:val="16"/>
                <w:szCs w:val="16"/>
              </w:rPr>
              <w:t>Performance measures</w:t>
            </w:r>
          </w:p>
        </w:tc>
        <w:tc>
          <w:tcPr>
            <w:tcW w:w="2000" w:type="pct"/>
            <w:tcBorders>
              <w:top w:val="double" w:sz="4" w:space="0" w:color="auto"/>
              <w:left w:val="single" w:sz="4" w:space="0" w:color="auto"/>
              <w:bottom w:val="single" w:sz="4" w:space="0" w:color="auto"/>
            </w:tcBorders>
          </w:tcPr>
          <w:p w14:paraId="7E623951" w14:textId="77777777" w:rsidR="00CB36D7" w:rsidRPr="00160C23" w:rsidRDefault="00CB36D7" w:rsidP="00BA273A">
            <w:pPr>
              <w:pStyle w:val="TableTextBase"/>
              <w:rPr>
                <w:rFonts w:cs="Arial"/>
                <w:b/>
                <w:sz w:val="16"/>
                <w:szCs w:val="16"/>
              </w:rPr>
            </w:pPr>
            <w:r w:rsidRPr="00160C23">
              <w:rPr>
                <w:rFonts w:cs="Arial"/>
                <w:b/>
                <w:sz w:val="16"/>
                <w:szCs w:val="16"/>
              </w:rPr>
              <w:t>Expected Performance Results</w:t>
            </w:r>
          </w:p>
        </w:tc>
      </w:tr>
      <w:tr w:rsidR="00CB36D7" w:rsidRPr="001B2F81" w14:paraId="3182FA37" w14:textId="77777777" w:rsidTr="00C753A4">
        <w:trPr>
          <w:trHeight w:val="642"/>
        </w:trPr>
        <w:tc>
          <w:tcPr>
            <w:tcW w:w="1001" w:type="pct"/>
            <w:vMerge w:val="restart"/>
            <w:tcBorders>
              <w:top w:val="single" w:sz="4" w:space="0" w:color="auto"/>
              <w:bottom w:val="dotted" w:sz="4" w:space="0" w:color="auto"/>
              <w:right w:val="single" w:sz="4" w:space="0" w:color="auto"/>
            </w:tcBorders>
          </w:tcPr>
          <w:p w14:paraId="7655D718" w14:textId="77777777" w:rsidR="00CB36D7" w:rsidRDefault="00CB36D7" w:rsidP="00BA273A">
            <w:pPr>
              <w:pStyle w:val="TableTextBase"/>
              <w:contextualSpacing/>
              <w:rPr>
                <w:sz w:val="16"/>
                <w:szCs w:val="16"/>
              </w:rPr>
            </w:pPr>
            <w:r>
              <w:rPr>
                <w:sz w:val="16"/>
                <w:szCs w:val="16"/>
              </w:rPr>
              <w:t>Prior</w:t>
            </w:r>
            <w:r w:rsidRPr="00160C23">
              <w:rPr>
                <w:sz w:val="16"/>
                <w:szCs w:val="16"/>
              </w:rPr>
              <w:t xml:space="preserve"> year</w:t>
            </w:r>
          </w:p>
          <w:p w14:paraId="562997F9" w14:textId="77777777" w:rsidR="00CB36D7" w:rsidRPr="00160C23" w:rsidRDefault="00CB36D7" w:rsidP="00BA273A">
            <w:pPr>
              <w:pStyle w:val="TableTextBase"/>
              <w:contextualSpacing/>
              <w:rPr>
                <w:sz w:val="16"/>
                <w:szCs w:val="16"/>
              </w:rPr>
            </w:pPr>
            <w:r w:rsidRPr="00160C23">
              <w:rPr>
                <w:sz w:val="16"/>
                <w:szCs w:val="16"/>
              </w:rPr>
              <w:t>2021-22</w:t>
            </w:r>
          </w:p>
        </w:tc>
        <w:tc>
          <w:tcPr>
            <w:tcW w:w="2000" w:type="pct"/>
            <w:tcBorders>
              <w:top w:val="single" w:sz="4" w:space="0" w:color="auto"/>
              <w:left w:val="single" w:sz="4" w:space="0" w:color="auto"/>
              <w:bottom w:val="single" w:sz="4" w:space="0" w:color="auto"/>
              <w:right w:val="single" w:sz="4" w:space="0" w:color="auto"/>
            </w:tcBorders>
          </w:tcPr>
          <w:p w14:paraId="14B806CC" w14:textId="77777777" w:rsidR="00CB36D7" w:rsidRPr="0066479A" w:rsidRDefault="00CB36D7" w:rsidP="00BA273A">
            <w:pPr>
              <w:pStyle w:val="TableTextBase"/>
              <w:rPr>
                <w:iCs/>
                <w:sz w:val="16"/>
                <w:szCs w:val="16"/>
              </w:rPr>
            </w:pPr>
            <w:r w:rsidRPr="005A39A5">
              <w:rPr>
                <w:iCs/>
                <w:sz w:val="16"/>
                <w:szCs w:val="16"/>
              </w:rPr>
              <w:t>Safety of foreign-flagged ships and Australian-flagged ships (under the Navigation Act 2021) operating in Australian waters is demonstrated through the proportion of very serious and serious incidents</w:t>
            </w:r>
            <w:r>
              <w:rPr>
                <w:iCs/>
                <w:sz w:val="16"/>
                <w:szCs w:val="16"/>
              </w:rPr>
              <w:t xml:space="preserve"> </w:t>
            </w:r>
            <w:r w:rsidRPr="00EC55B1">
              <w:rPr>
                <w:iCs/>
                <w:sz w:val="16"/>
                <w:szCs w:val="16"/>
                <w:vertAlign w:val="superscript"/>
              </w:rPr>
              <w:t>(e)</w:t>
            </w:r>
            <w:r>
              <w:rPr>
                <w:iCs/>
                <w:sz w:val="16"/>
                <w:szCs w:val="16"/>
              </w:rPr>
              <w:t xml:space="preserve"> </w:t>
            </w:r>
            <w:r w:rsidRPr="005A39A5">
              <w:rPr>
                <w:iCs/>
                <w:sz w:val="16"/>
                <w:szCs w:val="16"/>
              </w:rPr>
              <w:t>to total port arrivals</w:t>
            </w:r>
          </w:p>
        </w:tc>
        <w:tc>
          <w:tcPr>
            <w:tcW w:w="2000" w:type="pct"/>
            <w:tcBorders>
              <w:top w:val="single" w:sz="4" w:space="0" w:color="auto"/>
              <w:left w:val="single" w:sz="4" w:space="0" w:color="auto"/>
              <w:bottom w:val="single" w:sz="4" w:space="0" w:color="auto"/>
            </w:tcBorders>
          </w:tcPr>
          <w:p w14:paraId="72E983B1" w14:textId="77777777" w:rsidR="00CB36D7" w:rsidRPr="00457D66" w:rsidRDefault="00CB36D7" w:rsidP="00BA273A">
            <w:pPr>
              <w:pStyle w:val="TableTextBase"/>
              <w:rPr>
                <w:iCs/>
                <w:sz w:val="16"/>
                <w:szCs w:val="16"/>
              </w:rPr>
            </w:pPr>
            <w:r w:rsidRPr="00457D66">
              <w:rPr>
                <w:iCs/>
                <w:sz w:val="16"/>
                <w:szCs w:val="16"/>
              </w:rPr>
              <w:t>Target: ≤0.5</w:t>
            </w:r>
            <w:r>
              <w:rPr>
                <w:iCs/>
                <w:sz w:val="16"/>
                <w:szCs w:val="16"/>
              </w:rPr>
              <w:t>%</w:t>
            </w:r>
          </w:p>
          <w:p w14:paraId="04DDABE8" w14:textId="77777777" w:rsidR="000A3B1D" w:rsidRDefault="00CB36D7" w:rsidP="00BA273A">
            <w:pPr>
              <w:pStyle w:val="TableTextBase"/>
              <w:rPr>
                <w:iCs/>
                <w:sz w:val="16"/>
                <w:szCs w:val="16"/>
              </w:rPr>
            </w:pPr>
            <w:r>
              <w:rPr>
                <w:iCs/>
                <w:sz w:val="16"/>
                <w:szCs w:val="16"/>
              </w:rPr>
              <w:t>Actual</w:t>
            </w:r>
            <w:r w:rsidRPr="00457D66">
              <w:rPr>
                <w:iCs/>
                <w:sz w:val="16"/>
                <w:szCs w:val="16"/>
              </w:rPr>
              <w:t>: 0.84</w:t>
            </w:r>
            <w:r>
              <w:rPr>
                <w:iCs/>
                <w:sz w:val="16"/>
                <w:szCs w:val="16"/>
              </w:rPr>
              <w:t xml:space="preserve">% </w:t>
            </w:r>
          </w:p>
          <w:p w14:paraId="036E175D" w14:textId="572D6DE4" w:rsidR="00CB36D7" w:rsidRPr="00523297" w:rsidRDefault="000A3B1D" w:rsidP="00BA273A">
            <w:pPr>
              <w:pStyle w:val="TableTextBase"/>
              <w:rPr>
                <w:iCs/>
                <w:sz w:val="16"/>
                <w:szCs w:val="16"/>
              </w:rPr>
            </w:pPr>
            <w:r>
              <w:rPr>
                <w:iCs/>
                <w:sz w:val="16"/>
                <w:szCs w:val="16"/>
              </w:rPr>
              <w:t>T</w:t>
            </w:r>
            <w:r w:rsidR="00CB36D7">
              <w:rPr>
                <w:iCs/>
                <w:sz w:val="16"/>
                <w:szCs w:val="16"/>
              </w:rPr>
              <w:t>arget not met</w:t>
            </w:r>
          </w:p>
        </w:tc>
      </w:tr>
      <w:tr w:rsidR="00CB36D7" w:rsidRPr="001B2F81" w14:paraId="75527015" w14:textId="77777777" w:rsidTr="00C753A4">
        <w:trPr>
          <w:trHeight w:val="56"/>
        </w:trPr>
        <w:tc>
          <w:tcPr>
            <w:tcW w:w="1001" w:type="pct"/>
            <w:vMerge/>
            <w:tcBorders>
              <w:top w:val="dotted" w:sz="4" w:space="0" w:color="auto"/>
              <w:right w:val="single" w:sz="4" w:space="0" w:color="auto"/>
            </w:tcBorders>
          </w:tcPr>
          <w:p w14:paraId="08C5E900" w14:textId="77777777" w:rsidR="00CB36D7" w:rsidRPr="00160C23" w:rsidRDefault="00CB36D7" w:rsidP="00BA273A">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2B885063" w14:textId="77777777" w:rsidR="00CB36D7" w:rsidRPr="005A39A5" w:rsidRDefault="00CB36D7" w:rsidP="00BA273A">
            <w:pPr>
              <w:pStyle w:val="TableTextBase"/>
              <w:rPr>
                <w:iCs/>
                <w:sz w:val="16"/>
                <w:szCs w:val="16"/>
              </w:rPr>
            </w:pPr>
            <w:r w:rsidRPr="00D64DEF">
              <w:rPr>
                <w:iCs/>
                <w:sz w:val="16"/>
                <w:szCs w:val="16"/>
              </w:rPr>
              <w:t xml:space="preserve">Timeliness of response to significant </w:t>
            </w:r>
            <w:r w:rsidRPr="00D523F2">
              <w:rPr>
                <w:iCs/>
                <w:sz w:val="16"/>
                <w:szCs w:val="16"/>
                <w:vertAlign w:val="superscript"/>
              </w:rPr>
              <w:t>(f)</w:t>
            </w:r>
            <w:r w:rsidRPr="00D64DEF">
              <w:rPr>
                <w:iCs/>
                <w:sz w:val="16"/>
                <w:szCs w:val="16"/>
              </w:rPr>
              <w:t xml:space="preserve"> oil spill incidents.</w:t>
            </w:r>
          </w:p>
        </w:tc>
        <w:tc>
          <w:tcPr>
            <w:tcW w:w="2000" w:type="pct"/>
            <w:tcBorders>
              <w:top w:val="single" w:sz="4" w:space="0" w:color="auto"/>
              <w:left w:val="single" w:sz="4" w:space="0" w:color="auto"/>
              <w:bottom w:val="single" w:sz="4" w:space="0" w:color="auto"/>
            </w:tcBorders>
          </w:tcPr>
          <w:p w14:paraId="27809FF6" w14:textId="77777777" w:rsidR="00CB36D7" w:rsidRPr="00FC0364" w:rsidRDefault="00CB36D7" w:rsidP="00BA273A">
            <w:pPr>
              <w:pStyle w:val="TableTextBase"/>
              <w:rPr>
                <w:iCs/>
                <w:sz w:val="16"/>
                <w:szCs w:val="16"/>
              </w:rPr>
            </w:pPr>
            <w:r w:rsidRPr="00FC0364">
              <w:rPr>
                <w:iCs/>
                <w:sz w:val="16"/>
                <w:szCs w:val="16"/>
              </w:rPr>
              <w:t>Target: within 4 hours of notification</w:t>
            </w:r>
          </w:p>
          <w:p w14:paraId="0C856A7A" w14:textId="77777777" w:rsidR="00CB36D7" w:rsidRPr="00457D66" w:rsidRDefault="00CB36D7" w:rsidP="00BA273A">
            <w:pPr>
              <w:pStyle w:val="TableTextBase"/>
              <w:rPr>
                <w:iCs/>
                <w:sz w:val="16"/>
                <w:szCs w:val="16"/>
              </w:rPr>
            </w:pPr>
            <w:r>
              <w:rPr>
                <w:iCs/>
                <w:sz w:val="16"/>
                <w:szCs w:val="16"/>
              </w:rPr>
              <w:t>Target met</w:t>
            </w:r>
          </w:p>
        </w:tc>
      </w:tr>
      <w:tr w:rsidR="00CB36D7" w:rsidRPr="001B2F81" w14:paraId="0C3D213B" w14:textId="77777777" w:rsidTr="00C753A4">
        <w:trPr>
          <w:trHeight w:val="56"/>
        </w:trPr>
        <w:tc>
          <w:tcPr>
            <w:tcW w:w="1001" w:type="pct"/>
            <w:vMerge/>
            <w:tcBorders>
              <w:bottom w:val="single" w:sz="4" w:space="0" w:color="auto"/>
              <w:right w:val="single" w:sz="4" w:space="0" w:color="auto"/>
            </w:tcBorders>
          </w:tcPr>
          <w:p w14:paraId="76A2C472" w14:textId="77777777" w:rsidR="00CB36D7" w:rsidRPr="00160C23" w:rsidRDefault="00CB36D7" w:rsidP="00BA273A">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5D573C21" w14:textId="77777777" w:rsidR="00CB36D7" w:rsidRPr="00D64DEF" w:rsidRDefault="00CB36D7" w:rsidP="00BA273A">
            <w:pPr>
              <w:pStyle w:val="TableTextBase"/>
              <w:rPr>
                <w:iCs/>
                <w:sz w:val="16"/>
                <w:szCs w:val="16"/>
              </w:rPr>
            </w:pPr>
            <w:r w:rsidRPr="003D1232">
              <w:rPr>
                <w:iCs/>
                <w:sz w:val="16"/>
                <w:szCs w:val="16"/>
              </w:rPr>
              <w:t xml:space="preserve">Save as many lives as possible from those at risk </w:t>
            </w:r>
            <w:r w:rsidRPr="00887E8D">
              <w:rPr>
                <w:iCs/>
                <w:sz w:val="16"/>
                <w:szCs w:val="16"/>
                <w:vertAlign w:val="superscript"/>
              </w:rPr>
              <w:t>(g)</w:t>
            </w:r>
          </w:p>
        </w:tc>
        <w:tc>
          <w:tcPr>
            <w:tcW w:w="2000" w:type="pct"/>
            <w:tcBorders>
              <w:top w:val="single" w:sz="4" w:space="0" w:color="auto"/>
              <w:left w:val="single" w:sz="4" w:space="0" w:color="auto"/>
              <w:bottom w:val="single" w:sz="4" w:space="0" w:color="auto"/>
            </w:tcBorders>
          </w:tcPr>
          <w:p w14:paraId="76AA9B6C" w14:textId="77777777" w:rsidR="00CB36D7" w:rsidRDefault="00CB36D7" w:rsidP="00BA273A">
            <w:pPr>
              <w:pStyle w:val="TableTextBase"/>
              <w:rPr>
                <w:iCs/>
                <w:sz w:val="16"/>
                <w:szCs w:val="16"/>
                <w:vertAlign w:val="superscript"/>
              </w:rPr>
            </w:pPr>
            <w:r w:rsidRPr="00965A05">
              <w:rPr>
                <w:iCs/>
                <w:sz w:val="16"/>
                <w:szCs w:val="16"/>
              </w:rPr>
              <w:t>Target: 100</w:t>
            </w:r>
            <w:r>
              <w:rPr>
                <w:iCs/>
                <w:sz w:val="16"/>
                <w:szCs w:val="16"/>
              </w:rPr>
              <w:t xml:space="preserve">% </w:t>
            </w:r>
            <w:r w:rsidRPr="002F7670">
              <w:rPr>
                <w:iCs/>
                <w:sz w:val="16"/>
                <w:szCs w:val="16"/>
                <w:vertAlign w:val="superscript"/>
              </w:rPr>
              <w:t>(h)</w:t>
            </w:r>
          </w:p>
          <w:p w14:paraId="38D22747" w14:textId="77777777" w:rsidR="000A3B1D" w:rsidRDefault="00CB36D7" w:rsidP="00BA273A">
            <w:pPr>
              <w:pStyle w:val="TableTextBase"/>
              <w:rPr>
                <w:iCs/>
                <w:sz w:val="16"/>
                <w:szCs w:val="16"/>
              </w:rPr>
            </w:pPr>
            <w:r>
              <w:rPr>
                <w:iCs/>
                <w:sz w:val="16"/>
                <w:szCs w:val="16"/>
              </w:rPr>
              <w:t>Actual</w:t>
            </w:r>
            <w:r w:rsidR="000A3B1D">
              <w:rPr>
                <w:iCs/>
                <w:sz w:val="16"/>
                <w:szCs w:val="16"/>
              </w:rPr>
              <w:t>:</w:t>
            </w:r>
            <w:r w:rsidRPr="00F017B5">
              <w:rPr>
                <w:iCs/>
                <w:sz w:val="16"/>
                <w:szCs w:val="16"/>
              </w:rPr>
              <w:t xml:space="preserve"> 90.27</w:t>
            </w:r>
            <w:r>
              <w:rPr>
                <w:iCs/>
                <w:sz w:val="16"/>
                <w:szCs w:val="16"/>
              </w:rPr>
              <w:t>%</w:t>
            </w:r>
          </w:p>
          <w:p w14:paraId="0A196B7C" w14:textId="2B53618D" w:rsidR="00CB36D7" w:rsidRPr="00FC0364" w:rsidRDefault="00CB36D7" w:rsidP="00BA273A">
            <w:pPr>
              <w:pStyle w:val="TableTextBase"/>
              <w:rPr>
                <w:iCs/>
                <w:sz w:val="16"/>
                <w:szCs w:val="16"/>
              </w:rPr>
            </w:pPr>
            <w:r>
              <w:rPr>
                <w:iCs/>
                <w:sz w:val="16"/>
                <w:szCs w:val="16"/>
              </w:rPr>
              <w:t>Target not met</w:t>
            </w:r>
          </w:p>
        </w:tc>
      </w:tr>
    </w:tbl>
    <w:p w14:paraId="20309C38" w14:textId="77777777" w:rsidR="00CB36D7" w:rsidRDefault="00CB36D7" w:rsidP="00BA273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B36D7" w:rsidRPr="001B2F81" w14:paraId="3C85FFEB" w14:textId="77777777" w:rsidTr="00C753A4">
        <w:trPr>
          <w:trHeight w:val="100"/>
        </w:trPr>
        <w:tc>
          <w:tcPr>
            <w:tcW w:w="1001" w:type="pct"/>
            <w:tcBorders>
              <w:top w:val="double" w:sz="4" w:space="0" w:color="auto"/>
              <w:bottom w:val="single" w:sz="4" w:space="0" w:color="auto"/>
              <w:right w:val="single" w:sz="4" w:space="0" w:color="auto"/>
            </w:tcBorders>
          </w:tcPr>
          <w:p w14:paraId="03E5C446" w14:textId="77777777" w:rsidR="00CB36D7" w:rsidRPr="00160C23" w:rsidRDefault="00CB36D7" w:rsidP="00CB36D7">
            <w:pPr>
              <w:pStyle w:val="TableTextBase"/>
              <w:rPr>
                <w:b/>
                <w:sz w:val="16"/>
                <w:szCs w:val="16"/>
              </w:rPr>
            </w:pPr>
            <w:r w:rsidRPr="00160C23">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20A76030" w14:textId="77777777" w:rsidR="00CB36D7" w:rsidRPr="00160C23" w:rsidRDefault="00CB36D7" w:rsidP="00CB36D7">
            <w:pPr>
              <w:pStyle w:val="TableTextBase"/>
              <w:rPr>
                <w:b/>
                <w:sz w:val="16"/>
                <w:szCs w:val="16"/>
              </w:rPr>
            </w:pPr>
            <w:r w:rsidRPr="00160C23">
              <w:rPr>
                <w:b/>
                <w:sz w:val="16"/>
                <w:szCs w:val="16"/>
              </w:rPr>
              <w:t>Performance measures</w:t>
            </w:r>
          </w:p>
        </w:tc>
        <w:tc>
          <w:tcPr>
            <w:tcW w:w="2000" w:type="pct"/>
            <w:tcBorders>
              <w:top w:val="double" w:sz="4" w:space="0" w:color="auto"/>
              <w:left w:val="single" w:sz="4" w:space="0" w:color="auto"/>
              <w:bottom w:val="single" w:sz="4" w:space="0" w:color="auto"/>
            </w:tcBorders>
          </w:tcPr>
          <w:p w14:paraId="5021D21A" w14:textId="77777777" w:rsidR="00CB36D7" w:rsidRPr="00160C23" w:rsidRDefault="00CB36D7" w:rsidP="00CB36D7">
            <w:pPr>
              <w:pStyle w:val="TableTextBase"/>
              <w:rPr>
                <w:b/>
                <w:sz w:val="16"/>
                <w:szCs w:val="16"/>
              </w:rPr>
            </w:pPr>
            <w:r>
              <w:rPr>
                <w:b/>
                <w:sz w:val="16"/>
                <w:szCs w:val="16"/>
              </w:rPr>
              <w:t>Planned</w:t>
            </w:r>
            <w:r w:rsidRPr="00160C23">
              <w:rPr>
                <w:b/>
                <w:sz w:val="16"/>
                <w:szCs w:val="16"/>
              </w:rPr>
              <w:t xml:space="preserve"> Performance Results</w:t>
            </w:r>
          </w:p>
        </w:tc>
      </w:tr>
      <w:tr w:rsidR="00CB36D7" w:rsidRPr="001B2F81" w14:paraId="52F37E48" w14:textId="77777777" w:rsidTr="00C753A4">
        <w:trPr>
          <w:trHeight w:val="100"/>
        </w:trPr>
        <w:tc>
          <w:tcPr>
            <w:tcW w:w="1001" w:type="pct"/>
            <w:vMerge w:val="restart"/>
            <w:tcBorders>
              <w:top w:val="single" w:sz="4" w:space="0" w:color="auto"/>
              <w:bottom w:val="nil"/>
              <w:right w:val="single" w:sz="4" w:space="0" w:color="auto"/>
            </w:tcBorders>
          </w:tcPr>
          <w:p w14:paraId="7BB7B75B" w14:textId="77777777" w:rsidR="00CB36D7" w:rsidRPr="00F41294" w:rsidRDefault="00CB36D7" w:rsidP="00CB36D7">
            <w:pPr>
              <w:pStyle w:val="TableTextBase"/>
              <w:contextualSpacing/>
              <w:rPr>
                <w:sz w:val="16"/>
              </w:rPr>
            </w:pPr>
            <w:r>
              <w:rPr>
                <w:sz w:val="16"/>
              </w:rPr>
              <w:t>Budget year</w:t>
            </w:r>
          </w:p>
          <w:p w14:paraId="520207DB" w14:textId="77777777" w:rsidR="00CB36D7" w:rsidRPr="00F41294" w:rsidRDefault="00CB36D7" w:rsidP="00CB36D7">
            <w:pPr>
              <w:pStyle w:val="TableTextBase"/>
              <w:contextualSpacing/>
              <w:rPr>
                <w:sz w:val="16"/>
              </w:rPr>
            </w:pPr>
            <w:r w:rsidRPr="00F41294">
              <w:rPr>
                <w:sz w:val="16"/>
              </w:rPr>
              <w:t>2022-23</w:t>
            </w:r>
          </w:p>
        </w:tc>
        <w:tc>
          <w:tcPr>
            <w:tcW w:w="2000" w:type="pct"/>
            <w:tcBorders>
              <w:top w:val="single" w:sz="4" w:space="0" w:color="auto"/>
              <w:left w:val="single" w:sz="4" w:space="0" w:color="auto"/>
              <w:bottom w:val="single" w:sz="4" w:space="0" w:color="auto"/>
              <w:right w:val="single" w:sz="4" w:space="0" w:color="auto"/>
            </w:tcBorders>
          </w:tcPr>
          <w:p w14:paraId="32F448AE" w14:textId="77777777" w:rsidR="00CB36D7" w:rsidRPr="00F41294" w:rsidRDefault="00CB36D7" w:rsidP="00CB36D7">
            <w:pPr>
              <w:pStyle w:val="TableTextBase"/>
              <w:rPr>
                <w:sz w:val="16"/>
              </w:rPr>
            </w:pPr>
            <w:r w:rsidRPr="00D16FE0">
              <w:rPr>
                <w:sz w:val="16"/>
              </w:rPr>
              <w:t>Safety of foreign-flagged ships and Australian-flagged ships (under the Navigation Act 2021) operating in Australian waters is demonstrated through the proportion of very serious and serious incidents to total port arrivals</w:t>
            </w:r>
          </w:p>
        </w:tc>
        <w:tc>
          <w:tcPr>
            <w:tcW w:w="2000" w:type="pct"/>
            <w:tcBorders>
              <w:top w:val="single" w:sz="4" w:space="0" w:color="auto"/>
              <w:left w:val="single" w:sz="4" w:space="0" w:color="auto"/>
              <w:bottom w:val="single" w:sz="4" w:space="0" w:color="auto"/>
            </w:tcBorders>
          </w:tcPr>
          <w:p w14:paraId="6095192B" w14:textId="77777777" w:rsidR="00CB36D7" w:rsidRPr="00F41294" w:rsidRDefault="00CB36D7" w:rsidP="00CB36D7">
            <w:pPr>
              <w:pStyle w:val="TableTextBase"/>
              <w:rPr>
                <w:sz w:val="16"/>
              </w:rPr>
            </w:pPr>
            <w:r w:rsidRPr="00FD67EA">
              <w:rPr>
                <w:sz w:val="16"/>
              </w:rPr>
              <w:t>Target: ≤1.5</w:t>
            </w:r>
            <w:r>
              <w:rPr>
                <w:sz w:val="16"/>
              </w:rPr>
              <w:t xml:space="preserve">% </w:t>
            </w:r>
            <w:r w:rsidRPr="00FD67EA">
              <w:rPr>
                <w:sz w:val="16"/>
                <w:vertAlign w:val="superscript"/>
              </w:rPr>
              <w:t>(i)</w:t>
            </w:r>
          </w:p>
        </w:tc>
      </w:tr>
      <w:tr w:rsidR="00CB36D7" w:rsidRPr="001B2F81" w14:paraId="6CA45DE4" w14:textId="77777777" w:rsidTr="00C753A4">
        <w:trPr>
          <w:trHeight w:val="100"/>
        </w:trPr>
        <w:tc>
          <w:tcPr>
            <w:tcW w:w="1001" w:type="pct"/>
            <w:vMerge/>
            <w:tcBorders>
              <w:top w:val="nil"/>
              <w:bottom w:val="nil"/>
              <w:right w:val="single" w:sz="4" w:space="0" w:color="auto"/>
            </w:tcBorders>
          </w:tcPr>
          <w:p w14:paraId="62406D11" w14:textId="77777777" w:rsidR="00CB36D7" w:rsidRPr="00CD22AC" w:rsidRDefault="00CB36D7" w:rsidP="00CB36D7">
            <w:pPr>
              <w:pStyle w:val="TableTextBase"/>
              <w:contextualSpacing/>
              <w:rPr>
                <w:sz w:val="16"/>
              </w:rPr>
            </w:pPr>
          </w:p>
        </w:tc>
        <w:tc>
          <w:tcPr>
            <w:tcW w:w="2000" w:type="pct"/>
            <w:tcBorders>
              <w:top w:val="single" w:sz="4" w:space="0" w:color="auto"/>
              <w:left w:val="single" w:sz="4" w:space="0" w:color="auto"/>
              <w:bottom w:val="single" w:sz="4" w:space="0" w:color="auto"/>
              <w:right w:val="single" w:sz="4" w:space="0" w:color="auto"/>
            </w:tcBorders>
          </w:tcPr>
          <w:p w14:paraId="5CA50801" w14:textId="77777777" w:rsidR="00CB36D7" w:rsidRPr="006869A3" w:rsidRDefault="00CB36D7" w:rsidP="00CB36D7">
            <w:pPr>
              <w:pStyle w:val="TableTextBase"/>
              <w:rPr>
                <w:iCs/>
                <w:sz w:val="16"/>
              </w:rPr>
            </w:pPr>
            <w:r w:rsidRPr="006869A3">
              <w:rPr>
                <w:iCs/>
                <w:sz w:val="16"/>
              </w:rPr>
              <w:t>Timeliness of response to significant oil spill incidents.</w:t>
            </w:r>
          </w:p>
        </w:tc>
        <w:tc>
          <w:tcPr>
            <w:tcW w:w="2000" w:type="pct"/>
            <w:tcBorders>
              <w:top w:val="single" w:sz="4" w:space="0" w:color="auto"/>
              <w:left w:val="single" w:sz="4" w:space="0" w:color="auto"/>
              <w:bottom w:val="single" w:sz="4" w:space="0" w:color="auto"/>
            </w:tcBorders>
          </w:tcPr>
          <w:p w14:paraId="4230FE9B" w14:textId="77777777" w:rsidR="00CB36D7" w:rsidRPr="006869A3" w:rsidRDefault="00CB36D7" w:rsidP="00CB36D7">
            <w:pPr>
              <w:pStyle w:val="TableTextBase"/>
              <w:rPr>
                <w:iCs/>
                <w:sz w:val="16"/>
              </w:rPr>
            </w:pPr>
            <w:r w:rsidRPr="007F26F1">
              <w:rPr>
                <w:iCs/>
                <w:sz w:val="16"/>
              </w:rPr>
              <w:t>Target: within 4 hours of notification</w:t>
            </w:r>
          </w:p>
        </w:tc>
      </w:tr>
      <w:tr w:rsidR="00CB36D7" w:rsidRPr="001B2F81" w14:paraId="25F4220B" w14:textId="77777777" w:rsidTr="00C753A4">
        <w:trPr>
          <w:trHeight w:val="100"/>
        </w:trPr>
        <w:tc>
          <w:tcPr>
            <w:tcW w:w="1001" w:type="pct"/>
            <w:vMerge/>
            <w:tcBorders>
              <w:top w:val="nil"/>
              <w:bottom w:val="single" w:sz="4" w:space="0" w:color="auto"/>
              <w:right w:val="single" w:sz="4" w:space="0" w:color="auto"/>
            </w:tcBorders>
          </w:tcPr>
          <w:p w14:paraId="78B2EF02" w14:textId="77777777" w:rsidR="00CB36D7" w:rsidRPr="00CD22AC" w:rsidRDefault="00CB36D7" w:rsidP="00CB36D7">
            <w:pPr>
              <w:pStyle w:val="TableTextBase"/>
              <w:contextualSpacing/>
              <w:rPr>
                <w:sz w:val="16"/>
              </w:rPr>
            </w:pPr>
          </w:p>
        </w:tc>
        <w:tc>
          <w:tcPr>
            <w:tcW w:w="2000" w:type="pct"/>
            <w:tcBorders>
              <w:top w:val="single" w:sz="4" w:space="0" w:color="auto"/>
              <w:left w:val="single" w:sz="4" w:space="0" w:color="auto"/>
              <w:bottom w:val="single" w:sz="4" w:space="0" w:color="auto"/>
              <w:right w:val="single" w:sz="4" w:space="0" w:color="auto"/>
            </w:tcBorders>
          </w:tcPr>
          <w:p w14:paraId="0388113F" w14:textId="77777777" w:rsidR="00CB36D7" w:rsidRPr="006869A3" w:rsidRDefault="00CB36D7" w:rsidP="00CB36D7">
            <w:pPr>
              <w:pStyle w:val="TableTextBase"/>
              <w:rPr>
                <w:iCs/>
                <w:sz w:val="16"/>
              </w:rPr>
            </w:pPr>
            <w:r w:rsidRPr="006D1304">
              <w:rPr>
                <w:iCs/>
                <w:sz w:val="16"/>
              </w:rPr>
              <w:t>Save as many lives as possible from those at risk</w:t>
            </w:r>
          </w:p>
        </w:tc>
        <w:tc>
          <w:tcPr>
            <w:tcW w:w="2000" w:type="pct"/>
            <w:tcBorders>
              <w:top w:val="single" w:sz="4" w:space="0" w:color="auto"/>
              <w:left w:val="single" w:sz="4" w:space="0" w:color="auto"/>
              <w:bottom w:val="single" w:sz="4" w:space="0" w:color="auto"/>
            </w:tcBorders>
          </w:tcPr>
          <w:p w14:paraId="160A588F" w14:textId="77777777" w:rsidR="00CB36D7" w:rsidRPr="006869A3" w:rsidRDefault="00CB36D7" w:rsidP="00CB36D7">
            <w:pPr>
              <w:pStyle w:val="TableTextBase"/>
              <w:rPr>
                <w:iCs/>
                <w:sz w:val="16"/>
              </w:rPr>
            </w:pPr>
            <w:r w:rsidRPr="00D270E4">
              <w:rPr>
                <w:iCs/>
                <w:sz w:val="16"/>
              </w:rPr>
              <w:t>Target: 100</w:t>
            </w:r>
            <w:r>
              <w:rPr>
                <w:iCs/>
                <w:sz w:val="16"/>
              </w:rPr>
              <w:t>%</w:t>
            </w:r>
          </w:p>
        </w:tc>
      </w:tr>
      <w:tr w:rsidR="00CB36D7" w:rsidRPr="00D6452E" w14:paraId="3E0C7907" w14:textId="77777777" w:rsidTr="00C753A4">
        <w:trPr>
          <w:trHeight w:val="491"/>
        </w:trPr>
        <w:tc>
          <w:tcPr>
            <w:tcW w:w="1001" w:type="pct"/>
            <w:tcBorders>
              <w:top w:val="single" w:sz="4" w:space="0" w:color="auto"/>
              <w:bottom w:val="single" w:sz="4" w:space="0" w:color="auto"/>
              <w:right w:val="single" w:sz="4" w:space="0" w:color="auto"/>
            </w:tcBorders>
          </w:tcPr>
          <w:p w14:paraId="21CACD66" w14:textId="77777777" w:rsidR="00CB36D7" w:rsidRDefault="00CB36D7" w:rsidP="00CB36D7">
            <w:pPr>
              <w:pStyle w:val="TableTextBase"/>
              <w:contextualSpacing/>
              <w:rPr>
                <w:sz w:val="16"/>
              </w:rPr>
            </w:pPr>
            <w:r w:rsidRPr="00D6452E">
              <w:rPr>
                <w:sz w:val="16"/>
              </w:rPr>
              <w:t>Forward Estimates</w:t>
            </w:r>
          </w:p>
          <w:p w14:paraId="7C368DE1" w14:textId="77777777" w:rsidR="00CB36D7" w:rsidRPr="00D6452E" w:rsidRDefault="00CB36D7" w:rsidP="00CB36D7">
            <w:pPr>
              <w:pStyle w:val="TableTextBase"/>
              <w:rPr>
                <w:sz w:val="16"/>
              </w:rPr>
            </w:pPr>
            <w:r w:rsidRPr="00D6452E">
              <w:rPr>
                <w:sz w:val="16"/>
              </w:rPr>
              <w:t>202</w:t>
            </w:r>
            <w:r>
              <w:rPr>
                <w:sz w:val="16"/>
              </w:rPr>
              <w:t>3</w:t>
            </w:r>
            <w:r w:rsidRPr="00D6452E">
              <w:rPr>
                <w:sz w:val="16"/>
              </w:rPr>
              <w:t>-26</w:t>
            </w:r>
          </w:p>
        </w:tc>
        <w:tc>
          <w:tcPr>
            <w:tcW w:w="2000" w:type="pct"/>
            <w:tcBorders>
              <w:top w:val="single" w:sz="4" w:space="0" w:color="auto"/>
              <w:left w:val="single" w:sz="4" w:space="0" w:color="auto"/>
              <w:bottom w:val="single" w:sz="4" w:space="0" w:color="auto"/>
              <w:right w:val="single" w:sz="4" w:space="0" w:color="auto"/>
            </w:tcBorders>
          </w:tcPr>
          <w:p w14:paraId="53EDEA0C" w14:textId="77777777" w:rsidR="00CB36D7" w:rsidRPr="00B41736" w:rsidRDefault="00CB36D7" w:rsidP="00CB36D7">
            <w:pPr>
              <w:pStyle w:val="TableTextBase"/>
              <w:rPr>
                <w:sz w:val="16"/>
              </w:rPr>
            </w:pPr>
            <w:r w:rsidRPr="00B41736">
              <w:rPr>
                <w:sz w:val="16"/>
              </w:rPr>
              <w:t>As per 2022-23</w:t>
            </w:r>
          </w:p>
        </w:tc>
        <w:tc>
          <w:tcPr>
            <w:tcW w:w="2000" w:type="pct"/>
            <w:tcBorders>
              <w:top w:val="single" w:sz="4" w:space="0" w:color="auto"/>
              <w:left w:val="single" w:sz="4" w:space="0" w:color="auto"/>
              <w:bottom w:val="single" w:sz="4" w:space="0" w:color="auto"/>
            </w:tcBorders>
          </w:tcPr>
          <w:p w14:paraId="6938AB31" w14:textId="77777777" w:rsidR="00CB36D7" w:rsidRPr="00B41736" w:rsidRDefault="00CB36D7" w:rsidP="00CB36D7">
            <w:pPr>
              <w:pStyle w:val="TableTextBase"/>
              <w:rPr>
                <w:sz w:val="16"/>
              </w:rPr>
            </w:pPr>
            <w:r w:rsidRPr="00B41736">
              <w:rPr>
                <w:sz w:val="16"/>
              </w:rPr>
              <w:t>As per 2022-23</w:t>
            </w:r>
          </w:p>
        </w:tc>
      </w:tr>
    </w:tbl>
    <w:p w14:paraId="7F8BCF8A" w14:textId="77777777" w:rsidR="00CB36D7" w:rsidRDefault="00CB36D7" w:rsidP="008D0F63">
      <w:pPr>
        <w:pStyle w:val="ChartandTableFootnoteAlpha"/>
        <w:numPr>
          <w:ilvl w:val="0"/>
          <w:numId w:val="155"/>
        </w:numPr>
        <w:tabs>
          <w:tab w:val="clear" w:pos="284"/>
          <w:tab w:val="num" w:pos="426"/>
        </w:tabs>
        <w:spacing w:before="60"/>
        <w:ind w:left="426" w:hanging="426"/>
        <w:jc w:val="left"/>
      </w:pPr>
      <w:r>
        <w:t xml:space="preserve">AMSA’s </w:t>
      </w:r>
      <w:r w:rsidRPr="004F721D">
        <w:t xml:space="preserve">key activities constitute its operational core business to deliver </w:t>
      </w:r>
      <w:r>
        <w:t>its sub-programs, program, and O</w:t>
      </w:r>
      <w:r w:rsidRPr="004F721D">
        <w:t>utcome 1. Key activities are also detailed in AMSA’s corporate plan, specifically the plan-on-a-page. Unless there have been changes to legislation, machinery of government or programs, key activities are generally not subject to change.</w:t>
      </w:r>
    </w:p>
    <w:p w14:paraId="31A5E4B5" w14:textId="77777777" w:rsidR="00CB36D7" w:rsidRDefault="00CB36D7" w:rsidP="00BA273A">
      <w:pPr>
        <w:pStyle w:val="ChartandTableFootnoteAlpha"/>
        <w:numPr>
          <w:ilvl w:val="0"/>
          <w:numId w:val="8"/>
        </w:numPr>
        <w:tabs>
          <w:tab w:val="clear" w:pos="284"/>
          <w:tab w:val="num" w:pos="426"/>
        </w:tabs>
        <w:ind w:left="426" w:hanging="426"/>
        <w:jc w:val="left"/>
      </w:pPr>
      <w:r>
        <w:t xml:space="preserve">AMSA’s </w:t>
      </w:r>
      <w:r w:rsidRPr="00747483">
        <w:t>2021-22 Corporate Plan also lists key activities (including projects) organised under nine strategic objectives. These activities are subject to some change between years as AMSA responds to changes in its operating environment.</w:t>
      </w:r>
    </w:p>
    <w:p w14:paraId="4443CC18" w14:textId="77777777" w:rsidR="00CB36D7" w:rsidRDefault="00CB36D7" w:rsidP="00BA273A">
      <w:pPr>
        <w:pStyle w:val="ChartandTableFootnoteAlpha"/>
        <w:numPr>
          <w:ilvl w:val="0"/>
          <w:numId w:val="8"/>
        </w:numPr>
        <w:tabs>
          <w:tab w:val="clear" w:pos="284"/>
          <w:tab w:val="num" w:pos="426"/>
        </w:tabs>
        <w:ind w:left="426" w:hanging="426"/>
        <w:jc w:val="left"/>
      </w:pPr>
      <w:r>
        <w:t xml:space="preserve">To </w:t>
      </w:r>
      <w:r w:rsidRPr="00D54B0A">
        <w:t xml:space="preserve">avoid confusion with key activities as defined by Resource Management Guide (RMG) Reporting performance Information in </w:t>
      </w:r>
      <w:r>
        <w:t>Portfolio</w:t>
      </w:r>
      <w:r w:rsidRPr="00D54B0A">
        <w:t xml:space="preserve"> Budget Statements, the AMSA 2022-23 Corporate Plan will use the term ‘initiative’ to describe activities and projects in support of AMSA’s strategic priorities (see next).</w:t>
      </w:r>
    </w:p>
    <w:p w14:paraId="77F99479" w14:textId="77777777" w:rsidR="00CB36D7" w:rsidRDefault="00CB36D7" w:rsidP="00BA273A">
      <w:pPr>
        <w:pStyle w:val="ChartandTableFootnoteAlpha"/>
        <w:numPr>
          <w:ilvl w:val="0"/>
          <w:numId w:val="8"/>
        </w:numPr>
        <w:tabs>
          <w:tab w:val="clear" w:pos="284"/>
          <w:tab w:val="num" w:pos="426"/>
        </w:tabs>
        <w:ind w:left="426" w:hanging="426"/>
        <w:jc w:val="left"/>
      </w:pPr>
      <w:r>
        <w:t xml:space="preserve">To </w:t>
      </w:r>
      <w:r w:rsidRPr="001D0483">
        <w:t>avoid confusion with the new AMSA Strategy 2030 (which uses the term strategic objective), the AMSA 2022-23 Corporate Plan will use the following eight strategic priorities: 1. Risk-based regulation</w:t>
      </w:r>
      <w:r>
        <w:t>;</w:t>
      </w:r>
      <w:r w:rsidRPr="001D0483">
        <w:t xml:space="preserve"> 2. Incident management capabilities</w:t>
      </w:r>
      <w:r>
        <w:t>;</w:t>
      </w:r>
      <w:r w:rsidRPr="001D0483">
        <w:t xml:space="preserve"> 3. Navigation services</w:t>
      </w:r>
      <w:r>
        <w:t>;</w:t>
      </w:r>
      <w:r w:rsidRPr="001D0483">
        <w:t xml:space="preserve"> 4. Responding to climate change</w:t>
      </w:r>
      <w:r>
        <w:t>;</w:t>
      </w:r>
      <w:r w:rsidRPr="001D0483">
        <w:t xml:space="preserve"> 5.</w:t>
      </w:r>
      <w:r>
        <w:t> </w:t>
      </w:r>
      <w:r w:rsidRPr="001D0483">
        <w:t>Engagement</w:t>
      </w:r>
      <w:r>
        <w:t>;</w:t>
      </w:r>
      <w:r w:rsidRPr="001D0483">
        <w:t xml:space="preserve"> 6. Innovation</w:t>
      </w:r>
      <w:r>
        <w:t>;</w:t>
      </w:r>
      <w:r w:rsidRPr="001D0483">
        <w:t xml:space="preserve"> 7. Information management and digital services</w:t>
      </w:r>
      <w:r>
        <w:t>;</w:t>
      </w:r>
      <w:r w:rsidRPr="001D0483">
        <w:t xml:space="preserve"> 8. Organisational capability and resilience.</w:t>
      </w:r>
    </w:p>
    <w:p w14:paraId="3CC1EB68" w14:textId="77777777" w:rsidR="00CB36D7" w:rsidRDefault="00CB36D7" w:rsidP="00BA273A">
      <w:pPr>
        <w:pStyle w:val="ChartandTableFootnoteAlpha"/>
        <w:numPr>
          <w:ilvl w:val="0"/>
          <w:numId w:val="8"/>
        </w:numPr>
        <w:tabs>
          <w:tab w:val="clear" w:pos="284"/>
          <w:tab w:val="num" w:pos="426"/>
        </w:tabs>
        <w:ind w:left="426" w:hanging="426"/>
        <w:jc w:val="left"/>
      </w:pPr>
      <w:r>
        <w:t xml:space="preserve">Marine </w:t>
      </w:r>
      <w:r w:rsidRPr="007933B3">
        <w:t>incidents are classified by AMSA into one of three severity levels: (1) very serious; (2) serious; and (3) less serious. Several factors are considered by AMSA to decide whether an incident is deemed very serious and/or serious; including fatalities, serious injuries, loss of vessel, damage to vessel and equipment; significant pollution, and impacts on the community. Less serious incidents might include fire, grounding, and minor collisions (without very serious or serious consequences).</w:t>
      </w:r>
    </w:p>
    <w:p w14:paraId="7670BB96" w14:textId="77777777" w:rsidR="00CB36D7" w:rsidRDefault="00CB36D7" w:rsidP="00BA273A">
      <w:pPr>
        <w:pStyle w:val="ChartandTableFootnoteAlpha"/>
        <w:numPr>
          <w:ilvl w:val="0"/>
          <w:numId w:val="8"/>
        </w:numPr>
        <w:tabs>
          <w:tab w:val="clear" w:pos="284"/>
          <w:tab w:val="num" w:pos="426"/>
        </w:tabs>
        <w:ind w:left="426" w:hanging="426"/>
        <w:jc w:val="left"/>
      </w:pPr>
      <w:r>
        <w:t xml:space="preserve">A </w:t>
      </w:r>
      <w:r w:rsidRPr="001E7A59">
        <w:t>significant oil spill is a Level 2 (or higher) incident in accordance with the National Plan for Maritime Environmental Emergencies (</w:t>
      </w:r>
      <w:r w:rsidRPr="00390569">
        <w:rPr>
          <w:u w:val="single"/>
        </w:rPr>
        <w:t>https://www.amsa.gov.au/marine-environment/national-plan-maritime-environmental-emergencies/national-plan-maritime</w:t>
      </w:r>
      <w:r w:rsidRPr="001E7A59">
        <w:t>)</w:t>
      </w:r>
    </w:p>
    <w:p w14:paraId="5DD95C48" w14:textId="77777777" w:rsidR="00CB36D7" w:rsidRDefault="00CB36D7" w:rsidP="00BA273A">
      <w:pPr>
        <w:pStyle w:val="ChartandTableFootnoteAlpha"/>
        <w:numPr>
          <w:ilvl w:val="0"/>
          <w:numId w:val="8"/>
        </w:numPr>
        <w:tabs>
          <w:tab w:val="clear" w:pos="284"/>
          <w:tab w:val="num" w:pos="426"/>
        </w:tabs>
        <w:ind w:left="426" w:hanging="426"/>
        <w:jc w:val="left"/>
      </w:pPr>
      <w:r>
        <w:t xml:space="preserve">Each </w:t>
      </w:r>
      <w:r w:rsidRPr="00D40EAB">
        <w:t>search and rescue incident reported to AMSA is triaged to assess the requirement to respond to a life at risk. Sometimes the assessment concludes that the life has already been lost, or AMSA is unable to determine if a life is actually at risk, i.e. false beacon activations. For those incidents which are assessed as requiring a response (i.e. a life is identified as being ‘at risk’) it is important that AMSA measures the performance of resources available to affect a rescue.</w:t>
      </w:r>
    </w:p>
    <w:p w14:paraId="76B61A7B" w14:textId="77777777" w:rsidR="00CB36D7" w:rsidRDefault="00CB36D7" w:rsidP="00BA273A">
      <w:pPr>
        <w:pStyle w:val="ChartandTableFootnoteAlpha"/>
        <w:numPr>
          <w:ilvl w:val="0"/>
          <w:numId w:val="8"/>
        </w:numPr>
        <w:tabs>
          <w:tab w:val="clear" w:pos="284"/>
          <w:tab w:val="num" w:pos="426"/>
        </w:tabs>
        <w:ind w:left="426" w:hanging="426"/>
        <w:jc w:val="left"/>
      </w:pPr>
      <w:r>
        <w:t xml:space="preserve">AMSA’s </w:t>
      </w:r>
      <w:r w:rsidRPr="001832F8">
        <w:t>intention is to save all lives at risk. In practicality, the circumstances surrounding individual incidents—i.e. severe medical conditions requiring specialist treatment, bad weather—affect the possibility of success of a search and rescue response. This reality is reflected in the previous results reported by AMSA for this measure, ranging between 95-99 per cent annually.</w:t>
      </w:r>
    </w:p>
    <w:p w14:paraId="4322E934" w14:textId="77777777" w:rsidR="00CB36D7" w:rsidRPr="00A37950" w:rsidRDefault="00CB36D7" w:rsidP="00BA273A">
      <w:pPr>
        <w:pStyle w:val="ChartandTableFootnoteAlpha"/>
        <w:numPr>
          <w:ilvl w:val="0"/>
          <w:numId w:val="8"/>
        </w:numPr>
        <w:tabs>
          <w:tab w:val="clear" w:pos="284"/>
          <w:tab w:val="num" w:pos="426"/>
        </w:tabs>
        <w:ind w:left="426" w:hanging="426"/>
        <w:jc w:val="left"/>
      </w:pPr>
      <w:r>
        <w:t xml:space="preserve">More </w:t>
      </w:r>
      <w:r w:rsidRPr="00A836B0">
        <w:t>accurate reporting and coding of severity of incident data since 2017 has identified that this performance measure tracks above the current &lt;0.5</w:t>
      </w:r>
      <w:r>
        <w:t>%</w:t>
      </w:r>
      <w:r w:rsidRPr="00A836B0">
        <w:t xml:space="preserve"> target. The four-year rolling average shows a similar trend with the 2020-21 result tracking at 0.98</w:t>
      </w:r>
      <w:r>
        <w:t>%</w:t>
      </w:r>
      <w:r w:rsidRPr="00A836B0">
        <w:t>. Additionally, there has been a significant increase (45</w:t>
      </w:r>
      <w:r>
        <w:t>%</w:t>
      </w:r>
      <w:r w:rsidRPr="00A836B0">
        <w:t>) in reporting between 2015-16 and 2020-21. To ensure that the target is effective and realistically reflects current trends and improvement in data reporting and noting the result of this performance measure in the last three years, the target will be changed to &lt;1.5</w:t>
      </w:r>
      <w:r>
        <w:t>%</w:t>
      </w:r>
      <w:r w:rsidRPr="00A836B0">
        <w:t xml:space="preserve"> from 2022-23 onwards.</w:t>
      </w:r>
    </w:p>
    <w:p w14:paraId="2D5947EF" w14:textId="77777777" w:rsidR="00CB36D7" w:rsidRPr="00AD42E2" w:rsidRDefault="00CB36D7" w:rsidP="00CB36D7">
      <w:pPr>
        <w:pStyle w:val="Heading2-AMSA"/>
      </w:pPr>
      <w:r w:rsidRPr="005B6A94">
        <w:br w:type="page"/>
      </w:r>
      <w:bookmarkStart w:id="17" w:name="_Toc97582512"/>
      <w:bookmarkStart w:id="18" w:name="_Toc99123125"/>
      <w:r w:rsidRPr="00AD42E2">
        <w:lastRenderedPageBreak/>
        <w:t>Section 3: Budgeted financial statements</w:t>
      </w:r>
      <w:bookmarkEnd w:id="17"/>
      <w:bookmarkEnd w:id="18"/>
    </w:p>
    <w:p w14:paraId="55295FB5" w14:textId="77777777" w:rsidR="00CB36D7" w:rsidRDefault="00CB36D7" w:rsidP="00CB36D7">
      <w:r>
        <w:t>Section 3 presents budgeted financial statements which provide a comprehensive snapshot of AMSA’s finances for the 2022-23 Budget year, including the impact of budget measures and resourcing on financial statements.</w:t>
      </w:r>
    </w:p>
    <w:p w14:paraId="2F499253" w14:textId="77777777" w:rsidR="00CB36D7" w:rsidRPr="005328A9" w:rsidRDefault="00CB36D7" w:rsidP="00CB36D7">
      <w:pPr>
        <w:pStyle w:val="Heading3-AMSA"/>
      </w:pPr>
      <w:bookmarkStart w:id="19" w:name="_Toc97582513"/>
      <w:bookmarkStart w:id="20" w:name="_Toc99123126"/>
      <w:r w:rsidRPr="005328A9">
        <w:t>3.1</w:t>
      </w:r>
      <w:r w:rsidRPr="005328A9">
        <w:tab/>
        <w:t>Budgeted financial statements</w:t>
      </w:r>
      <w:bookmarkEnd w:id="19"/>
      <w:bookmarkEnd w:id="20"/>
    </w:p>
    <w:p w14:paraId="347F3F63" w14:textId="77777777" w:rsidR="00CB36D7" w:rsidRDefault="00CB36D7" w:rsidP="00CB36D7">
      <w:pPr>
        <w:pStyle w:val="Heading4"/>
      </w:pPr>
      <w:r>
        <w:t>3.1.1</w:t>
      </w:r>
      <w:r>
        <w:tab/>
        <w:t>Explanatory notes and analysis of budgeted financial statements</w:t>
      </w:r>
    </w:p>
    <w:p w14:paraId="10AF8C83" w14:textId="77777777" w:rsidR="00CB36D7" w:rsidRPr="00AB0A26" w:rsidRDefault="00CB36D7" w:rsidP="00CB36D7">
      <w:pPr>
        <w:pStyle w:val="ExampleText0"/>
        <w:spacing w:after="160"/>
        <w:rPr>
          <w:b/>
          <w:bCs/>
          <w:i w:val="0"/>
          <w:color w:val="auto"/>
        </w:rPr>
      </w:pPr>
      <w:bookmarkStart w:id="21" w:name="_Toc97582514"/>
      <w:r w:rsidRPr="00AB0A26">
        <w:rPr>
          <w:b/>
          <w:bCs/>
          <w:i w:val="0"/>
          <w:color w:val="auto"/>
        </w:rPr>
        <w:t>Comprehensive income statement</w:t>
      </w:r>
    </w:p>
    <w:p w14:paraId="39AE455F" w14:textId="77777777" w:rsidR="00CB36D7" w:rsidRDefault="00CB36D7" w:rsidP="00CB36D7">
      <w:pPr>
        <w:pStyle w:val="ExampleText0"/>
        <w:spacing w:after="160"/>
        <w:rPr>
          <w:i w:val="0"/>
          <w:color w:val="auto"/>
        </w:rPr>
      </w:pPr>
      <w:r>
        <w:rPr>
          <w:i w:val="0"/>
          <w:color w:val="auto"/>
        </w:rPr>
        <w:t>AMSA delivered an operating surplus of $14.9 million in 2021-22. This increase, from a budgeted break-even position, is largely driven by a rise in anticipated levy revenue.</w:t>
      </w:r>
    </w:p>
    <w:p w14:paraId="6DA827CC" w14:textId="77777777" w:rsidR="00CB36D7" w:rsidRDefault="00CB36D7" w:rsidP="00CB36D7">
      <w:pPr>
        <w:pStyle w:val="ExampleText0"/>
        <w:spacing w:after="160"/>
        <w:rPr>
          <w:i w:val="0"/>
          <w:color w:val="auto"/>
        </w:rPr>
      </w:pPr>
      <w:r>
        <w:rPr>
          <w:i w:val="0"/>
          <w:color w:val="auto"/>
        </w:rPr>
        <w:t xml:space="preserve">AMSA is budgeting an operating surplus of $0.4 million in 2022-23, with surpluses in each of the forward year estimates. The budgeted surpluses are highly dependent on stability of levy revenue and potential disruptions influenced by externalities outside AMSA’s control, as well as being subject to </w:t>
      </w:r>
      <w:r w:rsidRPr="004D332B">
        <w:rPr>
          <w:i w:val="0"/>
          <w:color w:val="auto"/>
        </w:rPr>
        <w:t>outcome of the</w:t>
      </w:r>
      <w:r>
        <w:rPr>
          <w:i w:val="0"/>
          <w:color w:val="auto"/>
        </w:rPr>
        <w:t xml:space="preserve"> </w:t>
      </w:r>
      <w:r w:rsidRPr="004D332B">
        <w:rPr>
          <w:iCs/>
          <w:color w:val="auto"/>
        </w:rPr>
        <w:t>Independent Review on Australia’s Domestic Commercial Vessel Safety Legislation and Cost and Charging Arrangements</w:t>
      </w:r>
      <w:r w:rsidRPr="004D332B">
        <w:rPr>
          <w:i w:val="0"/>
          <w:color w:val="auto"/>
        </w:rPr>
        <w:t xml:space="preserve"> expected to be delivered in late 2022. Risks to levy revenue</w:t>
      </w:r>
      <w:r>
        <w:rPr>
          <w:i w:val="0"/>
          <w:color w:val="auto"/>
        </w:rPr>
        <w:t xml:space="preserve"> </w:t>
      </w:r>
      <w:r w:rsidRPr="004D332B">
        <w:rPr>
          <w:i w:val="0"/>
          <w:color w:val="auto"/>
        </w:rPr>
        <w:t>include the impact of international events on global trade and demand for Australian</w:t>
      </w:r>
      <w:r>
        <w:rPr>
          <w:i w:val="0"/>
          <w:color w:val="auto"/>
        </w:rPr>
        <w:t xml:space="preserve"> </w:t>
      </w:r>
      <w:r w:rsidRPr="004D332B">
        <w:rPr>
          <w:i w:val="0"/>
          <w:color w:val="auto"/>
        </w:rPr>
        <w:t>commodity exports especially iron ore and coal.</w:t>
      </w:r>
    </w:p>
    <w:p w14:paraId="670BB897" w14:textId="77777777" w:rsidR="00CB36D7" w:rsidRPr="00AB0A26" w:rsidRDefault="00CB36D7" w:rsidP="00CB36D7">
      <w:pPr>
        <w:pStyle w:val="ExampleText0"/>
        <w:spacing w:before="240" w:after="160"/>
        <w:rPr>
          <w:b/>
          <w:bCs/>
          <w:i w:val="0"/>
          <w:color w:val="auto"/>
        </w:rPr>
      </w:pPr>
      <w:r w:rsidRPr="00AB0A26">
        <w:rPr>
          <w:b/>
          <w:bCs/>
          <w:i w:val="0"/>
          <w:color w:val="auto"/>
        </w:rPr>
        <w:t>Revenue</w:t>
      </w:r>
    </w:p>
    <w:p w14:paraId="47B55FE2" w14:textId="603B3E61" w:rsidR="00CB36D7" w:rsidRPr="004D332B" w:rsidRDefault="00CB36D7" w:rsidP="00CB36D7">
      <w:pPr>
        <w:pStyle w:val="ExampleText0"/>
        <w:spacing w:after="160"/>
        <w:rPr>
          <w:i w:val="0"/>
          <w:color w:val="auto"/>
        </w:rPr>
      </w:pPr>
      <w:r w:rsidRPr="004D332B">
        <w:rPr>
          <w:i w:val="0"/>
          <w:color w:val="auto"/>
        </w:rPr>
        <w:t>Total revenue for 2022-23 is budgeted to be $242.2 million, a</w:t>
      </w:r>
      <w:r>
        <w:rPr>
          <w:i w:val="0"/>
          <w:color w:val="auto"/>
        </w:rPr>
        <w:t xml:space="preserve"> decrease </w:t>
      </w:r>
      <w:r w:rsidRPr="004D332B">
        <w:rPr>
          <w:i w:val="0"/>
          <w:color w:val="auto"/>
        </w:rPr>
        <w:t>of $</w:t>
      </w:r>
      <w:r>
        <w:rPr>
          <w:i w:val="0"/>
          <w:color w:val="auto"/>
        </w:rPr>
        <w:t>2.8</w:t>
      </w:r>
      <w:r w:rsidRPr="004D332B">
        <w:rPr>
          <w:i w:val="0"/>
          <w:color w:val="auto"/>
        </w:rPr>
        <w:t xml:space="preserve"> million</w:t>
      </w:r>
      <w:r>
        <w:rPr>
          <w:i w:val="0"/>
          <w:color w:val="auto"/>
        </w:rPr>
        <w:t xml:space="preserve"> compared to</w:t>
      </w:r>
      <w:r w:rsidRPr="004D332B">
        <w:rPr>
          <w:i w:val="0"/>
          <w:color w:val="auto"/>
        </w:rPr>
        <w:t xml:space="preserve"> 2021-22 of $</w:t>
      </w:r>
      <w:r>
        <w:rPr>
          <w:i w:val="0"/>
          <w:color w:val="auto"/>
        </w:rPr>
        <w:t>245.</w:t>
      </w:r>
      <w:r w:rsidR="00F20888">
        <w:rPr>
          <w:i w:val="0"/>
          <w:color w:val="auto"/>
        </w:rPr>
        <w:t>1</w:t>
      </w:r>
      <w:r w:rsidRPr="004D332B">
        <w:rPr>
          <w:i w:val="0"/>
          <w:color w:val="auto"/>
        </w:rPr>
        <w:t xml:space="preserve"> million.</w:t>
      </w:r>
    </w:p>
    <w:p w14:paraId="142C3194" w14:textId="77777777" w:rsidR="00CB36D7" w:rsidRDefault="00CB36D7" w:rsidP="00CB36D7">
      <w:pPr>
        <w:pStyle w:val="ExampleText0"/>
        <w:spacing w:after="160"/>
        <w:rPr>
          <w:i w:val="0"/>
          <w:color w:val="auto"/>
        </w:rPr>
      </w:pPr>
      <w:r w:rsidRPr="004D332B">
        <w:rPr>
          <w:i w:val="0"/>
          <w:color w:val="auto"/>
        </w:rPr>
        <w:t xml:space="preserve">This </w:t>
      </w:r>
      <w:r>
        <w:rPr>
          <w:i w:val="0"/>
          <w:color w:val="auto"/>
        </w:rPr>
        <w:t>decrease</w:t>
      </w:r>
      <w:r w:rsidRPr="004D332B">
        <w:rPr>
          <w:i w:val="0"/>
          <w:color w:val="auto"/>
        </w:rPr>
        <w:t xml:space="preserve"> reflects a</w:t>
      </w:r>
      <w:r>
        <w:rPr>
          <w:i w:val="0"/>
          <w:color w:val="auto"/>
        </w:rPr>
        <w:t xml:space="preserve"> reduction in other own-sourced revenue ($7.5 million), and </w:t>
      </w:r>
      <w:r w:rsidRPr="004D332B">
        <w:rPr>
          <w:i w:val="0"/>
          <w:color w:val="auto"/>
        </w:rPr>
        <w:t>lower transitional contributions from states</w:t>
      </w:r>
      <w:r>
        <w:rPr>
          <w:i w:val="0"/>
          <w:color w:val="auto"/>
        </w:rPr>
        <w:t xml:space="preserve"> </w:t>
      </w:r>
      <w:r w:rsidRPr="004D332B">
        <w:rPr>
          <w:i w:val="0"/>
          <w:color w:val="auto"/>
        </w:rPr>
        <w:t>and territories for National System in line with the agreed arrangements ($2.2 million),</w:t>
      </w:r>
      <w:r>
        <w:rPr>
          <w:i w:val="0"/>
          <w:color w:val="auto"/>
        </w:rPr>
        <w:t xml:space="preserve"> partially offset by </w:t>
      </w:r>
      <w:r w:rsidRPr="004D332B">
        <w:rPr>
          <w:i w:val="0"/>
          <w:color w:val="auto"/>
        </w:rPr>
        <w:t>rise in appropriations for both search and rescue and National</w:t>
      </w:r>
      <w:r>
        <w:rPr>
          <w:i w:val="0"/>
          <w:color w:val="auto"/>
        </w:rPr>
        <w:t xml:space="preserve"> </w:t>
      </w:r>
      <w:r w:rsidRPr="004D332B">
        <w:rPr>
          <w:i w:val="0"/>
          <w:color w:val="auto"/>
        </w:rPr>
        <w:t>System transitional funding ($5.</w:t>
      </w:r>
      <w:r>
        <w:rPr>
          <w:i w:val="0"/>
          <w:color w:val="auto"/>
        </w:rPr>
        <w:t>1</w:t>
      </w:r>
      <w:r w:rsidRPr="004D332B">
        <w:rPr>
          <w:i w:val="0"/>
          <w:color w:val="auto"/>
        </w:rPr>
        <w:t xml:space="preserve"> million), and the continuation of growth in levy</w:t>
      </w:r>
      <w:r>
        <w:rPr>
          <w:i w:val="0"/>
          <w:color w:val="auto"/>
        </w:rPr>
        <w:t xml:space="preserve"> </w:t>
      </w:r>
      <w:r w:rsidRPr="004D332B">
        <w:rPr>
          <w:i w:val="0"/>
          <w:color w:val="auto"/>
        </w:rPr>
        <w:t>revenue ($</w:t>
      </w:r>
      <w:r>
        <w:rPr>
          <w:i w:val="0"/>
          <w:color w:val="auto"/>
        </w:rPr>
        <w:t>1.8</w:t>
      </w:r>
      <w:r w:rsidRPr="004D332B">
        <w:rPr>
          <w:i w:val="0"/>
          <w:color w:val="auto"/>
        </w:rPr>
        <w:t xml:space="preserve"> million</w:t>
      </w:r>
      <w:r>
        <w:rPr>
          <w:i w:val="0"/>
          <w:color w:val="auto"/>
        </w:rPr>
        <w:t>).</w:t>
      </w:r>
    </w:p>
    <w:p w14:paraId="7E76B163" w14:textId="77777777" w:rsidR="00CB36D7" w:rsidRPr="003518F2" w:rsidRDefault="00CB36D7" w:rsidP="00CB36D7">
      <w:pPr>
        <w:pStyle w:val="ExampleText0"/>
        <w:spacing w:after="160"/>
        <w:rPr>
          <w:i w:val="0"/>
          <w:color w:val="auto"/>
        </w:rPr>
      </w:pPr>
      <w:r w:rsidRPr="003518F2">
        <w:rPr>
          <w:i w:val="0"/>
          <w:color w:val="auto"/>
        </w:rPr>
        <w:t>AMSA revenue sources are detailed below:</w:t>
      </w:r>
    </w:p>
    <w:p w14:paraId="2A800CC4" w14:textId="77777777" w:rsidR="00CB36D7" w:rsidRPr="003518F2" w:rsidRDefault="00CB36D7" w:rsidP="008D0F63">
      <w:pPr>
        <w:pStyle w:val="ExampleText0"/>
        <w:numPr>
          <w:ilvl w:val="0"/>
          <w:numId w:val="111"/>
        </w:numPr>
        <w:spacing w:after="160"/>
        <w:rPr>
          <w:i w:val="0"/>
          <w:color w:val="auto"/>
        </w:rPr>
      </w:pPr>
      <w:r w:rsidRPr="003518F2">
        <w:rPr>
          <w:i w:val="0"/>
          <w:color w:val="auto"/>
        </w:rPr>
        <w:t>Levy revenue is collected from the commercial shipping industry paid to Consolidated Revenue Fund and appropriated under section 48 of the AMSA Act as special appropriations. In 2022-23, levy revenue is budgeted to be $136.1</w:t>
      </w:r>
      <w:r>
        <w:rPr>
          <w:i w:val="0"/>
          <w:color w:val="auto"/>
        </w:rPr>
        <w:t> </w:t>
      </w:r>
      <w:r w:rsidRPr="003518F2">
        <w:rPr>
          <w:i w:val="0"/>
          <w:color w:val="auto"/>
        </w:rPr>
        <w:t>million (2021-22: $134.</w:t>
      </w:r>
      <w:r>
        <w:rPr>
          <w:i w:val="0"/>
          <w:color w:val="auto"/>
        </w:rPr>
        <w:t>9</w:t>
      </w:r>
      <w:r w:rsidRPr="003518F2">
        <w:rPr>
          <w:i w:val="0"/>
          <w:color w:val="auto"/>
        </w:rPr>
        <w:t xml:space="preserve"> million).</w:t>
      </w:r>
    </w:p>
    <w:p w14:paraId="0D7680F7" w14:textId="77777777" w:rsidR="00CB36D7" w:rsidRDefault="00CB36D7" w:rsidP="008D0F63">
      <w:pPr>
        <w:pStyle w:val="ExampleText0"/>
        <w:numPr>
          <w:ilvl w:val="0"/>
          <w:numId w:val="111"/>
        </w:numPr>
        <w:spacing w:after="160"/>
        <w:rPr>
          <w:i w:val="0"/>
          <w:color w:val="auto"/>
        </w:rPr>
      </w:pPr>
      <w:r w:rsidRPr="003518F2">
        <w:rPr>
          <w:i w:val="0"/>
          <w:color w:val="auto"/>
        </w:rPr>
        <w:t>Community Service Obligation funding received from the Australian Government for search and rescue coordination services in accordance with Australia’s internationally recognised search and rescue region. AMSA will receive an annual</w:t>
      </w:r>
      <w:r>
        <w:rPr>
          <w:i w:val="0"/>
          <w:color w:val="auto"/>
        </w:rPr>
        <w:t xml:space="preserve"> </w:t>
      </w:r>
      <w:r w:rsidRPr="003518F2">
        <w:rPr>
          <w:i w:val="0"/>
          <w:color w:val="auto"/>
        </w:rPr>
        <w:t>Departmental appropriation of $74.</w:t>
      </w:r>
      <w:r>
        <w:rPr>
          <w:i w:val="0"/>
          <w:color w:val="auto"/>
        </w:rPr>
        <w:t>3</w:t>
      </w:r>
      <w:r w:rsidRPr="003518F2">
        <w:rPr>
          <w:i w:val="0"/>
          <w:color w:val="auto"/>
        </w:rPr>
        <w:t xml:space="preserve"> million in 2022-23 (2021-22: $71.3 million).</w:t>
      </w:r>
    </w:p>
    <w:p w14:paraId="163E3B55" w14:textId="77777777" w:rsidR="00CB36D7" w:rsidRPr="003518F2" w:rsidRDefault="00CB36D7" w:rsidP="008D0F63">
      <w:pPr>
        <w:pStyle w:val="ExampleText0"/>
        <w:numPr>
          <w:ilvl w:val="0"/>
          <w:numId w:val="111"/>
        </w:numPr>
        <w:spacing w:after="160"/>
        <w:rPr>
          <w:i w:val="0"/>
          <w:color w:val="auto"/>
        </w:rPr>
      </w:pPr>
      <w:r w:rsidRPr="003518F2">
        <w:rPr>
          <w:i w:val="0"/>
          <w:color w:val="auto"/>
        </w:rPr>
        <w:lastRenderedPageBreak/>
        <w:t>Transitional and interim funding received from the Australian Government to</w:t>
      </w:r>
      <w:r>
        <w:rPr>
          <w:i w:val="0"/>
          <w:color w:val="auto"/>
        </w:rPr>
        <w:t xml:space="preserve"> </w:t>
      </w:r>
      <w:r w:rsidRPr="003518F2">
        <w:rPr>
          <w:i w:val="0"/>
          <w:color w:val="auto"/>
        </w:rPr>
        <w:t>support regulatory service delivery of the National System of $18.6 million in</w:t>
      </w:r>
      <w:r>
        <w:rPr>
          <w:i w:val="0"/>
          <w:color w:val="auto"/>
        </w:rPr>
        <w:t xml:space="preserve"> </w:t>
      </w:r>
      <w:r w:rsidRPr="003518F2">
        <w:rPr>
          <w:i w:val="0"/>
          <w:color w:val="auto"/>
        </w:rPr>
        <w:t>2022-23 (2021-22: $16.2 million).</w:t>
      </w:r>
    </w:p>
    <w:p w14:paraId="6C76D6CF" w14:textId="77777777" w:rsidR="00CB36D7" w:rsidRPr="003518F2" w:rsidRDefault="00CB36D7" w:rsidP="008D0F63">
      <w:pPr>
        <w:pStyle w:val="ExampleText0"/>
        <w:numPr>
          <w:ilvl w:val="0"/>
          <w:numId w:val="111"/>
        </w:numPr>
        <w:spacing w:after="160"/>
        <w:rPr>
          <w:i w:val="0"/>
          <w:color w:val="auto"/>
        </w:rPr>
      </w:pPr>
      <w:r w:rsidRPr="003518F2">
        <w:rPr>
          <w:i w:val="0"/>
          <w:color w:val="auto"/>
        </w:rPr>
        <w:t>Transitional funding packages received from the States and Northern Territory</w:t>
      </w:r>
      <w:r>
        <w:rPr>
          <w:i w:val="0"/>
          <w:color w:val="auto"/>
        </w:rPr>
        <w:t xml:space="preserve"> </w:t>
      </w:r>
      <w:r w:rsidRPr="003518F2">
        <w:rPr>
          <w:i w:val="0"/>
          <w:color w:val="auto"/>
        </w:rPr>
        <w:t>for the National System of $3.0 million in 2022-23 (2021-22: $5.2 million).</w:t>
      </w:r>
    </w:p>
    <w:p w14:paraId="261BC67A" w14:textId="77777777" w:rsidR="00CB36D7" w:rsidRDefault="00CB36D7" w:rsidP="008D0F63">
      <w:pPr>
        <w:pStyle w:val="ExampleText0"/>
        <w:numPr>
          <w:ilvl w:val="0"/>
          <w:numId w:val="111"/>
        </w:numPr>
        <w:spacing w:after="160"/>
        <w:rPr>
          <w:i w:val="0"/>
          <w:color w:val="auto"/>
        </w:rPr>
      </w:pPr>
      <w:r w:rsidRPr="003518F2">
        <w:rPr>
          <w:i w:val="0"/>
          <w:color w:val="auto"/>
        </w:rPr>
        <w:t>Independent and own-sourced revenue, including charges for cost-recovery fee</w:t>
      </w:r>
      <w:r>
        <w:rPr>
          <w:i w:val="0"/>
          <w:color w:val="auto"/>
        </w:rPr>
        <w:t>-based</w:t>
      </w:r>
      <w:r w:rsidRPr="003518F2">
        <w:rPr>
          <w:i w:val="0"/>
          <w:color w:val="auto"/>
        </w:rPr>
        <w:t xml:space="preserve"> activities, interest revenue, related entity revenue, and other revenue of</w:t>
      </w:r>
      <w:r>
        <w:rPr>
          <w:i w:val="0"/>
          <w:color w:val="auto"/>
        </w:rPr>
        <w:t xml:space="preserve"> </w:t>
      </w:r>
      <w:r w:rsidRPr="003518F2">
        <w:rPr>
          <w:i w:val="0"/>
          <w:color w:val="auto"/>
        </w:rPr>
        <w:t>$10.2 million in 2022-23 (2021-22: $</w:t>
      </w:r>
      <w:r>
        <w:rPr>
          <w:i w:val="0"/>
          <w:color w:val="auto"/>
        </w:rPr>
        <w:t>17.8</w:t>
      </w:r>
      <w:r w:rsidRPr="003518F2">
        <w:rPr>
          <w:i w:val="0"/>
          <w:color w:val="auto"/>
        </w:rPr>
        <w:t xml:space="preserve"> million).</w:t>
      </w:r>
    </w:p>
    <w:p w14:paraId="1299F2CA" w14:textId="77777777" w:rsidR="00CB36D7" w:rsidRDefault="00CB36D7" w:rsidP="00CB36D7">
      <w:pPr>
        <w:pStyle w:val="ExampleText0"/>
        <w:spacing w:after="160"/>
        <w:rPr>
          <w:i w:val="0"/>
          <w:color w:val="auto"/>
        </w:rPr>
      </w:pPr>
      <w:r w:rsidRPr="003518F2">
        <w:rPr>
          <w:i w:val="0"/>
          <w:color w:val="auto"/>
        </w:rPr>
        <w:t>The following table shows the 2022-23 budgeted revenue with comparisons to</w:t>
      </w:r>
      <w:r>
        <w:rPr>
          <w:i w:val="0"/>
          <w:color w:val="auto"/>
        </w:rPr>
        <w:t xml:space="preserve"> </w:t>
      </w:r>
      <w:r w:rsidRPr="003518F2">
        <w:rPr>
          <w:i w:val="0"/>
          <w:color w:val="auto"/>
        </w:rPr>
        <w:t>2021-22</w:t>
      </w:r>
      <w:r>
        <w:rPr>
          <w:i w:val="0"/>
          <w:color w:val="auto"/>
        </w:rPr>
        <w:t>.</w:t>
      </w:r>
    </w:p>
    <w:p w14:paraId="3703F943" w14:textId="77777777" w:rsidR="00CB36D7" w:rsidRPr="005474E4" w:rsidRDefault="00CB36D7" w:rsidP="00CB36D7">
      <w:pPr>
        <w:pStyle w:val="ExampleText0"/>
        <w:spacing w:after="0"/>
        <w:ind w:left="66"/>
        <w:rPr>
          <w:rFonts w:ascii="Arial" w:hAnsi="Arial" w:cs="Arial"/>
          <w:b/>
          <w:i w:val="0"/>
          <w:color w:val="auto"/>
        </w:rPr>
      </w:pPr>
      <w:r w:rsidRPr="005474E4">
        <w:rPr>
          <w:rFonts w:ascii="Arial" w:hAnsi="Arial" w:cs="Arial"/>
          <w:b/>
          <w:i w:val="0"/>
          <w:color w:val="auto"/>
        </w:rPr>
        <w:t>AMSA sourced revenue comparison</w:t>
      </w:r>
    </w:p>
    <w:tbl>
      <w:tblPr>
        <w:tblW w:w="5000" w:type="pct"/>
        <w:tblLook w:val="04A0" w:firstRow="1" w:lastRow="0" w:firstColumn="1" w:lastColumn="0" w:noHBand="0" w:noVBand="1"/>
      </w:tblPr>
      <w:tblGrid>
        <w:gridCol w:w="5414"/>
        <w:gridCol w:w="1149"/>
        <w:gridCol w:w="1147"/>
      </w:tblGrid>
      <w:tr w:rsidR="00CB36D7" w:rsidRPr="005474E4" w14:paraId="422293A3" w14:textId="77777777" w:rsidTr="007431A4">
        <w:trPr>
          <w:trHeight w:val="204"/>
        </w:trPr>
        <w:tc>
          <w:tcPr>
            <w:tcW w:w="3511" w:type="pct"/>
            <w:tcBorders>
              <w:top w:val="single" w:sz="4" w:space="0" w:color="auto"/>
              <w:left w:val="nil"/>
              <w:bottom w:val="nil"/>
              <w:right w:val="nil"/>
            </w:tcBorders>
            <w:shd w:val="clear" w:color="000000" w:fill="FFFFFF"/>
            <w:noWrap/>
            <w:vAlign w:val="bottom"/>
            <w:hideMark/>
          </w:tcPr>
          <w:p w14:paraId="2E7E5CED" w14:textId="77777777" w:rsidR="00CB36D7" w:rsidRPr="005474E4" w:rsidRDefault="00CB36D7" w:rsidP="00CB36D7">
            <w:pPr>
              <w:spacing w:after="0" w:line="240" w:lineRule="auto"/>
              <w:rPr>
                <w:rFonts w:ascii="Arial" w:hAnsi="Arial" w:cs="Arial"/>
                <w:color w:val="000000"/>
                <w:sz w:val="16"/>
                <w:szCs w:val="16"/>
              </w:rPr>
            </w:pPr>
            <w:r w:rsidRPr="005474E4">
              <w:rPr>
                <w:rFonts w:ascii="Arial" w:hAnsi="Arial" w:cs="Arial"/>
                <w:color w:val="000000"/>
                <w:sz w:val="16"/>
                <w:szCs w:val="16"/>
              </w:rPr>
              <w:t> </w:t>
            </w:r>
          </w:p>
        </w:tc>
        <w:tc>
          <w:tcPr>
            <w:tcW w:w="745" w:type="pct"/>
            <w:tcBorders>
              <w:top w:val="single" w:sz="4" w:space="0" w:color="auto"/>
              <w:left w:val="nil"/>
              <w:bottom w:val="single" w:sz="4" w:space="0" w:color="auto"/>
              <w:right w:val="nil"/>
            </w:tcBorders>
            <w:shd w:val="clear" w:color="auto" w:fill="auto"/>
            <w:vAlign w:val="bottom"/>
            <w:hideMark/>
          </w:tcPr>
          <w:p w14:paraId="40BFC4EB" w14:textId="77777777" w:rsidR="00CB36D7" w:rsidRPr="005474E4" w:rsidRDefault="00CB36D7" w:rsidP="00CB36D7">
            <w:pPr>
              <w:spacing w:after="0" w:line="240" w:lineRule="auto"/>
              <w:jc w:val="right"/>
              <w:rPr>
                <w:rFonts w:ascii="Arial" w:hAnsi="Arial" w:cs="Arial"/>
                <w:sz w:val="16"/>
                <w:szCs w:val="16"/>
              </w:rPr>
            </w:pPr>
            <w:r w:rsidRPr="005474E4">
              <w:rPr>
                <w:rFonts w:ascii="Arial" w:hAnsi="Arial" w:cs="Arial"/>
                <w:sz w:val="16"/>
                <w:szCs w:val="16"/>
              </w:rPr>
              <w:t>2021-22 Estimated actual</w:t>
            </w:r>
            <w:r w:rsidRPr="005474E4">
              <w:rPr>
                <w:rFonts w:ascii="Arial" w:hAnsi="Arial" w:cs="Arial"/>
                <w:sz w:val="16"/>
                <w:szCs w:val="16"/>
              </w:rPr>
              <w:br/>
              <w:t>$'000</w:t>
            </w:r>
          </w:p>
        </w:tc>
        <w:tc>
          <w:tcPr>
            <w:tcW w:w="744" w:type="pct"/>
            <w:tcBorders>
              <w:top w:val="single" w:sz="4" w:space="0" w:color="auto"/>
              <w:left w:val="nil"/>
              <w:bottom w:val="single" w:sz="4" w:space="0" w:color="auto"/>
              <w:right w:val="nil"/>
            </w:tcBorders>
            <w:shd w:val="clear" w:color="auto" w:fill="E6E6E6"/>
            <w:vAlign w:val="bottom"/>
            <w:hideMark/>
          </w:tcPr>
          <w:p w14:paraId="17F23687" w14:textId="77777777" w:rsidR="00CB36D7" w:rsidRPr="005474E4" w:rsidRDefault="00CB36D7" w:rsidP="00CB36D7">
            <w:pPr>
              <w:spacing w:after="0" w:line="240" w:lineRule="auto"/>
              <w:jc w:val="right"/>
              <w:rPr>
                <w:rFonts w:ascii="Arial" w:hAnsi="Arial" w:cs="Arial"/>
                <w:sz w:val="16"/>
                <w:szCs w:val="16"/>
              </w:rPr>
            </w:pPr>
            <w:r w:rsidRPr="005474E4">
              <w:rPr>
                <w:rFonts w:ascii="Arial" w:hAnsi="Arial" w:cs="Arial"/>
                <w:sz w:val="16"/>
                <w:szCs w:val="16"/>
              </w:rPr>
              <w:t>2022-23</w:t>
            </w:r>
            <w:r w:rsidRPr="005474E4">
              <w:rPr>
                <w:rFonts w:ascii="Arial" w:hAnsi="Arial" w:cs="Arial"/>
                <w:sz w:val="16"/>
                <w:szCs w:val="16"/>
              </w:rPr>
              <w:br/>
              <w:t>Budget</w:t>
            </w:r>
            <w:r w:rsidRPr="005474E4">
              <w:rPr>
                <w:rFonts w:ascii="Arial" w:hAnsi="Arial" w:cs="Arial"/>
                <w:sz w:val="16"/>
                <w:szCs w:val="16"/>
              </w:rPr>
              <w:br/>
            </w:r>
            <w:r w:rsidRPr="005474E4">
              <w:rPr>
                <w:rFonts w:ascii="Arial" w:hAnsi="Arial" w:cs="Arial"/>
                <w:sz w:val="16"/>
                <w:szCs w:val="16"/>
              </w:rPr>
              <w:br/>
              <w:t>$'000</w:t>
            </w:r>
          </w:p>
        </w:tc>
      </w:tr>
      <w:tr w:rsidR="00CB36D7" w:rsidRPr="005474E4" w14:paraId="45E27656" w14:textId="77777777" w:rsidTr="007431A4">
        <w:trPr>
          <w:trHeight w:val="204"/>
        </w:trPr>
        <w:tc>
          <w:tcPr>
            <w:tcW w:w="3511" w:type="pct"/>
            <w:tcBorders>
              <w:top w:val="nil"/>
              <w:left w:val="nil"/>
              <w:bottom w:val="nil"/>
              <w:right w:val="nil"/>
            </w:tcBorders>
            <w:shd w:val="clear" w:color="auto" w:fill="auto"/>
            <w:noWrap/>
            <w:vAlign w:val="bottom"/>
            <w:hideMark/>
          </w:tcPr>
          <w:p w14:paraId="4386AFB4" w14:textId="77777777" w:rsidR="00CB36D7" w:rsidRPr="005474E4" w:rsidRDefault="00CB36D7" w:rsidP="00CB36D7">
            <w:pPr>
              <w:spacing w:after="0" w:line="240" w:lineRule="auto"/>
              <w:rPr>
                <w:rFonts w:ascii="Arial" w:hAnsi="Arial" w:cs="Arial"/>
                <w:bCs/>
                <w:sz w:val="16"/>
                <w:szCs w:val="16"/>
              </w:rPr>
            </w:pPr>
            <w:r w:rsidRPr="005474E4">
              <w:rPr>
                <w:rFonts w:ascii="Arial" w:hAnsi="Arial" w:cs="Arial"/>
                <w:bCs/>
                <w:sz w:val="16"/>
                <w:szCs w:val="16"/>
              </w:rPr>
              <w:t>Annual departmental appropriations</w:t>
            </w:r>
          </w:p>
        </w:tc>
        <w:tc>
          <w:tcPr>
            <w:tcW w:w="745" w:type="pct"/>
            <w:tcBorders>
              <w:top w:val="nil"/>
              <w:left w:val="nil"/>
              <w:bottom w:val="nil"/>
              <w:right w:val="nil"/>
            </w:tcBorders>
            <w:shd w:val="clear" w:color="auto" w:fill="auto"/>
            <w:noWrap/>
            <w:vAlign w:val="bottom"/>
            <w:hideMark/>
          </w:tcPr>
          <w:p w14:paraId="210F5DEA" w14:textId="77777777" w:rsidR="00CB36D7" w:rsidRPr="005474E4" w:rsidRDefault="00CB36D7" w:rsidP="00CB36D7">
            <w:pPr>
              <w:spacing w:after="0" w:line="240" w:lineRule="auto"/>
              <w:jc w:val="right"/>
              <w:rPr>
                <w:rFonts w:ascii="Arial" w:hAnsi="Arial" w:cs="Arial"/>
                <w:bCs/>
                <w:sz w:val="16"/>
                <w:szCs w:val="16"/>
              </w:rPr>
            </w:pPr>
          </w:p>
        </w:tc>
        <w:tc>
          <w:tcPr>
            <w:tcW w:w="744" w:type="pct"/>
            <w:tcBorders>
              <w:top w:val="nil"/>
              <w:left w:val="nil"/>
              <w:bottom w:val="nil"/>
              <w:right w:val="nil"/>
            </w:tcBorders>
            <w:shd w:val="clear" w:color="auto" w:fill="E6E6E6"/>
            <w:noWrap/>
            <w:vAlign w:val="bottom"/>
            <w:hideMark/>
          </w:tcPr>
          <w:p w14:paraId="6592A575" w14:textId="77777777" w:rsidR="00CB36D7" w:rsidRPr="005474E4" w:rsidRDefault="00CB36D7" w:rsidP="00CB36D7">
            <w:pPr>
              <w:spacing w:after="0" w:line="240" w:lineRule="auto"/>
              <w:jc w:val="right"/>
              <w:rPr>
                <w:rFonts w:ascii="Arial" w:hAnsi="Arial" w:cs="Arial"/>
                <w:bCs/>
                <w:sz w:val="16"/>
                <w:szCs w:val="16"/>
              </w:rPr>
            </w:pPr>
          </w:p>
        </w:tc>
      </w:tr>
      <w:tr w:rsidR="00CB36D7" w:rsidRPr="005474E4" w14:paraId="2C0BA2DD" w14:textId="77777777" w:rsidTr="007431A4">
        <w:trPr>
          <w:trHeight w:val="204"/>
        </w:trPr>
        <w:tc>
          <w:tcPr>
            <w:tcW w:w="3511" w:type="pct"/>
            <w:tcBorders>
              <w:top w:val="nil"/>
              <w:left w:val="nil"/>
              <w:bottom w:val="nil"/>
              <w:right w:val="nil"/>
            </w:tcBorders>
            <w:shd w:val="clear" w:color="auto" w:fill="auto"/>
            <w:noWrap/>
            <w:vAlign w:val="bottom"/>
            <w:hideMark/>
          </w:tcPr>
          <w:p w14:paraId="1BE28C3F" w14:textId="77777777" w:rsidR="00CB36D7" w:rsidRPr="005474E4" w:rsidRDefault="00CB36D7" w:rsidP="00CB36D7">
            <w:pPr>
              <w:spacing w:after="0" w:line="240" w:lineRule="auto"/>
              <w:ind w:left="113"/>
              <w:rPr>
                <w:rFonts w:ascii="Arial" w:hAnsi="Arial" w:cs="Arial"/>
                <w:sz w:val="16"/>
                <w:szCs w:val="16"/>
              </w:rPr>
            </w:pPr>
            <w:r w:rsidRPr="005474E4">
              <w:rPr>
                <w:rFonts w:ascii="Arial" w:hAnsi="Arial" w:cs="Arial"/>
                <w:sz w:val="16"/>
                <w:szCs w:val="16"/>
              </w:rPr>
              <w:t>Search and rescue functions and activities</w:t>
            </w:r>
          </w:p>
        </w:tc>
        <w:tc>
          <w:tcPr>
            <w:tcW w:w="745" w:type="pct"/>
            <w:tcBorders>
              <w:top w:val="nil"/>
              <w:left w:val="nil"/>
              <w:bottom w:val="nil"/>
              <w:right w:val="nil"/>
            </w:tcBorders>
            <w:shd w:val="clear" w:color="auto" w:fill="auto"/>
            <w:noWrap/>
            <w:vAlign w:val="bottom"/>
            <w:hideMark/>
          </w:tcPr>
          <w:p w14:paraId="5D2B1FE8" w14:textId="77777777" w:rsidR="00CB36D7" w:rsidRPr="005474E4" w:rsidRDefault="00CB36D7" w:rsidP="00CB36D7">
            <w:pPr>
              <w:spacing w:after="0" w:line="240" w:lineRule="auto"/>
              <w:jc w:val="right"/>
              <w:rPr>
                <w:rFonts w:ascii="Arial" w:hAnsi="Arial" w:cs="Arial"/>
                <w:color w:val="000000"/>
                <w:sz w:val="16"/>
                <w:szCs w:val="16"/>
              </w:rPr>
            </w:pPr>
            <w:r w:rsidRPr="005474E4">
              <w:rPr>
                <w:rFonts w:ascii="Arial" w:hAnsi="Arial" w:cs="Arial"/>
                <w:color w:val="000000"/>
                <w:sz w:val="16"/>
                <w:szCs w:val="16"/>
              </w:rPr>
              <w:t>71,2</w:t>
            </w:r>
            <w:r>
              <w:rPr>
                <w:rFonts w:ascii="Arial" w:hAnsi="Arial" w:cs="Arial"/>
                <w:color w:val="000000"/>
                <w:sz w:val="16"/>
                <w:szCs w:val="16"/>
              </w:rPr>
              <w:t>81</w:t>
            </w:r>
          </w:p>
        </w:tc>
        <w:tc>
          <w:tcPr>
            <w:tcW w:w="744" w:type="pct"/>
            <w:tcBorders>
              <w:top w:val="nil"/>
              <w:left w:val="nil"/>
              <w:bottom w:val="nil"/>
              <w:right w:val="nil"/>
            </w:tcBorders>
            <w:shd w:val="clear" w:color="auto" w:fill="E6E6E6"/>
            <w:noWrap/>
            <w:vAlign w:val="bottom"/>
            <w:hideMark/>
          </w:tcPr>
          <w:p w14:paraId="5A73EB02" w14:textId="77777777" w:rsidR="00CB36D7" w:rsidRPr="005474E4" w:rsidRDefault="00CB36D7" w:rsidP="00CB36D7">
            <w:pPr>
              <w:spacing w:after="0" w:line="240" w:lineRule="auto"/>
              <w:jc w:val="right"/>
              <w:rPr>
                <w:rFonts w:ascii="Arial" w:hAnsi="Arial" w:cs="Arial"/>
                <w:sz w:val="16"/>
                <w:szCs w:val="16"/>
              </w:rPr>
            </w:pPr>
            <w:r w:rsidRPr="005474E4">
              <w:rPr>
                <w:rFonts w:ascii="Arial" w:hAnsi="Arial" w:cs="Arial"/>
                <w:sz w:val="16"/>
                <w:szCs w:val="16"/>
              </w:rPr>
              <w:t>74,32</w:t>
            </w:r>
            <w:r>
              <w:rPr>
                <w:rFonts w:ascii="Arial" w:hAnsi="Arial" w:cs="Arial"/>
                <w:sz w:val="16"/>
                <w:szCs w:val="16"/>
              </w:rPr>
              <w:t>6</w:t>
            </w:r>
          </w:p>
        </w:tc>
      </w:tr>
      <w:tr w:rsidR="00CB36D7" w:rsidRPr="005474E4" w14:paraId="6AC2A25A" w14:textId="77777777" w:rsidTr="007431A4">
        <w:trPr>
          <w:trHeight w:val="204"/>
        </w:trPr>
        <w:tc>
          <w:tcPr>
            <w:tcW w:w="3511" w:type="pct"/>
            <w:tcBorders>
              <w:top w:val="nil"/>
              <w:left w:val="nil"/>
              <w:bottom w:val="nil"/>
              <w:right w:val="nil"/>
            </w:tcBorders>
            <w:shd w:val="clear" w:color="auto" w:fill="auto"/>
            <w:noWrap/>
            <w:vAlign w:val="bottom"/>
            <w:hideMark/>
          </w:tcPr>
          <w:p w14:paraId="5573CAC8" w14:textId="77777777" w:rsidR="00CB36D7" w:rsidRPr="005474E4" w:rsidRDefault="00CB36D7" w:rsidP="00CB36D7">
            <w:pPr>
              <w:spacing w:after="0" w:line="240" w:lineRule="auto"/>
              <w:ind w:left="113"/>
              <w:rPr>
                <w:rFonts w:ascii="Arial" w:hAnsi="Arial" w:cs="Arial"/>
                <w:sz w:val="16"/>
                <w:szCs w:val="16"/>
              </w:rPr>
            </w:pPr>
            <w:r w:rsidRPr="005474E4">
              <w:rPr>
                <w:rFonts w:ascii="Arial" w:hAnsi="Arial" w:cs="Arial"/>
                <w:sz w:val="16"/>
                <w:szCs w:val="16"/>
              </w:rPr>
              <w:t>National System funding</w:t>
            </w:r>
          </w:p>
        </w:tc>
        <w:tc>
          <w:tcPr>
            <w:tcW w:w="745" w:type="pct"/>
            <w:tcBorders>
              <w:top w:val="nil"/>
              <w:left w:val="nil"/>
              <w:bottom w:val="nil"/>
              <w:right w:val="nil"/>
            </w:tcBorders>
            <w:shd w:val="clear" w:color="auto" w:fill="auto"/>
            <w:noWrap/>
            <w:vAlign w:val="bottom"/>
            <w:hideMark/>
          </w:tcPr>
          <w:p w14:paraId="563733F8" w14:textId="77777777" w:rsidR="00CB36D7" w:rsidRPr="005474E4" w:rsidRDefault="00CB36D7" w:rsidP="00CB36D7">
            <w:pPr>
              <w:spacing w:after="0" w:line="240" w:lineRule="auto"/>
              <w:jc w:val="right"/>
              <w:rPr>
                <w:rFonts w:ascii="Arial" w:hAnsi="Arial" w:cs="Arial"/>
                <w:color w:val="000000"/>
                <w:sz w:val="16"/>
                <w:szCs w:val="16"/>
              </w:rPr>
            </w:pPr>
            <w:r w:rsidRPr="005474E4">
              <w:rPr>
                <w:rFonts w:ascii="Arial" w:hAnsi="Arial" w:cs="Arial"/>
                <w:color w:val="000000"/>
                <w:sz w:val="16"/>
                <w:szCs w:val="16"/>
              </w:rPr>
              <w:t>16,196</w:t>
            </w:r>
          </w:p>
        </w:tc>
        <w:tc>
          <w:tcPr>
            <w:tcW w:w="744" w:type="pct"/>
            <w:tcBorders>
              <w:top w:val="nil"/>
              <w:left w:val="nil"/>
              <w:bottom w:val="nil"/>
              <w:right w:val="nil"/>
            </w:tcBorders>
            <w:shd w:val="clear" w:color="auto" w:fill="E6E6E6"/>
            <w:noWrap/>
            <w:vAlign w:val="bottom"/>
            <w:hideMark/>
          </w:tcPr>
          <w:p w14:paraId="1ED19EB7" w14:textId="77777777" w:rsidR="00CB36D7" w:rsidRPr="005474E4" w:rsidRDefault="00CB36D7" w:rsidP="00CB36D7">
            <w:pPr>
              <w:spacing w:after="0" w:line="240" w:lineRule="auto"/>
              <w:jc w:val="right"/>
              <w:rPr>
                <w:rFonts w:ascii="Arial" w:hAnsi="Arial" w:cs="Arial"/>
                <w:sz w:val="16"/>
                <w:szCs w:val="16"/>
              </w:rPr>
            </w:pPr>
            <w:r w:rsidRPr="005474E4">
              <w:rPr>
                <w:rFonts w:ascii="Arial" w:hAnsi="Arial" w:cs="Arial"/>
                <w:sz w:val="16"/>
                <w:szCs w:val="16"/>
              </w:rPr>
              <w:t>18,56</w:t>
            </w:r>
            <w:r>
              <w:rPr>
                <w:rFonts w:ascii="Arial" w:hAnsi="Arial" w:cs="Arial"/>
                <w:sz w:val="16"/>
                <w:szCs w:val="16"/>
              </w:rPr>
              <w:t>7</w:t>
            </w:r>
          </w:p>
        </w:tc>
      </w:tr>
      <w:tr w:rsidR="00CB36D7" w:rsidRPr="005474E4" w14:paraId="0E481792" w14:textId="77777777" w:rsidTr="007431A4">
        <w:trPr>
          <w:trHeight w:val="204"/>
        </w:trPr>
        <w:tc>
          <w:tcPr>
            <w:tcW w:w="3511" w:type="pct"/>
            <w:tcBorders>
              <w:top w:val="nil"/>
              <w:left w:val="nil"/>
              <w:bottom w:val="nil"/>
              <w:right w:val="nil"/>
            </w:tcBorders>
            <w:shd w:val="clear" w:color="auto" w:fill="auto"/>
            <w:noWrap/>
            <w:vAlign w:val="bottom"/>
            <w:hideMark/>
          </w:tcPr>
          <w:p w14:paraId="47DB48A9" w14:textId="77777777" w:rsidR="00CB36D7" w:rsidRPr="005474E4" w:rsidRDefault="00CB36D7" w:rsidP="00CB36D7">
            <w:pPr>
              <w:spacing w:after="0" w:line="240" w:lineRule="auto"/>
              <w:ind w:left="113"/>
              <w:rPr>
                <w:rFonts w:ascii="Arial" w:hAnsi="Arial" w:cs="Arial"/>
                <w:sz w:val="16"/>
                <w:szCs w:val="16"/>
              </w:rPr>
            </w:pPr>
            <w:r w:rsidRPr="005474E4">
              <w:rPr>
                <w:rFonts w:ascii="Arial" w:hAnsi="Arial" w:cs="Arial"/>
                <w:sz w:val="16"/>
                <w:szCs w:val="16"/>
              </w:rPr>
              <w:t>Other funding</w:t>
            </w:r>
          </w:p>
        </w:tc>
        <w:tc>
          <w:tcPr>
            <w:tcW w:w="745" w:type="pct"/>
            <w:tcBorders>
              <w:top w:val="nil"/>
              <w:left w:val="nil"/>
              <w:right w:val="nil"/>
            </w:tcBorders>
            <w:shd w:val="clear" w:color="auto" w:fill="auto"/>
            <w:noWrap/>
            <w:vAlign w:val="bottom"/>
            <w:hideMark/>
          </w:tcPr>
          <w:p w14:paraId="427F5FCC" w14:textId="77777777" w:rsidR="00CB36D7" w:rsidRPr="005474E4" w:rsidRDefault="00CB36D7" w:rsidP="00CB36D7">
            <w:pPr>
              <w:spacing w:after="0" w:line="240" w:lineRule="auto"/>
              <w:jc w:val="right"/>
              <w:rPr>
                <w:rFonts w:ascii="Arial" w:hAnsi="Arial" w:cs="Arial"/>
                <w:color w:val="000000"/>
                <w:sz w:val="16"/>
                <w:szCs w:val="16"/>
              </w:rPr>
            </w:pPr>
            <w:r w:rsidRPr="005474E4">
              <w:rPr>
                <w:rFonts w:ascii="Arial" w:hAnsi="Arial" w:cs="Arial"/>
                <w:color w:val="000000"/>
                <w:sz w:val="16"/>
                <w:szCs w:val="16"/>
              </w:rPr>
              <w:t>327</w:t>
            </w:r>
          </w:p>
        </w:tc>
        <w:tc>
          <w:tcPr>
            <w:tcW w:w="744" w:type="pct"/>
            <w:tcBorders>
              <w:top w:val="nil"/>
              <w:left w:val="nil"/>
              <w:right w:val="nil"/>
            </w:tcBorders>
            <w:shd w:val="clear" w:color="auto" w:fill="E6E6E6"/>
            <w:noWrap/>
            <w:vAlign w:val="bottom"/>
            <w:hideMark/>
          </w:tcPr>
          <w:p w14:paraId="2B8AFE3C" w14:textId="77777777" w:rsidR="00CB36D7" w:rsidRPr="005474E4" w:rsidRDefault="00CB36D7" w:rsidP="00CB36D7">
            <w:pPr>
              <w:spacing w:after="0" w:line="240" w:lineRule="auto"/>
              <w:jc w:val="right"/>
              <w:rPr>
                <w:rFonts w:ascii="Arial" w:hAnsi="Arial" w:cs="Arial"/>
                <w:sz w:val="16"/>
                <w:szCs w:val="16"/>
              </w:rPr>
            </w:pPr>
            <w:r w:rsidRPr="005474E4">
              <w:rPr>
                <w:rFonts w:ascii="Arial" w:hAnsi="Arial" w:cs="Arial"/>
                <w:sz w:val="16"/>
                <w:szCs w:val="16"/>
              </w:rPr>
              <w:t>-</w:t>
            </w:r>
          </w:p>
        </w:tc>
      </w:tr>
      <w:tr w:rsidR="00CB36D7" w:rsidRPr="005474E4" w14:paraId="021CF0E3" w14:textId="77777777" w:rsidTr="007431A4">
        <w:trPr>
          <w:trHeight w:val="204"/>
        </w:trPr>
        <w:tc>
          <w:tcPr>
            <w:tcW w:w="3511" w:type="pct"/>
            <w:tcBorders>
              <w:top w:val="nil"/>
              <w:left w:val="nil"/>
              <w:bottom w:val="nil"/>
              <w:right w:val="nil"/>
            </w:tcBorders>
            <w:shd w:val="clear" w:color="auto" w:fill="auto"/>
            <w:vAlign w:val="bottom"/>
            <w:hideMark/>
          </w:tcPr>
          <w:p w14:paraId="7EBCF25C" w14:textId="77777777" w:rsidR="00CB36D7" w:rsidRPr="005474E4" w:rsidRDefault="00CB36D7" w:rsidP="00CB36D7">
            <w:pPr>
              <w:spacing w:after="0" w:line="240" w:lineRule="auto"/>
              <w:rPr>
                <w:rFonts w:ascii="Arial" w:hAnsi="Arial" w:cs="Arial"/>
                <w:bCs/>
                <w:sz w:val="16"/>
                <w:szCs w:val="16"/>
              </w:rPr>
            </w:pPr>
            <w:r w:rsidRPr="005474E4">
              <w:rPr>
                <w:rFonts w:ascii="Arial" w:hAnsi="Arial" w:cs="Arial"/>
                <w:bCs/>
                <w:sz w:val="16"/>
                <w:szCs w:val="16"/>
              </w:rPr>
              <w:t>Special appropriations of levies collected from the maritime shipping industry</w:t>
            </w:r>
          </w:p>
        </w:tc>
        <w:tc>
          <w:tcPr>
            <w:tcW w:w="745" w:type="pct"/>
            <w:tcBorders>
              <w:left w:val="nil"/>
              <w:right w:val="nil"/>
            </w:tcBorders>
            <w:shd w:val="clear" w:color="000000" w:fill="FFFFFF"/>
            <w:noWrap/>
            <w:vAlign w:val="bottom"/>
            <w:hideMark/>
          </w:tcPr>
          <w:p w14:paraId="31AAA7B6" w14:textId="2DB77749" w:rsidR="00CB36D7" w:rsidRPr="005474E4" w:rsidRDefault="00CB36D7" w:rsidP="00CB36D7">
            <w:pPr>
              <w:spacing w:after="0" w:line="240" w:lineRule="auto"/>
              <w:jc w:val="right"/>
              <w:rPr>
                <w:rFonts w:ascii="Arial" w:hAnsi="Arial" w:cs="Arial"/>
                <w:bCs/>
                <w:sz w:val="16"/>
                <w:szCs w:val="16"/>
              </w:rPr>
            </w:pPr>
            <w:r w:rsidRPr="005474E4">
              <w:rPr>
                <w:rFonts w:ascii="Arial" w:hAnsi="Arial" w:cs="Arial"/>
                <w:bCs/>
                <w:color w:val="000000"/>
                <w:sz w:val="16"/>
                <w:szCs w:val="16"/>
              </w:rPr>
              <w:t>13</w:t>
            </w:r>
            <w:r>
              <w:rPr>
                <w:rFonts w:ascii="Arial" w:hAnsi="Arial" w:cs="Arial"/>
                <w:bCs/>
                <w:color w:val="000000"/>
                <w:sz w:val="16"/>
                <w:szCs w:val="16"/>
              </w:rPr>
              <w:t>4</w:t>
            </w:r>
            <w:r w:rsidRPr="005474E4">
              <w:rPr>
                <w:rFonts w:ascii="Arial" w:hAnsi="Arial" w:cs="Arial"/>
                <w:bCs/>
                <w:color w:val="000000"/>
                <w:sz w:val="16"/>
                <w:szCs w:val="16"/>
              </w:rPr>
              <w:t>,</w:t>
            </w:r>
            <w:r w:rsidR="00F33DE1">
              <w:rPr>
                <w:rFonts w:ascii="Arial" w:hAnsi="Arial" w:cs="Arial"/>
                <w:bCs/>
                <w:color w:val="000000"/>
                <w:sz w:val="16"/>
                <w:szCs w:val="16"/>
              </w:rPr>
              <w:t>2</w:t>
            </w:r>
            <w:r w:rsidRPr="005474E4">
              <w:rPr>
                <w:rFonts w:ascii="Arial" w:hAnsi="Arial" w:cs="Arial"/>
                <w:bCs/>
                <w:color w:val="000000"/>
                <w:sz w:val="16"/>
                <w:szCs w:val="16"/>
              </w:rPr>
              <w:t>16</w:t>
            </w:r>
          </w:p>
        </w:tc>
        <w:tc>
          <w:tcPr>
            <w:tcW w:w="744" w:type="pct"/>
            <w:tcBorders>
              <w:left w:val="nil"/>
              <w:right w:val="nil"/>
            </w:tcBorders>
            <w:shd w:val="clear" w:color="auto" w:fill="E6E6E6"/>
            <w:noWrap/>
            <w:vAlign w:val="bottom"/>
            <w:hideMark/>
          </w:tcPr>
          <w:p w14:paraId="7AF0C75B" w14:textId="77777777" w:rsidR="00CB36D7" w:rsidRPr="005474E4" w:rsidRDefault="00CB36D7" w:rsidP="00CB36D7">
            <w:pPr>
              <w:spacing w:after="0" w:line="240" w:lineRule="auto"/>
              <w:jc w:val="right"/>
              <w:rPr>
                <w:rFonts w:ascii="Arial" w:hAnsi="Arial" w:cs="Arial"/>
                <w:bCs/>
                <w:sz w:val="16"/>
                <w:szCs w:val="16"/>
              </w:rPr>
            </w:pPr>
            <w:r w:rsidRPr="005474E4">
              <w:rPr>
                <w:rFonts w:ascii="Arial" w:hAnsi="Arial" w:cs="Arial"/>
                <w:bCs/>
                <w:color w:val="000000"/>
                <w:sz w:val="16"/>
                <w:szCs w:val="16"/>
              </w:rPr>
              <w:t>136,059</w:t>
            </w:r>
          </w:p>
        </w:tc>
      </w:tr>
      <w:tr w:rsidR="00CB36D7" w:rsidRPr="005474E4" w14:paraId="21B85305" w14:textId="77777777" w:rsidTr="007431A4">
        <w:trPr>
          <w:trHeight w:val="204"/>
        </w:trPr>
        <w:tc>
          <w:tcPr>
            <w:tcW w:w="3511" w:type="pct"/>
            <w:tcBorders>
              <w:top w:val="nil"/>
              <w:left w:val="nil"/>
              <w:bottom w:val="nil"/>
              <w:right w:val="nil"/>
            </w:tcBorders>
            <w:shd w:val="clear" w:color="auto" w:fill="auto"/>
            <w:noWrap/>
            <w:vAlign w:val="bottom"/>
            <w:hideMark/>
          </w:tcPr>
          <w:p w14:paraId="2B51EDA3" w14:textId="77777777" w:rsidR="00CB36D7" w:rsidRPr="005474E4" w:rsidRDefault="00CB36D7" w:rsidP="00CB36D7">
            <w:pPr>
              <w:spacing w:after="0" w:line="240" w:lineRule="auto"/>
              <w:rPr>
                <w:rFonts w:ascii="Arial" w:hAnsi="Arial" w:cs="Arial"/>
                <w:bCs/>
                <w:sz w:val="16"/>
                <w:szCs w:val="16"/>
              </w:rPr>
            </w:pPr>
            <w:r w:rsidRPr="005474E4">
              <w:rPr>
                <w:rFonts w:ascii="Arial" w:hAnsi="Arial" w:cs="Arial"/>
                <w:bCs/>
                <w:sz w:val="16"/>
                <w:szCs w:val="16"/>
              </w:rPr>
              <w:t>Total independent or own-sources revenue</w:t>
            </w:r>
          </w:p>
        </w:tc>
        <w:tc>
          <w:tcPr>
            <w:tcW w:w="745" w:type="pct"/>
            <w:tcBorders>
              <w:left w:val="nil"/>
              <w:bottom w:val="single" w:sz="4" w:space="0" w:color="auto"/>
              <w:right w:val="nil"/>
            </w:tcBorders>
            <w:shd w:val="clear" w:color="000000" w:fill="FFFFFF"/>
            <w:noWrap/>
            <w:vAlign w:val="bottom"/>
          </w:tcPr>
          <w:p w14:paraId="01165066" w14:textId="77777777" w:rsidR="00CB36D7" w:rsidRPr="005474E4" w:rsidRDefault="00CB36D7" w:rsidP="00CB36D7">
            <w:pPr>
              <w:spacing w:after="0" w:line="240" w:lineRule="auto"/>
              <w:jc w:val="right"/>
              <w:rPr>
                <w:rFonts w:ascii="Arial" w:hAnsi="Arial" w:cs="Arial"/>
                <w:bCs/>
                <w:color w:val="000000"/>
                <w:sz w:val="16"/>
                <w:szCs w:val="16"/>
              </w:rPr>
            </w:pPr>
            <w:r>
              <w:rPr>
                <w:rFonts w:ascii="Arial" w:hAnsi="Arial" w:cs="Arial"/>
                <w:bCs/>
                <w:color w:val="000000"/>
                <w:sz w:val="16"/>
                <w:szCs w:val="16"/>
              </w:rPr>
              <w:t>23,045</w:t>
            </w:r>
          </w:p>
        </w:tc>
        <w:tc>
          <w:tcPr>
            <w:tcW w:w="744" w:type="pct"/>
            <w:tcBorders>
              <w:left w:val="nil"/>
              <w:bottom w:val="single" w:sz="4" w:space="0" w:color="auto"/>
              <w:right w:val="nil"/>
            </w:tcBorders>
            <w:shd w:val="clear" w:color="auto" w:fill="E6E6E6"/>
            <w:noWrap/>
            <w:vAlign w:val="bottom"/>
          </w:tcPr>
          <w:p w14:paraId="50171CCA" w14:textId="77777777" w:rsidR="00CB36D7" w:rsidRPr="005474E4" w:rsidRDefault="00CB36D7" w:rsidP="00CB36D7">
            <w:pPr>
              <w:spacing w:after="0" w:line="240" w:lineRule="auto"/>
              <w:jc w:val="right"/>
              <w:rPr>
                <w:rFonts w:ascii="Arial" w:hAnsi="Arial" w:cs="Arial"/>
                <w:bCs/>
                <w:color w:val="000000"/>
                <w:sz w:val="16"/>
                <w:szCs w:val="16"/>
              </w:rPr>
            </w:pPr>
            <w:r w:rsidRPr="005474E4">
              <w:rPr>
                <w:rFonts w:ascii="Arial" w:hAnsi="Arial" w:cs="Arial"/>
                <w:bCs/>
                <w:color w:val="000000"/>
                <w:sz w:val="16"/>
                <w:szCs w:val="16"/>
              </w:rPr>
              <w:t>13,271</w:t>
            </w:r>
          </w:p>
        </w:tc>
      </w:tr>
      <w:tr w:rsidR="00CB36D7" w:rsidRPr="005474E4" w14:paraId="53A114A2" w14:textId="77777777" w:rsidTr="007431A4">
        <w:trPr>
          <w:trHeight w:val="204"/>
        </w:trPr>
        <w:tc>
          <w:tcPr>
            <w:tcW w:w="3511" w:type="pct"/>
            <w:tcBorders>
              <w:top w:val="nil"/>
              <w:left w:val="nil"/>
              <w:bottom w:val="single" w:sz="4" w:space="0" w:color="auto"/>
              <w:right w:val="nil"/>
            </w:tcBorders>
            <w:shd w:val="clear" w:color="000000" w:fill="FFFFFF"/>
            <w:noWrap/>
            <w:vAlign w:val="bottom"/>
            <w:hideMark/>
          </w:tcPr>
          <w:p w14:paraId="37559965" w14:textId="77777777" w:rsidR="00CB36D7" w:rsidRPr="005474E4" w:rsidRDefault="00CB36D7" w:rsidP="00CB36D7">
            <w:pPr>
              <w:spacing w:after="0" w:line="240" w:lineRule="auto"/>
              <w:rPr>
                <w:rFonts w:ascii="Arial" w:hAnsi="Arial" w:cs="Arial"/>
                <w:b/>
                <w:bCs/>
                <w:color w:val="000000"/>
                <w:sz w:val="16"/>
                <w:szCs w:val="16"/>
              </w:rPr>
            </w:pPr>
            <w:r w:rsidRPr="005474E4">
              <w:rPr>
                <w:rFonts w:ascii="Arial" w:hAnsi="Arial" w:cs="Arial"/>
                <w:b/>
                <w:bCs/>
                <w:color w:val="000000"/>
                <w:sz w:val="16"/>
                <w:szCs w:val="16"/>
              </w:rPr>
              <w:t>Total revenue</w:t>
            </w:r>
          </w:p>
        </w:tc>
        <w:tc>
          <w:tcPr>
            <w:tcW w:w="745" w:type="pct"/>
            <w:tcBorders>
              <w:top w:val="single" w:sz="4" w:space="0" w:color="auto"/>
              <w:left w:val="nil"/>
              <w:bottom w:val="single" w:sz="4" w:space="0" w:color="auto"/>
              <w:right w:val="nil"/>
            </w:tcBorders>
            <w:shd w:val="clear" w:color="000000" w:fill="FFFFFF"/>
            <w:noWrap/>
            <w:vAlign w:val="bottom"/>
          </w:tcPr>
          <w:p w14:paraId="69EA8278" w14:textId="77777777" w:rsidR="00CB36D7" w:rsidRPr="005474E4" w:rsidRDefault="00CB36D7" w:rsidP="00CB36D7">
            <w:pPr>
              <w:spacing w:after="0" w:line="240" w:lineRule="auto"/>
              <w:jc w:val="right"/>
              <w:rPr>
                <w:rFonts w:ascii="Arial" w:hAnsi="Arial" w:cs="Arial"/>
                <w:b/>
                <w:bCs/>
                <w:color w:val="000000"/>
                <w:sz w:val="16"/>
                <w:szCs w:val="16"/>
              </w:rPr>
            </w:pPr>
            <w:r w:rsidRPr="005474E4">
              <w:rPr>
                <w:rFonts w:ascii="Arial" w:hAnsi="Arial" w:cs="Arial"/>
                <w:b/>
                <w:bCs/>
                <w:color w:val="000000"/>
                <w:sz w:val="16"/>
                <w:szCs w:val="16"/>
              </w:rPr>
              <w:t>24</w:t>
            </w:r>
            <w:r>
              <w:rPr>
                <w:rFonts w:ascii="Arial" w:hAnsi="Arial" w:cs="Arial"/>
                <w:b/>
                <w:bCs/>
                <w:color w:val="000000"/>
                <w:sz w:val="16"/>
                <w:szCs w:val="16"/>
              </w:rPr>
              <w:t>5,065</w:t>
            </w:r>
          </w:p>
        </w:tc>
        <w:tc>
          <w:tcPr>
            <w:tcW w:w="744" w:type="pct"/>
            <w:tcBorders>
              <w:top w:val="single" w:sz="4" w:space="0" w:color="auto"/>
              <w:left w:val="nil"/>
              <w:bottom w:val="single" w:sz="4" w:space="0" w:color="auto"/>
              <w:right w:val="nil"/>
            </w:tcBorders>
            <w:shd w:val="clear" w:color="auto" w:fill="E6E6E6"/>
            <w:noWrap/>
            <w:vAlign w:val="bottom"/>
          </w:tcPr>
          <w:p w14:paraId="649C1A12" w14:textId="77777777" w:rsidR="00CB36D7" w:rsidRPr="005474E4" w:rsidRDefault="00CB36D7" w:rsidP="00CB36D7">
            <w:pPr>
              <w:spacing w:after="0" w:line="240" w:lineRule="auto"/>
              <w:jc w:val="right"/>
              <w:rPr>
                <w:rFonts w:ascii="Arial" w:hAnsi="Arial" w:cs="Arial"/>
                <w:b/>
                <w:bCs/>
                <w:color w:val="000000"/>
                <w:sz w:val="16"/>
                <w:szCs w:val="16"/>
              </w:rPr>
            </w:pPr>
            <w:r w:rsidRPr="005474E4">
              <w:rPr>
                <w:rFonts w:ascii="Arial" w:hAnsi="Arial" w:cs="Arial"/>
                <w:b/>
                <w:bCs/>
                <w:color w:val="000000"/>
                <w:sz w:val="16"/>
                <w:szCs w:val="16"/>
              </w:rPr>
              <w:t>242,22</w:t>
            </w:r>
            <w:r>
              <w:rPr>
                <w:rFonts w:ascii="Arial" w:hAnsi="Arial" w:cs="Arial"/>
                <w:b/>
                <w:bCs/>
                <w:color w:val="000000"/>
                <w:sz w:val="16"/>
                <w:szCs w:val="16"/>
              </w:rPr>
              <w:t>3</w:t>
            </w:r>
          </w:p>
        </w:tc>
      </w:tr>
    </w:tbl>
    <w:p w14:paraId="65A15A80" w14:textId="77777777" w:rsidR="00CB36D7" w:rsidRPr="00224D27" w:rsidRDefault="00CB36D7" w:rsidP="00224D27">
      <w:pPr>
        <w:pStyle w:val="ExampleText0"/>
        <w:spacing w:before="240" w:after="160" w:line="240" w:lineRule="auto"/>
        <w:rPr>
          <w:b/>
          <w:bCs/>
          <w:i w:val="0"/>
          <w:color w:val="auto"/>
        </w:rPr>
      </w:pPr>
      <w:r w:rsidRPr="00224D27">
        <w:rPr>
          <w:b/>
          <w:bCs/>
          <w:i w:val="0"/>
          <w:color w:val="auto"/>
        </w:rPr>
        <w:t>Operating expenses</w:t>
      </w:r>
    </w:p>
    <w:p w14:paraId="7A19BD8F" w14:textId="77777777" w:rsidR="00CB36D7" w:rsidRPr="00224D27" w:rsidRDefault="00CB36D7" w:rsidP="00224D27">
      <w:pPr>
        <w:pStyle w:val="ExampleText0"/>
        <w:spacing w:after="160"/>
        <w:rPr>
          <w:i w:val="0"/>
          <w:color w:val="auto"/>
        </w:rPr>
      </w:pPr>
      <w:r w:rsidRPr="00224D27">
        <w:rPr>
          <w:i w:val="0"/>
          <w:color w:val="auto"/>
        </w:rPr>
        <w:t>Total operating expenses are budgeted to be $241.8 million in 2022-23, compared to 2021-22 of $232.0 million, an increase of $9.8 million. The main movements in budgeted operating expenses are:</w:t>
      </w:r>
    </w:p>
    <w:p w14:paraId="488A07B7" w14:textId="77777777" w:rsidR="00CB36D7" w:rsidRPr="00224D27" w:rsidRDefault="00CB36D7" w:rsidP="008D0F63">
      <w:pPr>
        <w:pStyle w:val="ExampleText0"/>
        <w:numPr>
          <w:ilvl w:val="0"/>
          <w:numId w:val="114"/>
        </w:numPr>
        <w:spacing w:after="160"/>
        <w:rPr>
          <w:i w:val="0"/>
          <w:color w:val="auto"/>
        </w:rPr>
      </w:pPr>
      <w:r w:rsidRPr="00224D27">
        <w:rPr>
          <w:i w:val="0"/>
          <w:color w:val="auto"/>
        </w:rPr>
        <w:t>supplier expenses are budgeted to increase by $7.5 million in 2022-23 to $128.9 million, associated with increased labour and material costs, and</w:t>
      </w:r>
    </w:p>
    <w:p w14:paraId="7256DF8E" w14:textId="77777777" w:rsidR="00CB36D7" w:rsidRPr="00224D27" w:rsidRDefault="00CB36D7" w:rsidP="008D0F63">
      <w:pPr>
        <w:pStyle w:val="ExampleText0"/>
        <w:numPr>
          <w:ilvl w:val="0"/>
          <w:numId w:val="114"/>
        </w:numPr>
        <w:spacing w:after="160"/>
        <w:rPr>
          <w:i w:val="0"/>
          <w:color w:val="auto"/>
        </w:rPr>
      </w:pPr>
      <w:r w:rsidRPr="00224D27">
        <w:rPr>
          <w:i w:val="0"/>
          <w:color w:val="auto"/>
        </w:rPr>
        <w:t>employee benefits expected to increase by $3.3 million in 2022-23 to $75.3 million, reflecting AMSA’s Enterprise Agreement.</w:t>
      </w:r>
    </w:p>
    <w:p w14:paraId="09CB2FE5" w14:textId="77777777" w:rsidR="00CB36D7" w:rsidRPr="00224D27" w:rsidRDefault="00CB36D7" w:rsidP="00224D27">
      <w:pPr>
        <w:pStyle w:val="ExampleText0"/>
        <w:spacing w:before="240" w:after="160"/>
        <w:rPr>
          <w:b/>
          <w:bCs/>
          <w:i w:val="0"/>
          <w:color w:val="auto"/>
        </w:rPr>
      </w:pPr>
      <w:r w:rsidRPr="00224D27">
        <w:rPr>
          <w:b/>
          <w:bCs/>
          <w:i w:val="0"/>
          <w:color w:val="auto"/>
        </w:rPr>
        <w:t>Equity and cash position</w:t>
      </w:r>
    </w:p>
    <w:p w14:paraId="52F9077B" w14:textId="77777777" w:rsidR="00CB36D7" w:rsidRPr="00224D27" w:rsidRDefault="00CB36D7" w:rsidP="00224D27">
      <w:pPr>
        <w:pStyle w:val="ExampleText0"/>
        <w:spacing w:after="160"/>
        <w:rPr>
          <w:i w:val="0"/>
          <w:color w:val="auto"/>
        </w:rPr>
      </w:pPr>
      <w:r w:rsidRPr="00224D27">
        <w:rPr>
          <w:i w:val="0"/>
          <w:color w:val="auto"/>
        </w:rPr>
        <w:t>Net assets (equity) movements are consistent with budgeted surpluses for budget and each of the three forward year estimates.</w:t>
      </w:r>
    </w:p>
    <w:p w14:paraId="36A0E8BA" w14:textId="77777777" w:rsidR="00CB36D7" w:rsidRPr="00224D27" w:rsidRDefault="00CB36D7" w:rsidP="00224D27">
      <w:pPr>
        <w:pStyle w:val="ExampleText0"/>
        <w:spacing w:after="160"/>
        <w:rPr>
          <w:i w:val="0"/>
          <w:color w:val="auto"/>
        </w:rPr>
      </w:pPr>
      <w:r w:rsidRPr="00224D27">
        <w:rPr>
          <w:i w:val="0"/>
          <w:color w:val="auto"/>
        </w:rPr>
        <w:t>AMSA’s net cash position (including investments) is budgeted to decrease by $12.5 million in 2022-23 and by a further $21.5 million in 2023-24 before stabilising. This reduction is mostly due to capital expenditure on aids to navigation sites and equipment, and other assets planned for 2022-23 and 2023-24.</w:t>
      </w:r>
    </w:p>
    <w:p w14:paraId="5F931F4D" w14:textId="77777777" w:rsidR="007C2E9F" w:rsidRDefault="00CB36D7" w:rsidP="00224D27">
      <w:pPr>
        <w:pStyle w:val="ExampleText0"/>
        <w:spacing w:after="160"/>
        <w:rPr>
          <w:i w:val="0"/>
          <w:color w:val="auto"/>
        </w:rPr>
      </w:pPr>
      <w:r w:rsidRPr="00224D27">
        <w:rPr>
          <w:i w:val="0"/>
          <w:color w:val="auto"/>
        </w:rPr>
        <w:t>The cash position includes $50 million set aside for pollution response emergencies.</w:t>
      </w:r>
    </w:p>
    <w:p w14:paraId="560D08C0" w14:textId="3BFFCE1E" w:rsidR="00CB36D7" w:rsidRPr="00224D27" w:rsidRDefault="00CB36D7" w:rsidP="00224D27">
      <w:pPr>
        <w:pStyle w:val="ExampleText0"/>
        <w:spacing w:after="160"/>
      </w:pPr>
      <w:r w:rsidRPr="00224D27">
        <w:br w:type="page"/>
      </w:r>
      <w:bookmarkStart w:id="22" w:name="_Toc99123127"/>
    </w:p>
    <w:p w14:paraId="4D159E24" w14:textId="77777777" w:rsidR="00CB36D7" w:rsidRPr="005474E4" w:rsidRDefault="00CB36D7" w:rsidP="00CB36D7">
      <w:pPr>
        <w:pStyle w:val="Heading3-AMSA"/>
      </w:pPr>
      <w:r w:rsidRPr="005474E4">
        <w:lastRenderedPageBreak/>
        <w:t>3.2</w:t>
      </w:r>
      <w:r w:rsidRPr="005474E4">
        <w:tab/>
        <w:t>Budgeted financial statements tables</w:t>
      </w:r>
      <w:bookmarkEnd w:id="21"/>
      <w:bookmarkEnd w:id="22"/>
    </w:p>
    <w:p w14:paraId="5160B699" w14:textId="77777777" w:rsidR="00CB36D7" w:rsidRDefault="00CB36D7" w:rsidP="00CB36D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8048" w:type="dxa"/>
        <w:tblLook w:val="04A0" w:firstRow="1" w:lastRow="0" w:firstColumn="1" w:lastColumn="0" w:noHBand="0" w:noVBand="1"/>
      </w:tblPr>
      <w:tblGrid>
        <w:gridCol w:w="3119"/>
        <w:gridCol w:w="89"/>
        <w:gridCol w:w="1236"/>
        <w:gridCol w:w="901"/>
        <w:gridCol w:w="901"/>
        <w:gridCol w:w="901"/>
        <w:gridCol w:w="901"/>
      </w:tblGrid>
      <w:tr w:rsidR="00CB36D7" w:rsidRPr="00DC083D" w14:paraId="24B5A38A" w14:textId="77777777" w:rsidTr="007431A4">
        <w:trPr>
          <w:trHeight w:val="204"/>
        </w:trPr>
        <w:tc>
          <w:tcPr>
            <w:tcW w:w="3119" w:type="dxa"/>
            <w:tcBorders>
              <w:top w:val="single" w:sz="4" w:space="0" w:color="auto"/>
              <w:left w:val="nil"/>
              <w:bottom w:val="nil"/>
              <w:right w:val="nil"/>
            </w:tcBorders>
            <w:shd w:val="clear" w:color="auto" w:fill="auto"/>
            <w:noWrap/>
            <w:vAlign w:val="bottom"/>
          </w:tcPr>
          <w:p w14:paraId="0649FE87" w14:textId="77777777" w:rsidR="00CB36D7" w:rsidRPr="00615D1A" w:rsidRDefault="00CB36D7" w:rsidP="00BA273A">
            <w:pPr>
              <w:spacing w:after="0" w:line="240" w:lineRule="auto"/>
              <w:jc w:val="right"/>
              <w:rPr>
                <w:rFonts w:ascii="Arial" w:hAnsi="Arial" w:cs="Arial"/>
                <w:b/>
                <w:bCs/>
                <w:sz w:val="16"/>
                <w:szCs w:val="16"/>
              </w:rPr>
            </w:pPr>
          </w:p>
        </w:tc>
        <w:tc>
          <w:tcPr>
            <w:tcW w:w="1325" w:type="dxa"/>
            <w:gridSpan w:val="2"/>
            <w:tcBorders>
              <w:top w:val="single" w:sz="4" w:space="0" w:color="auto"/>
              <w:left w:val="nil"/>
              <w:bottom w:val="single" w:sz="4" w:space="0" w:color="auto"/>
              <w:right w:val="nil"/>
            </w:tcBorders>
            <w:shd w:val="clear" w:color="auto" w:fill="auto"/>
            <w:noWrap/>
            <w:vAlign w:val="bottom"/>
          </w:tcPr>
          <w:p w14:paraId="5FB62695" w14:textId="77777777" w:rsidR="00CB36D7" w:rsidRPr="00EC7A4B" w:rsidRDefault="00CB36D7" w:rsidP="00BA273A">
            <w:pPr>
              <w:spacing w:after="0" w:line="240" w:lineRule="auto"/>
              <w:jc w:val="right"/>
              <w:rPr>
                <w:rFonts w:ascii="Arial" w:hAnsi="Arial" w:cs="Arial"/>
                <w:b/>
                <w:bCs/>
                <w:sz w:val="16"/>
                <w:szCs w:val="16"/>
              </w:rPr>
            </w:pPr>
            <w:r w:rsidRPr="00615D1A">
              <w:rPr>
                <w:rFonts w:ascii="Arial" w:hAnsi="Arial" w:cs="Arial"/>
                <w:sz w:val="16"/>
                <w:szCs w:val="16"/>
              </w:rPr>
              <w:t>2021-22 Estimated actual</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E6E6E6"/>
            <w:noWrap/>
            <w:vAlign w:val="bottom"/>
          </w:tcPr>
          <w:p w14:paraId="69F2FC0A" w14:textId="77777777" w:rsidR="00CB36D7" w:rsidRPr="00EC7A4B" w:rsidRDefault="00CB36D7" w:rsidP="00BA273A">
            <w:pPr>
              <w:spacing w:after="0" w:line="240" w:lineRule="auto"/>
              <w:jc w:val="right"/>
              <w:rPr>
                <w:rFonts w:ascii="Arial" w:hAnsi="Arial" w:cs="Arial"/>
                <w:b/>
                <w:bCs/>
                <w:sz w:val="16"/>
                <w:szCs w:val="16"/>
              </w:rPr>
            </w:pPr>
            <w:r w:rsidRPr="00615D1A">
              <w:rPr>
                <w:rFonts w:ascii="Arial" w:hAnsi="Arial" w:cs="Arial"/>
                <w:sz w:val="16"/>
                <w:szCs w:val="16"/>
              </w:rPr>
              <w:t>2022-23</w:t>
            </w:r>
            <w:r w:rsidRPr="00615D1A">
              <w:rPr>
                <w:rFonts w:ascii="Arial" w:hAnsi="Arial" w:cs="Arial"/>
                <w:sz w:val="16"/>
                <w:szCs w:val="16"/>
              </w:rPr>
              <w:br/>
              <w:t>Budget</w:t>
            </w:r>
            <w:r w:rsidRPr="00615D1A">
              <w:rPr>
                <w:rFonts w:ascii="Arial" w:hAnsi="Arial" w:cs="Arial"/>
                <w:sz w:val="16"/>
                <w:szCs w:val="16"/>
              </w:rPr>
              <w:br/>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29BC0AA3" w14:textId="77777777" w:rsidR="00CB36D7" w:rsidRPr="00EC7A4B" w:rsidRDefault="00CB36D7" w:rsidP="00BA273A">
            <w:pPr>
              <w:spacing w:after="0" w:line="240" w:lineRule="auto"/>
              <w:jc w:val="right"/>
              <w:rPr>
                <w:rFonts w:ascii="Arial" w:hAnsi="Arial" w:cs="Arial"/>
                <w:b/>
                <w:bCs/>
                <w:sz w:val="16"/>
                <w:szCs w:val="16"/>
              </w:rPr>
            </w:pPr>
            <w:r w:rsidRPr="00615D1A">
              <w:rPr>
                <w:rFonts w:ascii="Arial" w:hAnsi="Arial" w:cs="Arial"/>
                <w:sz w:val="16"/>
                <w:szCs w:val="16"/>
              </w:rPr>
              <w:t>2023-24 Forward estimate</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2DF0E47C" w14:textId="77777777" w:rsidR="00CB36D7" w:rsidRPr="00EC7A4B" w:rsidRDefault="00CB36D7" w:rsidP="00BA273A">
            <w:pPr>
              <w:spacing w:after="0" w:line="240" w:lineRule="auto"/>
              <w:jc w:val="right"/>
              <w:rPr>
                <w:rFonts w:ascii="Times New Roman" w:hAnsi="Times New Roman"/>
                <w:sz w:val="16"/>
                <w:szCs w:val="16"/>
              </w:rPr>
            </w:pPr>
            <w:r w:rsidRPr="00615D1A">
              <w:rPr>
                <w:rFonts w:ascii="Arial" w:hAnsi="Arial" w:cs="Arial"/>
                <w:sz w:val="16"/>
                <w:szCs w:val="16"/>
              </w:rPr>
              <w:t>2024-25 Forward estimate</w:t>
            </w:r>
            <w:r w:rsidRPr="00615D1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noWrap/>
            <w:vAlign w:val="bottom"/>
          </w:tcPr>
          <w:p w14:paraId="0D7A37A6" w14:textId="77777777" w:rsidR="00CB36D7" w:rsidRPr="00EC7A4B" w:rsidRDefault="00CB36D7" w:rsidP="00BA273A">
            <w:pPr>
              <w:spacing w:after="0" w:line="240" w:lineRule="auto"/>
              <w:jc w:val="right"/>
              <w:rPr>
                <w:rFonts w:ascii="Times New Roman" w:hAnsi="Times New Roman"/>
                <w:sz w:val="16"/>
                <w:szCs w:val="16"/>
              </w:rPr>
            </w:pPr>
            <w:r w:rsidRPr="00615D1A">
              <w:rPr>
                <w:rFonts w:ascii="Arial" w:hAnsi="Arial" w:cs="Arial"/>
                <w:sz w:val="16"/>
                <w:szCs w:val="16"/>
              </w:rPr>
              <w:t>2025-26</w:t>
            </w:r>
            <w:r w:rsidRPr="00615D1A">
              <w:rPr>
                <w:rFonts w:ascii="Arial" w:hAnsi="Arial" w:cs="Arial"/>
                <w:sz w:val="16"/>
                <w:szCs w:val="16"/>
              </w:rPr>
              <w:br/>
              <w:t>Forward estimate</w:t>
            </w:r>
            <w:r w:rsidRPr="00615D1A">
              <w:rPr>
                <w:rFonts w:ascii="Arial" w:hAnsi="Arial" w:cs="Arial"/>
                <w:sz w:val="16"/>
                <w:szCs w:val="16"/>
              </w:rPr>
              <w:br/>
              <w:t>$'000</w:t>
            </w:r>
          </w:p>
        </w:tc>
      </w:tr>
      <w:tr w:rsidR="00CB36D7" w:rsidRPr="00DC083D" w14:paraId="0B2707B8" w14:textId="77777777" w:rsidTr="007431A4">
        <w:trPr>
          <w:trHeight w:val="204"/>
        </w:trPr>
        <w:tc>
          <w:tcPr>
            <w:tcW w:w="3119" w:type="dxa"/>
            <w:tcBorders>
              <w:top w:val="nil"/>
              <w:left w:val="nil"/>
              <w:bottom w:val="nil"/>
              <w:right w:val="nil"/>
            </w:tcBorders>
            <w:shd w:val="clear" w:color="auto" w:fill="auto"/>
            <w:noWrap/>
            <w:vAlign w:val="bottom"/>
          </w:tcPr>
          <w:p w14:paraId="674F9C81"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EXPENSES</w:t>
            </w:r>
          </w:p>
        </w:tc>
        <w:tc>
          <w:tcPr>
            <w:tcW w:w="1325" w:type="dxa"/>
            <w:gridSpan w:val="2"/>
            <w:tcBorders>
              <w:top w:val="single" w:sz="4" w:space="0" w:color="auto"/>
              <w:left w:val="nil"/>
              <w:bottom w:val="nil"/>
              <w:right w:val="nil"/>
            </w:tcBorders>
            <w:shd w:val="clear" w:color="auto" w:fill="auto"/>
            <w:noWrap/>
            <w:vAlign w:val="bottom"/>
          </w:tcPr>
          <w:p w14:paraId="7433E39E"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E6E6E6"/>
            <w:noWrap/>
            <w:vAlign w:val="bottom"/>
          </w:tcPr>
          <w:p w14:paraId="05B00DAD"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auto"/>
            <w:noWrap/>
            <w:vAlign w:val="bottom"/>
          </w:tcPr>
          <w:p w14:paraId="4E096144"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single" w:sz="4" w:space="0" w:color="auto"/>
              <w:left w:val="nil"/>
              <w:bottom w:val="nil"/>
              <w:right w:val="nil"/>
            </w:tcBorders>
            <w:shd w:val="clear" w:color="auto" w:fill="auto"/>
            <w:noWrap/>
            <w:vAlign w:val="bottom"/>
          </w:tcPr>
          <w:p w14:paraId="58E5491D" w14:textId="77777777" w:rsidR="00CB36D7" w:rsidRPr="00EC7A4B" w:rsidRDefault="00CB36D7" w:rsidP="00F33DE1">
            <w:pPr>
              <w:spacing w:after="0" w:line="240" w:lineRule="auto"/>
              <w:jc w:val="right"/>
              <w:rPr>
                <w:rFonts w:ascii="Times New Roman" w:hAnsi="Times New Roman"/>
                <w:sz w:val="16"/>
                <w:szCs w:val="16"/>
              </w:rPr>
            </w:pPr>
          </w:p>
        </w:tc>
        <w:tc>
          <w:tcPr>
            <w:tcW w:w="901" w:type="dxa"/>
            <w:tcBorders>
              <w:top w:val="single" w:sz="4" w:space="0" w:color="auto"/>
              <w:left w:val="nil"/>
              <w:bottom w:val="nil"/>
              <w:right w:val="nil"/>
            </w:tcBorders>
            <w:shd w:val="clear" w:color="auto" w:fill="auto"/>
            <w:noWrap/>
            <w:vAlign w:val="bottom"/>
          </w:tcPr>
          <w:p w14:paraId="6F32CE73" w14:textId="77777777" w:rsidR="00CB36D7" w:rsidRPr="00DC083D" w:rsidRDefault="00CB36D7" w:rsidP="00F33DE1">
            <w:pPr>
              <w:spacing w:after="0" w:line="240" w:lineRule="auto"/>
              <w:jc w:val="right"/>
              <w:rPr>
                <w:rFonts w:ascii="Times New Roman" w:hAnsi="Times New Roman"/>
                <w:sz w:val="16"/>
                <w:szCs w:val="16"/>
              </w:rPr>
            </w:pPr>
          </w:p>
        </w:tc>
      </w:tr>
      <w:tr w:rsidR="00CB36D7" w:rsidRPr="00615D1A" w14:paraId="5B38C094" w14:textId="77777777" w:rsidTr="007431A4">
        <w:trPr>
          <w:trHeight w:val="204"/>
        </w:trPr>
        <w:tc>
          <w:tcPr>
            <w:tcW w:w="3119" w:type="dxa"/>
            <w:tcBorders>
              <w:top w:val="nil"/>
              <w:left w:val="nil"/>
              <w:bottom w:val="nil"/>
              <w:right w:val="nil"/>
            </w:tcBorders>
            <w:shd w:val="clear" w:color="auto" w:fill="auto"/>
            <w:noWrap/>
            <w:vAlign w:val="bottom"/>
            <w:hideMark/>
          </w:tcPr>
          <w:p w14:paraId="735FCDB8"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Employee benefits</w:t>
            </w:r>
          </w:p>
        </w:tc>
        <w:tc>
          <w:tcPr>
            <w:tcW w:w="1325" w:type="dxa"/>
            <w:gridSpan w:val="2"/>
            <w:tcBorders>
              <w:top w:val="nil"/>
              <w:left w:val="nil"/>
              <w:bottom w:val="nil"/>
              <w:right w:val="nil"/>
            </w:tcBorders>
            <w:shd w:val="clear" w:color="auto" w:fill="auto"/>
            <w:noWrap/>
            <w:vAlign w:val="bottom"/>
            <w:hideMark/>
          </w:tcPr>
          <w:p w14:paraId="3D640EAB"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71,966</w:t>
            </w:r>
          </w:p>
        </w:tc>
        <w:tc>
          <w:tcPr>
            <w:tcW w:w="901" w:type="dxa"/>
            <w:tcBorders>
              <w:top w:val="nil"/>
              <w:left w:val="nil"/>
              <w:bottom w:val="nil"/>
              <w:right w:val="nil"/>
            </w:tcBorders>
            <w:shd w:val="clear" w:color="auto" w:fill="E6E6E6"/>
            <w:noWrap/>
            <w:vAlign w:val="bottom"/>
            <w:hideMark/>
          </w:tcPr>
          <w:p w14:paraId="429395A8"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75,311</w:t>
            </w:r>
          </w:p>
        </w:tc>
        <w:tc>
          <w:tcPr>
            <w:tcW w:w="901" w:type="dxa"/>
            <w:tcBorders>
              <w:top w:val="nil"/>
              <w:left w:val="nil"/>
              <w:bottom w:val="nil"/>
              <w:right w:val="nil"/>
            </w:tcBorders>
            <w:shd w:val="clear" w:color="auto" w:fill="auto"/>
            <w:noWrap/>
            <w:vAlign w:val="bottom"/>
            <w:hideMark/>
          </w:tcPr>
          <w:p w14:paraId="32E1183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76,158</w:t>
            </w:r>
          </w:p>
        </w:tc>
        <w:tc>
          <w:tcPr>
            <w:tcW w:w="901" w:type="dxa"/>
            <w:tcBorders>
              <w:top w:val="nil"/>
              <w:left w:val="nil"/>
              <w:bottom w:val="nil"/>
              <w:right w:val="nil"/>
            </w:tcBorders>
            <w:shd w:val="clear" w:color="auto" w:fill="auto"/>
            <w:noWrap/>
            <w:vAlign w:val="bottom"/>
            <w:hideMark/>
          </w:tcPr>
          <w:p w14:paraId="006AA2B8"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77,552</w:t>
            </w:r>
          </w:p>
        </w:tc>
        <w:tc>
          <w:tcPr>
            <w:tcW w:w="901" w:type="dxa"/>
            <w:tcBorders>
              <w:top w:val="nil"/>
              <w:left w:val="nil"/>
              <w:bottom w:val="nil"/>
              <w:right w:val="nil"/>
            </w:tcBorders>
            <w:vAlign w:val="bottom"/>
          </w:tcPr>
          <w:p w14:paraId="15F10AD1"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76,588</w:t>
            </w:r>
          </w:p>
        </w:tc>
      </w:tr>
      <w:tr w:rsidR="00CB36D7" w:rsidRPr="00615D1A" w14:paraId="345C0E7A" w14:textId="77777777" w:rsidTr="007431A4">
        <w:trPr>
          <w:trHeight w:val="204"/>
        </w:trPr>
        <w:tc>
          <w:tcPr>
            <w:tcW w:w="3119" w:type="dxa"/>
            <w:tcBorders>
              <w:top w:val="nil"/>
              <w:left w:val="nil"/>
              <w:bottom w:val="nil"/>
              <w:right w:val="nil"/>
            </w:tcBorders>
            <w:shd w:val="clear" w:color="auto" w:fill="auto"/>
            <w:noWrap/>
            <w:vAlign w:val="bottom"/>
            <w:hideMark/>
          </w:tcPr>
          <w:p w14:paraId="2B40CC24"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Suppliers</w:t>
            </w:r>
          </w:p>
        </w:tc>
        <w:tc>
          <w:tcPr>
            <w:tcW w:w="1325" w:type="dxa"/>
            <w:gridSpan w:val="2"/>
            <w:tcBorders>
              <w:top w:val="nil"/>
              <w:left w:val="nil"/>
              <w:bottom w:val="nil"/>
              <w:right w:val="nil"/>
            </w:tcBorders>
            <w:shd w:val="clear" w:color="auto" w:fill="auto"/>
            <w:noWrap/>
            <w:vAlign w:val="bottom"/>
            <w:hideMark/>
          </w:tcPr>
          <w:p w14:paraId="6FE43F1E"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121,</w:t>
            </w:r>
            <w:r>
              <w:rPr>
                <w:rFonts w:ascii="Arial" w:hAnsi="Arial" w:cs="Arial"/>
                <w:sz w:val="16"/>
                <w:szCs w:val="16"/>
              </w:rPr>
              <w:t>406</w:t>
            </w:r>
          </w:p>
        </w:tc>
        <w:tc>
          <w:tcPr>
            <w:tcW w:w="901" w:type="dxa"/>
            <w:tcBorders>
              <w:top w:val="nil"/>
              <w:left w:val="nil"/>
              <w:bottom w:val="nil"/>
              <w:right w:val="nil"/>
            </w:tcBorders>
            <w:shd w:val="clear" w:color="auto" w:fill="E6E6E6"/>
            <w:noWrap/>
            <w:vAlign w:val="bottom"/>
            <w:hideMark/>
          </w:tcPr>
          <w:p w14:paraId="22564B06"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128,886</w:t>
            </w:r>
          </w:p>
        </w:tc>
        <w:tc>
          <w:tcPr>
            <w:tcW w:w="901" w:type="dxa"/>
            <w:tcBorders>
              <w:top w:val="nil"/>
              <w:left w:val="nil"/>
              <w:bottom w:val="nil"/>
              <w:right w:val="nil"/>
            </w:tcBorders>
            <w:shd w:val="clear" w:color="auto" w:fill="auto"/>
            <w:noWrap/>
            <w:vAlign w:val="bottom"/>
            <w:hideMark/>
          </w:tcPr>
          <w:p w14:paraId="6388F90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134,922</w:t>
            </w:r>
          </w:p>
        </w:tc>
        <w:tc>
          <w:tcPr>
            <w:tcW w:w="901" w:type="dxa"/>
            <w:tcBorders>
              <w:top w:val="nil"/>
              <w:left w:val="nil"/>
              <w:bottom w:val="nil"/>
              <w:right w:val="nil"/>
            </w:tcBorders>
            <w:shd w:val="clear" w:color="auto" w:fill="auto"/>
            <w:noWrap/>
            <w:vAlign w:val="bottom"/>
            <w:hideMark/>
          </w:tcPr>
          <w:p w14:paraId="18C63ED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138,070</w:t>
            </w:r>
          </w:p>
        </w:tc>
        <w:tc>
          <w:tcPr>
            <w:tcW w:w="901" w:type="dxa"/>
            <w:tcBorders>
              <w:top w:val="nil"/>
              <w:left w:val="nil"/>
              <w:bottom w:val="nil"/>
              <w:right w:val="nil"/>
            </w:tcBorders>
            <w:vAlign w:val="bottom"/>
          </w:tcPr>
          <w:p w14:paraId="0865618D"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138,851</w:t>
            </w:r>
          </w:p>
        </w:tc>
      </w:tr>
      <w:tr w:rsidR="00CB36D7" w:rsidRPr="00615D1A" w14:paraId="77D1D265" w14:textId="77777777" w:rsidTr="007431A4">
        <w:trPr>
          <w:trHeight w:val="204"/>
        </w:trPr>
        <w:tc>
          <w:tcPr>
            <w:tcW w:w="3119" w:type="dxa"/>
            <w:tcBorders>
              <w:top w:val="nil"/>
              <w:left w:val="nil"/>
              <w:bottom w:val="nil"/>
              <w:right w:val="nil"/>
            </w:tcBorders>
            <w:shd w:val="clear" w:color="auto" w:fill="auto"/>
            <w:noWrap/>
            <w:vAlign w:val="bottom"/>
            <w:hideMark/>
          </w:tcPr>
          <w:p w14:paraId="4AA43743"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Depreciation and amortisation</w:t>
            </w:r>
          </w:p>
        </w:tc>
        <w:tc>
          <w:tcPr>
            <w:tcW w:w="1325" w:type="dxa"/>
            <w:gridSpan w:val="2"/>
            <w:tcBorders>
              <w:top w:val="nil"/>
              <w:left w:val="nil"/>
              <w:bottom w:val="nil"/>
              <w:right w:val="nil"/>
            </w:tcBorders>
            <w:shd w:val="clear" w:color="auto" w:fill="auto"/>
            <w:noWrap/>
            <w:vAlign w:val="bottom"/>
            <w:hideMark/>
          </w:tcPr>
          <w:p w14:paraId="18E8D01F"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35,</w:t>
            </w:r>
            <w:r>
              <w:rPr>
                <w:rFonts w:ascii="Arial" w:hAnsi="Arial" w:cs="Arial"/>
                <w:sz w:val="16"/>
                <w:szCs w:val="16"/>
              </w:rPr>
              <w:t>236</w:t>
            </w:r>
          </w:p>
        </w:tc>
        <w:tc>
          <w:tcPr>
            <w:tcW w:w="901" w:type="dxa"/>
            <w:tcBorders>
              <w:top w:val="nil"/>
              <w:left w:val="nil"/>
              <w:bottom w:val="nil"/>
              <w:right w:val="nil"/>
            </w:tcBorders>
            <w:shd w:val="clear" w:color="auto" w:fill="E6E6E6"/>
            <w:noWrap/>
            <w:vAlign w:val="bottom"/>
            <w:hideMark/>
          </w:tcPr>
          <w:p w14:paraId="3684F361"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36,517</w:t>
            </w:r>
          </w:p>
        </w:tc>
        <w:tc>
          <w:tcPr>
            <w:tcW w:w="901" w:type="dxa"/>
            <w:tcBorders>
              <w:top w:val="nil"/>
              <w:left w:val="nil"/>
              <w:bottom w:val="nil"/>
              <w:right w:val="nil"/>
            </w:tcBorders>
            <w:shd w:val="clear" w:color="auto" w:fill="auto"/>
            <w:noWrap/>
            <w:vAlign w:val="bottom"/>
            <w:hideMark/>
          </w:tcPr>
          <w:p w14:paraId="257999F8"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37,934</w:t>
            </w:r>
          </w:p>
        </w:tc>
        <w:tc>
          <w:tcPr>
            <w:tcW w:w="901" w:type="dxa"/>
            <w:tcBorders>
              <w:top w:val="nil"/>
              <w:left w:val="nil"/>
              <w:bottom w:val="nil"/>
              <w:right w:val="nil"/>
            </w:tcBorders>
            <w:shd w:val="clear" w:color="auto" w:fill="auto"/>
            <w:noWrap/>
            <w:vAlign w:val="bottom"/>
            <w:hideMark/>
          </w:tcPr>
          <w:p w14:paraId="45148EBE"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37,790</w:t>
            </w:r>
          </w:p>
        </w:tc>
        <w:tc>
          <w:tcPr>
            <w:tcW w:w="901" w:type="dxa"/>
            <w:tcBorders>
              <w:top w:val="nil"/>
              <w:left w:val="nil"/>
              <w:bottom w:val="nil"/>
              <w:right w:val="nil"/>
            </w:tcBorders>
            <w:vAlign w:val="bottom"/>
          </w:tcPr>
          <w:p w14:paraId="40B4EC16" w14:textId="77777777" w:rsidR="00CB36D7" w:rsidRPr="00EC7A4B" w:rsidRDefault="00CB36D7" w:rsidP="00F33DE1">
            <w:pPr>
              <w:spacing w:after="0" w:line="240" w:lineRule="auto"/>
              <w:jc w:val="right"/>
              <w:rPr>
                <w:rFonts w:ascii="Arial" w:hAnsi="Arial" w:cs="Arial"/>
                <w:sz w:val="16"/>
                <w:szCs w:val="16"/>
              </w:rPr>
            </w:pPr>
            <w:r w:rsidRPr="007A2C1C">
              <w:rPr>
                <w:rFonts w:ascii="Arial" w:hAnsi="Arial" w:cs="Arial"/>
                <w:sz w:val="16"/>
                <w:szCs w:val="16"/>
              </w:rPr>
              <w:t>36,659</w:t>
            </w:r>
          </w:p>
        </w:tc>
      </w:tr>
      <w:tr w:rsidR="00CB36D7" w:rsidRPr="00615D1A" w14:paraId="13BB48B9" w14:textId="77777777" w:rsidTr="007431A4">
        <w:trPr>
          <w:trHeight w:val="204"/>
        </w:trPr>
        <w:tc>
          <w:tcPr>
            <w:tcW w:w="3119" w:type="dxa"/>
            <w:tcBorders>
              <w:top w:val="nil"/>
              <w:left w:val="nil"/>
              <w:bottom w:val="nil"/>
              <w:right w:val="nil"/>
            </w:tcBorders>
            <w:shd w:val="clear" w:color="auto" w:fill="auto"/>
            <w:noWrap/>
            <w:vAlign w:val="bottom"/>
            <w:hideMark/>
          </w:tcPr>
          <w:p w14:paraId="478154B1"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Finance costs</w:t>
            </w:r>
          </w:p>
        </w:tc>
        <w:tc>
          <w:tcPr>
            <w:tcW w:w="1325" w:type="dxa"/>
            <w:gridSpan w:val="2"/>
            <w:tcBorders>
              <w:top w:val="nil"/>
              <w:left w:val="nil"/>
              <w:bottom w:val="nil"/>
              <w:right w:val="nil"/>
            </w:tcBorders>
            <w:shd w:val="clear" w:color="auto" w:fill="auto"/>
            <w:noWrap/>
            <w:vAlign w:val="bottom"/>
            <w:hideMark/>
          </w:tcPr>
          <w:p w14:paraId="479AE8A3"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1,565</w:t>
            </w:r>
          </w:p>
        </w:tc>
        <w:tc>
          <w:tcPr>
            <w:tcW w:w="901" w:type="dxa"/>
            <w:tcBorders>
              <w:top w:val="nil"/>
              <w:left w:val="nil"/>
              <w:bottom w:val="nil"/>
              <w:right w:val="nil"/>
            </w:tcBorders>
            <w:shd w:val="clear" w:color="auto" w:fill="E6E6E6"/>
            <w:noWrap/>
            <w:vAlign w:val="bottom"/>
            <w:hideMark/>
          </w:tcPr>
          <w:p w14:paraId="1CDB82FE"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1,112</w:t>
            </w:r>
          </w:p>
        </w:tc>
        <w:tc>
          <w:tcPr>
            <w:tcW w:w="901" w:type="dxa"/>
            <w:tcBorders>
              <w:top w:val="nil"/>
              <w:left w:val="nil"/>
              <w:bottom w:val="nil"/>
              <w:right w:val="nil"/>
            </w:tcBorders>
            <w:shd w:val="clear" w:color="auto" w:fill="auto"/>
            <w:noWrap/>
            <w:vAlign w:val="bottom"/>
            <w:hideMark/>
          </w:tcPr>
          <w:p w14:paraId="2C3D1295"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1,021</w:t>
            </w:r>
          </w:p>
        </w:tc>
        <w:tc>
          <w:tcPr>
            <w:tcW w:w="901" w:type="dxa"/>
            <w:tcBorders>
              <w:top w:val="nil"/>
              <w:left w:val="nil"/>
              <w:bottom w:val="nil"/>
              <w:right w:val="nil"/>
            </w:tcBorders>
            <w:shd w:val="clear" w:color="auto" w:fill="auto"/>
            <w:noWrap/>
            <w:vAlign w:val="bottom"/>
            <w:hideMark/>
          </w:tcPr>
          <w:p w14:paraId="3DFE9C78"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811</w:t>
            </w:r>
          </w:p>
        </w:tc>
        <w:tc>
          <w:tcPr>
            <w:tcW w:w="901" w:type="dxa"/>
            <w:tcBorders>
              <w:top w:val="nil"/>
              <w:left w:val="nil"/>
              <w:bottom w:val="nil"/>
              <w:right w:val="nil"/>
            </w:tcBorders>
            <w:vAlign w:val="bottom"/>
          </w:tcPr>
          <w:p w14:paraId="6BC5863A" w14:textId="77777777" w:rsidR="00CB36D7" w:rsidRPr="00EC7A4B" w:rsidRDefault="00CB36D7" w:rsidP="00F33DE1">
            <w:pPr>
              <w:spacing w:after="0" w:line="240" w:lineRule="auto"/>
              <w:jc w:val="right"/>
              <w:rPr>
                <w:rFonts w:ascii="Arial" w:hAnsi="Arial" w:cs="Arial"/>
                <w:sz w:val="16"/>
                <w:szCs w:val="16"/>
              </w:rPr>
            </w:pPr>
            <w:r w:rsidRPr="007A2C1C">
              <w:rPr>
                <w:rFonts w:ascii="Arial" w:hAnsi="Arial" w:cs="Arial"/>
                <w:sz w:val="16"/>
                <w:szCs w:val="16"/>
              </w:rPr>
              <w:t>686</w:t>
            </w:r>
          </w:p>
        </w:tc>
      </w:tr>
      <w:tr w:rsidR="00CB36D7" w:rsidRPr="00615D1A" w14:paraId="5BBD16CE" w14:textId="77777777" w:rsidTr="007431A4">
        <w:trPr>
          <w:trHeight w:val="204"/>
        </w:trPr>
        <w:tc>
          <w:tcPr>
            <w:tcW w:w="3119" w:type="dxa"/>
            <w:tcBorders>
              <w:top w:val="nil"/>
              <w:left w:val="nil"/>
              <w:bottom w:val="nil"/>
              <w:right w:val="nil"/>
            </w:tcBorders>
            <w:shd w:val="clear" w:color="auto" w:fill="auto"/>
            <w:noWrap/>
            <w:vAlign w:val="bottom"/>
            <w:hideMark/>
          </w:tcPr>
          <w:p w14:paraId="12E1992E"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Write-down and impairment of assets</w:t>
            </w:r>
          </w:p>
        </w:tc>
        <w:tc>
          <w:tcPr>
            <w:tcW w:w="1325" w:type="dxa"/>
            <w:gridSpan w:val="2"/>
            <w:tcBorders>
              <w:top w:val="nil"/>
              <w:left w:val="nil"/>
              <w:bottom w:val="nil"/>
              <w:right w:val="nil"/>
            </w:tcBorders>
            <w:shd w:val="clear" w:color="auto" w:fill="auto"/>
            <w:noWrap/>
            <w:vAlign w:val="bottom"/>
            <w:hideMark/>
          </w:tcPr>
          <w:p w14:paraId="73BE477C"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46</w:t>
            </w:r>
          </w:p>
        </w:tc>
        <w:tc>
          <w:tcPr>
            <w:tcW w:w="901" w:type="dxa"/>
            <w:tcBorders>
              <w:top w:val="nil"/>
              <w:left w:val="nil"/>
              <w:bottom w:val="nil"/>
              <w:right w:val="nil"/>
            </w:tcBorders>
            <w:shd w:val="clear" w:color="auto" w:fill="E6E6E6"/>
            <w:noWrap/>
            <w:vAlign w:val="bottom"/>
            <w:hideMark/>
          </w:tcPr>
          <w:p w14:paraId="65C94EB7"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6DDA742"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0667495"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w:t>
            </w:r>
          </w:p>
        </w:tc>
        <w:tc>
          <w:tcPr>
            <w:tcW w:w="901" w:type="dxa"/>
            <w:tcBorders>
              <w:top w:val="nil"/>
              <w:left w:val="nil"/>
              <w:bottom w:val="nil"/>
              <w:right w:val="nil"/>
            </w:tcBorders>
            <w:vAlign w:val="bottom"/>
          </w:tcPr>
          <w:p w14:paraId="6593374B" w14:textId="77777777" w:rsidR="00CB36D7" w:rsidRPr="00EC7A4B" w:rsidRDefault="00CB36D7" w:rsidP="00F33DE1">
            <w:pPr>
              <w:spacing w:after="0" w:line="240" w:lineRule="auto"/>
              <w:jc w:val="right"/>
              <w:rPr>
                <w:rFonts w:ascii="Arial" w:hAnsi="Arial" w:cs="Arial"/>
                <w:sz w:val="16"/>
                <w:szCs w:val="16"/>
              </w:rPr>
            </w:pPr>
            <w:r w:rsidRPr="007A2C1C">
              <w:rPr>
                <w:rFonts w:ascii="Arial" w:hAnsi="Arial" w:cs="Arial"/>
                <w:sz w:val="16"/>
                <w:szCs w:val="16"/>
              </w:rPr>
              <w:t>-</w:t>
            </w:r>
          </w:p>
        </w:tc>
      </w:tr>
      <w:tr w:rsidR="00CB36D7" w:rsidRPr="00615D1A" w14:paraId="7C9C72AD" w14:textId="77777777" w:rsidTr="007431A4">
        <w:trPr>
          <w:trHeight w:val="204"/>
        </w:trPr>
        <w:tc>
          <w:tcPr>
            <w:tcW w:w="3119" w:type="dxa"/>
            <w:tcBorders>
              <w:top w:val="nil"/>
              <w:left w:val="nil"/>
              <w:bottom w:val="nil"/>
              <w:right w:val="nil"/>
            </w:tcBorders>
            <w:shd w:val="clear" w:color="auto" w:fill="auto"/>
            <w:noWrap/>
            <w:vAlign w:val="bottom"/>
          </w:tcPr>
          <w:p w14:paraId="0020BF85" w14:textId="77777777" w:rsidR="00CB36D7" w:rsidRPr="00615D1A" w:rsidRDefault="00CB36D7" w:rsidP="00CB36D7">
            <w:pPr>
              <w:spacing w:after="0" w:line="240" w:lineRule="auto"/>
              <w:ind w:left="113"/>
              <w:rPr>
                <w:rFonts w:ascii="Arial" w:hAnsi="Arial" w:cs="Arial"/>
                <w:sz w:val="16"/>
                <w:szCs w:val="16"/>
              </w:rPr>
            </w:pPr>
            <w:r>
              <w:rPr>
                <w:rFonts w:ascii="Arial" w:hAnsi="Arial" w:cs="Arial"/>
                <w:sz w:val="16"/>
                <w:szCs w:val="16"/>
              </w:rPr>
              <w:t>Losses from asset sales</w:t>
            </w:r>
          </w:p>
        </w:tc>
        <w:tc>
          <w:tcPr>
            <w:tcW w:w="1325" w:type="dxa"/>
            <w:gridSpan w:val="2"/>
            <w:tcBorders>
              <w:top w:val="nil"/>
              <w:left w:val="nil"/>
              <w:bottom w:val="nil"/>
              <w:right w:val="nil"/>
            </w:tcBorders>
            <w:shd w:val="clear" w:color="auto" w:fill="auto"/>
            <w:noWrap/>
            <w:vAlign w:val="bottom"/>
          </w:tcPr>
          <w:p w14:paraId="03600D43" w14:textId="77777777" w:rsidR="00CB36D7" w:rsidRDefault="00CB36D7" w:rsidP="00F33DE1">
            <w:pPr>
              <w:spacing w:after="0" w:line="240" w:lineRule="auto"/>
              <w:jc w:val="right"/>
              <w:rPr>
                <w:rFonts w:ascii="Arial" w:hAnsi="Arial" w:cs="Arial"/>
                <w:sz w:val="16"/>
                <w:szCs w:val="16"/>
              </w:rPr>
            </w:pPr>
            <w:r>
              <w:rPr>
                <w:rFonts w:ascii="Arial" w:hAnsi="Arial" w:cs="Arial"/>
                <w:sz w:val="16"/>
                <w:szCs w:val="16"/>
              </w:rPr>
              <w:t>1,810</w:t>
            </w:r>
          </w:p>
        </w:tc>
        <w:tc>
          <w:tcPr>
            <w:tcW w:w="901" w:type="dxa"/>
            <w:tcBorders>
              <w:top w:val="nil"/>
              <w:left w:val="nil"/>
              <w:bottom w:val="nil"/>
              <w:right w:val="nil"/>
            </w:tcBorders>
            <w:shd w:val="clear" w:color="auto" w:fill="E6E6E6"/>
            <w:noWrap/>
            <w:vAlign w:val="bottom"/>
          </w:tcPr>
          <w:p w14:paraId="16E982CF"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174BFB48"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tcPr>
          <w:p w14:paraId="58F3AFAA"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vAlign w:val="bottom"/>
          </w:tcPr>
          <w:p w14:paraId="17A6FF4A" w14:textId="77777777" w:rsidR="00CB36D7" w:rsidRPr="007A2C1C" w:rsidRDefault="00CB36D7" w:rsidP="00F33DE1">
            <w:pPr>
              <w:spacing w:after="0" w:line="240" w:lineRule="auto"/>
              <w:jc w:val="right"/>
              <w:rPr>
                <w:rFonts w:ascii="Arial" w:hAnsi="Arial" w:cs="Arial"/>
                <w:sz w:val="16"/>
                <w:szCs w:val="16"/>
              </w:rPr>
            </w:pPr>
            <w:r>
              <w:rPr>
                <w:rFonts w:ascii="Arial" w:hAnsi="Arial" w:cs="Arial"/>
                <w:sz w:val="16"/>
                <w:szCs w:val="16"/>
              </w:rPr>
              <w:t>-</w:t>
            </w:r>
          </w:p>
        </w:tc>
      </w:tr>
      <w:tr w:rsidR="00CB36D7" w:rsidRPr="00615D1A" w14:paraId="5C43C266" w14:textId="77777777" w:rsidTr="007431A4">
        <w:trPr>
          <w:trHeight w:val="204"/>
        </w:trPr>
        <w:tc>
          <w:tcPr>
            <w:tcW w:w="3119" w:type="dxa"/>
            <w:tcBorders>
              <w:top w:val="nil"/>
              <w:left w:val="nil"/>
              <w:bottom w:val="nil"/>
              <w:right w:val="nil"/>
            </w:tcBorders>
            <w:shd w:val="clear" w:color="auto" w:fill="auto"/>
            <w:noWrap/>
            <w:vAlign w:val="bottom"/>
            <w:hideMark/>
          </w:tcPr>
          <w:p w14:paraId="18E84AEA"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expenses</w:t>
            </w:r>
          </w:p>
        </w:tc>
        <w:tc>
          <w:tcPr>
            <w:tcW w:w="1325" w:type="dxa"/>
            <w:gridSpan w:val="2"/>
            <w:tcBorders>
              <w:top w:val="single" w:sz="4" w:space="0" w:color="auto"/>
              <w:left w:val="nil"/>
              <w:bottom w:val="single" w:sz="4" w:space="0" w:color="auto"/>
              <w:right w:val="nil"/>
            </w:tcBorders>
            <w:shd w:val="clear" w:color="auto" w:fill="auto"/>
            <w:noWrap/>
            <w:vAlign w:val="bottom"/>
            <w:hideMark/>
          </w:tcPr>
          <w:p w14:paraId="228EB46C"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232,029</w:t>
            </w:r>
          </w:p>
        </w:tc>
        <w:tc>
          <w:tcPr>
            <w:tcW w:w="901" w:type="dxa"/>
            <w:tcBorders>
              <w:top w:val="single" w:sz="4" w:space="0" w:color="auto"/>
              <w:left w:val="nil"/>
              <w:bottom w:val="single" w:sz="4" w:space="0" w:color="auto"/>
              <w:right w:val="nil"/>
            </w:tcBorders>
            <w:shd w:val="clear" w:color="auto" w:fill="E6E6E6"/>
            <w:noWrap/>
            <w:vAlign w:val="bottom"/>
            <w:hideMark/>
          </w:tcPr>
          <w:p w14:paraId="57AC5CAA"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241,826</w:t>
            </w:r>
          </w:p>
        </w:tc>
        <w:tc>
          <w:tcPr>
            <w:tcW w:w="901" w:type="dxa"/>
            <w:tcBorders>
              <w:top w:val="single" w:sz="4" w:space="0" w:color="auto"/>
              <w:left w:val="nil"/>
              <w:bottom w:val="single" w:sz="4" w:space="0" w:color="auto"/>
              <w:right w:val="nil"/>
            </w:tcBorders>
            <w:shd w:val="clear" w:color="auto" w:fill="auto"/>
            <w:noWrap/>
            <w:vAlign w:val="bottom"/>
            <w:hideMark/>
          </w:tcPr>
          <w:p w14:paraId="0A6BBFE6"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250,035</w:t>
            </w:r>
          </w:p>
        </w:tc>
        <w:tc>
          <w:tcPr>
            <w:tcW w:w="901" w:type="dxa"/>
            <w:tcBorders>
              <w:top w:val="single" w:sz="4" w:space="0" w:color="auto"/>
              <w:left w:val="nil"/>
              <w:bottom w:val="single" w:sz="4" w:space="0" w:color="auto"/>
              <w:right w:val="nil"/>
            </w:tcBorders>
            <w:shd w:val="clear" w:color="auto" w:fill="auto"/>
            <w:noWrap/>
            <w:vAlign w:val="bottom"/>
            <w:hideMark/>
          </w:tcPr>
          <w:p w14:paraId="62ADA1BC"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254,223</w:t>
            </w:r>
          </w:p>
        </w:tc>
        <w:tc>
          <w:tcPr>
            <w:tcW w:w="901" w:type="dxa"/>
            <w:tcBorders>
              <w:top w:val="single" w:sz="4" w:space="0" w:color="auto"/>
              <w:left w:val="nil"/>
              <w:bottom w:val="single" w:sz="4" w:space="0" w:color="auto"/>
              <w:right w:val="nil"/>
            </w:tcBorders>
            <w:vAlign w:val="bottom"/>
          </w:tcPr>
          <w:p w14:paraId="3A229891"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252,784</w:t>
            </w:r>
          </w:p>
        </w:tc>
      </w:tr>
      <w:tr w:rsidR="00CB36D7" w:rsidRPr="00615D1A" w14:paraId="285B5F7D" w14:textId="77777777" w:rsidTr="007431A4">
        <w:trPr>
          <w:trHeight w:val="204"/>
        </w:trPr>
        <w:tc>
          <w:tcPr>
            <w:tcW w:w="3119" w:type="dxa"/>
            <w:tcBorders>
              <w:top w:val="nil"/>
              <w:left w:val="nil"/>
              <w:bottom w:val="nil"/>
              <w:right w:val="nil"/>
            </w:tcBorders>
            <w:shd w:val="clear" w:color="auto" w:fill="auto"/>
            <w:noWrap/>
            <w:vAlign w:val="bottom"/>
            <w:hideMark/>
          </w:tcPr>
          <w:p w14:paraId="2E85A716"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 xml:space="preserve">LESS: </w:t>
            </w:r>
          </w:p>
        </w:tc>
        <w:tc>
          <w:tcPr>
            <w:tcW w:w="1325" w:type="dxa"/>
            <w:gridSpan w:val="2"/>
            <w:tcBorders>
              <w:top w:val="nil"/>
              <w:left w:val="nil"/>
              <w:bottom w:val="nil"/>
              <w:right w:val="nil"/>
            </w:tcBorders>
            <w:shd w:val="clear" w:color="auto" w:fill="auto"/>
            <w:noWrap/>
            <w:vAlign w:val="bottom"/>
            <w:hideMark/>
          </w:tcPr>
          <w:p w14:paraId="5867BD46"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6E6E6"/>
            <w:noWrap/>
            <w:vAlign w:val="bottom"/>
            <w:hideMark/>
          </w:tcPr>
          <w:p w14:paraId="1ED50ECF"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EA5CFA6"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A1BF2D6" w14:textId="77777777" w:rsidR="00CB36D7" w:rsidRPr="002F7F2B" w:rsidRDefault="00CB36D7" w:rsidP="00F33DE1">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4D3FEC5C" w14:textId="77777777" w:rsidR="00CB36D7" w:rsidRPr="00EC7A4B" w:rsidRDefault="00CB36D7" w:rsidP="00F33DE1">
            <w:pPr>
              <w:spacing w:after="0" w:line="240" w:lineRule="auto"/>
              <w:jc w:val="right"/>
              <w:rPr>
                <w:rFonts w:ascii="Times New Roman" w:hAnsi="Times New Roman"/>
                <w:sz w:val="16"/>
                <w:szCs w:val="16"/>
              </w:rPr>
            </w:pPr>
          </w:p>
        </w:tc>
      </w:tr>
      <w:tr w:rsidR="00CB36D7" w:rsidRPr="00615D1A" w14:paraId="1983B1AD" w14:textId="77777777" w:rsidTr="007431A4">
        <w:trPr>
          <w:trHeight w:val="204"/>
        </w:trPr>
        <w:tc>
          <w:tcPr>
            <w:tcW w:w="3119" w:type="dxa"/>
            <w:tcBorders>
              <w:top w:val="nil"/>
              <w:left w:val="nil"/>
              <w:bottom w:val="nil"/>
              <w:right w:val="nil"/>
            </w:tcBorders>
            <w:shd w:val="clear" w:color="auto" w:fill="auto"/>
            <w:noWrap/>
            <w:vAlign w:val="bottom"/>
            <w:hideMark/>
          </w:tcPr>
          <w:p w14:paraId="546AFE9F"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OWN-SOURCE INCOME</w:t>
            </w:r>
          </w:p>
        </w:tc>
        <w:tc>
          <w:tcPr>
            <w:tcW w:w="1325" w:type="dxa"/>
            <w:gridSpan w:val="2"/>
            <w:tcBorders>
              <w:top w:val="nil"/>
              <w:left w:val="nil"/>
              <w:bottom w:val="nil"/>
              <w:right w:val="nil"/>
            </w:tcBorders>
            <w:shd w:val="clear" w:color="auto" w:fill="auto"/>
            <w:noWrap/>
            <w:vAlign w:val="bottom"/>
            <w:hideMark/>
          </w:tcPr>
          <w:p w14:paraId="27B70D27"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6E6E6"/>
            <w:noWrap/>
            <w:vAlign w:val="bottom"/>
            <w:hideMark/>
          </w:tcPr>
          <w:p w14:paraId="34806085"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C038F81"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FA522C0" w14:textId="77777777" w:rsidR="00CB36D7" w:rsidRPr="002F7F2B" w:rsidRDefault="00CB36D7" w:rsidP="00F33DE1">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2D330641" w14:textId="77777777" w:rsidR="00CB36D7" w:rsidRPr="00EC7A4B" w:rsidRDefault="00CB36D7" w:rsidP="00F33DE1">
            <w:pPr>
              <w:spacing w:after="0" w:line="240" w:lineRule="auto"/>
              <w:jc w:val="right"/>
              <w:rPr>
                <w:rFonts w:ascii="Times New Roman" w:hAnsi="Times New Roman"/>
                <w:sz w:val="16"/>
                <w:szCs w:val="16"/>
              </w:rPr>
            </w:pPr>
          </w:p>
        </w:tc>
      </w:tr>
      <w:tr w:rsidR="00CB36D7" w:rsidRPr="00615D1A" w14:paraId="08278F77" w14:textId="77777777" w:rsidTr="007431A4">
        <w:trPr>
          <w:trHeight w:val="204"/>
        </w:trPr>
        <w:tc>
          <w:tcPr>
            <w:tcW w:w="3119" w:type="dxa"/>
            <w:tcBorders>
              <w:top w:val="nil"/>
              <w:left w:val="nil"/>
              <w:bottom w:val="nil"/>
              <w:right w:val="nil"/>
            </w:tcBorders>
            <w:shd w:val="clear" w:color="auto" w:fill="auto"/>
            <w:noWrap/>
            <w:vAlign w:val="bottom"/>
            <w:hideMark/>
          </w:tcPr>
          <w:p w14:paraId="6C43E6F4"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Own-source revenue</w:t>
            </w:r>
          </w:p>
        </w:tc>
        <w:tc>
          <w:tcPr>
            <w:tcW w:w="1325" w:type="dxa"/>
            <w:gridSpan w:val="2"/>
            <w:tcBorders>
              <w:top w:val="nil"/>
              <w:left w:val="nil"/>
              <w:bottom w:val="nil"/>
              <w:right w:val="nil"/>
            </w:tcBorders>
            <w:shd w:val="clear" w:color="auto" w:fill="auto"/>
            <w:noWrap/>
            <w:vAlign w:val="bottom"/>
            <w:hideMark/>
          </w:tcPr>
          <w:p w14:paraId="040005D2"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6E6E6"/>
            <w:noWrap/>
            <w:vAlign w:val="bottom"/>
            <w:hideMark/>
          </w:tcPr>
          <w:p w14:paraId="0FEC016A"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BFEF4DB"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F045BFD" w14:textId="77777777" w:rsidR="00CB36D7" w:rsidRPr="002F7F2B" w:rsidRDefault="00CB36D7" w:rsidP="00F33DE1">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5549B813" w14:textId="77777777" w:rsidR="00CB36D7" w:rsidRPr="00EC7A4B" w:rsidRDefault="00CB36D7" w:rsidP="00F33DE1">
            <w:pPr>
              <w:spacing w:after="0" w:line="240" w:lineRule="auto"/>
              <w:jc w:val="right"/>
              <w:rPr>
                <w:rFonts w:ascii="Times New Roman" w:hAnsi="Times New Roman"/>
                <w:sz w:val="16"/>
                <w:szCs w:val="16"/>
              </w:rPr>
            </w:pPr>
          </w:p>
        </w:tc>
      </w:tr>
      <w:tr w:rsidR="00CB36D7" w:rsidRPr="00615D1A" w14:paraId="5B6792ED" w14:textId="77777777" w:rsidTr="007431A4">
        <w:trPr>
          <w:trHeight w:val="204"/>
        </w:trPr>
        <w:tc>
          <w:tcPr>
            <w:tcW w:w="3119" w:type="dxa"/>
            <w:tcBorders>
              <w:top w:val="nil"/>
              <w:left w:val="nil"/>
              <w:bottom w:val="nil"/>
              <w:right w:val="nil"/>
            </w:tcBorders>
            <w:shd w:val="clear" w:color="auto" w:fill="auto"/>
            <w:vAlign w:val="bottom"/>
            <w:hideMark/>
          </w:tcPr>
          <w:p w14:paraId="70B7848C"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Sale of goods and rendering of services</w:t>
            </w:r>
          </w:p>
        </w:tc>
        <w:tc>
          <w:tcPr>
            <w:tcW w:w="1325" w:type="dxa"/>
            <w:gridSpan w:val="2"/>
            <w:tcBorders>
              <w:top w:val="nil"/>
              <w:left w:val="nil"/>
              <w:bottom w:val="nil"/>
              <w:right w:val="nil"/>
            </w:tcBorders>
            <w:shd w:val="clear" w:color="auto" w:fill="auto"/>
            <w:noWrap/>
            <w:vAlign w:val="bottom"/>
            <w:hideMark/>
          </w:tcPr>
          <w:p w14:paraId="4B64D12A"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12,</w:t>
            </w:r>
            <w:r>
              <w:rPr>
                <w:rFonts w:ascii="Arial" w:hAnsi="Arial" w:cs="Arial"/>
                <w:sz w:val="16"/>
                <w:szCs w:val="16"/>
              </w:rPr>
              <w:t>838</w:t>
            </w:r>
          </w:p>
        </w:tc>
        <w:tc>
          <w:tcPr>
            <w:tcW w:w="901" w:type="dxa"/>
            <w:tcBorders>
              <w:top w:val="nil"/>
              <w:left w:val="nil"/>
              <w:bottom w:val="nil"/>
              <w:right w:val="nil"/>
            </w:tcBorders>
            <w:shd w:val="clear" w:color="auto" w:fill="E6E6E6"/>
            <w:noWrap/>
            <w:vAlign w:val="bottom"/>
            <w:hideMark/>
          </w:tcPr>
          <w:p w14:paraId="75B91E15"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9,423</w:t>
            </w:r>
          </w:p>
        </w:tc>
        <w:tc>
          <w:tcPr>
            <w:tcW w:w="901" w:type="dxa"/>
            <w:tcBorders>
              <w:top w:val="nil"/>
              <w:left w:val="nil"/>
              <w:bottom w:val="nil"/>
              <w:right w:val="nil"/>
            </w:tcBorders>
            <w:shd w:val="clear" w:color="auto" w:fill="auto"/>
            <w:noWrap/>
            <w:vAlign w:val="bottom"/>
            <w:hideMark/>
          </w:tcPr>
          <w:p w14:paraId="59C4060F"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9,990</w:t>
            </w:r>
          </w:p>
        </w:tc>
        <w:tc>
          <w:tcPr>
            <w:tcW w:w="901" w:type="dxa"/>
            <w:tcBorders>
              <w:top w:val="nil"/>
              <w:left w:val="nil"/>
              <w:bottom w:val="nil"/>
              <w:right w:val="nil"/>
            </w:tcBorders>
            <w:shd w:val="clear" w:color="auto" w:fill="auto"/>
            <w:noWrap/>
            <w:vAlign w:val="bottom"/>
            <w:hideMark/>
          </w:tcPr>
          <w:p w14:paraId="50296628"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9,990</w:t>
            </w:r>
          </w:p>
        </w:tc>
        <w:tc>
          <w:tcPr>
            <w:tcW w:w="901" w:type="dxa"/>
            <w:tcBorders>
              <w:top w:val="nil"/>
              <w:left w:val="nil"/>
              <w:bottom w:val="nil"/>
              <w:right w:val="nil"/>
            </w:tcBorders>
            <w:vAlign w:val="bottom"/>
          </w:tcPr>
          <w:p w14:paraId="5F40FE45" w14:textId="77777777" w:rsidR="00CB36D7" w:rsidRPr="00EC7A4B" w:rsidRDefault="00CB36D7" w:rsidP="00F33DE1">
            <w:pPr>
              <w:spacing w:after="0" w:line="240" w:lineRule="auto"/>
              <w:jc w:val="right"/>
              <w:rPr>
                <w:rFonts w:ascii="Arial" w:hAnsi="Arial" w:cs="Arial"/>
                <w:sz w:val="16"/>
                <w:szCs w:val="16"/>
              </w:rPr>
            </w:pPr>
            <w:r w:rsidRPr="007A2C1C">
              <w:rPr>
                <w:rFonts w:ascii="Arial" w:hAnsi="Arial" w:cs="Arial"/>
                <w:sz w:val="16"/>
                <w:szCs w:val="16"/>
              </w:rPr>
              <w:t>9,990</w:t>
            </w:r>
          </w:p>
        </w:tc>
      </w:tr>
      <w:tr w:rsidR="00F33DE1" w14:paraId="15F1EBDF" w14:textId="77777777" w:rsidTr="007431A4">
        <w:trPr>
          <w:trHeight w:val="204"/>
        </w:trPr>
        <w:tc>
          <w:tcPr>
            <w:tcW w:w="3208" w:type="dxa"/>
            <w:gridSpan w:val="2"/>
            <w:tcBorders>
              <w:top w:val="nil"/>
              <w:left w:val="nil"/>
              <w:bottom w:val="nil"/>
              <w:right w:val="nil"/>
            </w:tcBorders>
            <w:shd w:val="clear" w:color="auto" w:fill="auto"/>
            <w:noWrap/>
            <w:vAlign w:val="bottom"/>
          </w:tcPr>
          <w:p w14:paraId="164753F7" w14:textId="77777777" w:rsidR="00F33DE1" w:rsidRPr="00615D1A" w:rsidRDefault="00F33DE1" w:rsidP="00F33DE1">
            <w:pPr>
              <w:spacing w:after="0" w:line="240" w:lineRule="auto"/>
              <w:ind w:left="113"/>
              <w:rPr>
                <w:rFonts w:ascii="Arial" w:hAnsi="Arial" w:cs="Arial"/>
                <w:sz w:val="16"/>
                <w:szCs w:val="16"/>
              </w:rPr>
            </w:pPr>
            <w:r>
              <w:rPr>
                <w:rFonts w:ascii="Arial" w:hAnsi="Arial" w:cs="Arial"/>
                <w:sz w:val="16"/>
                <w:szCs w:val="16"/>
              </w:rPr>
              <w:t>Fees and fines</w:t>
            </w:r>
          </w:p>
        </w:tc>
        <w:tc>
          <w:tcPr>
            <w:tcW w:w="1236" w:type="dxa"/>
            <w:tcBorders>
              <w:top w:val="nil"/>
              <w:left w:val="nil"/>
              <w:bottom w:val="nil"/>
              <w:right w:val="nil"/>
            </w:tcBorders>
            <w:shd w:val="clear" w:color="auto" w:fill="auto"/>
            <w:noWrap/>
            <w:vAlign w:val="bottom"/>
          </w:tcPr>
          <w:p w14:paraId="496CDA16" w14:textId="77777777" w:rsidR="00F33DE1" w:rsidRDefault="00F33DE1" w:rsidP="00F33DE1">
            <w:pPr>
              <w:spacing w:after="0" w:line="240" w:lineRule="auto"/>
              <w:jc w:val="right"/>
              <w:rPr>
                <w:rFonts w:ascii="Arial" w:hAnsi="Arial" w:cs="Arial"/>
                <w:sz w:val="16"/>
                <w:szCs w:val="16"/>
              </w:rPr>
            </w:pPr>
            <w:r>
              <w:rPr>
                <w:rFonts w:ascii="Arial" w:hAnsi="Arial" w:cs="Arial"/>
                <w:sz w:val="16"/>
                <w:szCs w:val="16"/>
              </w:rPr>
              <w:t>91</w:t>
            </w:r>
          </w:p>
        </w:tc>
        <w:tc>
          <w:tcPr>
            <w:tcW w:w="901" w:type="dxa"/>
            <w:tcBorders>
              <w:top w:val="nil"/>
              <w:left w:val="nil"/>
              <w:bottom w:val="nil"/>
              <w:right w:val="nil"/>
            </w:tcBorders>
            <w:shd w:val="clear" w:color="auto" w:fill="E6E6E6"/>
            <w:noWrap/>
            <w:vAlign w:val="bottom"/>
          </w:tcPr>
          <w:p w14:paraId="6FF75009" w14:textId="77777777" w:rsidR="00F33DE1" w:rsidRDefault="00F33DE1" w:rsidP="00F33DE1">
            <w:pPr>
              <w:spacing w:after="0" w:line="240" w:lineRule="auto"/>
              <w:jc w:val="right"/>
              <w:rPr>
                <w:rFonts w:ascii="Arial" w:hAnsi="Arial" w:cs="Arial"/>
                <w:sz w:val="16"/>
                <w:szCs w:val="16"/>
              </w:rPr>
            </w:pPr>
            <w:r>
              <w:rPr>
                <w:rFonts w:ascii="Arial" w:hAnsi="Arial" w:cs="Arial"/>
                <w:sz w:val="16"/>
                <w:szCs w:val="16"/>
              </w:rPr>
              <w:t>78</w:t>
            </w:r>
          </w:p>
        </w:tc>
        <w:tc>
          <w:tcPr>
            <w:tcW w:w="901" w:type="dxa"/>
            <w:tcBorders>
              <w:top w:val="nil"/>
              <w:left w:val="nil"/>
              <w:bottom w:val="nil"/>
              <w:right w:val="nil"/>
            </w:tcBorders>
            <w:shd w:val="clear" w:color="auto" w:fill="auto"/>
            <w:noWrap/>
            <w:vAlign w:val="bottom"/>
          </w:tcPr>
          <w:p w14:paraId="7DC6657F" w14:textId="77777777" w:rsidR="00F33DE1" w:rsidRDefault="00F33DE1" w:rsidP="00F33DE1">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shd w:val="clear" w:color="auto" w:fill="auto"/>
            <w:noWrap/>
            <w:vAlign w:val="bottom"/>
          </w:tcPr>
          <w:p w14:paraId="3F30BFA2" w14:textId="77777777" w:rsidR="00F33DE1" w:rsidRDefault="00F33DE1" w:rsidP="00F33DE1">
            <w:pPr>
              <w:spacing w:after="0" w:line="240" w:lineRule="auto"/>
              <w:jc w:val="right"/>
              <w:rPr>
                <w:rFonts w:ascii="Arial" w:hAnsi="Arial" w:cs="Arial"/>
                <w:sz w:val="16"/>
                <w:szCs w:val="16"/>
              </w:rPr>
            </w:pPr>
            <w:r>
              <w:rPr>
                <w:rFonts w:ascii="Arial" w:hAnsi="Arial" w:cs="Arial"/>
                <w:sz w:val="16"/>
                <w:szCs w:val="16"/>
              </w:rPr>
              <w:t>100</w:t>
            </w:r>
          </w:p>
        </w:tc>
        <w:tc>
          <w:tcPr>
            <w:tcW w:w="901" w:type="dxa"/>
            <w:tcBorders>
              <w:top w:val="nil"/>
              <w:left w:val="nil"/>
              <w:bottom w:val="nil"/>
              <w:right w:val="nil"/>
            </w:tcBorders>
            <w:vAlign w:val="bottom"/>
          </w:tcPr>
          <w:p w14:paraId="4C34857D" w14:textId="77777777" w:rsidR="00F33DE1" w:rsidRDefault="00F33DE1" w:rsidP="00F33DE1">
            <w:pPr>
              <w:spacing w:after="0" w:line="240" w:lineRule="auto"/>
              <w:jc w:val="right"/>
              <w:rPr>
                <w:rFonts w:ascii="Arial" w:hAnsi="Arial" w:cs="Arial"/>
                <w:sz w:val="16"/>
                <w:szCs w:val="16"/>
              </w:rPr>
            </w:pPr>
            <w:r>
              <w:rPr>
                <w:rFonts w:ascii="Arial" w:hAnsi="Arial" w:cs="Arial"/>
                <w:sz w:val="16"/>
                <w:szCs w:val="16"/>
              </w:rPr>
              <w:t>100</w:t>
            </w:r>
          </w:p>
        </w:tc>
      </w:tr>
      <w:tr w:rsidR="00F33DE1" w:rsidRPr="00615D1A" w14:paraId="0C0527C2" w14:textId="77777777" w:rsidTr="007431A4">
        <w:trPr>
          <w:trHeight w:val="204"/>
        </w:trPr>
        <w:tc>
          <w:tcPr>
            <w:tcW w:w="3119" w:type="dxa"/>
            <w:tcBorders>
              <w:top w:val="nil"/>
              <w:left w:val="nil"/>
              <w:bottom w:val="nil"/>
              <w:right w:val="nil"/>
            </w:tcBorders>
            <w:shd w:val="clear" w:color="auto" w:fill="auto"/>
            <w:noWrap/>
            <w:vAlign w:val="bottom"/>
            <w:hideMark/>
          </w:tcPr>
          <w:p w14:paraId="2F7C8396" w14:textId="77777777" w:rsidR="00F33DE1" w:rsidRPr="00615D1A" w:rsidRDefault="00F33DE1" w:rsidP="00F33DE1">
            <w:pPr>
              <w:spacing w:after="0" w:line="240" w:lineRule="auto"/>
              <w:ind w:left="113"/>
              <w:rPr>
                <w:rFonts w:ascii="Arial" w:hAnsi="Arial" w:cs="Arial"/>
                <w:sz w:val="16"/>
                <w:szCs w:val="16"/>
              </w:rPr>
            </w:pPr>
            <w:r w:rsidRPr="00615D1A">
              <w:rPr>
                <w:rFonts w:ascii="Arial" w:hAnsi="Arial" w:cs="Arial"/>
                <w:sz w:val="16"/>
                <w:szCs w:val="16"/>
              </w:rPr>
              <w:t>Interest</w:t>
            </w:r>
          </w:p>
        </w:tc>
        <w:tc>
          <w:tcPr>
            <w:tcW w:w="1325" w:type="dxa"/>
            <w:gridSpan w:val="2"/>
            <w:tcBorders>
              <w:top w:val="nil"/>
              <w:left w:val="nil"/>
              <w:bottom w:val="nil"/>
              <w:right w:val="nil"/>
            </w:tcBorders>
            <w:shd w:val="clear" w:color="auto" w:fill="auto"/>
            <w:noWrap/>
            <w:vAlign w:val="bottom"/>
            <w:hideMark/>
          </w:tcPr>
          <w:p w14:paraId="56D0E423" w14:textId="33A9F943" w:rsidR="00F33DE1" w:rsidRPr="00EC7A4B" w:rsidRDefault="00F33DE1" w:rsidP="00F33DE1">
            <w:pPr>
              <w:spacing w:after="0" w:line="240" w:lineRule="auto"/>
              <w:jc w:val="right"/>
              <w:rPr>
                <w:rFonts w:ascii="Arial" w:hAnsi="Arial" w:cs="Arial"/>
                <w:sz w:val="16"/>
                <w:szCs w:val="16"/>
              </w:rPr>
            </w:pPr>
            <w:r>
              <w:rPr>
                <w:rFonts w:ascii="Arial" w:hAnsi="Arial" w:cs="Arial"/>
                <w:sz w:val="16"/>
                <w:szCs w:val="16"/>
              </w:rPr>
              <w:t>508</w:t>
            </w:r>
          </w:p>
        </w:tc>
        <w:tc>
          <w:tcPr>
            <w:tcW w:w="901" w:type="dxa"/>
            <w:tcBorders>
              <w:top w:val="nil"/>
              <w:left w:val="nil"/>
              <w:bottom w:val="nil"/>
              <w:right w:val="nil"/>
            </w:tcBorders>
            <w:shd w:val="clear" w:color="auto" w:fill="E6E6E6"/>
            <w:noWrap/>
            <w:vAlign w:val="bottom"/>
            <w:hideMark/>
          </w:tcPr>
          <w:p w14:paraId="26CCF9F8" w14:textId="289AD885" w:rsidR="00F33DE1" w:rsidRPr="00EC7A4B" w:rsidRDefault="00F33DE1" w:rsidP="00F33DE1">
            <w:pPr>
              <w:spacing w:after="0" w:line="240" w:lineRule="auto"/>
              <w:jc w:val="right"/>
              <w:rPr>
                <w:rFonts w:ascii="Arial" w:hAnsi="Arial" w:cs="Arial"/>
                <w:sz w:val="16"/>
                <w:szCs w:val="16"/>
              </w:rPr>
            </w:pPr>
            <w:r>
              <w:rPr>
                <w:rFonts w:ascii="Arial" w:hAnsi="Arial" w:cs="Arial"/>
                <w:sz w:val="16"/>
                <w:szCs w:val="16"/>
              </w:rPr>
              <w:t>483</w:t>
            </w:r>
          </w:p>
        </w:tc>
        <w:tc>
          <w:tcPr>
            <w:tcW w:w="901" w:type="dxa"/>
            <w:tcBorders>
              <w:top w:val="nil"/>
              <w:left w:val="nil"/>
              <w:bottom w:val="nil"/>
              <w:right w:val="nil"/>
            </w:tcBorders>
            <w:shd w:val="clear" w:color="auto" w:fill="auto"/>
            <w:noWrap/>
            <w:vAlign w:val="bottom"/>
            <w:hideMark/>
          </w:tcPr>
          <w:p w14:paraId="209E5E1C" w14:textId="2BB792BC" w:rsidR="00F33DE1" w:rsidRPr="00EC7A4B" w:rsidRDefault="00F33DE1" w:rsidP="00F33DE1">
            <w:pPr>
              <w:spacing w:after="0" w:line="240" w:lineRule="auto"/>
              <w:jc w:val="right"/>
              <w:rPr>
                <w:rFonts w:ascii="Arial" w:hAnsi="Arial" w:cs="Arial"/>
                <w:sz w:val="16"/>
                <w:szCs w:val="16"/>
              </w:rPr>
            </w:pPr>
            <w:r>
              <w:rPr>
                <w:rFonts w:ascii="Arial" w:hAnsi="Arial" w:cs="Arial"/>
                <w:sz w:val="16"/>
                <w:szCs w:val="16"/>
              </w:rPr>
              <w:t>812</w:t>
            </w:r>
          </w:p>
        </w:tc>
        <w:tc>
          <w:tcPr>
            <w:tcW w:w="901" w:type="dxa"/>
            <w:tcBorders>
              <w:top w:val="nil"/>
              <w:left w:val="nil"/>
              <w:bottom w:val="nil"/>
              <w:right w:val="nil"/>
            </w:tcBorders>
            <w:shd w:val="clear" w:color="auto" w:fill="auto"/>
            <w:noWrap/>
            <w:vAlign w:val="bottom"/>
            <w:hideMark/>
          </w:tcPr>
          <w:p w14:paraId="768D28CB" w14:textId="55E3163E" w:rsidR="00F33DE1" w:rsidRPr="00EC7A4B" w:rsidRDefault="00F33DE1" w:rsidP="00F33DE1">
            <w:pPr>
              <w:spacing w:after="0" w:line="240" w:lineRule="auto"/>
              <w:jc w:val="right"/>
              <w:rPr>
                <w:rFonts w:ascii="Arial" w:hAnsi="Arial" w:cs="Arial"/>
                <w:sz w:val="16"/>
                <w:szCs w:val="16"/>
              </w:rPr>
            </w:pPr>
            <w:r>
              <w:rPr>
                <w:rFonts w:ascii="Arial" w:hAnsi="Arial" w:cs="Arial"/>
                <w:sz w:val="16"/>
                <w:szCs w:val="16"/>
              </w:rPr>
              <w:t>964</w:t>
            </w:r>
          </w:p>
        </w:tc>
        <w:tc>
          <w:tcPr>
            <w:tcW w:w="901" w:type="dxa"/>
            <w:tcBorders>
              <w:top w:val="nil"/>
              <w:left w:val="nil"/>
              <w:bottom w:val="nil"/>
              <w:right w:val="nil"/>
            </w:tcBorders>
            <w:vAlign w:val="bottom"/>
          </w:tcPr>
          <w:p w14:paraId="2062DEAC" w14:textId="3CD9F204" w:rsidR="00F33DE1" w:rsidRPr="00EC7A4B" w:rsidRDefault="00F33DE1" w:rsidP="00F33DE1">
            <w:pPr>
              <w:spacing w:after="0" w:line="240" w:lineRule="auto"/>
              <w:jc w:val="right"/>
              <w:rPr>
                <w:rFonts w:ascii="Arial" w:hAnsi="Arial" w:cs="Arial"/>
                <w:sz w:val="16"/>
                <w:szCs w:val="16"/>
              </w:rPr>
            </w:pPr>
            <w:r>
              <w:rPr>
                <w:rFonts w:ascii="Arial" w:hAnsi="Arial" w:cs="Arial"/>
                <w:sz w:val="16"/>
                <w:szCs w:val="16"/>
              </w:rPr>
              <w:t>1,242</w:t>
            </w:r>
          </w:p>
        </w:tc>
      </w:tr>
      <w:tr w:rsidR="00CB36D7" w:rsidRPr="00615D1A" w14:paraId="32AC3FDC" w14:textId="77777777" w:rsidTr="007431A4">
        <w:trPr>
          <w:trHeight w:val="204"/>
        </w:trPr>
        <w:tc>
          <w:tcPr>
            <w:tcW w:w="3119" w:type="dxa"/>
            <w:tcBorders>
              <w:top w:val="nil"/>
              <w:left w:val="nil"/>
              <w:bottom w:val="nil"/>
              <w:right w:val="nil"/>
            </w:tcBorders>
            <w:shd w:val="clear" w:color="auto" w:fill="auto"/>
            <w:noWrap/>
            <w:vAlign w:val="bottom"/>
            <w:hideMark/>
          </w:tcPr>
          <w:p w14:paraId="3CD2E497"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Rental income</w:t>
            </w:r>
          </w:p>
        </w:tc>
        <w:tc>
          <w:tcPr>
            <w:tcW w:w="1325" w:type="dxa"/>
            <w:gridSpan w:val="2"/>
            <w:tcBorders>
              <w:top w:val="nil"/>
              <w:left w:val="nil"/>
              <w:bottom w:val="nil"/>
              <w:right w:val="nil"/>
            </w:tcBorders>
            <w:shd w:val="clear" w:color="auto" w:fill="auto"/>
            <w:noWrap/>
            <w:vAlign w:val="bottom"/>
            <w:hideMark/>
          </w:tcPr>
          <w:p w14:paraId="019847A8" w14:textId="127B7C37" w:rsidR="00CB36D7" w:rsidRPr="00EC7A4B" w:rsidRDefault="00F33DE1" w:rsidP="00F33DE1">
            <w:pPr>
              <w:spacing w:after="0" w:line="240" w:lineRule="auto"/>
              <w:jc w:val="right"/>
              <w:rPr>
                <w:rFonts w:ascii="Arial" w:hAnsi="Arial" w:cs="Arial"/>
                <w:sz w:val="16"/>
                <w:szCs w:val="16"/>
              </w:rPr>
            </w:pPr>
            <w:r>
              <w:rPr>
                <w:rFonts w:ascii="Arial" w:hAnsi="Arial" w:cs="Arial"/>
                <w:sz w:val="16"/>
                <w:szCs w:val="16"/>
              </w:rPr>
              <w:t>225</w:t>
            </w:r>
          </w:p>
        </w:tc>
        <w:tc>
          <w:tcPr>
            <w:tcW w:w="901" w:type="dxa"/>
            <w:tcBorders>
              <w:top w:val="nil"/>
              <w:left w:val="nil"/>
              <w:bottom w:val="nil"/>
              <w:right w:val="nil"/>
            </w:tcBorders>
            <w:shd w:val="clear" w:color="auto" w:fill="E6E6E6"/>
            <w:noWrap/>
            <w:vAlign w:val="bottom"/>
            <w:hideMark/>
          </w:tcPr>
          <w:p w14:paraId="4A01A07E" w14:textId="3DC2A0AB" w:rsidR="00CB36D7" w:rsidRPr="00EC7A4B" w:rsidRDefault="00F33DE1" w:rsidP="00F33DE1">
            <w:pPr>
              <w:spacing w:after="0" w:line="240" w:lineRule="auto"/>
              <w:jc w:val="right"/>
              <w:rPr>
                <w:rFonts w:ascii="Arial" w:hAnsi="Arial" w:cs="Arial"/>
                <w:sz w:val="16"/>
                <w:szCs w:val="16"/>
              </w:rPr>
            </w:pPr>
            <w:r>
              <w:rPr>
                <w:rFonts w:ascii="Arial" w:hAnsi="Arial" w:cs="Arial"/>
                <w:sz w:val="16"/>
                <w:szCs w:val="16"/>
              </w:rPr>
              <w:t>253</w:t>
            </w:r>
          </w:p>
        </w:tc>
        <w:tc>
          <w:tcPr>
            <w:tcW w:w="901" w:type="dxa"/>
            <w:tcBorders>
              <w:top w:val="nil"/>
              <w:left w:val="nil"/>
              <w:bottom w:val="nil"/>
              <w:right w:val="nil"/>
            </w:tcBorders>
            <w:shd w:val="clear" w:color="auto" w:fill="auto"/>
            <w:noWrap/>
            <w:vAlign w:val="bottom"/>
            <w:hideMark/>
          </w:tcPr>
          <w:p w14:paraId="3B76DEE9" w14:textId="1AEFEE32" w:rsidR="00CB36D7" w:rsidRPr="00EC7A4B" w:rsidRDefault="00F33DE1" w:rsidP="00F33DE1">
            <w:pPr>
              <w:spacing w:after="0" w:line="240" w:lineRule="auto"/>
              <w:jc w:val="right"/>
              <w:rPr>
                <w:rFonts w:ascii="Arial" w:hAnsi="Arial" w:cs="Arial"/>
                <w:sz w:val="16"/>
                <w:szCs w:val="16"/>
              </w:rPr>
            </w:pPr>
            <w:r>
              <w:rPr>
                <w:rFonts w:ascii="Arial" w:hAnsi="Arial" w:cs="Arial"/>
                <w:sz w:val="16"/>
                <w:szCs w:val="16"/>
              </w:rPr>
              <w:t>290</w:t>
            </w:r>
          </w:p>
        </w:tc>
        <w:tc>
          <w:tcPr>
            <w:tcW w:w="901" w:type="dxa"/>
            <w:tcBorders>
              <w:top w:val="nil"/>
              <w:left w:val="nil"/>
              <w:bottom w:val="nil"/>
              <w:right w:val="nil"/>
            </w:tcBorders>
            <w:shd w:val="clear" w:color="auto" w:fill="auto"/>
            <w:noWrap/>
            <w:vAlign w:val="bottom"/>
            <w:hideMark/>
          </w:tcPr>
          <w:p w14:paraId="5A526D7B" w14:textId="0486DDB7" w:rsidR="00CB36D7" w:rsidRPr="00EC7A4B" w:rsidRDefault="00F33DE1" w:rsidP="00F33DE1">
            <w:pPr>
              <w:spacing w:after="0" w:line="240" w:lineRule="auto"/>
              <w:jc w:val="right"/>
              <w:rPr>
                <w:rFonts w:ascii="Arial" w:hAnsi="Arial" w:cs="Arial"/>
                <w:sz w:val="16"/>
                <w:szCs w:val="16"/>
              </w:rPr>
            </w:pPr>
            <w:r>
              <w:rPr>
                <w:rFonts w:ascii="Arial" w:hAnsi="Arial" w:cs="Arial"/>
                <w:sz w:val="16"/>
                <w:szCs w:val="16"/>
              </w:rPr>
              <w:t>290</w:t>
            </w:r>
          </w:p>
        </w:tc>
        <w:tc>
          <w:tcPr>
            <w:tcW w:w="901" w:type="dxa"/>
            <w:tcBorders>
              <w:top w:val="nil"/>
              <w:left w:val="nil"/>
              <w:bottom w:val="nil"/>
              <w:right w:val="nil"/>
            </w:tcBorders>
            <w:vAlign w:val="bottom"/>
          </w:tcPr>
          <w:p w14:paraId="273EE38C" w14:textId="38B6E12C" w:rsidR="00CB36D7" w:rsidRPr="00EC7A4B" w:rsidRDefault="00F33DE1" w:rsidP="00F33DE1">
            <w:pPr>
              <w:spacing w:after="0" w:line="240" w:lineRule="auto"/>
              <w:jc w:val="right"/>
              <w:rPr>
                <w:rFonts w:ascii="Arial" w:hAnsi="Arial" w:cs="Arial"/>
                <w:sz w:val="16"/>
                <w:szCs w:val="16"/>
              </w:rPr>
            </w:pPr>
            <w:r>
              <w:rPr>
                <w:rFonts w:ascii="Arial" w:hAnsi="Arial" w:cs="Arial"/>
                <w:sz w:val="16"/>
                <w:szCs w:val="16"/>
              </w:rPr>
              <w:t>290</w:t>
            </w:r>
          </w:p>
        </w:tc>
      </w:tr>
      <w:tr w:rsidR="00CB36D7" w:rsidRPr="00615D1A" w14:paraId="5E41E63D" w14:textId="77777777" w:rsidTr="007431A4">
        <w:trPr>
          <w:trHeight w:val="204"/>
        </w:trPr>
        <w:tc>
          <w:tcPr>
            <w:tcW w:w="3119" w:type="dxa"/>
            <w:tcBorders>
              <w:top w:val="nil"/>
              <w:left w:val="nil"/>
              <w:bottom w:val="nil"/>
              <w:right w:val="nil"/>
            </w:tcBorders>
            <w:shd w:val="clear" w:color="auto" w:fill="auto"/>
            <w:noWrap/>
            <w:vAlign w:val="bottom"/>
            <w:hideMark/>
          </w:tcPr>
          <w:p w14:paraId="151AB823"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Contributions from states and territories</w:t>
            </w:r>
          </w:p>
        </w:tc>
        <w:tc>
          <w:tcPr>
            <w:tcW w:w="1325" w:type="dxa"/>
            <w:gridSpan w:val="2"/>
            <w:tcBorders>
              <w:top w:val="nil"/>
              <w:left w:val="nil"/>
              <w:bottom w:val="nil"/>
              <w:right w:val="nil"/>
            </w:tcBorders>
            <w:shd w:val="clear" w:color="auto" w:fill="auto"/>
            <w:noWrap/>
            <w:vAlign w:val="bottom"/>
            <w:hideMark/>
          </w:tcPr>
          <w:p w14:paraId="3D16C8B1"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5,204</w:t>
            </w:r>
          </w:p>
        </w:tc>
        <w:tc>
          <w:tcPr>
            <w:tcW w:w="901" w:type="dxa"/>
            <w:tcBorders>
              <w:top w:val="nil"/>
              <w:left w:val="nil"/>
              <w:bottom w:val="nil"/>
              <w:right w:val="nil"/>
            </w:tcBorders>
            <w:shd w:val="clear" w:color="auto" w:fill="E6E6E6"/>
            <w:noWrap/>
            <w:vAlign w:val="bottom"/>
            <w:hideMark/>
          </w:tcPr>
          <w:p w14:paraId="2E1E0E10"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3,034</w:t>
            </w:r>
          </w:p>
        </w:tc>
        <w:tc>
          <w:tcPr>
            <w:tcW w:w="901" w:type="dxa"/>
            <w:tcBorders>
              <w:top w:val="nil"/>
              <w:left w:val="nil"/>
              <w:bottom w:val="nil"/>
              <w:right w:val="nil"/>
            </w:tcBorders>
            <w:shd w:val="clear" w:color="auto" w:fill="auto"/>
            <w:noWrap/>
            <w:vAlign w:val="bottom"/>
            <w:hideMark/>
          </w:tcPr>
          <w:p w14:paraId="520E3488"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14:paraId="06023281" w14:textId="77777777" w:rsidR="00CB36D7" w:rsidRPr="00EC7A4B" w:rsidRDefault="00CB36D7" w:rsidP="00F33DE1">
            <w:pPr>
              <w:spacing w:after="0" w:line="240" w:lineRule="auto"/>
              <w:jc w:val="right"/>
              <w:rPr>
                <w:rFonts w:ascii="Arial" w:hAnsi="Arial" w:cs="Arial"/>
                <w:sz w:val="16"/>
                <w:szCs w:val="16"/>
              </w:rPr>
            </w:pPr>
            <w:r w:rsidRPr="00EC7A4B">
              <w:rPr>
                <w:rFonts w:ascii="Arial" w:hAnsi="Arial" w:cs="Arial"/>
                <w:sz w:val="16"/>
                <w:szCs w:val="16"/>
              </w:rPr>
              <w:t>1,484</w:t>
            </w:r>
          </w:p>
        </w:tc>
        <w:tc>
          <w:tcPr>
            <w:tcW w:w="901" w:type="dxa"/>
            <w:tcBorders>
              <w:top w:val="nil"/>
              <w:left w:val="nil"/>
              <w:bottom w:val="nil"/>
              <w:right w:val="nil"/>
            </w:tcBorders>
            <w:vAlign w:val="bottom"/>
          </w:tcPr>
          <w:p w14:paraId="1D584453" w14:textId="77777777" w:rsidR="00CB36D7" w:rsidRPr="00EC7A4B" w:rsidRDefault="00CB36D7" w:rsidP="00F33DE1">
            <w:pPr>
              <w:spacing w:after="0" w:line="240" w:lineRule="auto"/>
              <w:jc w:val="right"/>
              <w:rPr>
                <w:rFonts w:ascii="Arial" w:hAnsi="Arial" w:cs="Arial"/>
                <w:sz w:val="16"/>
                <w:szCs w:val="16"/>
              </w:rPr>
            </w:pPr>
            <w:r w:rsidRPr="007A2C1C">
              <w:rPr>
                <w:rFonts w:ascii="Arial" w:hAnsi="Arial" w:cs="Arial"/>
                <w:sz w:val="16"/>
                <w:szCs w:val="16"/>
              </w:rPr>
              <w:t>1,484</w:t>
            </w:r>
          </w:p>
        </w:tc>
      </w:tr>
      <w:tr w:rsidR="00CB36D7" w:rsidRPr="00615D1A" w14:paraId="30A45490" w14:textId="77777777" w:rsidTr="007431A4">
        <w:trPr>
          <w:trHeight w:val="204"/>
        </w:trPr>
        <w:tc>
          <w:tcPr>
            <w:tcW w:w="3119" w:type="dxa"/>
            <w:tcBorders>
              <w:top w:val="nil"/>
              <w:left w:val="nil"/>
              <w:bottom w:val="nil"/>
              <w:right w:val="nil"/>
            </w:tcBorders>
            <w:shd w:val="clear" w:color="auto" w:fill="auto"/>
            <w:noWrap/>
            <w:vAlign w:val="bottom"/>
            <w:hideMark/>
          </w:tcPr>
          <w:p w14:paraId="212A93F2"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Other</w:t>
            </w:r>
          </w:p>
        </w:tc>
        <w:tc>
          <w:tcPr>
            <w:tcW w:w="1325" w:type="dxa"/>
            <w:gridSpan w:val="2"/>
            <w:tcBorders>
              <w:top w:val="nil"/>
              <w:left w:val="nil"/>
              <w:bottom w:val="nil"/>
              <w:right w:val="nil"/>
            </w:tcBorders>
            <w:shd w:val="clear" w:color="auto" w:fill="auto"/>
            <w:noWrap/>
            <w:vAlign w:val="bottom"/>
            <w:hideMark/>
          </w:tcPr>
          <w:p w14:paraId="797A5FF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4,179</w:t>
            </w:r>
          </w:p>
        </w:tc>
        <w:tc>
          <w:tcPr>
            <w:tcW w:w="901" w:type="dxa"/>
            <w:tcBorders>
              <w:top w:val="nil"/>
              <w:left w:val="nil"/>
              <w:bottom w:val="nil"/>
              <w:right w:val="nil"/>
            </w:tcBorders>
            <w:shd w:val="clear" w:color="auto" w:fill="E6E6E6"/>
            <w:noWrap/>
            <w:vAlign w:val="bottom"/>
            <w:hideMark/>
          </w:tcPr>
          <w:p w14:paraId="66C05148"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AFB2D2A"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1100A7AF"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vAlign w:val="bottom"/>
          </w:tcPr>
          <w:p w14:paraId="612DAF20"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w:t>
            </w:r>
          </w:p>
        </w:tc>
      </w:tr>
      <w:tr w:rsidR="00CB36D7" w:rsidRPr="00615D1A" w14:paraId="434BD655" w14:textId="77777777" w:rsidTr="007431A4">
        <w:trPr>
          <w:trHeight w:val="204"/>
        </w:trPr>
        <w:tc>
          <w:tcPr>
            <w:tcW w:w="3119" w:type="dxa"/>
            <w:tcBorders>
              <w:top w:val="nil"/>
              <w:left w:val="nil"/>
              <w:bottom w:val="nil"/>
              <w:right w:val="nil"/>
            </w:tcBorders>
            <w:shd w:val="clear" w:color="auto" w:fill="auto"/>
            <w:noWrap/>
            <w:vAlign w:val="bottom"/>
            <w:hideMark/>
          </w:tcPr>
          <w:p w14:paraId="2B4CEE68"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own-source revenue</w:t>
            </w:r>
          </w:p>
        </w:tc>
        <w:tc>
          <w:tcPr>
            <w:tcW w:w="1325" w:type="dxa"/>
            <w:gridSpan w:val="2"/>
            <w:tcBorders>
              <w:top w:val="single" w:sz="4" w:space="0" w:color="auto"/>
              <w:left w:val="nil"/>
              <w:bottom w:val="single" w:sz="4" w:space="0" w:color="auto"/>
              <w:right w:val="nil"/>
            </w:tcBorders>
            <w:shd w:val="clear" w:color="auto" w:fill="auto"/>
            <w:noWrap/>
            <w:vAlign w:val="bottom"/>
            <w:hideMark/>
          </w:tcPr>
          <w:p w14:paraId="4162DA4E"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23,045</w:t>
            </w:r>
          </w:p>
        </w:tc>
        <w:tc>
          <w:tcPr>
            <w:tcW w:w="901" w:type="dxa"/>
            <w:tcBorders>
              <w:top w:val="single" w:sz="4" w:space="0" w:color="auto"/>
              <w:left w:val="nil"/>
              <w:bottom w:val="single" w:sz="4" w:space="0" w:color="auto"/>
              <w:right w:val="nil"/>
            </w:tcBorders>
            <w:shd w:val="clear" w:color="auto" w:fill="E6E6E6"/>
            <w:noWrap/>
            <w:vAlign w:val="bottom"/>
            <w:hideMark/>
          </w:tcPr>
          <w:p w14:paraId="085DC9F7"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13,271</w:t>
            </w:r>
          </w:p>
        </w:tc>
        <w:tc>
          <w:tcPr>
            <w:tcW w:w="901" w:type="dxa"/>
            <w:tcBorders>
              <w:top w:val="single" w:sz="4" w:space="0" w:color="auto"/>
              <w:left w:val="nil"/>
              <w:bottom w:val="single" w:sz="4" w:space="0" w:color="auto"/>
              <w:right w:val="nil"/>
            </w:tcBorders>
            <w:shd w:val="clear" w:color="auto" w:fill="auto"/>
            <w:noWrap/>
            <w:vAlign w:val="bottom"/>
            <w:hideMark/>
          </w:tcPr>
          <w:p w14:paraId="1119C43A"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12,676</w:t>
            </w:r>
          </w:p>
        </w:tc>
        <w:tc>
          <w:tcPr>
            <w:tcW w:w="901" w:type="dxa"/>
            <w:tcBorders>
              <w:top w:val="single" w:sz="4" w:space="0" w:color="auto"/>
              <w:left w:val="nil"/>
              <w:bottom w:val="single" w:sz="4" w:space="0" w:color="auto"/>
              <w:right w:val="nil"/>
            </w:tcBorders>
            <w:shd w:val="clear" w:color="auto" w:fill="auto"/>
            <w:noWrap/>
            <w:vAlign w:val="bottom"/>
            <w:hideMark/>
          </w:tcPr>
          <w:p w14:paraId="2489A117"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12,828</w:t>
            </w:r>
          </w:p>
        </w:tc>
        <w:tc>
          <w:tcPr>
            <w:tcW w:w="901" w:type="dxa"/>
            <w:tcBorders>
              <w:top w:val="single" w:sz="4" w:space="0" w:color="auto"/>
              <w:left w:val="nil"/>
              <w:bottom w:val="single" w:sz="4" w:space="0" w:color="auto"/>
              <w:right w:val="nil"/>
            </w:tcBorders>
            <w:vAlign w:val="bottom"/>
          </w:tcPr>
          <w:p w14:paraId="4EF5B5CA"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13,106</w:t>
            </w:r>
          </w:p>
        </w:tc>
      </w:tr>
      <w:tr w:rsidR="00CB36D7" w:rsidRPr="00615D1A" w14:paraId="52C5FF4E" w14:textId="77777777" w:rsidTr="007431A4">
        <w:trPr>
          <w:trHeight w:val="204"/>
        </w:trPr>
        <w:tc>
          <w:tcPr>
            <w:tcW w:w="3119" w:type="dxa"/>
            <w:tcBorders>
              <w:top w:val="nil"/>
              <w:left w:val="nil"/>
              <w:bottom w:val="nil"/>
              <w:right w:val="nil"/>
            </w:tcBorders>
            <w:shd w:val="clear" w:color="auto" w:fill="auto"/>
            <w:noWrap/>
            <w:vAlign w:val="bottom"/>
            <w:hideMark/>
          </w:tcPr>
          <w:p w14:paraId="4F6A4D73"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Gains</w:t>
            </w:r>
          </w:p>
        </w:tc>
        <w:tc>
          <w:tcPr>
            <w:tcW w:w="1325" w:type="dxa"/>
            <w:gridSpan w:val="2"/>
            <w:tcBorders>
              <w:top w:val="nil"/>
              <w:left w:val="nil"/>
              <w:bottom w:val="nil"/>
              <w:right w:val="nil"/>
            </w:tcBorders>
            <w:shd w:val="clear" w:color="auto" w:fill="auto"/>
            <w:noWrap/>
            <w:vAlign w:val="bottom"/>
            <w:hideMark/>
          </w:tcPr>
          <w:p w14:paraId="3C2A1510"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E6E6E6"/>
            <w:noWrap/>
            <w:vAlign w:val="bottom"/>
            <w:hideMark/>
          </w:tcPr>
          <w:p w14:paraId="3576C9F3"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92E3F87"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E47E61F" w14:textId="77777777" w:rsidR="00CB36D7" w:rsidRPr="002F7F2B" w:rsidRDefault="00CB36D7" w:rsidP="00F33DE1">
            <w:pPr>
              <w:spacing w:after="0" w:line="240" w:lineRule="auto"/>
              <w:jc w:val="right"/>
              <w:rPr>
                <w:rFonts w:ascii="Times New Roman" w:hAnsi="Times New Roman"/>
                <w:sz w:val="16"/>
                <w:szCs w:val="16"/>
              </w:rPr>
            </w:pPr>
          </w:p>
        </w:tc>
        <w:tc>
          <w:tcPr>
            <w:tcW w:w="901" w:type="dxa"/>
            <w:tcBorders>
              <w:top w:val="nil"/>
              <w:left w:val="nil"/>
              <w:bottom w:val="nil"/>
              <w:right w:val="nil"/>
            </w:tcBorders>
            <w:vAlign w:val="bottom"/>
          </w:tcPr>
          <w:p w14:paraId="5754296C" w14:textId="77777777" w:rsidR="00CB36D7" w:rsidRPr="00EC7A4B" w:rsidRDefault="00CB36D7" w:rsidP="00F33DE1">
            <w:pPr>
              <w:spacing w:after="0" w:line="240" w:lineRule="auto"/>
              <w:jc w:val="right"/>
              <w:rPr>
                <w:rFonts w:ascii="Times New Roman" w:hAnsi="Times New Roman"/>
                <w:sz w:val="16"/>
                <w:szCs w:val="16"/>
              </w:rPr>
            </w:pPr>
          </w:p>
        </w:tc>
      </w:tr>
      <w:tr w:rsidR="00CB36D7" w:rsidRPr="00716D21" w14:paraId="3D39EE47" w14:textId="77777777" w:rsidTr="007431A4">
        <w:trPr>
          <w:trHeight w:val="204"/>
        </w:trPr>
        <w:tc>
          <w:tcPr>
            <w:tcW w:w="3119" w:type="dxa"/>
            <w:tcBorders>
              <w:top w:val="nil"/>
              <w:left w:val="nil"/>
              <w:bottom w:val="nil"/>
              <w:right w:val="nil"/>
            </w:tcBorders>
            <w:shd w:val="clear" w:color="auto" w:fill="auto"/>
            <w:noWrap/>
            <w:vAlign w:val="bottom"/>
            <w:hideMark/>
          </w:tcPr>
          <w:p w14:paraId="10E042D5" w14:textId="77777777" w:rsidR="00CB36D7" w:rsidRPr="00716D21" w:rsidRDefault="00CB36D7" w:rsidP="00CB36D7">
            <w:pPr>
              <w:spacing w:after="0" w:line="240" w:lineRule="auto"/>
              <w:ind w:left="113"/>
              <w:rPr>
                <w:rFonts w:ascii="Arial" w:hAnsi="Arial" w:cs="Arial"/>
                <w:sz w:val="16"/>
                <w:szCs w:val="16"/>
              </w:rPr>
            </w:pPr>
            <w:r w:rsidRPr="00716D21">
              <w:rPr>
                <w:rFonts w:ascii="Arial" w:hAnsi="Arial" w:cs="Arial"/>
                <w:sz w:val="16"/>
                <w:szCs w:val="16"/>
              </w:rPr>
              <w:t>Sale of assets</w:t>
            </w:r>
          </w:p>
        </w:tc>
        <w:tc>
          <w:tcPr>
            <w:tcW w:w="1325" w:type="dxa"/>
            <w:gridSpan w:val="2"/>
            <w:tcBorders>
              <w:top w:val="nil"/>
              <w:left w:val="nil"/>
              <w:bottom w:val="nil"/>
              <w:right w:val="nil"/>
            </w:tcBorders>
            <w:shd w:val="clear" w:color="auto" w:fill="auto"/>
            <w:noWrap/>
            <w:vAlign w:val="bottom"/>
            <w:hideMark/>
          </w:tcPr>
          <w:p w14:paraId="0670A3A6" w14:textId="77777777" w:rsidR="00CB36D7" w:rsidRPr="00716D21" w:rsidRDefault="00CB36D7" w:rsidP="00F33DE1">
            <w:pPr>
              <w:spacing w:after="0" w:line="240" w:lineRule="auto"/>
              <w:jc w:val="right"/>
              <w:rPr>
                <w:rFonts w:ascii="Arial" w:hAnsi="Arial" w:cs="Arial"/>
                <w:sz w:val="16"/>
                <w:szCs w:val="16"/>
              </w:rPr>
            </w:pPr>
            <w:r w:rsidRPr="00716D21">
              <w:rPr>
                <w:rFonts w:ascii="Arial" w:hAnsi="Arial" w:cs="Arial"/>
                <w:sz w:val="16"/>
                <w:szCs w:val="16"/>
              </w:rPr>
              <w:t>2</w:t>
            </w:r>
            <w:r>
              <w:rPr>
                <w:rFonts w:ascii="Arial" w:hAnsi="Arial" w:cs="Arial"/>
                <w:sz w:val="16"/>
                <w:szCs w:val="16"/>
              </w:rPr>
              <w:t>85</w:t>
            </w:r>
          </w:p>
        </w:tc>
        <w:tc>
          <w:tcPr>
            <w:tcW w:w="901" w:type="dxa"/>
            <w:tcBorders>
              <w:top w:val="nil"/>
              <w:left w:val="nil"/>
              <w:bottom w:val="nil"/>
              <w:right w:val="nil"/>
            </w:tcBorders>
            <w:shd w:val="clear" w:color="auto" w:fill="E6E6E6"/>
            <w:noWrap/>
            <w:vAlign w:val="bottom"/>
            <w:hideMark/>
          </w:tcPr>
          <w:p w14:paraId="2A42C89C" w14:textId="77777777" w:rsidR="00CB36D7" w:rsidRPr="00716D21" w:rsidRDefault="00CB36D7" w:rsidP="00F33DE1">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5F16D014" w14:textId="77777777" w:rsidR="00CB36D7" w:rsidRPr="00716D21" w:rsidRDefault="00CB36D7" w:rsidP="00F33DE1">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09396D14" w14:textId="77777777" w:rsidR="00CB36D7" w:rsidRPr="00716D21" w:rsidRDefault="00CB36D7" w:rsidP="00F33DE1">
            <w:pPr>
              <w:spacing w:after="0" w:line="240" w:lineRule="auto"/>
              <w:jc w:val="right"/>
              <w:rPr>
                <w:rFonts w:ascii="Arial" w:hAnsi="Arial" w:cs="Arial"/>
                <w:bCs/>
                <w:sz w:val="16"/>
                <w:szCs w:val="16"/>
              </w:rPr>
            </w:pPr>
            <w:r w:rsidRPr="00716D21">
              <w:rPr>
                <w:rFonts w:ascii="Arial" w:hAnsi="Arial" w:cs="Arial"/>
                <w:bCs/>
                <w:sz w:val="16"/>
                <w:szCs w:val="16"/>
              </w:rPr>
              <w:t>-</w:t>
            </w:r>
          </w:p>
        </w:tc>
        <w:tc>
          <w:tcPr>
            <w:tcW w:w="901" w:type="dxa"/>
            <w:tcBorders>
              <w:top w:val="nil"/>
              <w:left w:val="nil"/>
              <w:bottom w:val="nil"/>
              <w:right w:val="nil"/>
            </w:tcBorders>
            <w:vAlign w:val="bottom"/>
          </w:tcPr>
          <w:p w14:paraId="7B1A5B9F" w14:textId="77777777" w:rsidR="00CB36D7" w:rsidRPr="00716D21" w:rsidRDefault="00CB36D7" w:rsidP="00F33DE1">
            <w:pPr>
              <w:spacing w:after="0" w:line="240" w:lineRule="auto"/>
              <w:jc w:val="right"/>
              <w:rPr>
                <w:rFonts w:ascii="Arial" w:hAnsi="Arial" w:cs="Arial"/>
                <w:bCs/>
                <w:sz w:val="16"/>
                <w:szCs w:val="16"/>
              </w:rPr>
            </w:pPr>
            <w:r w:rsidRPr="00716D21">
              <w:rPr>
                <w:rFonts w:ascii="Arial" w:hAnsi="Arial" w:cs="Arial"/>
                <w:bCs/>
                <w:sz w:val="16"/>
                <w:szCs w:val="16"/>
              </w:rPr>
              <w:t>-</w:t>
            </w:r>
          </w:p>
        </w:tc>
      </w:tr>
      <w:tr w:rsidR="00CB36D7" w:rsidRPr="00716D21" w14:paraId="10E4331B" w14:textId="77777777" w:rsidTr="007431A4">
        <w:trPr>
          <w:trHeight w:val="204"/>
        </w:trPr>
        <w:tc>
          <w:tcPr>
            <w:tcW w:w="3119" w:type="dxa"/>
            <w:tcBorders>
              <w:top w:val="nil"/>
              <w:left w:val="nil"/>
              <w:bottom w:val="nil"/>
              <w:right w:val="nil"/>
            </w:tcBorders>
            <w:shd w:val="clear" w:color="auto" w:fill="auto"/>
            <w:noWrap/>
            <w:vAlign w:val="bottom"/>
          </w:tcPr>
          <w:p w14:paraId="7276FC05" w14:textId="77777777" w:rsidR="00CB36D7" w:rsidRPr="00716D21" w:rsidRDefault="00CB36D7" w:rsidP="00CB36D7">
            <w:pPr>
              <w:spacing w:after="0" w:line="240" w:lineRule="auto"/>
              <w:ind w:left="113"/>
              <w:rPr>
                <w:rFonts w:ascii="Arial" w:hAnsi="Arial" w:cs="Arial"/>
                <w:sz w:val="16"/>
                <w:szCs w:val="16"/>
              </w:rPr>
            </w:pPr>
            <w:r>
              <w:rPr>
                <w:rFonts w:ascii="Arial" w:hAnsi="Arial" w:cs="Arial"/>
                <w:sz w:val="16"/>
                <w:szCs w:val="16"/>
              </w:rPr>
              <w:t>Other</w:t>
            </w:r>
          </w:p>
        </w:tc>
        <w:tc>
          <w:tcPr>
            <w:tcW w:w="1325" w:type="dxa"/>
            <w:gridSpan w:val="2"/>
            <w:tcBorders>
              <w:top w:val="nil"/>
              <w:left w:val="nil"/>
              <w:bottom w:val="nil"/>
              <w:right w:val="nil"/>
            </w:tcBorders>
            <w:shd w:val="clear" w:color="auto" w:fill="auto"/>
            <w:noWrap/>
            <w:vAlign w:val="bottom"/>
          </w:tcPr>
          <w:p w14:paraId="59AF510A" w14:textId="77777777" w:rsidR="00CB36D7" w:rsidRPr="00716D21" w:rsidRDefault="00CB36D7" w:rsidP="00F33DE1">
            <w:pPr>
              <w:spacing w:after="0" w:line="240" w:lineRule="auto"/>
              <w:jc w:val="right"/>
              <w:rPr>
                <w:rFonts w:ascii="Arial" w:hAnsi="Arial" w:cs="Arial"/>
                <w:sz w:val="16"/>
                <w:szCs w:val="16"/>
              </w:rPr>
            </w:pPr>
            <w:r>
              <w:rPr>
                <w:rFonts w:ascii="Arial" w:hAnsi="Arial" w:cs="Arial"/>
                <w:sz w:val="16"/>
                <w:szCs w:val="16"/>
              </w:rPr>
              <w:t>1,618</w:t>
            </w:r>
          </w:p>
        </w:tc>
        <w:tc>
          <w:tcPr>
            <w:tcW w:w="901" w:type="dxa"/>
            <w:tcBorders>
              <w:top w:val="nil"/>
              <w:left w:val="nil"/>
              <w:bottom w:val="nil"/>
              <w:right w:val="nil"/>
            </w:tcBorders>
            <w:shd w:val="clear" w:color="auto" w:fill="E6E6E6"/>
            <w:noWrap/>
            <w:vAlign w:val="bottom"/>
          </w:tcPr>
          <w:p w14:paraId="35C4C4F9" w14:textId="77777777" w:rsidR="00CB36D7" w:rsidRPr="00716D21" w:rsidRDefault="00CB36D7" w:rsidP="00F33DE1">
            <w:pPr>
              <w:spacing w:after="0" w:line="240" w:lineRule="auto"/>
              <w:jc w:val="right"/>
              <w:rPr>
                <w:rFonts w:ascii="Arial" w:hAnsi="Arial" w:cs="Arial"/>
                <w:bCs/>
                <w:sz w:val="16"/>
                <w:szCs w:val="16"/>
              </w:rPr>
            </w:pPr>
            <w:r>
              <w:rPr>
                <w:rFonts w:ascii="Arial" w:hAnsi="Arial" w:cs="Arial"/>
                <w:bCs/>
                <w:sz w:val="16"/>
                <w:szCs w:val="16"/>
              </w:rPr>
              <w:t>-</w:t>
            </w:r>
          </w:p>
        </w:tc>
        <w:tc>
          <w:tcPr>
            <w:tcW w:w="901" w:type="dxa"/>
            <w:tcBorders>
              <w:top w:val="nil"/>
              <w:left w:val="nil"/>
              <w:bottom w:val="nil"/>
              <w:right w:val="nil"/>
            </w:tcBorders>
            <w:shd w:val="clear" w:color="auto" w:fill="auto"/>
            <w:noWrap/>
            <w:vAlign w:val="bottom"/>
          </w:tcPr>
          <w:p w14:paraId="58C56437" w14:textId="77777777" w:rsidR="00CB36D7" w:rsidRPr="00716D21" w:rsidRDefault="00CB36D7" w:rsidP="00F33DE1">
            <w:pPr>
              <w:spacing w:after="0" w:line="240" w:lineRule="auto"/>
              <w:jc w:val="right"/>
              <w:rPr>
                <w:rFonts w:ascii="Arial" w:hAnsi="Arial" w:cs="Arial"/>
                <w:bCs/>
                <w:sz w:val="16"/>
                <w:szCs w:val="16"/>
              </w:rPr>
            </w:pPr>
            <w:r>
              <w:rPr>
                <w:rFonts w:ascii="Arial" w:hAnsi="Arial" w:cs="Arial"/>
                <w:bCs/>
                <w:sz w:val="16"/>
                <w:szCs w:val="16"/>
              </w:rPr>
              <w:t>-</w:t>
            </w:r>
          </w:p>
        </w:tc>
        <w:tc>
          <w:tcPr>
            <w:tcW w:w="901" w:type="dxa"/>
            <w:tcBorders>
              <w:top w:val="nil"/>
              <w:left w:val="nil"/>
              <w:bottom w:val="nil"/>
              <w:right w:val="nil"/>
            </w:tcBorders>
            <w:shd w:val="clear" w:color="auto" w:fill="auto"/>
            <w:noWrap/>
            <w:vAlign w:val="bottom"/>
          </w:tcPr>
          <w:p w14:paraId="27A27111" w14:textId="77777777" w:rsidR="00CB36D7" w:rsidRPr="00716D21" w:rsidRDefault="00CB36D7" w:rsidP="00F33DE1">
            <w:pPr>
              <w:spacing w:after="0" w:line="240" w:lineRule="auto"/>
              <w:jc w:val="right"/>
              <w:rPr>
                <w:rFonts w:ascii="Arial" w:hAnsi="Arial" w:cs="Arial"/>
                <w:bCs/>
                <w:sz w:val="16"/>
                <w:szCs w:val="16"/>
              </w:rPr>
            </w:pPr>
            <w:r>
              <w:rPr>
                <w:rFonts w:ascii="Arial" w:hAnsi="Arial" w:cs="Arial"/>
                <w:bCs/>
                <w:sz w:val="16"/>
                <w:szCs w:val="16"/>
              </w:rPr>
              <w:t>-</w:t>
            </w:r>
          </w:p>
        </w:tc>
        <w:tc>
          <w:tcPr>
            <w:tcW w:w="901" w:type="dxa"/>
            <w:tcBorders>
              <w:top w:val="nil"/>
              <w:left w:val="nil"/>
              <w:bottom w:val="nil"/>
              <w:right w:val="nil"/>
            </w:tcBorders>
            <w:vAlign w:val="bottom"/>
          </w:tcPr>
          <w:p w14:paraId="1DD85FE9" w14:textId="77777777" w:rsidR="00CB36D7" w:rsidRPr="00716D21" w:rsidRDefault="00CB36D7" w:rsidP="00F33DE1">
            <w:pPr>
              <w:spacing w:after="0" w:line="240" w:lineRule="auto"/>
              <w:jc w:val="right"/>
              <w:rPr>
                <w:rFonts w:ascii="Arial" w:hAnsi="Arial" w:cs="Arial"/>
                <w:bCs/>
                <w:sz w:val="16"/>
                <w:szCs w:val="16"/>
              </w:rPr>
            </w:pPr>
            <w:r>
              <w:rPr>
                <w:rFonts w:ascii="Arial" w:hAnsi="Arial" w:cs="Arial"/>
                <w:bCs/>
                <w:sz w:val="16"/>
                <w:szCs w:val="16"/>
              </w:rPr>
              <w:t>-</w:t>
            </w:r>
          </w:p>
        </w:tc>
      </w:tr>
      <w:tr w:rsidR="00CB36D7" w:rsidRPr="00615D1A" w14:paraId="0811937F" w14:textId="77777777" w:rsidTr="007431A4">
        <w:trPr>
          <w:trHeight w:val="204"/>
        </w:trPr>
        <w:tc>
          <w:tcPr>
            <w:tcW w:w="3119" w:type="dxa"/>
            <w:tcBorders>
              <w:top w:val="nil"/>
              <w:left w:val="nil"/>
              <w:bottom w:val="nil"/>
              <w:right w:val="nil"/>
            </w:tcBorders>
            <w:shd w:val="clear" w:color="auto" w:fill="auto"/>
            <w:noWrap/>
            <w:vAlign w:val="bottom"/>
            <w:hideMark/>
          </w:tcPr>
          <w:p w14:paraId="1D8954E6"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gains</w:t>
            </w:r>
          </w:p>
        </w:tc>
        <w:tc>
          <w:tcPr>
            <w:tcW w:w="1325" w:type="dxa"/>
            <w:gridSpan w:val="2"/>
            <w:tcBorders>
              <w:top w:val="single" w:sz="4" w:space="0" w:color="auto"/>
              <w:left w:val="nil"/>
              <w:bottom w:val="single" w:sz="4" w:space="0" w:color="auto"/>
              <w:right w:val="nil"/>
            </w:tcBorders>
            <w:shd w:val="clear" w:color="auto" w:fill="auto"/>
            <w:noWrap/>
            <w:vAlign w:val="bottom"/>
            <w:hideMark/>
          </w:tcPr>
          <w:p w14:paraId="388AB6F9"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1,903</w:t>
            </w:r>
          </w:p>
        </w:tc>
        <w:tc>
          <w:tcPr>
            <w:tcW w:w="901" w:type="dxa"/>
            <w:tcBorders>
              <w:top w:val="single" w:sz="4" w:space="0" w:color="auto"/>
              <w:left w:val="nil"/>
              <w:bottom w:val="single" w:sz="4" w:space="0" w:color="auto"/>
              <w:right w:val="nil"/>
            </w:tcBorders>
            <w:shd w:val="clear" w:color="auto" w:fill="E6E6E6"/>
            <w:noWrap/>
            <w:vAlign w:val="bottom"/>
            <w:hideMark/>
          </w:tcPr>
          <w:p w14:paraId="3C9A49DF"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0610BA92"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4AD21C40"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w:t>
            </w:r>
          </w:p>
        </w:tc>
        <w:tc>
          <w:tcPr>
            <w:tcW w:w="901" w:type="dxa"/>
            <w:tcBorders>
              <w:top w:val="single" w:sz="4" w:space="0" w:color="auto"/>
              <w:left w:val="nil"/>
              <w:bottom w:val="single" w:sz="4" w:space="0" w:color="auto"/>
              <w:right w:val="nil"/>
            </w:tcBorders>
            <w:vAlign w:val="bottom"/>
          </w:tcPr>
          <w:p w14:paraId="79929957"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w:t>
            </w:r>
          </w:p>
        </w:tc>
      </w:tr>
      <w:tr w:rsidR="00CB36D7" w:rsidRPr="00615D1A" w14:paraId="3BA51600" w14:textId="77777777" w:rsidTr="007431A4">
        <w:trPr>
          <w:trHeight w:val="204"/>
        </w:trPr>
        <w:tc>
          <w:tcPr>
            <w:tcW w:w="3119" w:type="dxa"/>
            <w:tcBorders>
              <w:top w:val="nil"/>
              <w:left w:val="nil"/>
              <w:bottom w:val="nil"/>
              <w:right w:val="nil"/>
            </w:tcBorders>
            <w:shd w:val="clear" w:color="auto" w:fill="auto"/>
            <w:noWrap/>
            <w:vAlign w:val="bottom"/>
            <w:hideMark/>
          </w:tcPr>
          <w:p w14:paraId="25543067"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own-source income</w:t>
            </w:r>
          </w:p>
        </w:tc>
        <w:tc>
          <w:tcPr>
            <w:tcW w:w="1325" w:type="dxa"/>
            <w:gridSpan w:val="2"/>
            <w:tcBorders>
              <w:top w:val="single" w:sz="4" w:space="0" w:color="auto"/>
              <w:left w:val="nil"/>
              <w:bottom w:val="single" w:sz="4" w:space="0" w:color="auto"/>
              <w:right w:val="nil"/>
            </w:tcBorders>
            <w:shd w:val="clear" w:color="auto" w:fill="auto"/>
            <w:noWrap/>
            <w:vAlign w:val="bottom"/>
            <w:hideMark/>
          </w:tcPr>
          <w:p w14:paraId="29D19AEA"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24,948</w:t>
            </w:r>
          </w:p>
        </w:tc>
        <w:tc>
          <w:tcPr>
            <w:tcW w:w="901" w:type="dxa"/>
            <w:tcBorders>
              <w:top w:val="single" w:sz="4" w:space="0" w:color="auto"/>
              <w:left w:val="nil"/>
              <w:bottom w:val="single" w:sz="4" w:space="0" w:color="auto"/>
              <w:right w:val="nil"/>
            </w:tcBorders>
            <w:shd w:val="clear" w:color="auto" w:fill="E6E6E6"/>
            <w:noWrap/>
            <w:vAlign w:val="bottom"/>
            <w:hideMark/>
          </w:tcPr>
          <w:p w14:paraId="6930BF06"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13,271</w:t>
            </w:r>
          </w:p>
        </w:tc>
        <w:tc>
          <w:tcPr>
            <w:tcW w:w="901" w:type="dxa"/>
            <w:tcBorders>
              <w:top w:val="single" w:sz="4" w:space="0" w:color="auto"/>
              <w:left w:val="nil"/>
              <w:bottom w:val="single" w:sz="4" w:space="0" w:color="auto"/>
              <w:right w:val="nil"/>
            </w:tcBorders>
            <w:shd w:val="clear" w:color="auto" w:fill="auto"/>
            <w:noWrap/>
            <w:vAlign w:val="bottom"/>
            <w:hideMark/>
          </w:tcPr>
          <w:p w14:paraId="0E1D35FB"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12,676</w:t>
            </w:r>
          </w:p>
        </w:tc>
        <w:tc>
          <w:tcPr>
            <w:tcW w:w="901" w:type="dxa"/>
            <w:tcBorders>
              <w:top w:val="single" w:sz="4" w:space="0" w:color="auto"/>
              <w:left w:val="nil"/>
              <w:bottom w:val="single" w:sz="4" w:space="0" w:color="auto"/>
              <w:right w:val="nil"/>
            </w:tcBorders>
            <w:shd w:val="clear" w:color="auto" w:fill="auto"/>
            <w:noWrap/>
            <w:vAlign w:val="bottom"/>
            <w:hideMark/>
          </w:tcPr>
          <w:p w14:paraId="11AC87C6"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12,828</w:t>
            </w:r>
          </w:p>
        </w:tc>
        <w:tc>
          <w:tcPr>
            <w:tcW w:w="901" w:type="dxa"/>
            <w:tcBorders>
              <w:top w:val="single" w:sz="4" w:space="0" w:color="auto"/>
              <w:left w:val="nil"/>
              <w:bottom w:val="single" w:sz="4" w:space="0" w:color="auto"/>
              <w:right w:val="nil"/>
            </w:tcBorders>
            <w:vAlign w:val="bottom"/>
          </w:tcPr>
          <w:p w14:paraId="22E16324"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13,106</w:t>
            </w:r>
          </w:p>
        </w:tc>
      </w:tr>
      <w:tr w:rsidR="00CB36D7" w:rsidRPr="00615D1A" w14:paraId="7129BD96" w14:textId="77777777" w:rsidTr="007431A4">
        <w:trPr>
          <w:trHeight w:val="204"/>
        </w:trPr>
        <w:tc>
          <w:tcPr>
            <w:tcW w:w="3119" w:type="dxa"/>
            <w:tcBorders>
              <w:top w:val="nil"/>
              <w:left w:val="nil"/>
              <w:bottom w:val="nil"/>
              <w:right w:val="nil"/>
            </w:tcBorders>
            <w:shd w:val="clear" w:color="auto" w:fill="auto"/>
            <w:vAlign w:val="bottom"/>
            <w:hideMark/>
          </w:tcPr>
          <w:p w14:paraId="4749C123"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Net (cost of)/contribution by services</w:t>
            </w:r>
          </w:p>
        </w:tc>
        <w:tc>
          <w:tcPr>
            <w:tcW w:w="1325" w:type="dxa"/>
            <w:gridSpan w:val="2"/>
            <w:tcBorders>
              <w:top w:val="nil"/>
              <w:left w:val="nil"/>
              <w:bottom w:val="single" w:sz="4" w:space="0" w:color="auto"/>
              <w:right w:val="nil"/>
            </w:tcBorders>
            <w:shd w:val="clear" w:color="auto" w:fill="auto"/>
            <w:noWrap/>
            <w:vAlign w:val="bottom"/>
            <w:hideMark/>
          </w:tcPr>
          <w:p w14:paraId="73832BF6"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w:t>
            </w:r>
            <w:r>
              <w:rPr>
                <w:rFonts w:ascii="Arial" w:hAnsi="Arial" w:cs="Arial"/>
                <w:b/>
                <w:bCs/>
                <w:sz w:val="16"/>
                <w:szCs w:val="16"/>
              </w:rPr>
              <w:t>207,081</w:t>
            </w:r>
            <w:r w:rsidRPr="00EC7A4B">
              <w:rPr>
                <w:rFonts w:ascii="Arial" w:hAnsi="Arial" w:cs="Arial"/>
                <w:b/>
                <w:bCs/>
                <w:sz w:val="16"/>
                <w:szCs w:val="16"/>
              </w:rPr>
              <w:t>)</w:t>
            </w:r>
          </w:p>
        </w:tc>
        <w:tc>
          <w:tcPr>
            <w:tcW w:w="901" w:type="dxa"/>
            <w:tcBorders>
              <w:top w:val="nil"/>
              <w:left w:val="nil"/>
              <w:bottom w:val="single" w:sz="4" w:space="0" w:color="auto"/>
              <w:right w:val="nil"/>
            </w:tcBorders>
            <w:shd w:val="clear" w:color="auto" w:fill="E6E6E6"/>
            <w:noWrap/>
            <w:vAlign w:val="bottom"/>
            <w:hideMark/>
          </w:tcPr>
          <w:p w14:paraId="0A3A6AD1"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(228,555)</w:t>
            </w:r>
          </w:p>
        </w:tc>
        <w:tc>
          <w:tcPr>
            <w:tcW w:w="901" w:type="dxa"/>
            <w:tcBorders>
              <w:top w:val="nil"/>
              <w:left w:val="nil"/>
              <w:bottom w:val="single" w:sz="4" w:space="0" w:color="auto"/>
              <w:right w:val="nil"/>
            </w:tcBorders>
            <w:shd w:val="clear" w:color="auto" w:fill="auto"/>
            <w:noWrap/>
            <w:vAlign w:val="bottom"/>
            <w:hideMark/>
          </w:tcPr>
          <w:p w14:paraId="7E207D82"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(23</w:t>
            </w:r>
            <w:r>
              <w:rPr>
                <w:rFonts w:ascii="Arial" w:hAnsi="Arial" w:cs="Arial"/>
                <w:b/>
                <w:bCs/>
                <w:sz w:val="16"/>
                <w:szCs w:val="16"/>
              </w:rPr>
              <w:t>7</w:t>
            </w:r>
            <w:r w:rsidRPr="00EC7A4B">
              <w:rPr>
                <w:rFonts w:ascii="Arial" w:hAnsi="Arial" w:cs="Arial"/>
                <w:b/>
                <w:bCs/>
                <w:sz w:val="16"/>
                <w:szCs w:val="16"/>
              </w:rPr>
              <w:t>,3</w:t>
            </w:r>
            <w:r>
              <w:rPr>
                <w:rFonts w:ascii="Arial" w:hAnsi="Arial" w:cs="Arial"/>
                <w:b/>
                <w:bCs/>
                <w:sz w:val="16"/>
                <w:szCs w:val="16"/>
              </w:rPr>
              <w:t>59</w:t>
            </w:r>
            <w:r w:rsidRPr="00EC7A4B">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3F7BDD29" w14:textId="40A402F1"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w:t>
            </w:r>
            <w:r>
              <w:rPr>
                <w:rFonts w:ascii="Arial" w:hAnsi="Arial" w:cs="Arial"/>
                <w:b/>
                <w:bCs/>
                <w:sz w:val="16"/>
                <w:szCs w:val="16"/>
              </w:rPr>
              <w:t>241,</w:t>
            </w:r>
            <w:r w:rsidR="00F20888">
              <w:rPr>
                <w:rFonts w:ascii="Arial" w:hAnsi="Arial" w:cs="Arial"/>
                <w:b/>
                <w:bCs/>
                <w:sz w:val="16"/>
                <w:szCs w:val="16"/>
              </w:rPr>
              <w:t>3</w:t>
            </w:r>
            <w:r>
              <w:rPr>
                <w:rFonts w:ascii="Arial" w:hAnsi="Arial" w:cs="Arial"/>
                <w:b/>
                <w:bCs/>
                <w:sz w:val="16"/>
                <w:szCs w:val="16"/>
              </w:rPr>
              <w:t>95</w:t>
            </w:r>
            <w:r w:rsidRPr="00EC7A4B">
              <w:rPr>
                <w:rFonts w:ascii="Arial" w:hAnsi="Arial" w:cs="Arial"/>
                <w:b/>
                <w:bCs/>
                <w:sz w:val="16"/>
                <w:szCs w:val="16"/>
              </w:rPr>
              <w:t>)</w:t>
            </w:r>
          </w:p>
        </w:tc>
        <w:tc>
          <w:tcPr>
            <w:tcW w:w="901" w:type="dxa"/>
            <w:tcBorders>
              <w:top w:val="nil"/>
              <w:left w:val="nil"/>
              <w:bottom w:val="single" w:sz="4" w:space="0" w:color="auto"/>
              <w:right w:val="nil"/>
            </w:tcBorders>
            <w:vAlign w:val="bottom"/>
          </w:tcPr>
          <w:p w14:paraId="0DE04E55"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(23</w:t>
            </w:r>
            <w:r>
              <w:rPr>
                <w:rFonts w:ascii="Arial" w:hAnsi="Arial" w:cs="Arial"/>
                <w:b/>
                <w:bCs/>
                <w:sz w:val="16"/>
                <w:szCs w:val="16"/>
              </w:rPr>
              <w:t>9,678</w:t>
            </w:r>
            <w:r w:rsidRPr="007A2C1C">
              <w:rPr>
                <w:rFonts w:ascii="Arial" w:hAnsi="Arial" w:cs="Arial"/>
                <w:b/>
                <w:bCs/>
                <w:sz w:val="16"/>
                <w:szCs w:val="16"/>
              </w:rPr>
              <w:t>)</w:t>
            </w:r>
          </w:p>
        </w:tc>
      </w:tr>
      <w:tr w:rsidR="00CB36D7" w:rsidRPr="00615D1A" w14:paraId="2F962CAB" w14:textId="77777777" w:rsidTr="007431A4">
        <w:trPr>
          <w:trHeight w:val="204"/>
        </w:trPr>
        <w:tc>
          <w:tcPr>
            <w:tcW w:w="3119" w:type="dxa"/>
            <w:tcBorders>
              <w:top w:val="nil"/>
              <w:left w:val="nil"/>
              <w:bottom w:val="nil"/>
              <w:right w:val="nil"/>
            </w:tcBorders>
            <w:shd w:val="clear" w:color="auto" w:fill="auto"/>
            <w:noWrap/>
            <w:vAlign w:val="bottom"/>
            <w:hideMark/>
          </w:tcPr>
          <w:p w14:paraId="695B11DC" w14:textId="77777777" w:rsidR="00CB36D7" w:rsidRPr="00615D1A" w:rsidRDefault="00CB36D7" w:rsidP="00CB36D7">
            <w:pPr>
              <w:spacing w:after="0" w:line="240" w:lineRule="auto"/>
              <w:ind w:left="113"/>
              <w:rPr>
                <w:rFonts w:ascii="Arial" w:hAnsi="Arial" w:cs="Arial"/>
                <w:sz w:val="16"/>
                <w:szCs w:val="16"/>
              </w:rPr>
            </w:pPr>
            <w:r w:rsidRPr="00615D1A">
              <w:rPr>
                <w:rFonts w:ascii="Arial" w:hAnsi="Arial" w:cs="Arial"/>
                <w:sz w:val="16"/>
                <w:szCs w:val="16"/>
              </w:rPr>
              <w:t>Revenue from Government</w:t>
            </w:r>
          </w:p>
        </w:tc>
        <w:tc>
          <w:tcPr>
            <w:tcW w:w="1325" w:type="dxa"/>
            <w:gridSpan w:val="2"/>
            <w:tcBorders>
              <w:top w:val="nil"/>
              <w:left w:val="nil"/>
              <w:bottom w:val="single" w:sz="4" w:space="0" w:color="auto"/>
              <w:right w:val="nil"/>
            </w:tcBorders>
            <w:shd w:val="clear" w:color="auto" w:fill="auto"/>
            <w:noWrap/>
            <w:vAlign w:val="bottom"/>
            <w:hideMark/>
          </w:tcPr>
          <w:p w14:paraId="65C91430"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222,020</w:t>
            </w:r>
          </w:p>
        </w:tc>
        <w:tc>
          <w:tcPr>
            <w:tcW w:w="901" w:type="dxa"/>
            <w:tcBorders>
              <w:top w:val="nil"/>
              <w:left w:val="nil"/>
              <w:bottom w:val="single" w:sz="4" w:space="0" w:color="auto"/>
              <w:right w:val="nil"/>
            </w:tcBorders>
            <w:shd w:val="clear" w:color="auto" w:fill="E6E6E6"/>
            <w:noWrap/>
            <w:vAlign w:val="bottom"/>
            <w:hideMark/>
          </w:tcPr>
          <w:p w14:paraId="6E186B8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228,952</w:t>
            </w:r>
          </w:p>
        </w:tc>
        <w:tc>
          <w:tcPr>
            <w:tcW w:w="901" w:type="dxa"/>
            <w:tcBorders>
              <w:top w:val="nil"/>
              <w:left w:val="nil"/>
              <w:bottom w:val="single" w:sz="4" w:space="0" w:color="auto"/>
              <w:right w:val="nil"/>
            </w:tcBorders>
            <w:shd w:val="clear" w:color="auto" w:fill="auto"/>
            <w:noWrap/>
            <w:vAlign w:val="bottom"/>
            <w:hideMark/>
          </w:tcPr>
          <w:p w14:paraId="39E1D7B6"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237,779</w:t>
            </w:r>
          </w:p>
        </w:tc>
        <w:tc>
          <w:tcPr>
            <w:tcW w:w="901" w:type="dxa"/>
            <w:tcBorders>
              <w:top w:val="nil"/>
              <w:left w:val="nil"/>
              <w:bottom w:val="single" w:sz="4" w:space="0" w:color="auto"/>
              <w:right w:val="nil"/>
            </w:tcBorders>
            <w:shd w:val="clear" w:color="auto" w:fill="auto"/>
            <w:noWrap/>
            <w:vAlign w:val="bottom"/>
            <w:hideMark/>
          </w:tcPr>
          <w:p w14:paraId="281D277A"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242,403</w:t>
            </w:r>
          </w:p>
        </w:tc>
        <w:tc>
          <w:tcPr>
            <w:tcW w:w="901" w:type="dxa"/>
            <w:tcBorders>
              <w:top w:val="nil"/>
              <w:left w:val="nil"/>
              <w:bottom w:val="single" w:sz="4" w:space="0" w:color="auto"/>
              <w:right w:val="nil"/>
            </w:tcBorders>
            <w:vAlign w:val="bottom"/>
          </w:tcPr>
          <w:p w14:paraId="01803C4E" w14:textId="77777777" w:rsidR="00CB36D7" w:rsidRPr="00EC7A4B" w:rsidRDefault="00CB36D7" w:rsidP="00F33DE1">
            <w:pPr>
              <w:spacing w:after="0" w:line="240" w:lineRule="auto"/>
              <w:jc w:val="right"/>
              <w:rPr>
                <w:rFonts w:ascii="Arial" w:hAnsi="Arial" w:cs="Arial"/>
                <w:sz w:val="16"/>
                <w:szCs w:val="16"/>
              </w:rPr>
            </w:pPr>
            <w:r>
              <w:rPr>
                <w:rFonts w:ascii="Arial" w:hAnsi="Arial" w:cs="Arial"/>
                <w:sz w:val="16"/>
                <w:szCs w:val="16"/>
              </w:rPr>
              <w:t>246,622</w:t>
            </w:r>
          </w:p>
        </w:tc>
      </w:tr>
      <w:tr w:rsidR="00CB36D7" w:rsidRPr="00615D1A" w14:paraId="291BE0BD" w14:textId="77777777" w:rsidTr="007431A4">
        <w:trPr>
          <w:trHeight w:val="204"/>
        </w:trPr>
        <w:tc>
          <w:tcPr>
            <w:tcW w:w="3119" w:type="dxa"/>
            <w:tcBorders>
              <w:top w:val="nil"/>
              <w:left w:val="nil"/>
              <w:bottom w:val="nil"/>
              <w:right w:val="nil"/>
            </w:tcBorders>
            <w:shd w:val="clear" w:color="auto" w:fill="auto"/>
            <w:vAlign w:val="bottom"/>
            <w:hideMark/>
          </w:tcPr>
          <w:p w14:paraId="2F3C55AB"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Surplus/(deficit) attributable to the Australian Government</w:t>
            </w:r>
          </w:p>
        </w:tc>
        <w:tc>
          <w:tcPr>
            <w:tcW w:w="1325" w:type="dxa"/>
            <w:gridSpan w:val="2"/>
            <w:tcBorders>
              <w:top w:val="nil"/>
              <w:left w:val="nil"/>
              <w:bottom w:val="single" w:sz="4" w:space="0" w:color="auto"/>
              <w:right w:val="nil"/>
            </w:tcBorders>
            <w:shd w:val="clear" w:color="auto" w:fill="auto"/>
            <w:noWrap/>
            <w:vAlign w:val="bottom"/>
            <w:hideMark/>
          </w:tcPr>
          <w:p w14:paraId="38AF5348"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14,939</w:t>
            </w:r>
          </w:p>
        </w:tc>
        <w:tc>
          <w:tcPr>
            <w:tcW w:w="901" w:type="dxa"/>
            <w:tcBorders>
              <w:top w:val="nil"/>
              <w:left w:val="nil"/>
              <w:bottom w:val="single" w:sz="4" w:space="0" w:color="auto"/>
              <w:right w:val="nil"/>
            </w:tcBorders>
            <w:shd w:val="clear" w:color="auto" w:fill="E6E6E6"/>
            <w:noWrap/>
            <w:vAlign w:val="bottom"/>
            <w:hideMark/>
          </w:tcPr>
          <w:p w14:paraId="391ABE4C"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397</w:t>
            </w:r>
          </w:p>
        </w:tc>
        <w:tc>
          <w:tcPr>
            <w:tcW w:w="901" w:type="dxa"/>
            <w:tcBorders>
              <w:top w:val="nil"/>
              <w:left w:val="nil"/>
              <w:bottom w:val="single" w:sz="4" w:space="0" w:color="auto"/>
              <w:right w:val="nil"/>
            </w:tcBorders>
            <w:shd w:val="clear" w:color="auto" w:fill="auto"/>
            <w:noWrap/>
            <w:vAlign w:val="bottom"/>
            <w:hideMark/>
          </w:tcPr>
          <w:p w14:paraId="52033031"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top w:val="nil"/>
              <w:left w:val="nil"/>
              <w:bottom w:val="single" w:sz="4" w:space="0" w:color="auto"/>
              <w:right w:val="nil"/>
            </w:tcBorders>
            <w:shd w:val="clear" w:color="auto" w:fill="auto"/>
            <w:noWrap/>
            <w:vAlign w:val="bottom"/>
            <w:hideMark/>
          </w:tcPr>
          <w:p w14:paraId="5F5CA5AF"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top w:val="nil"/>
              <w:left w:val="nil"/>
              <w:bottom w:val="single" w:sz="4" w:space="0" w:color="auto"/>
              <w:right w:val="nil"/>
            </w:tcBorders>
            <w:vAlign w:val="bottom"/>
          </w:tcPr>
          <w:p w14:paraId="004D1B45"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6,944</w:t>
            </w:r>
          </w:p>
        </w:tc>
      </w:tr>
      <w:tr w:rsidR="00CB36D7" w:rsidRPr="00615D1A" w14:paraId="3AB45B5B" w14:textId="77777777" w:rsidTr="007431A4">
        <w:trPr>
          <w:trHeight w:val="204"/>
        </w:trPr>
        <w:tc>
          <w:tcPr>
            <w:tcW w:w="3119" w:type="dxa"/>
            <w:tcBorders>
              <w:top w:val="nil"/>
              <w:left w:val="nil"/>
              <w:bottom w:val="nil"/>
              <w:right w:val="nil"/>
            </w:tcBorders>
            <w:shd w:val="clear" w:color="auto" w:fill="auto"/>
            <w:vAlign w:val="bottom"/>
          </w:tcPr>
          <w:p w14:paraId="2D896EC1"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OTHER COMPREHENSIVE INCOME</w:t>
            </w:r>
          </w:p>
        </w:tc>
        <w:tc>
          <w:tcPr>
            <w:tcW w:w="1325" w:type="dxa"/>
            <w:gridSpan w:val="2"/>
            <w:tcBorders>
              <w:top w:val="nil"/>
              <w:left w:val="nil"/>
              <w:right w:val="nil"/>
            </w:tcBorders>
            <w:shd w:val="clear" w:color="auto" w:fill="auto"/>
            <w:noWrap/>
            <w:vAlign w:val="bottom"/>
          </w:tcPr>
          <w:p w14:paraId="0C6ABDE7" w14:textId="77777777" w:rsidR="00CB36D7" w:rsidRDefault="00CB36D7" w:rsidP="00F33DE1">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E6E6E6"/>
            <w:noWrap/>
            <w:vAlign w:val="bottom"/>
          </w:tcPr>
          <w:p w14:paraId="76040DF2" w14:textId="77777777" w:rsidR="00CB36D7" w:rsidRDefault="00CB36D7" w:rsidP="00F33DE1">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tcPr>
          <w:p w14:paraId="1498049D"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tcPr>
          <w:p w14:paraId="26F5ACB7" w14:textId="77777777" w:rsidR="00CB36D7" w:rsidRPr="00EC7A4B" w:rsidRDefault="00CB36D7" w:rsidP="00F33DE1">
            <w:pPr>
              <w:spacing w:after="0" w:line="240" w:lineRule="auto"/>
              <w:jc w:val="right"/>
              <w:rPr>
                <w:rFonts w:ascii="Arial" w:hAnsi="Arial" w:cs="Arial"/>
                <w:b/>
                <w:bCs/>
                <w:sz w:val="16"/>
                <w:szCs w:val="16"/>
              </w:rPr>
            </w:pPr>
          </w:p>
        </w:tc>
        <w:tc>
          <w:tcPr>
            <w:tcW w:w="901" w:type="dxa"/>
            <w:tcBorders>
              <w:top w:val="nil"/>
              <w:left w:val="nil"/>
              <w:right w:val="nil"/>
            </w:tcBorders>
            <w:vAlign w:val="bottom"/>
          </w:tcPr>
          <w:p w14:paraId="39EFAC5E" w14:textId="77777777" w:rsidR="00CB36D7" w:rsidRPr="007A2C1C" w:rsidRDefault="00CB36D7" w:rsidP="00F33DE1">
            <w:pPr>
              <w:spacing w:after="0" w:line="240" w:lineRule="auto"/>
              <w:jc w:val="right"/>
              <w:rPr>
                <w:rFonts w:ascii="Arial" w:hAnsi="Arial" w:cs="Arial"/>
                <w:b/>
                <w:bCs/>
                <w:sz w:val="16"/>
                <w:szCs w:val="16"/>
              </w:rPr>
            </w:pPr>
          </w:p>
        </w:tc>
      </w:tr>
      <w:tr w:rsidR="00CB36D7" w:rsidRPr="00615D1A" w14:paraId="026923AB" w14:textId="77777777" w:rsidTr="007431A4">
        <w:trPr>
          <w:trHeight w:val="204"/>
        </w:trPr>
        <w:tc>
          <w:tcPr>
            <w:tcW w:w="3119" w:type="dxa"/>
            <w:tcBorders>
              <w:top w:val="nil"/>
              <w:left w:val="nil"/>
              <w:bottom w:val="nil"/>
              <w:right w:val="nil"/>
            </w:tcBorders>
            <w:shd w:val="clear" w:color="auto" w:fill="auto"/>
            <w:vAlign w:val="bottom"/>
          </w:tcPr>
          <w:p w14:paraId="3421774B" w14:textId="77777777" w:rsidR="00CB36D7" w:rsidRPr="00CA4258" w:rsidRDefault="00CB36D7" w:rsidP="00BA273A">
            <w:pPr>
              <w:spacing w:after="0" w:line="240" w:lineRule="auto"/>
              <w:ind w:left="113"/>
              <w:rPr>
                <w:rFonts w:ascii="Arial" w:hAnsi="Arial" w:cs="Arial"/>
                <w:bCs/>
                <w:sz w:val="16"/>
                <w:szCs w:val="16"/>
              </w:rPr>
            </w:pPr>
            <w:r>
              <w:rPr>
                <w:rFonts w:ascii="Arial" w:hAnsi="Arial" w:cs="Arial"/>
                <w:bCs/>
                <w:sz w:val="16"/>
                <w:szCs w:val="16"/>
              </w:rPr>
              <w:t>Changes in asset revaluation reserve</w:t>
            </w:r>
          </w:p>
        </w:tc>
        <w:tc>
          <w:tcPr>
            <w:tcW w:w="1325" w:type="dxa"/>
            <w:gridSpan w:val="2"/>
            <w:tcBorders>
              <w:top w:val="nil"/>
              <w:left w:val="nil"/>
              <w:bottom w:val="single" w:sz="4" w:space="0" w:color="auto"/>
              <w:right w:val="nil"/>
            </w:tcBorders>
            <w:shd w:val="clear" w:color="auto" w:fill="auto"/>
            <w:noWrap/>
            <w:vAlign w:val="bottom"/>
          </w:tcPr>
          <w:p w14:paraId="02EA4BCC" w14:textId="77777777" w:rsidR="00CB36D7" w:rsidRPr="00CA4258" w:rsidRDefault="00CB36D7" w:rsidP="00F33DE1">
            <w:pPr>
              <w:spacing w:after="0" w:line="240" w:lineRule="auto"/>
              <w:jc w:val="right"/>
              <w:rPr>
                <w:rFonts w:ascii="Arial" w:hAnsi="Arial" w:cs="Arial"/>
                <w:bCs/>
                <w:sz w:val="16"/>
                <w:szCs w:val="16"/>
              </w:rPr>
            </w:pPr>
            <w:r w:rsidRPr="00CA4258">
              <w:rPr>
                <w:rFonts w:ascii="Arial" w:hAnsi="Arial" w:cs="Arial"/>
                <w:bCs/>
                <w:sz w:val="16"/>
                <w:szCs w:val="16"/>
              </w:rPr>
              <w:t>12,335</w:t>
            </w:r>
          </w:p>
        </w:tc>
        <w:tc>
          <w:tcPr>
            <w:tcW w:w="901" w:type="dxa"/>
            <w:tcBorders>
              <w:top w:val="nil"/>
              <w:left w:val="nil"/>
              <w:bottom w:val="single" w:sz="4" w:space="0" w:color="auto"/>
              <w:right w:val="nil"/>
            </w:tcBorders>
            <w:shd w:val="clear" w:color="auto" w:fill="E6E6E6"/>
            <w:noWrap/>
            <w:vAlign w:val="bottom"/>
          </w:tcPr>
          <w:p w14:paraId="716A7286" w14:textId="77777777" w:rsidR="00CB36D7" w:rsidRPr="00CA4258" w:rsidRDefault="00CB36D7" w:rsidP="00F33DE1">
            <w:pPr>
              <w:spacing w:after="0" w:line="240" w:lineRule="auto"/>
              <w:jc w:val="right"/>
              <w:rPr>
                <w:rFonts w:ascii="Arial" w:hAnsi="Arial" w:cs="Arial"/>
                <w:bCs/>
                <w:sz w:val="16"/>
                <w:szCs w:val="16"/>
              </w:rPr>
            </w:pPr>
            <w:r w:rsidRPr="00CA4258">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tcPr>
          <w:p w14:paraId="1BB87F56" w14:textId="77777777" w:rsidR="00CB36D7" w:rsidRPr="00CA4258" w:rsidRDefault="00CB36D7" w:rsidP="00F33DE1">
            <w:pPr>
              <w:spacing w:after="0" w:line="240" w:lineRule="auto"/>
              <w:jc w:val="right"/>
              <w:rPr>
                <w:rFonts w:ascii="Arial" w:hAnsi="Arial" w:cs="Arial"/>
                <w:bCs/>
                <w:sz w:val="16"/>
                <w:szCs w:val="16"/>
              </w:rPr>
            </w:pPr>
            <w:r w:rsidRPr="00CA4258">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tcPr>
          <w:p w14:paraId="0FF9CC01" w14:textId="77777777" w:rsidR="00CB36D7" w:rsidRPr="00CA4258" w:rsidRDefault="00CB36D7" w:rsidP="00F33DE1">
            <w:pPr>
              <w:spacing w:after="0" w:line="240" w:lineRule="auto"/>
              <w:jc w:val="right"/>
              <w:rPr>
                <w:rFonts w:ascii="Arial" w:hAnsi="Arial" w:cs="Arial"/>
                <w:bCs/>
                <w:sz w:val="16"/>
                <w:szCs w:val="16"/>
              </w:rPr>
            </w:pPr>
            <w:r w:rsidRPr="00CA4258">
              <w:rPr>
                <w:rFonts w:ascii="Arial" w:hAnsi="Arial" w:cs="Arial"/>
                <w:bCs/>
                <w:sz w:val="16"/>
                <w:szCs w:val="16"/>
              </w:rPr>
              <w:t>-</w:t>
            </w:r>
          </w:p>
        </w:tc>
        <w:tc>
          <w:tcPr>
            <w:tcW w:w="901" w:type="dxa"/>
            <w:tcBorders>
              <w:top w:val="nil"/>
              <w:left w:val="nil"/>
              <w:bottom w:val="single" w:sz="4" w:space="0" w:color="auto"/>
              <w:right w:val="nil"/>
            </w:tcBorders>
            <w:vAlign w:val="bottom"/>
          </w:tcPr>
          <w:p w14:paraId="7D13F9F5" w14:textId="77777777" w:rsidR="00CB36D7" w:rsidRPr="00CA4258" w:rsidRDefault="00CB36D7" w:rsidP="00F33DE1">
            <w:pPr>
              <w:spacing w:after="0" w:line="240" w:lineRule="auto"/>
              <w:jc w:val="right"/>
              <w:rPr>
                <w:rFonts w:ascii="Arial" w:hAnsi="Arial" w:cs="Arial"/>
                <w:bCs/>
                <w:sz w:val="16"/>
                <w:szCs w:val="16"/>
              </w:rPr>
            </w:pPr>
            <w:r w:rsidRPr="00CA4258">
              <w:rPr>
                <w:rFonts w:ascii="Arial" w:hAnsi="Arial" w:cs="Arial"/>
                <w:bCs/>
                <w:sz w:val="16"/>
                <w:szCs w:val="16"/>
              </w:rPr>
              <w:t>-</w:t>
            </w:r>
          </w:p>
        </w:tc>
      </w:tr>
      <w:tr w:rsidR="00CB36D7" w:rsidRPr="00615D1A" w14:paraId="07F797DA" w14:textId="77777777" w:rsidTr="007431A4">
        <w:trPr>
          <w:trHeight w:val="204"/>
        </w:trPr>
        <w:tc>
          <w:tcPr>
            <w:tcW w:w="3119" w:type="dxa"/>
            <w:tcBorders>
              <w:top w:val="nil"/>
              <w:left w:val="nil"/>
              <w:bottom w:val="nil"/>
              <w:right w:val="nil"/>
            </w:tcBorders>
            <w:shd w:val="clear" w:color="auto" w:fill="auto"/>
            <w:noWrap/>
            <w:vAlign w:val="bottom"/>
          </w:tcPr>
          <w:p w14:paraId="168A0DBF"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 xml:space="preserve">Total </w:t>
            </w:r>
            <w:r>
              <w:rPr>
                <w:rFonts w:ascii="Arial" w:hAnsi="Arial" w:cs="Arial"/>
                <w:b/>
                <w:bCs/>
                <w:sz w:val="16"/>
                <w:szCs w:val="16"/>
              </w:rPr>
              <w:t xml:space="preserve">other </w:t>
            </w:r>
            <w:r w:rsidRPr="00615D1A">
              <w:rPr>
                <w:rFonts w:ascii="Arial" w:hAnsi="Arial" w:cs="Arial"/>
                <w:b/>
                <w:bCs/>
                <w:sz w:val="16"/>
                <w:szCs w:val="16"/>
              </w:rPr>
              <w:t>comprehensive income</w:t>
            </w:r>
          </w:p>
        </w:tc>
        <w:tc>
          <w:tcPr>
            <w:tcW w:w="1325" w:type="dxa"/>
            <w:gridSpan w:val="2"/>
            <w:tcBorders>
              <w:left w:val="nil"/>
              <w:bottom w:val="single" w:sz="4" w:space="0" w:color="auto"/>
              <w:right w:val="nil"/>
            </w:tcBorders>
            <w:shd w:val="clear" w:color="auto" w:fill="auto"/>
            <w:noWrap/>
            <w:vAlign w:val="bottom"/>
          </w:tcPr>
          <w:p w14:paraId="493E1BD3"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12,335</w:t>
            </w:r>
          </w:p>
        </w:tc>
        <w:tc>
          <w:tcPr>
            <w:tcW w:w="901" w:type="dxa"/>
            <w:tcBorders>
              <w:left w:val="nil"/>
              <w:bottom w:val="single" w:sz="4" w:space="0" w:color="auto"/>
              <w:right w:val="nil"/>
            </w:tcBorders>
            <w:shd w:val="clear" w:color="auto" w:fill="E6E6E6"/>
            <w:noWrap/>
            <w:vAlign w:val="bottom"/>
          </w:tcPr>
          <w:p w14:paraId="6EBE4A69" w14:textId="77777777" w:rsidR="00CB36D7" w:rsidRPr="00BD335A" w:rsidRDefault="00CB36D7" w:rsidP="00F33DE1">
            <w:pPr>
              <w:spacing w:after="0" w:line="240" w:lineRule="auto"/>
              <w:jc w:val="right"/>
              <w:rPr>
                <w:rFonts w:ascii="Arial" w:hAnsi="Arial" w:cs="Arial"/>
                <w:b/>
                <w:bCs/>
                <w:sz w:val="16"/>
                <w:szCs w:val="16"/>
              </w:rPr>
            </w:pPr>
            <w:r w:rsidRPr="00BD335A">
              <w:rPr>
                <w:rFonts w:ascii="Arial" w:hAnsi="Arial" w:cs="Arial"/>
                <w:b/>
                <w:bCs/>
                <w:sz w:val="16"/>
                <w:szCs w:val="16"/>
              </w:rPr>
              <w:t>-</w:t>
            </w:r>
          </w:p>
        </w:tc>
        <w:tc>
          <w:tcPr>
            <w:tcW w:w="901" w:type="dxa"/>
            <w:tcBorders>
              <w:left w:val="nil"/>
              <w:bottom w:val="single" w:sz="4" w:space="0" w:color="auto"/>
              <w:right w:val="nil"/>
            </w:tcBorders>
            <w:shd w:val="clear" w:color="auto" w:fill="auto"/>
            <w:noWrap/>
            <w:vAlign w:val="bottom"/>
          </w:tcPr>
          <w:p w14:paraId="15399968" w14:textId="77777777" w:rsidR="00CB36D7" w:rsidRPr="00BD335A" w:rsidRDefault="00CB36D7" w:rsidP="00F33DE1">
            <w:pPr>
              <w:spacing w:after="0" w:line="240" w:lineRule="auto"/>
              <w:jc w:val="right"/>
              <w:rPr>
                <w:rFonts w:ascii="Arial" w:hAnsi="Arial" w:cs="Arial"/>
                <w:b/>
                <w:bCs/>
                <w:sz w:val="16"/>
                <w:szCs w:val="16"/>
              </w:rPr>
            </w:pPr>
            <w:r w:rsidRPr="00BD335A">
              <w:rPr>
                <w:rFonts w:ascii="Arial" w:hAnsi="Arial" w:cs="Arial"/>
                <w:b/>
                <w:bCs/>
                <w:sz w:val="16"/>
                <w:szCs w:val="16"/>
              </w:rPr>
              <w:t>-</w:t>
            </w:r>
          </w:p>
        </w:tc>
        <w:tc>
          <w:tcPr>
            <w:tcW w:w="901" w:type="dxa"/>
            <w:tcBorders>
              <w:left w:val="nil"/>
              <w:bottom w:val="single" w:sz="4" w:space="0" w:color="auto"/>
              <w:right w:val="nil"/>
            </w:tcBorders>
            <w:shd w:val="clear" w:color="auto" w:fill="auto"/>
            <w:noWrap/>
            <w:vAlign w:val="bottom"/>
          </w:tcPr>
          <w:p w14:paraId="5DBED69D" w14:textId="77777777" w:rsidR="00CB36D7" w:rsidRPr="00BD335A" w:rsidRDefault="00CB36D7" w:rsidP="00F33DE1">
            <w:pPr>
              <w:spacing w:after="0" w:line="240" w:lineRule="auto"/>
              <w:jc w:val="right"/>
              <w:rPr>
                <w:rFonts w:ascii="Arial" w:hAnsi="Arial" w:cs="Arial"/>
                <w:b/>
                <w:bCs/>
                <w:sz w:val="16"/>
                <w:szCs w:val="16"/>
              </w:rPr>
            </w:pPr>
            <w:r w:rsidRPr="00BD335A">
              <w:rPr>
                <w:rFonts w:ascii="Arial" w:hAnsi="Arial" w:cs="Arial"/>
                <w:b/>
                <w:bCs/>
                <w:sz w:val="16"/>
                <w:szCs w:val="16"/>
              </w:rPr>
              <w:t>-</w:t>
            </w:r>
          </w:p>
        </w:tc>
        <w:tc>
          <w:tcPr>
            <w:tcW w:w="901" w:type="dxa"/>
            <w:tcBorders>
              <w:left w:val="nil"/>
              <w:bottom w:val="single" w:sz="4" w:space="0" w:color="auto"/>
              <w:right w:val="nil"/>
            </w:tcBorders>
            <w:vAlign w:val="bottom"/>
          </w:tcPr>
          <w:p w14:paraId="7D3C28D6" w14:textId="77777777" w:rsidR="00CB36D7" w:rsidRPr="00BD335A" w:rsidRDefault="00CB36D7" w:rsidP="00F33DE1">
            <w:pPr>
              <w:spacing w:after="0" w:line="240" w:lineRule="auto"/>
              <w:jc w:val="right"/>
              <w:rPr>
                <w:rFonts w:ascii="Arial" w:hAnsi="Arial" w:cs="Arial"/>
                <w:b/>
                <w:bCs/>
                <w:sz w:val="16"/>
                <w:szCs w:val="16"/>
              </w:rPr>
            </w:pPr>
            <w:r w:rsidRPr="00BD335A">
              <w:rPr>
                <w:rFonts w:ascii="Arial" w:hAnsi="Arial" w:cs="Arial"/>
                <w:b/>
                <w:bCs/>
                <w:sz w:val="16"/>
                <w:szCs w:val="16"/>
              </w:rPr>
              <w:t>-</w:t>
            </w:r>
          </w:p>
        </w:tc>
      </w:tr>
      <w:tr w:rsidR="00CB36D7" w:rsidRPr="00615D1A" w14:paraId="6A22326F" w14:textId="77777777" w:rsidTr="007431A4">
        <w:trPr>
          <w:trHeight w:val="204"/>
        </w:trPr>
        <w:tc>
          <w:tcPr>
            <w:tcW w:w="3119" w:type="dxa"/>
            <w:tcBorders>
              <w:top w:val="nil"/>
              <w:left w:val="nil"/>
              <w:bottom w:val="nil"/>
              <w:right w:val="nil"/>
            </w:tcBorders>
            <w:shd w:val="clear" w:color="auto" w:fill="auto"/>
            <w:noWrap/>
            <w:vAlign w:val="bottom"/>
            <w:hideMark/>
          </w:tcPr>
          <w:p w14:paraId="40892E48"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comprehensive income/(loss)</w:t>
            </w:r>
          </w:p>
        </w:tc>
        <w:tc>
          <w:tcPr>
            <w:tcW w:w="1325" w:type="dxa"/>
            <w:gridSpan w:val="2"/>
            <w:tcBorders>
              <w:left w:val="nil"/>
              <w:bottom w:val="single" w:sz="4" w:space="0" w:color="auto"/>
              <w:right w:val="nil"/>
            </w:tcBorders>
            <w:shd w:val="clear" w:color="auto" w:fill="auto"/>
            <w:noWrap/>
            <w:vAlign w:val="bottom"/>
            <w:hideMark/>
          </w:tcPr>
          <w:p w14:paraId="69C160D0"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27,274</w:t>
            </w:r>
          </w:p>
        </w:tc>
        <w:tc>
          <w:tcPr>
            <w:tcW w:w="901" w:type="dxa"/>
            <w:tcBorders>
              <w:left w:val="nil"/>
              <w:bottom w:val="single" w:sz="4" w:space="0" w:color="auto"/>
              <w:right w:val="nil"/>
            </w:tcBorders>
            <w:shd w:val="clear" w:color="auto" w:fill="E6E6E6"/>
            <w:noWrap/>
            <w:vAlign w:val="bottom"/>
            <w:hideMark/>
          </w:tcPr>
          <w:p w14:paraId="3AABF18A"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397</w:t>
            </w:r>
          </w:p>
        </w:tc>
        <w:tc>
          <w:tcPr>
            <w:tcW w:w="901" w:type="dxa"/>
            <w:tcBorders>
              <w:left w:val="nil"/>
              <w:bottom w:val="single" w:sz="4" w:space="0" w:color="auto"/>
              <w:right w:val="nil"/>
            </w:tcBorders>
            <w:shd w:val="clear" w:color="auto" w:fill="auto"/>
            <w:noWrap/>
            <w:vAlign w:val="bottom"/>
            <w:hideMark/>
          </w:tcPr>
          <w:p w14:paraId="715E1D23"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left w:val="nil"/>
              <w:bottom w:val="single" w:sz="4" w:space="0" w:color="auto"/>
              <w:right w:val="nil"/>
            </w:tcBorders>
            <w:shd w:val="clear" w:color="auto" w:fill="auto"/>
            <w:noWrap/>
            <w:vAlign w:val="bottom"/>
            <w:hideMark/>
          </w:tcPr>
          <w:p w14:paraId="4290B808"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left w:val="nil"/>
              <w:bottom w:val="single" w:sz="4" w:space="0" w:color="auto"/>
              <w:right w:val="nil"/>
            </w:tcBorders>
            <w:vAlign w:val="bottom"/>
          </w:tcPr>
          <w:p w14:paraId="44F0EF89"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6,944</w:t>
            </w:r>
          </w:p>
        </w:tc>
      </w:tr>
      <w:tr w:rsidR="00CB36D7" w:rsidRPr="00615D1A" w14:paraId="42C0DF37" w14:textId="77777777" w:rsidTr="007431A4">
        <w:trPr>
          <w:trHeight w:val="204"/>
        </w:trPr>
        <w:tc>
          <w:tcPr>
            <w:tcW w:w="3119" w:type="dxa"/>
            <w:tcBorders>
              <w:top w:val="nil"/>
              <w:left w:val="nil"/>
              <w:bottom w:val="single" w:sz="4" w:space="0" w:color="auto"/>
              <w:right w:val="nil"/>
            </w:tcBorders>
            <w:shd w:val="clear" w:color="auto" w:fill="auto"/>
            <w:vAlign w:val="bottom"/>
            <w:hideMark/>
          </w:tcPr>
          <w:p w14:paraId="3CF5BA18"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Total comprehensive income/(loss) attributable to the Australian Government</w:t>
            </w:r>
          </w:p>
        </w:tc>
        <w:tc>
          <w:tcPr>
            <w:tcW w:w="1325" w:type="dxa"/>
            <w:gridSpan w:val="2"/>
            <w:tcBorders>
              <w:top w:val="nil"/>
              <w:left w:val="nil"/>
              <w:bottom w:val="single" w:sz="4" w:space="0" w:color="auto"/>
              <w:right w:val="nil"/>
            </w:tcBorders>
            <w:shd w:val="clear" w:color="auto" w:fill="auto"/>
            <w:noWrap/>
            <w:vAlign w:val="bottom"/>
            <w:hideMark/>
          </w:tcPr>
          <w:p w14:paraId="39F10888" w14:textId="77777777" w:rsidR="00CB36D7" w:rsidRPr="00EC7A4B" w:rsidRDefault="00CB36D7" w:rsidP="00F33DE1">
            <w:pPr>
              <w:spacing w:after="0" w:line="240" w:lineRule="auto"/>
              <w:jc w:val="right"/>
              <w:rPr>
                <w:rFonts w:ascii="Arial" w:hAnsi="Arial" w:cs="Arial"/>
                <w:b/>
                <w:bCs/>
                <w:sz w:val="16"/>
                <w:szCs w:val="16"/>
              </w:rPr>
            </w:pPr>
            <w:r>
              <w:rPr>
                <w:rFonts w:ascii="Arial" w:hAnsi="Arial" w:cs="Arial"/>
                <w:b/>
                <w:bCs/>
                <w:sz w:val="16"/>
                <w:szCs w:val="16"/>
              </w:rPr>
              <w:t>27,274</w:t>
            </w:r>
          </w:p>
        </w:tc>
        <w:tc>
          <w:tcPr>
            <w:tcW w:w="901" w:type="dxa"/>
            <w:tcBorders>
              <w:top w:val="nil"/>
              <w:left w:val="nil"/>
              <w:bottom w:val="single" w:sz="4" w:space="0" w:color="auto"/>
              <w:right w:val="nil"/>
            </w:tcBorders>
            <w:shd w:val="clear" w:color="auto" w:fill="E6E6E6"/>
            <w:noWrap/>
            <w:vAlign w:val="bottom"/>
            <w:hideMark/>
          </w:tcPr>
          <w:p w14:paraId="6EE10CC4"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397</w:t>
            </w:r>
          </w:p>
        </w:tc>
        <w:tc>
          <w:tcPr>
            <w:tcW w:w="901" w:type="dxa"/>
            <w:tcBorders>
              <w:top w:val="nil"/>
              <w:left w:val="nil"/>
              <w:bottom w:val="single" w:sz="4" w:space="0" w:color="auto"/>
              <w:right w:val="nil"/>
            </w:tcBorders>
            <w:shd w:val="clear" w:color="auto" w:fill="auto"/>
            <w:noWrap/>
            <w:vAlign w:val="bottom"/>
            <w:hideMark/>
          </w:tcPr>
          <w:p w14:paraId="4AB3A05B"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420</w:t>
            </w:r>
          </w:p>
        </w:tc>
        <w:tc>
          <w:tcPr>
            <w:tcW w:w="901" w:type="dxa"/>
            <w:tcBorders>
              <w:top w:val="nil"/>
              <w:left w:val="nil"/>
              <w:bottom w:val="single" w:sz="4" w:space="0" w:color="auto"/>
              <w:right w:val="nil"/>
            </w:tcBorders>
            <w:shd w:val="clear" w:color="auto" w:fill="auto"/>
            <w:noWrap/>
            <w:vAlign w:val="bottom"/>
            <w:hideMark/>
          </w:tcPr>
          <w:p w14:paraId="681BA54A" w14:textId="77777777" w:rsidR="00CB36D7" w:rsidRPr="00EC7A4B" w:rsidRDefault="00CB36D7" w:rsidP="00F33DE1">
            <w:pPr>
              <w:spacing w:after="0" w:line="240" w:lineRule="auto"/>
              <w:jc w:val="right"/>
              <w:rPr>
                <w:rFonts w:ascii="Arial" w:hAnsi="Arial" w:cs="Arial"/>
                <w:b/>
                <w:bCs/>
                <w:sz w:val="16"/>
                <w:szCs w:val="16"/>
              </w:rPr>
            </w:pPr>
            <w:r w:rsidRPr="00EC7A4B">
              <w:rPr>
                <w:rFonts w:ascii="Arial" w:hAnsi="Arial" w:cs="Arial"/>
                <w:b/>
                <w:bCs/>
                <w:sz w:val="16"/>
                <w:szCs w:val="16"/>
              </w:rPr>
              <w:t>1,008</w:t>
            </w:r>
          </w:p>
        </w:tc>
        <w:tc>
          <w:tcPr>
            <w:tcW w:w="901" w:type="dxa"/>
            <w:tcBorders>
              <w:top w:val="nil"/>
              <w:left w:val="nil"/>
              <w:bottom w:val="single" w:sz="4" w:space="0" w:color="auto"/>
              <w:right w:val="nil"/>
            </w:tcBorders>
            <w:vAlign w:val="bottom"/>
          </w:tcPr>
          <w:p w14:paraId="07A0E6BF" w14:textId="77777777" w:rsidR="00CB36D7" w:rsidRPr="00EC7A4B" w:rsidRDefault="00CB36D7" w:rsidP="00F33DE1">
            <w:pPr>
              <w:spacing w:after="0" w:line="240" w:lineRule="auto"/>
              <w:jc w:val="right"/>
              <w:rPr>
                <w:rFonts w:ascii="Arial" w:hAnsi="Arial" w:cs="Arial"/>
                <w:b/>
                <w:bCs/>
                <w:sz w:val="16"/>
                <w:szCs w:val="16"/>
              </w:rPr>
            </w:pPr>
            <w:r w:rsidRPr="007A2C1C">
              <w:rPr>
                <w:rFonts w:ascii="Arial" w:hAnsi="Arial" w:cs="Arial"/>
                <w:b/>
                <w:bCs/>
                <w:sz w:val="16"/>
                <w:szCs w:val="16"/>
              </w:rPr>
              <w:t>6,944</w:t>
            </w:r>
          </w:p>
        </w:tc>
      </w:tr>
    </w:tbl>
    <w:p w14:paraId="7C4012CC" w14:textId="7777777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9D54F3">
        <w:rPr>
          <w:rFonts w:cs="Arial"/>
        </w:rPr>
        <w:t>Prepared on Australian Accounting Standards basis.</w:t>
      </w:r>
    </w:p>
    <w:p w14:paraId="411E29CD" w14:textId="77777777" w:rsidR="00CB36D7" w:rsidRPr="00553FD8" w:rsidRDefault="00CB36D7" w:rsidP="00CB36D7">
      <w:pPr>
        <w:pStyle w:val="TableHeading"/>
      </w:pPr>
      <w:r>
        <w:br w:type="page"/>
      </w:r>
      <w:r w:rsidRPr="00E4582E">
        <w:lastRenderedPageBreak/>
        <w:t>Table</w:t>
      </w:r>
      <w:r>
        <w:t xml:space="preserve"> 3.</w:t>
      </w:r>
      <w:r w:rsidRPr="00E4582E">
        <w:t xml:space="preserve">2: </w:t>
      </w:r>
      <w:r w:rsidRPr="00553FD8">
        <w:t xml:space="preserve">Budgeted </w:t>
      </w:r>
      <w:r>
        <w:rPr>
          <w:lang w:val="en-US"/>
        </w:rPr>
        <w:t>d</w:t>
      </w:r>
      <w:r>
        <w:t>epartment</w:t>
      </w:r>
      <w:r w:rsidRPr="00553FD8">
        <w:t>al balance sheet (as at 30 June)</w:t>
      </w:r>
    </w:p>
    <w:tbl>
      <w:tblPr>
        <w:tblW w:w="5000" w:type="pct"/>
        <w:tblLook w:val="04A0" w:firstRow="1" w:lastRow="0" w:firstColumn="1" w:lastColumn="0" w:noHBand="0" w:noVBand="1"/>
      </w:tblPr>
      <w:tblGrid>
        <w:gridCol w:w="3130"/>
        <w:gridCol w:w="976"/>
        <w:gridCol w:w="901"/>
        <w:gridCol w:w="901"/>
        <w:gridCol w:w="901"/>
        <w:gridCol w:w="901"/>
      </w:tblGrid>
      <w:tr w:rsidR="00CB36D7" w:rsidRPr="00615D1A" w14:paraId="363F8648" w14:textId="77777777" w:rsidTr="007431A4">
        <w:trPr>
          <w:trHeight w:val="204"/>
        </w:trPr>
        <w:tc>
          <w:tcPr>
            <w:tcW w:w="2030" w:type="pct"/>
            <w:tcBorders>
              <w:top w:val="single" w:sz="4" w:space="0" w:color="auto"/>
              <w:left w:val="nil"/>
              <w:bottom w:val="nil"/>
              <w:right w:val="nil"/>
            </w:tcBorders>
            <w:shd w:val="clear" w:color="auto" w:fill="auto"/>
            <w:noWrap/>
            <w:vAlign w:val="bottom"/>
            <w:hideMark/>
          </w:tcPr>
          <w:p w14:paraId="3D366388"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6A952BE0" w14:textId="77777777" w:rsidR="00CB36D7" w:rsidRPr="00615D1A" w:rsidRDefault="00CB36D7" w:rsidP="00CB36D7">
            <w:pPr>
              <w:spacing w:after="0" w:line="240" w:lineRule="auto"/>
              <w:jc w:val="right"/>
              <w:rPr>
                <w:rFonts w:ascii="Arial" w:hAnsi="Arial" w:cs="Arial"/>
                <w:sz w:val="16"/>
                <w:szCs w:val="16"/>
              </w:rPr>
            </w:pPr>
            <w:r w:rsidRPr="00615D1A">
              <w:rPr>
                <w:rFonts w:ascii="Arial" w:hAnsi="Arial" w:cs="Arial"/>
                <w:sz w:val="16"/>
                <w:szCs w:val="16"/>
              </w:rPr>
              <w:t>2021-22 Estimated actual</w:t>
            </w:r>
            <w:r w:rsidRPr="00615D1A">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77C1178C" w14:textId="77777777" w:rsidR="00CB36D7" w:rsidRPr="00615D1A" w:rsidRDefault="00CB36D7" w:rsidP="00CB36D7">
            <w:pPr>
              <w:spacing w:after="0" w:line="240" w:lineRule="auto"/>
              <w:jc w:val="right"/>
              <w:rPr>
                <w:rFonts w:ascii="Arial" w:hAnsi="Arial" w:cs="Arial"/>
                <w:sz w:val="16"/>
                <w:szCs w:val="16"/>
              </w:rPr>
            </w:pPr>
            <w:r w:rsidRPr="00615D1A">
              <w:rPr>
                <w:rFonts w:ascii="Arial" w:hAnsi="Arial" w:cs="Arial"/>
                <w:sz w:val="16"/>
                <w:szCs w:val="16"/>
              </w:rPr>
              <w:t>2022-23</w:t>
            </w:r>
            <w:r w:rsidRPr="00615D1A">
              <w:rPr>
                <w:rFonts w:ascii="Arial" w:hAnsi="Arial" w:cs="Arial"/>
                <w:sz w:val="16"/>
                <w:szCs w:val="16"/>
              </w:rPr>
              <w:br/>
              <w:t>Budget</w:t>
            </w:r>
            <w:r w:rsidRPr="00615D1A">
              <w:rPr>
                <w:rFonts w:ascii="Arial" w:hAnsi="Arial" w:cs="Arial"/>
                <w:sz w:val="16"/>
                <w:szCs w:val="16"/>
              </w:rPr>
              <w:br/>
            </w:r>
            <w:r w:rsidRPr="00615D1A">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45B15AA2" w14:textId="77777777" w:rsidR="00CB36D7" w:rsidRPr="00615D1A" w:rsidRDefault="00CB36D7" w:rsidP="00CB36D7">
            <w:pPr>
              <w:spacing w:after="0" w:line="240" w:lineRule="auto"/>
              <w:jc w:val="right"/>
              <w:rPr>
                <w:rFonts w:ascii="Arial" w:hAnsi="Arial" w:cs="Arial"/>
                <w:sz w:val="16"/>
                <w:szCs w:val="16"/>
              </w:rPr>
            </w:pPr>
            <w:r w:rsidRPr="00615D1A">
              <w:rPr>
                <w:rFonts w:ascii="Arial" w:hAnsi="Arial" w:cs="Arial"/>
                <w:sz w:val="16"/>
                <w:szCs w:val="16"/>
              </w:rPr>
              <w:t>2023-24 Forward estimate</w:t>
            </w:r>
            <w:r w:rsidRPr="00615D1A">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FEECD99" w14:textId="77777777" w:rsidR="00CB36D7" w:rsidRPr="00615D1A" w:rsidRDefault="00CB36D7" w:rsidP="00CB36D7">
            <w:pPr>
              <w:spacing w:after="0" w:line="240" w:lineRule="auto"/>
              <w:jc w:val="right"/>
              <w:rPr>
                <w:rFonts w:ascii="Arial" w:hAnsi="Arial" w:cs="Arial"/>
                <w:sz w:val="16"/>
                <w:szCs w:val="16"/>
              </w:rPr>
            </w:pPr>
            <w:r w:rsidRPr="00615D1A">
              <w:rPr>
                <w:rFonts w:ascii="Arial" w:hAnsi="Arial" w:cs="Arial"/>
                <w:sz w:val="16"/>
                <w:szCs w:val="16"/>
              </w:rPr>
              <w:t>2024-25 Forward estimate</w:t>
            </w:r>
            <w:r w:rsidRPr="00615D1A">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47522AC4" w14:textId="77777777" w:rsidR="00CB36D7" w:rsidRPr="00615D1A" w:rsidRDefault="00CB36D7" w:rsidP="00CB36D7">
            <w:pPr>
              <w:spacing w:after="0" w:line="240" w:lineRule="auto"/>
              <w:jc w:val="right"/>
              <w:rPr>
                <w:rFonts w:ascii="Arial" w:hAnsi="Arial" w:cs="Arial"/>
                <w:sz w:val="16"/>
                <w:szCs w:val="16"/>
              </w:rPr>
            </w:pPr>
            <w:r w:rsidRPr="00615D1A">
              <w:rPr>
                <w:rFonts w:ascii="Arial" w:hAnsi="Arial" w:cs="Arial"/>
                <w:sz w:val="16"/>
                <w:szCs w:val="16"/>
              </w:rPr>
              <w:t>2025-26</w:t>
            </w:r>
            <w:r w:rsidRPr="00615D1A">
              <w:rPr>
                <w:rFonts w:ascii="Arial" w:hAnsi="Arial" w:cs="Arial"/>
                <w:sz w:val="16"/>
                <w:szCs w:val="16"/>
              </w:rPr>
              <w:br/>
              <w:t>Forward estimate</w:t>
            </w:r>
            <w:r w:rsidRPr="00615D1A">
              <w:rPr>
                <w:rFonts w:ascii="Arial" w:hAnsi="Arial" w:cs="Arial"/>
                <w:sz w:val="16"/>
                <w:szCs w:val="16"/>
              </w:rPr>
              <w:br/>
              <w:t>$'000</w:t>
            </w:r>
          </w:p>
        </w:tc>
      </w:tr>
      <w:tr w:rsidR="00CB36D7" w:rsidRPr="00615D1A" w14:paraId="2E659D2E" w14:textId="77777777" w:rsidTr="007431A4">
        <w:trPr>
          <w:trHeight w:val="204"/>
        </w:trPr>
        <w:tc>
          <w:tcPr>
            <w:tcW w:w="2030" w:type="pct"/>
            <w:tcBorders>
              <w:top w:val="nil"/>
              <w:left w:val="nil"/>
              <w:bottom w:val="nil"/>
              <w:right w:val="nil"/>
            </w:tcBorders>
            <w:shd w:val="clear" w:color="auto" w:fill="auto"/>
            <w:noWrap/>
            <w:vAlign w:val="bottom"/>
            <w:hideMark/>
          </w:tcPr>
          <w:p w14:paraId="3E0F5345"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6CFA531C"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A53393B"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5C7612D"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CE7E5E6"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376B6745"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1EB95B56" w14:textId="77777777" w:rsidTr="007431A4">
        <w:trPr>
          <w:trHeight w:val="204"/>
        </w:trPr>
        <w:tc>
          <w:tcPr>
            <w:tcW w:w="2030" w:type="pct"/>
            <w:tcBorders>
              <w:top w:val="nil"/>
              <w:left w:val="nil"/>
              <w:bottom w:val="nil"/>
              <w:right w:val="nil"/>
            </w:tcBorders>
            <w:shd w:val="clear" w:color="auto" w:fill="auto"/>
            <w:noWrap/>
            <w:vAlign w:val="bottom"/>
            <w:hideMark/>
          </w:tcPr>
          <w:p w14:paraId="0B4BC2C2"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747B462B"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383FDA94"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4B13C75"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E68FC12"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3C9AEE6B"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55A942A5" w14:textId="77777777" w:rsidTr="007431A4">
        <w:trPr>
          <w:trHeight w:val="204"/>
        </w:trPr>
        <w:tc>
          <w:tcPr>
            <w:tcW w:w="2030" w:type="pct"/>
            <w:tcBorders>
              <w:top w:val="nil"/>
              <w:left w:val="nil"/>
              <w:bottom w:val="nil"/>
              <w:right w:val="nil"/>
            </w:tcBorders>
            <w:shd w:val="clear" w:color="auto" w:fill="auto"/>
            <w:noWrap/>
            <w:vAlign w:val="bottom"/>
            <w:hideMark/>
          </w:tcPr>
          <w:p w14:paraId="47F1AB43"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 xml:space="preserve">Cash </w:t>
            </w:r>
            <w:r w:rsidRPr="00615D1A">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1D440BF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33,200</w:t>
            </w:r>
          </w:p>
        </w:tc>
        <w:tc>
          <w:tcPr>
            <w:tcW w:w="584" w:type="pct"/>
            <w:tcBorders>
              <w:top w:val="nil"/>
              <w:left w:val="nil"/>
              <w:bottom w:val="nil"/>
              <w:right w:val="nil"/>
            </w:tcBorders>
            <w:shd w:val="clear" w:color="auto" w:fill="E6E6E6"/>
            <w:noWrap/>
            <w:vAlign w:val="bottom"/>
            <w:hideMark/>
          </w:tcPr>
          <w:p w14:paraId="568B1E40" w14:textId="4FE8E421"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30,6</w:t>
            </w:r>
            <w:r w:rsidR="00F33DE1">
              <w:rPr>
                <w:rFonts w:ascii="Arial" w:hAnsi="Arial" w:cs="Arial"/>
                <w:color w:val="000000"/>
                <w:sz w:val="16"/>
                <w:szCs w:val="16"/>
              </w:rPr>
              <w:t>39</w:t>
            </w:r>
          </w:p>
        </w:tc>
        <w:tc>
          <w:tcPr>
            <w:tcW w:w="584" w:type="pct"/>
            <w:tcBorders>
              <w:top w:val="nil"/>
              <w:left w:val="nil"/>
              <w:bottom w:val="nil"/>
              <w:right w:val="nil"/>
            </w:tcBorders>
            <w:shd w:val="clear" w:color="auto" w:fill="auto"/>
            <w:noWrap/>
            <w:vAlign w:val="bottom"/>
            <w:hideMark/>
          </w:tcPr>
          <w:p w14:paraId="3214673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29,136</w:t>
            </w:r>
          </w:p>
        </w:tc>
        <w:tc>
          <w:tcPr>
            <w:tcW w:w="584" w:type="pct"/>
            <w:tcBorders>
              <w:top w:val="nil"/>
              <w:left w:val="nil"/>
              <w:bottom w:val="nil"/>
              <w:right w:val="nil"/>
            </w:tcBorders>
            <w:shd w:val="clear" w:color="auto" w:fill="auto"/>
            <w:noWrap/>
            <w:vAlign w:val="bottom"/>
            <w:hideMark/>
          </w:tcPr>
          <w:p w14:paraId="53C7E33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30,497</w:t>
            </w:r>
          </w:p>
        </w:tc>
        <w:tc>
          <w:tcPr>
            <w:tcW w:w="584" w:type="pct"/>
            <w:tcBorders>
              <w:top w:val="nil"/>
              <w:left w:val="nil"/>
              <w:bottom w:val="nil"/>
              <w:right w:val="nil"/>
            </w:tcBorders>
            <w:shd w:val="clear" w:color="auto" w:fill="auto"/>
            <w:noWrap/>
            <w:vAlign w:val="bottom"/>
            <w:hideMark/>
          </w:tcPr>
          <w:p w14:paraId="3664D76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27,211</w:t>
            </w:r>
          </w:p>
        </w:tc>
      </w:tr>
      <w:tr w:rsidR="00CB36D7" w:rsidRPr="00615D1A" w14:paraId="67A6224F" w14:textId="77777777" w:rsidTr="007431A4">
        <w:trPr>
          <w:trHeight w:val="204"/>
        </w:trPr>
        <w:tc>
          <w:tcPr>
            <w:tcW w:w="2030" w:type="pct"/>
            <w:tcBorders>
              <w:top w:val="nil"/>
              <w:left w:val="nil"/>
              <w:bottom w:val="nil"/>
              <w:right w:val="nil"/>
            </w:tcBorders>
            <w:shd w:val="clear" w:color="auto" w:fill="auto"/>
            <w:noWrap/>
            <w:vAlign w:val="bottom"/>
            <w:hideMark/>
          </w:tcPr>
          <w:p w14:paraId="596E89CF" w14:textId="77777777" w:rsidR="00CB36D7" w:rsidRPr="002F7F2B" w:rsidRDefault="00CB36D7" w:rsidP="00CB36D7">
            <w:pPr>
              <w:spacing w:after="0" w:line="240" w:lineRule="auto"/>
              <w:ind w:left="113"/>
              <w:rPr>
                <w:rFonts w:ascii="Arial" w:hAnsi="Arial" w:cs="Arial"/>
                <w:color w:val="000000"/>
                <w:sz w:val="16"/>
                <w:szCs w:val="16"/>
              </w:rPr>
            </w:pPr>
            <w:r w:rsidRPr="002F7F2B">
              <w:rPr>
                <w:rFonts w:ascii="Arial" w:hAnsi="Arial" w:cs="Arial"/>
                <w:color w:val="000000"/>
                <w:sz w:val="16"/>
                <w:szCs w:val="16"/>
              </w:rPr>
              <w:t>Trade and other receivables</w:t>
            </w:r>
          </w:p>
        </w:tc>
        <w:tc>
          <w:tcPr>
            <w:tcW w:w="633" w:type="pct"/>
            <w:tcBorders>
              <w:top w:val="nil"/>
              <w:left w:val="nil"/>
              <w:bottom w:val="nil"/>
              <w:right w:val="nil"/>
            </w:tcBorders>
            <w:shd w:val="clear" w:color="auto" w:fill="auto"/>
            <w:noWrap/>
            <w:vAlign w:val="bottom"/>
            <w:hideMark/>
          </w:tcPr>
          <w:p w14:paraId="00A9AA30"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10,079</w:t>
            </w:r>
          </w:p>
        </w:tc>
        <w:tc>
          <w:tcPr>
            <w:tcW w:w="584" w:type="pct"/>
            <w:tcBorders>
              <w:top w:val="nil"/>
              <w:left w:val="nil"/>
              <w:bottom w:val="nil"/>
              <w:right w:val="nil"/>
            </w:tcBorders>
            <w:shd w:val="clear" w:color="auto" w:fill="E6E6E6"/>
            <w:noWrap/>
            <w:vAlign w:val="bottom"/>
            <w:hideMark/>
          </w:tcPr>
          <w:p w14:paraId="07F29AB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11,040</w:t>
            </w:r>
          </w:p>
        </w:tc>
        <w:tc>
          <w:tcPr>
            <w:tcW w:w="584" w:type="pct"/>
            <w:tcBorders>
              <w:top w:val="nil"/>
              <w:left w:val="nil"/>
              <w:bottom w:val="nil"/>
              <w:right w:val="nil"/>
            </w:tcBorders>
            <w:shd w:val="clear" w:color="auto" w:fill="auto"/>
            <w:noWrap/>
            <w:vAlign w:val="bottom"/>
            <w:hideMark/>
          </w:tcPr>
          <w:p w14:paraId="0125A5C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12,259</w:t>
            </w:r>
          </w:p>
        </w:tc>
        <w:tc>
          <w:tcPr>
            <w:tcW w:w="584" w:type="pct"/>
            <w:tcBorders>
              <w:top w:val="nil"/>
              <w:left w:val="nil"/>
              <w:bottom w:val="nil"/>
              <w:right w:val="nil"/>
            </w:tcBorders>
            <w:shd w:val="clear" w:color="auto" w:fill="auto"/>
            <w:noWrap/>
            <w:vAlign w:val="bottom"/>
            <w:hideMark/>
          </w:tcPr>
          <w:p w14:paraId="1C54FBE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12,325</w:t>
            </w:r>
          </w:p>
        </w:tc>
        <w:tc>
          <w:tcPr>
            <w:tcW w:w="584" w:type="pct"/>
            <w:tcBorders>
              <w:top w:val="nil"/>
              <w:left w:val="nil"/>
              <w:bottom w:val="nil"/>
              <w:right w:val="nil"/>
            </w:tcBorders>
            <w:shd w:val="clear" w:color="auto" w:fill="auto"/>
            <w:noWrap/>
            <w:vAlign w:val="bottom"/>
            <w:hideMark/>
          </w:tcPr>
          <w:p w14:paraId="0351794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12,171</w:t>
            </w:r>
          </w:p>
        </w:tc>
      </w:tr>
      <w:tr w:rsidR="00CB36D7" w:rsidRPr="00615D1A" w14:paraId="7BF5B167" w14:textId="77777777" w:rsidTr="007431A4">
        <w:trPr>
          <w:trHeight w:val="204"/>
        </w:trPr>
        <w:tc>
          <w:tcPr>
            <w:tcW w:w="2030" w:type="pct"/>
            <w:tcBorders>
              <w:top w:val="nil"/>
              <w:left w:val="nil"/>
              <w:bottom w:val="nil"/>
              <w:right w:val="nil"/>
            </w:tcBorders>
            <w:shd w:val="clear" w:color="auto" w:fill="auto"/>
            <w:noWrap/>
            <w:vAlign w:val="bottom"/>
            <w:hideMark/>
          </w:tcPr>
          <w:p w14:paraId="6B7F0D29"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Other investments</w:t>
            </w:r>
          </w:p>
        </w:tc>
        <w:tc>
          <w:tcPr>
            <w:tcW w:w="633" w:type="pct"/>
            <w:tcBorders>
              <w:top w:val="nil"/>
              <w:left w:val="nil"/>
              <w:bottom w:val="nil"/>
              <w:right w:val="nil"/>
            </w:tcBorders>
            <w:shd w:val="clear" w:color="auto" w:fill="auto"/>
            <w:noWrap/>
            <w:vAlign w:val="bottom"/>
            <w:hideMark/>
          </w:tcPr>
          <w:p w14:paraId="0428D44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110,000</w:t>
            </w:r>
          </w:p>
        </w:tc>
        <w:tc>
          <w:tcPr>
            <w:tcW w:w="584" w:type="pct"/>
            <w:tcBorders>
              <w:top w:val="nil"/>
              <w:left w:val="nil"/>
              <w:bottom w:val="nil"/>
              <w:right w:val="nil"/>
            </w:tcBorders>
            <w:shd w:val="clear" w:color="auto" w:fill="E6E6E6"/>
            <w:noWrap/>
            <w:vAlign w:val="bottom"/>
            <w:hideMark/>
          </w:tcPr>
          <w:p w14:paraId="2D64A7B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100,000</w:t>
            </w:r>
          </w:p>
        </w:tc>
        <w:tc>
          <w:tcPr>
            <w:tcW w:w="584" w:type="pct"/>
            <w:tcBorders>
              <w:top w:val="nil"/>
              <w:left w:val="nil"/>
              <w:bottom w:val="nil"/>
              <w:right w:val="nil"/>
            </w:tcBorders>
            <w:shd w:val="clear" w:color="auto" w:fill="auto"/>
            <w:noWrap/>
            <w:vAlign w:val="bottom"/>
            <w:hideMark/>
          </w:tcPr>
          <w:p w14:paraId="098233D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80</w:t>
            </w:r>
            <w:r w:rsidRPr="00DC083D">
              <w:rPr>
                <w:rFonts w:ascii="Arial" w:hAnsi="Arial" w:cs="Arial"/>
                <w:color w:val="000000"/>
                <w:sz w:val="16"/>
                <w:szCs w:val="16"/>
              </w:rPr>
              <w:t>,000</w:t>
            </w:r>
          </w:p>
        </w:tc>
        <w:tc>
          <w:tcPr>
            <w:tcW w:w="584" w:type="pct"/>
            <w:tcBorders>
              <w:top w:val="nil"/>
              <w:left w:val="nil"/>
              <w:bottom w:val="nil"/>
              <w:right w:val="nil"/>
            </w:tcBorders>
            <w:shd w:val="clear" w:color="auto" w:fill="auto"/>
            <w:noWrap/>
            <w:vAlign w:val="bottom"/>
            <w:hideMark/>
          </w:tcPr>
          <w:p w14:paraId="630B0F8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w:t>
            </w:r>
            <w:r>
              <w:rPr>
                <w:rFonts w:ascii="Arial" w:hAnsi="Arial" w:cs="Arial"/>
                <w:color w:val="000000"/>
                <w:sz w:val="16"/>
                <w:szCs w:val="16"/>
              </w:rPr>
              <w:t>5</w:t>
            </w:r>
            <w:r w:rsidRPr="00DC083D">
              <w:rPr>
                <w:rFonts w:ascii="Arial" w:hAnsi="Arial" w:cs="Arial"/>
                <w:color w:val="000000"/>
                <w:sz w:val="16"/>
                <w:szCs w:val="16"/>
              </w:rPr>
              <w:t>,000</w:t>
            </w:r>
          </w:p>
        </w:tc>
        <w:tc>
          <w:tcPr>
            <w:tcW w:w="584" w:type="pct"/>
            <w:tcBorders>
              <w:top w:val="nil"/>
              <w:left w:val="nil"/>
              <w:bottom w:val="nil"/>
              <w:right w:val="nil"/>
            </w:tcBorders>
            <w:shd w:val="clear" w:color="auto" w:fill="auto"/>
            <w:noWrap/>
            <w:vAlign w:val="bottom"/>
            <w:hideMark/>
          </w:tcPr>
          <w:p w14:paraId="3A5F7AC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w:t>
            </w:r>
            <w:r>
              <w:rPr>
                <w:rFonts w:ascii="Arial" w:hAnsi="Arial" w:cs="Arial"/>
                <w:color w:val="000000"/>
                <w:sz w:val="16"/>
                <w:szCs w:val="16"/>
              </w:rPr>
              <w:t>5</w:t>
            </w:r>
            <w:r w:rsidRPr="00DC083D">
              <w:rPr>
                <w:rFonts w:ascii="Arial" w:hAnsi="Arial" w:cs="Arial"/>
                <w:color w:val="000000"/>
                <w:sz w:val="16"/>
                <w:szCs w:val="16"/>
              </w:rPr>
              <w:t>,000</w:t>
            </w:r>
          </w:p>
        </w:tc>
      </w:tr>
      <w:tr w:rsidR="00CB36D7" w:rsidRPr="00615D1A" w14:paraId="4A3BF928" w14:textId="77777777" w:rsidTr="007431A4">
        <w:trPr>
          <w:trHeight w:val="204"/>
        </w:trPr>
        <w:tc>
          <w:tcPr>
            <w:tcW w:w="2030" w:type="pct"/>
            <w:tcBorders>
              <w:top w:val="nil"/>
              <w:left w:val="nil"/>
              <w:bottom w:val="nil"/>
              <w:right w:val="nil"/>
            </w:tcBorders>
            <w:shd w:val="clear" w:color="auto" w:fill="auto"/>
            <w:noWrap/>
            <w:vAlign w:val="bottom"/>
            <w:hideMark/>
          </w:tcPr>
          <w:p w14:paraId="1BA3B475"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724E9FAD"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153,279</w:t>
            </w:r>
          </w:p>
        </w:tc>
        <w:tc>
          <w:tcPr>
            <w:tcW w:w="584" w:type="pct"/>
            <w:tcBorders>
              <w:top w:val="single" w:sz="4" w:space="0" w:color="000000"/>
              <w:left w:val="nil"/>
              <w:bottom w:val="single" w:sz="4" w:space="0" w:color="000000"/>
              <w:right w:val="nil"/>
            </w:tcBorders>
            <w:shd w:val="clear" w:color="auto" w:fill="E6E6E6"/>
            <w:noWrap/>
            <w:vAlign w:val="bottom"/>
            <w:hideMark/>
          </w:tcPr>
          <w:p w14:paraId="4D50B25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141,679</w:t>
            </w:r>
          </w:p>
        </w:tc>
        <w:tc>
          <w:tcPr>
            <w:tcW w:w="584" w:type="pct"/>
            <w:tcBorders>
              <w:top w:val="single" w:sz="4" w:space="0" w:color="000000"/>
              <w:left w:val="nil"/>
              <w:bottom w:val="single" w:sz="4" w:space="0" w:color="000000"/>
              <w:right w:val="nil"/>
            </w:tcBorders>
            <w:shd w:val="clear" w:color="auto" w:fill="auto"/>
            <w:noWrap/>
            <w:vAlign w:val="bottom"/>
            <w:hideMark/>
          </w:tcPr>
          <w:p w14:paraId="2BD7D089"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121,395</w:t>
            </w:r>
          </w:p>
        </w:tc>
        <w:tc>
          <w:tcPr>
            <w:tcW w:w="584" w:type="pct"/>
            <w:tcBorders>
              <w:top w:val="single" w:sz="4" w:space="0" w:color="000000"/>
              <w:left w:val="nil"/>
              <w:bottom w:val="single" w:sz="4" w:space="0" w:color="000000"/>
              <w:right w:val="nil"/>
            </w:tcBorders>
            <w:shd w:val="clear" w:color="auto" w:fill="auto"/>
            <w:noWrap/>
            <w:vAlign w:val="bottom"/>
            <w:hideMark/>
          </w:tcPr>
          <w:p w14:paraId="1167F270"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127,882</w:t>
            </w:r>
          </w:p>
        </w:tc>
        <w:tc>
          <w:tcPr>
            <w:tcW w:w="584" w:type="pct"/>
            <w:tcBorders>
              <w:top w:val="single" w:sz="4" w:space="0" w:color="000000"/>
              <w:left w:val="nil"/>
              <w:bottom w:val="single" w:sz="4" w:space="0" w:color="000000"/>
              <w:right w:val="nil"/>
            </w:tcBorders>
            <w:shd w:val="clear" w:color="auto" w:fill="auto"/>
            <w:noWrap/>
            <w:vAlign w:val="bottom"/>
            <w:hideMark/>
          </w:tcPr>
          <w:p w14:paraId="5BCC5DEB"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124,382</w:t>
            </w:r>
          </w:p>
        </w:tc>
      </w:tr>
      <w:tr w:rsidR="00CB36D7" w:rsidRPr="00615D1A" w14:paraId="4FBE45AF" w14:textId="77777777" w:rsidTr="007431A4">
        <w:trPr>
          <w:trHeight w:val="204"/>
        </w:trPr>
        <w:tc>
          <w:tcPr>
            <w:tcW w:w="2030" w:type="pct"/>
            <w:tcBorders>
              <w:top w:val="nil"/>
              <w:left w:val="nil"/>
              <w:bottom w:val="nil"/>
              <w:right w:val="nil"/>
            </w:tcBorders>
            <w:shd w:val="clear" w:color="auto" w:fill="auto"/>
            <w:noWrap/>
            <w:vAlign w:val="bottom"/>
            <w:hideMark/>
          </w:tcPr>
          <w:p w14:paraId="79D245E0"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12CF941F"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4072128C"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33E61EB"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B3F6524"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0A17D7CB"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3263C430" w14:textId="77777777" w:rsidTr="007431A4">
        <w:trPr>
          <w:trHeight w:val="204"/>
        </w:trPr>
        <w:tc>
          <w:tcPr>
            <w:tcW w:w="2030" w:type="pct"/>
            <w:tcBorders>
              <w:top w:val="nil"/>
              <w:left w:val="nil"/>
              <w:bottom w:val="nil"/>
              <w:right w:val="nil"/>
            </w:tcBorders>
            <w:shd w:val="clear" w:color="auto" w:fill="auto"/>
            <w:noWrap/>
            <w:vAlign w:val="bottom"/>
            <w:hideMark/>
          </w:tcPr>
          <w:p w14:paraId="51843A97"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Land and buildings</w:t>
            </w:r>
          </w:p>
        </w:tc>
        <w:tc>
          <w:tcPr>
            <w:tcW w:w="633" w:type="pct"/>
            <w:tcBorders>
              <w:top w:val="nil"/>
              <w:left w:val="nil"/>
              <w:bottom w:val="nil"/>
              <w:right w:val="nil"/>
            </w:tcBorders>
            <w:shd w:val="clear" w:color="auto" w:fill="auto"/>
            <w:noWrap/>
            <w:vAlign w:val="bottom"/>
            <w:hideMark/>
          </w:tcPr>
          <w:p w14:paraId="58C8A1E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38,004</w:t>
            </w:r>
          </w:p>
        </w:tc>
        <w:tc>
          <w:tcPr>
            <w:tcW w:w="584" w:type="pct"/>
            <w:tcBorders>
              <w:top w:val="nil"/>
              <w:left w:val="nil"/>
              <w:bottom w:val="nil"/>
              <w:right w:val="nil"/>
            </w:tcBorders>
            <w:shd w:val="clear" w:color="auto" w:fill="E6E6E6"/>
            <w:noWrap/>
            <w:vAlign w:val="bottom"/>
            <w:hideMark/>
          </w:tcPr>
          <w:p w14:paraId="23F7D5B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32,482</w:t>
            </w:r>
          </w:p>
        </w:tc>
        <w:tc>
          <w:tcPr>
            <w:tcW w:w="584" w:type="pct"/>
            <w:tcBorders>
              <w:top w:val="nil"/>
              <w:left w:val="nil"/>
              <w:bottom w:val="nil"/>
              <w:right w:val="nil"/>
            </w:tcBorders>
            <w:shd w:val="clear" w:color="auto" w:fill="auto"/>
            <w:noWrap/>
            <w:vAlign w:val="bottom"/>
            <w:hideMark/>
          </w:tcPr>
          <w:p w14:paraId="75CF7DB0"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56,923</w:t>
            </w:r>
          </w:p>
        </w:tc>
        <w:tc>
          <w:tcPr>
            <w:tcW w:w="584" w:type="pct"/>
            <w:tcBorders>
              <w:top w:val="nil"/>
              <w:left w:val="nil"/>
              <w:bottom w:val="nil"/>
              <w:right w:val="nil"/>
            </w:tcBorders>
            <w:shd w:val="clear" w:color="auto" w:fill="auto"/>
            <w:noWrap/>
            <w:vAlign w:val="bottom"/>
            <w:hideMark/>
          </w:tcPr>
          <w:p w14:paraId="3415B47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48,508</w:t>
            </w:r>
          </w:p>
        </w:tc>
        <w:tc>
          <w:tcPr>
            <w:tcW w:w="584" w:type="pct"/>
            <w:tcBorders>
              <w:top w:val="nil"/>
              <w:left w:val="nil"/>
              <w:bottom w:val="nil"/>
              <w:right w:val="nil"/>
            </w:tcBorders>
            <w:shd w:val="clear" w:color="auto" w:fill="auto"/>
            <w:noWrap/>
            <w:vAlign w:val="bottom"/>
            <w:hideMark/>
          </w:tcPr>
          <w:p w14:paraId="3FB8DF85"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42,437</w:t>
            </w:r>
          </w:p>
        </w:tc>
      </w:tr>
      <w:tr w:rsidR="00CB36D7" w:rsidRPr="00615D1A" w14:paraId="7F1F5DD6" w14:textId="77777777" w:rsidTr="007431A4">
        <w:trPr>
          <w:trHeight w:val="204"/>
        </w:trPr>
        <w:tc>
          <w:tcPr>
            <w:tcW w:w="2030" w:type="pct"/>
            <w:tcBorders>
              <w:top w:val="nil"/>
              <w:left w:val="nil"/>
              <w:bottom w:val="nil"/>
              <w:right w:val="nil"/>
            </w:tcBorders>
            <w:shd w:val="clear" w:color="auto" w:fill="auto"/>
            <w:noWrap/>
            <w:vAlign w:val="bottom"/>
            <w:hideMark/>
          </w:tcPr>
          <w:p w14:paraId="386A3B3B"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5E6F1F7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189,004</w:t>
            </w:r>
          </w:p>
        </w:tc>
        <w:tc>
          <w:tcPr>
            <w:tcW w:w="584" w:type="pct"/>
            <w:tcBorders>
              <w:top w:val="nil"/>
              <w:left w:val="nil"/>
              <w:bottom w:val="nil"/>
              <w:right w:val="nil"/>
            </w:tcBorders>
            <w:shd w:val="clear" w:color="auto" w:fill="E6E6E6"/>
            <w:noWrap/>
            <w:vAlign w:val="bottom"/>
            <w:hideMark/>
          </w:tcPr>
          <w:p w14:paraId="6816508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186,452</w:t>
            </w:r>
          </w:p>
        </w:tc>
        <w:tc>
          <w:tcPr>
            <w:tcW w:w="584" w:type="pct"/>
            <w:tcBorders>
              <w:top w:val="nil"/>
              <w:left w:val="nil"/>
              <w:bottom w:val="nil"/>
              <w:right w:val="nil"/>
            </w:tcBorders>
            <w:shd w:val="clear" w:color="auto" w:fill="auto"/>
            <w:noWrap/>
            <w:vAlign w:val="bottom"/>
            <w:hideMark/>
          </w:tcPr>
          <w:p w14:paraId="3B1C050A"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219,009</w:t>
            </w:r>
          </w:p>
        </w:tc>
        <w:tc>
          <w:tcPr>
            <w:tcW w:w="584" w:type="pct"/>
            <w:tcBorders>
              <w:top w:val="nil"/>
              <w:left w:val="nil"/>
              <w:bottom w:val="nil"/>
              <w:right w:val="nil"/>
            </w:tcBorders>
            <w:shd w:val="clear" w:color="auto" w:fill="auto"/>
            <w:noWrap/>
            <w:vAlign w:val="bottom"/>
            <w:hideMark/>
          </w:tcPr>
          <w:p w14:paraId="3CFA1AB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204,589</w:t>
            </w:r>
          </w:p>
        </w:tc>
        <w:tc>
          <w:tcPr>
            <w:tcW w:w="584" w:type="pct"/>
            <w:tcBorders>
              <w:top w:val="nil"/>
              <w:left w:val="nil"/>
              <w:bottom w:val="nil"/>
              <w:right w:val="nil"/>
            </w:tcBorders>
            <w:shd w:val="clear" w:color="auto" w:fill="auto"/>
            <w:noWrap/>
            <w:vAlign w:val="bottom"/>
            <w:hideMark/>
          </w:tcPr>
          <w:p w14:paraId="61E090C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188,579</w:t>
            </w:r>
          </w:p>
        </w:tc>
      </w:tr>
      <w:tr w:rsidR="00CB36D7" w:rsidRPr="00615D1A" w14:paraId="498F8B1A" w14:textId="77777777" w:rsidTr="007431A4">
        <w:trPr>
          <w:trHeight w:val="204"/>
        </w:trPr>
        <w:tc>
          <w:tcPr>
            <w:tcW w:w="2030" w:type="pct"/>
            <w:tcBorders>
              <w:top w:val="nil"/>
              <w:left w:val="nil"/>
              <w:bottom w:val="nil"/>
              <w:right w:val="nil"/>
            </w:tcBorders>
            <w:shd w:val="clear" w:color="auto" w:fill="auto"/>
            <w:noWrap/>
            <w:vAlign w:val="bottom"/>
            <w:hideMark/>
          </w:tcPr>
          <w:p w14:paraId="715FCD61"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0356FF2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7,882</w:t>
            </w:r>
          </w:p>
        </w:tc>
        <w:tc>
          <w:tcPr>
            <w:tcW w:w="584" w:type="pct"/>
            <w:tcBorders>
              <w:top w:val="nil"/>
              <w:left w:val="nil"/>
              <w:bottom w:val="nil"/>
              <w:right w:val="nil"/>
            </w:tcBorders>
            <w:shd w:val="clear" w:color="auto" w:fill="E6E6E6"/>
            <w:noWrap/>
            <w:vAlign w:val="bottom"/>
            <w:hideMark/>
          </w:tcPr>
          <w:p w14:paraId="3B87007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6,055</w:t>
            </w:r>
          </w:p>
        </w:tc>
        <w:tc>
          <w:tcPr>
            <w:tcW w:w="584" w:type="pct"/>
            <w:tcBorders>
              <w:top w:val="nil"/>
              <w:left w:val="nil"/>
              <w:bottom w:val="nil"/>
              <w:right w:val="nil"/>
            </w:tcBorders>
            <w:shd w:val="clear" w:color="auto" w:fill="auto"/>
            <w:noWrap/>
            <w:vAlign w:val="bottom"/>
            <w:hideMark/>
          </w:tcPr>
          <w:p w14:paraId="452A9147"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3,416</w:t>
            </w:r>
          </w:p>
        </w:tc>
        <w:tc>
          <w:tcPr>
            <w:tcW w:w="584" w:type="pct"/>
            <w:tcBorders>
              <w:top w:val="nil"/>
              <w:left w:val="nil"/>
              <w:bottom w:val="nil"/>
              <w:right w:val="nil"/>
            </w:tcBorders>
            <w:shd w:val="clear" w:color="auto" w:fill="auto"/>
            <w:noWrap/>
            <w:vAlign w:val="bottom"/>
            <w:hideMark/>
          </w:tcPr>
          <w:p w14:paraId="0D1430C8"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2,027</w:t>
            </w:r>
          </w:p>
        </w:tc>
        <w:tc>
          <w:tcPr>
            <w:tcW w:w="584" w:type="pct"/>
            <w:tcBorders>
              <w:top w:val="nil"/>
              <w:left w:val="nil"/>
              <w:bottom w:val="nil"/>
              <w:right w:val="nil"/>
            </w:tcBorders>
            <w:shd w:val="clear" w:color="auto" w:fill="auto"/>
            <w:noWrap/>
            <w:vAlign w:val="bottom"/>
            <w:hideMark/>
          </w:tcPr>
          <w:p w14:paraId="5AA00FEB"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14,081</w:t>
            </w:r>
          </w:p>
        </w:tc>
      </w:tr>
      <w:tr w:rsidR="00CB36D7" w:rsidRPr="00615D1A" w14:paraId="6724E338" w14:textId="77777777" w:rsidTr="007431A4">
        <w:trPr>
          <w:trHeight w:val="204"/>
        </w:trPr>
        <w:tc>
          <w:tcPr>
            <w:tcW w:w="2030" w:type="pct"/>
            <w:tcBorders>
              <w:top w:val="nil"/>
              <w:left w:val="nil"/>
              <w:bottom w:val="nil"/>
              <w:right w:val="nil"/>
            </w:tcBorders>
            <w:shd w:val="clear" w:color="auto" w:fill="auto"/>
            <w:noWrap/>
            <w:vAlign w:val="bottom"/>
            <w:hideMark/>
          </w:tcPr>
          <w:p w14:paraId="22D85165"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Inventories</w:t>
            </w:r>
          </w:p>
        </w:tc>
        <w:tc>
          <w:tcPr>
            <w:tcW w:w="633" w:type="pct"/>
            <w:tcBorders>
              <w:top w:val="nil"/>
              <w:left w:val="nil"/>
              <w:bottom w:val="nil"/>
              <w:right w:val="nil"/>
            </w:tcBorders>
            <w:shd w:val="clear" w:color="auto" w:fill="auto"/>
            <w:noWrap/>
            <w:vAlign w:val="bottom"/>
            <w:hideMark/>
          </w:tcPr>
          <w:p w14:paraId="5FB7473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w:t>
            </w:r>
            <w:r>
              <w:rPr>
                <w:rFonts w:ascii="Arial" w:hAnsi="Arial" w:cs="Arial"/>
                <w:color w:val="000000"/>
                <w:sz w:val="16"/>
                <w:szCs w:val="16"/>
              </w:rPr>
              <w:t>457</w:t>
            </w:r>
          </w:p>
        </w:tc>
        <w:tc>
          <w:tcPr>
            <w:tcW w:w="584" w:type="pct"/>
            <w:tcBorders>
              <w:top w:val="nil"/>
              <w:left w:val="nil"/>
              <w:bottom w:val="nil"/>
              <w:right w:val="nil"/>
            </w:tcBorders>
            <w:shd w:val="clear" w:color="auto" w:fill="E6E6E6"/>
            <w:noWrap/>
            <w:vAlign w:val="bottom"/>
            <w:hideMark/>
          </w:tcPr>
          <w:p w14:paraId="1533D350"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w:t>
            </w:r>
            <w:r>
              <w:rPr>
                <w:rFonts w:ascii="Arial" w:hAnsi="Arial" w:cs="Arial"/>
                <w:color w:val="000000"/>
                <w:sz w:val="16"/>
                <w:szCs w:val="16"/>
              </w:rPr>
              <w:t>457</w:t>
            </w:r>
          </w:p>
        </w:tc>
        <w:tc>
          <w:tcPr>
            <w:tcW w:w="584" w:type="pct"/>
            <w:tcBorders>
              <w:top w:val="nil"/>
              <w:left w:val="nil"/>
              <w:bottom w:val="nil"/>
              <w:right w:val="nil"/>
            </w:tcBorders>
            <w:shd w:val="clear" w:color="auto" w:fill="auto"/>
            <w:noWrap/>
            <w:vAlign w:val="bottom"/>
            <w:hideMark/>
          </w:tcPr>
          <w:p w14:paraId="003E5EBC"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w:t>
            </w:r>
            <w:r>
              <w:rPr>
                <w:rFonts w:ascii="Arial" w:hAnsi="Arial" w:cs="Arial"/>
                <w:color w:val="000000"/>
                <w:sz w:val="16"/>
                <w:szCs w:val="16"/>
              </w:rPr>
              <w:t>457</w:t>
            </w:r>
          </w:p>
        </w:tc>
        <w:tc>
          <w:tcPr>
            <w:tcW w:w="584" w:type="pct"/>
            <w:tcBorders>
              <w:top w:val="nil"/>
              <w:left w:val="nil"/>
              <w:bottom w:val="nil"/>
              <w:right w:val="nil"/>
            </w:tcBorders>
            <w:shd w:val="clear" w:color="auto" w:fill="auto"/>
            <w:noWrap/>
            <w:vAlign w:val="bottom"/>
            <w:hideMark/>
          </w:tcPr>
          <w:p w14:paraId="73C50E63"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w:t>
            </w:r>
            <w:r>
              <w:rPr>
                <w:rFonts w:ascii="Arial" w:hAnsi="Arial" w:cs="Arial"/>
                <w:color w:val="000000"/>
                <w:sz w:val="16"/>
                <w:szCs w:val="16"/>
              </w:rPr>
              <w:t>457</w:t>
            </w:r>
          </w:p>
        </w:tc>
        <w:tc>
          <w:tcPr>
            <w:tcW w:w="584" w:type="pct"/>
            <w:tcBorders>
              <w:top w:val="nil"/>
              <w:left w:val="nil"/>
              <w:bottom w:val="nil"/>
              <w:right w:val="nil"/>
            </w:tcBorders>
            <w:shd w:val="clear" w:color="auto" w:fill="auto"/>
            <w:noWrap/>
            <w:vAlign w:val="bottom"/>
            <w:hideMark/>
          </w:tcPr>
          <w:p w14:paraId="69C5DFBA"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w:t>
            </w:r>
            <w:r>
              <w:rPr>
                <w:rFonts w:ascii="Arial" w:hAnsi="Arial" w:cs="Arial"/>
                <w:color w:val="000000"/>
                <w:sz w:val="16"/>
                <w:szCs w:val="16"/>
              </w:rPr>
              <w:t>457</w:t>
            </w:r>
          </w:p>
        </w:tc>
      </w:tr>
      <w:tr w:rsidR="00CB36D7" w:rsidRPr="00615D1A" w14:paraId="7B965913" w14:textId="77777777" w:rsidTr="007431A4">
        <w:trPr>
          <w:trHeight w:val="204"/>
        </w:trPr>
        <w:tc>
          <w:tcPr>
            <w:tcW w:w="2030" w:type="pct"/>
            <w:tcBorders>
              <w:top w:val="nil"/>
              <w:left w:val="nil"/>
              <w:bottom w:val="nil"/>
              <w:right w:val="nil"/>
            </w:tcBorders>
            <w:shd w:val="clear" w:color="auto" w:fill="auto"/>
            <w:noWrap/>
            <w:vAlign w:val="bottom"/>
            <w:hideMark/>
          </w:tcPr>
          <w:p w14:paraId="0D2DD6D4"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Other non-financial assets</w:t>
            </w:r>
          </w:p>
        </w:tc>
        <w:tc>
          <w:tcPr>
            <w:tcW w:w="633" w:type="pct"/>
            <w:tcBorders>
              <w:top w:val="nil"/>
              <w:left w:val="nil"/>
              <w:bottom w:val="nil"/>
              <w:right w:val="nil"/>
            </w:tcBorders>
            <w:shd w:val="clear" w:color="auto" w:fill="auto"/>
            <w:noWrap/>
            <w:vAlign w:val="bottom"/>
            <w:hideMark/>
          </w:tcPr>
          <w:p w14:paraId="329743AE"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1,409</w:t>
            </w:r>
          </w:p>
        </w:tc>
        <w:tc>
          <w:tcPr>
            <w:tcW w:w="584" w:type="pct"/>
            <w:tcBorders>
              <w:top w:val="nil"/>
              <w:left w:val="nil"/>
              <w:bottom w:val="nil"/>
              <w:right w:val="nil"/>
            </w:tcBorders>
            <w:shd w:val="clear" w:color="auto" w:fill="E6E6E6"/>
            <w:noWrap/>
            <w:vAlign w:val="bottom"/>
            <w:hideMark/>
          </w:tcPr>
          <w:p w14:paraId="700C3AAE"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1,032</w:t>
            </w:r>
          </w:p>
        </w:tc>
        <w:tc>
          <w:tcPr>
            <w:tcW w:w="584" w:type="pct"/>
            <w:tcBorders>
              <w:top w:val="nil"/>
              <w:left w:val="nil"/>
              <w:bottom w:val="nil"/>
              <w:right w:val="nil"/>
            </w:tcBorders>
            <w:shd w:val="clear" w:color="auto" w:fill="auto"/>
            <w:noWrap/>
            <w:vAlign w:val="bottom"/>
            <w:hideMark/>
          </w:tcPr>
          <w:p w14:paraId="20342890"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1,356</w:t>
            </w:r>
          </w:p>
        </w:tc>
        <w:tc>
          <w:tcPr>
            <w:tcW w:w="584" w:type="pct"/>
            <w:tcBorders>
              <w:top w:val="nil"/>
              <w:left w:val="nil"/>
              <w:bottom w:val="nil"/>
              <w:right w:val="nil"/>
            </w:tcBorders>
            <w:shd w:val="clear" w:color="auto" w:fill="auto"/>
            <w:noWrap/>
            <w:vAlign w:val="bottom"/>
            <w:hideMark/>
          </w:tcPr>
          <w:p w14:paraId="0C04DFD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1,163</w:t>
            </w:r>
          </w:p>
        </w:tc>
        <w:tc>
          <w:tcPr>
            <w:tcW w:w="584" w:type="pct"/>
            <w:tcBorders>
              <w:top w:val="nil"/>
              <w:left w:val="nil"/>
              <w:bottom w:val="nil"/>
              <w:right w:val="nil"/>
            </w:tcBorders>
            <w:shd w:val="clear" w:color="auto" w:fill="auto"/>
            <w:noWrap/>
            <w:vAlign w:val="bottom"/>
            <w:hideMark/>
          </w:tcPr>
          <w:p w14:paraId="320B6E6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1,519</w:t>
            </w:r>
          </w:p>
        </w:tc>
      </w:tr>
      <w:tr w:rsidR="00CB36D7" w:rsidRPr="00615D1A" w14:paraId="318F2DDC" w14:textId="77777777" w:rsidTr="007431A4">
        <w:trPr>
          <w:trHeight w:val="204"/>
        </w:trPr>
        <w:tc>
          <w:tcPr>
            <w:tcW w:w="2030" w:type="pct"/>
            <w:tcBorders>
              <w:top w:val="nil"/>
              <w:left w:val="nil"/>
              <w:bottom w:val="nil"/>
              <w:right w:val="nil"/>
            </w:tcBorders>
            <w:shd w:val="clear" w:color="auto" w:fill="auto"/>
            <w:noWrap/>
            <w:vAlign w:val="bottom"/>
            <w:hideMark/>
          </w:tcPr>
          <w:p w14:paraId="51E425F0"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389041BA"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240,</w:t>
            </w:r>
            <w:r>
              <w:rPr>
                <w:rFonts w:ascii="Arial" w:hAnsi="Arial" w:cs="Arial"/>
                <w:b/>
                <w:bCs/>
                <w:i/>
                <w:iCs/>
                <w:color w:val="000000"/>
                <w:sz w:val="16"/>
                <w:szCs w:val="16"/>
              </w:rPr>
              <w:t>756</w:t>
            </w:r>
          </w:p>
        </w:tc>
        <w:tc>
          <w:tcPr>
            <w:tcW w:w="584" w:type="pct"/>
            <w:tcBorders>
              <w:top w:val="single" w:sz="4" w:space="0" w:color="000000"/>
              <w:left w:val="nil"/>
              <w:bottom w:val="single" w:sz="4" w:space="0" w:color="000000"/>
              <w:right w:val="nil"/>
            </w:tcBorders>
            <w:shd w:val="clear" w:color="auto" w:fill="E6E6E6"/>
            <w:noWrap/>
            <w:vAlign w:val="bottom"/>
            <w:hideMark/>
          </w:tcPr>
          <w:p w14:paraId="113658BC"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230,</w:t>
            </w:r>
            <w:r>
              <w:rPr>
                <w:rFonts w:ascii="Arial" w:hAnsi="Arial" w:cs="Arial"/>
                <w:b/>
                <w:bCs/>
                <w:i/>
                <w:iCs/>
                <w:color w:val="000000"/>
                <w:sz w:val="16"/>
                <w:szCs w:val="16"/>
              </w:rPr>
              <w:t>478</w:t>
            </w:r>
          </w:p>
        </w:tc>
        <w:tc>
          <w:tcPr>
            <w:tcW w:w="584" w:type="pct"/>
            <w:tcBorders>
              <w:top w:val="single" w:sz="4" w:space="0" w:color="000000"/>
              <w:left w:val="nil"/>
              <w:bottom w:val="single" w:sz="4" w:space="0" w:color="000000"/>
              <w:right w:val="nil"/>
            </w:tcBorders>
            <w:shd w:val="clear" w:color="auto" w:fill="auto"/>
            <w:noWrap/>
            <w:vAlign w:val="bottom"/>
            <w:hideMark/>
          </w:tcPr>
          <w:p w14:paraId="6CF6E7CE"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285,</w:t>
            </w:r>
            <w:r>
              <w:rPr>
                <w:rFonts w:ascii="Arial" w:hAnsi="Arial" w:cs="Arial"/>
                <w:b/>
                <w:bCs/>
                <w:i/>
                <w:iCs/>
                <w:color w:val="000000"/>
                <w:sz w:val="16"/>
                <w:szCs w:val="16"/>
              </w:rPr>
              <w:t>161</w:t>
            </w:r>
          </w:p>
        </w:tc>
        <w:tc>
          <w:tcPr>
            <w:tcW w:w="584" w:type="pct"/>
            <w:tcBorders>
              <w:top w:val="single" w:sz="4" w:space="0" w:color="000000"/>
              <w:left w:val="nil"/>
              <w:bottom w:val="single" w:sz="4" w:space="0" w:color="000000"/>
              <w:right w:val="nil"/>
            </w:tcBorders>
            <w:shd w:val="clear" w:color="auto" w:fill="auto"/>
            <w:noWrap/>
            <w:vAlign w:val="bottom"/>
            <w:hideMark/>
          </w:tcPr>
          <w:p w14:paraId="5727BCED"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260,</w:t>
            </w:r>
            <w:r>
              <w:rPr>
                <w:rFonts w:ascii="Arial" w:hAnsi="Arial" w:cs="Arial"/>
                <w:b/>
                <w:bCs/>
                <w:i/>
                <w:iCs/>
                <w:color w:val="000000"/>
                <w:sz w:val="16"/>
                <w:szCs w:val="16"/>
              </w:rPr>
              <w:t>744</w:t>
            </w:r>
          </w:p>
        </w:tc>
        <w:tc>
          <w:tcPr>
            <w:tcW w:w="584" w:type="pct"/>
            <w:tcBorders>
              <w:top w:val="single" w:sz="4" w:space="0" w:color="000000"/>
              <w:left w:val="nil"/>
              <w:bottom w:val="single" w:sz="4" w:space="0" w:color="000000"/>
              <w:right w:val="nil"/>
            </w:tcBorders>
            <w:shd w:val="clear" w:color="auto" w:fill="auto"/>
            <w:noWrap/>
            <w:vAlign w:val="bottom"/>
            <w:hideMark/>
          </w:tcPr>
          <w:p w14:paraId="2A87A9F0"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251,</w:t>
            </w:r>
            <w:r>
              <w:rPr>
                <w:rFonts w:ascii="Arial" w:hAnsi="Arial" w:cs="Arial"/>
                <w:b/>
                <w:bCs/>
                <w:i/>
                <w:iCs/>
                <w:color w:val="000000"/>
                <w:sz w:val="16"/>
                <w:szCs w:val="16"/>
              </w:rPr>
              <w:t>073</w:t>
            </w:r>
          </w:p>
        </w:tc>
      </w:tr>
      <w:tr w:rsidR="00CB36D7" w:rsidRPr="00615D1A" w14:paraId="4C7B7490" w14:textId="77777777" w:rsidTr="007431A4">
        <w:trPr>
          <w:trHeight w:val="204"/>
        </w:trPr>
        <w:tc>
          <w:tcPr>
            <w:tcW w:w="2030" w:type="pct"/>
            <w:tcBorders>
              <w:top w:val="nil"/>
              <w:left w:val="nil"/>
              <w:bottom w:val="nil"/>
              <w:right w:val="nil"/>
            </w:tcBorders>
            <w:shd w:val="clear" w:color="auto" w:fill="auto"/>
            <w:noWrap/>
            <w:vAlign w:val="bottom"/>
            <w:hideMark/>
          </w:tcPr>
          <w:p w14:paraId="5CDF2A4F"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78670D4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394,035</w:t>
            </w:r>
          </w:p>
        </w:tc>
        <w:tc>
          <w:tcPr>
            <w:tcW w:w="584" w:type="pct"/>
            <w:tcBorders>
              <w:top w:val="nil"/>
              <w:left w:val="nil"/>
              <w:bottom w:val="single" w:sz="4" w:space="0" w:color="000000"/>
              <w:right w:val="nil"/>
            </w:tcBorders>
            <w:shd w:val="clear" w:color="auto" w:fill="E6E6E6"/>
            <w:noWrap/>
            <w:vAlign w:val="bottom"/>
            <w:hideMark/>
          </w:tcPr>
          <w:p w14:paraId="24759BA3"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372,157</w:t>
            </w:r>
          </w:p>
        </w:tc>
        <w:tc>
          <w:tcPr>
            <w:tcW w:w="584" w:type="pct"/>
            <w:tcBorders>
              <w:top w:val="nil"/>
              <w:left w:val="nil"/>
              <w:bottom w:val="single" w:sz="4" w:space="0" w:color="000000"/>
              <w:right w:val="nil"/>
            </w:tcBorders>
            <w:shd w:val="clear" w:color="auto" w:fill="auto"/>
            <w:noWrap/>
            <w:vAlign w:val="bottom"/>
            <w:hideMark/>
          </w:tcPr>
          <w:p w14:paraId="4EE08844"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406,556</w:t>
            </w:r>
          </w:p>
        </w:tc>
        <w:tc>
          <w:tcPr>
            <w:tcW w:w="584" w:type="pct"/>
            <w:tcBorders>
              <w:top w:val="nil"/>
              <w:left w:val="nil"/>
              <w:bottom w:val="single" w:sz="4" w:space="0" w:color="000000"/>
              <w:right w:val="nil"/>
            </w:tcBorders>
            <w:shd w:val="clear" w:color="auto" w:fill="auto"/>
            <w:noWrap/>
            <w:vAlign w:val="bottom"/>
            <w:hideMark/>
          </w:tcPr>
          <w:p w14:paraId="16D8808E"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388,566</w:t>
            </w:r>
          </w:p>
        </w:tc>
        <w:tc>
          <w:tcPr>
            <w:tcW w:w="584" w:type="pct"/>
            <w:tcBorders>
              <w:top w:val="nil"/>
              <w:left w:val="nil"/>
              <w:bottom w:val="single" w:sz="4" w:space="0" w:color="000000"/>
              <w:right w:val="nil"/>
            </w:tcBorders>
            <w:shd w:val="clear" w:color="auto" w:fill="auto"/>
            <w:noWrap/>
            <w:vAlign w:val="bottom"/>
            <w:hideMark/>
          </w:tcPr>
          <w:p w14:paraId="0AC897FD"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375,455</w:t>
            </w:r>
          </w:p>
        </w:tc>
      </w:tr>
      <w:tr w:rsidR="00CB36D7" w:rsidRPr="00615D1A" w14:paraId="54A62FC8" w14:textId="77777777" w:rsidTr="007431A4">
        <w:trPr>
          <w:trHeight w:val="204"/>
        </w:trPr>
        <w:tc>
          <w:tcPr>
            <w:tcW w:w="2030" w:type="pct"/>
            <w:tcBorders>
              <w:top w:val="nil"/>
              <w:left w:val="nil"/>
              <w:bottom w:val="nil"/>
              <w:right w:val="nil"/>
            </w:tcBorders>
            <w:shd w:val="clear" w:color="auto" w:fill="auto"/>
            <w:noWrap/>
            <w:vAlign w:val="bottom"/>
            <w:hideMark/>
          </w:tcPr>
          <w:p w14:paraId="3733A63C"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537D112E"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008F332"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26684B3"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1FDC86E"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5FFEFFBF"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7C41B13D" w14:textId="77777777" w:rsidTr="007431A4">
        <w:trPr>
          <w:trHeight w:val="204"/>
        </w:trPr>
        <w:tc>
          <w:tcPr>
            <w:tcW w:w="2030" w:type="pct"/>
            <w:tcBorders>
              <w:top w:val="nil"/>
              <w:left w:val="nil"/>
              <w:bottom w:val="nil"/>
              <w:right w:val="nil"/>
            </w:tcBorders>
            <w:shd w:val="clear" w:color="auto" w:fill="auto"/>
            <w:noWrap/>
            <w:vAlign w:val="bottom"/>
            <w:hideMark/>
          </w:tcPr>
          <w:p w14:paraId="0683ECFE"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0E277DE1"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C14DDA8"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788435B"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18CE547"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4544D239"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045F4C2B" w14:textId="77777777" w:rsidTr="007431A4">
        <w:trPr>
          <w:trHeight w:val="204"/>
        </w:trPr>
        <w:tc>
          <w:tcPr>
            <w:tcW w:w="2030" w:type="pct"/>
            <w:tcBorders>
              <w:top w:val="nil"/>
              <w:left w:val="nil"/>
              <w:bottom w:val="nil"/>
              <w:right w:val="nil"/>
            </w:tcBorders>
            <w:shd w:val="clear" w:color="auto" w:fill="auto"/>
            <w:noWrap/>
            <w:vAlign w:val="bottom"/>
            <w:hideMark/>
          </w:tcPr>
          <w:p w14:paraId="7F397DDF"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5B9ED90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21,755</w:t>
            </w:r>
          </w:p>
        </w:tc>
        <w:tc>
          <w:tcPr>
            <w:tcW w:w="584" w:type="pct"/>
            <w:tcBorders>
              <w:top w:val="nil"/>
              <w:left w:val="nil"/>
              <w:bottom w:val="nil"/>
              <w:right w:val="nil"/>
            </w:tcBorders>
            <w:shd w:val="clear" w:color="auto" w:fill="E6E6E6"/>
            <w:noWrap/>
            <w:vAlign w:val="bottom"/>
            <w:hideMark/>
          </w:tcPr>
          <w:p w14:paraId="77F80B7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18,996</w:t>
            </w:r>
          </w:p>
        </w:tc>
        <w:tc>
          <w:tcPr>
            <w:tcW w:w="584" w:type="pct"/>
            <w:tcBorders>
              <w:top w:val="nil"/>
              <w:left w:val="nil"/>
              <w:bottom w:val="nil"/>
              <w:right w:val="nil"/>
            </w:tcBorders>
            <w:shd w:val="clear" w:color="auto" w:fill="auto"/>
            <w:noWrap/>
            <w:vAlign w:val="bottom"/>
            <w:hideMark/>
          </w:tcPr>
          <w:p w14:paraId="01DC1FEF"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20,031</w:t>
            </w:r>
          </w:p>
        </w:tc>
        <w:tc>
          <w:tcPr>
            <w:tcW w:w="584" w:type="pct"/>
            <w:tcBorders>
              <w:top w:val="nil"/>
              <w:left w:val="nil"/>
              <w:bottom w:val="nil"/>
              <w:right w:val="nil"/>
            </w:tcBorders>
            <w:shd w:val="clear" w:color="auto" w:fill="auto"/>
            <w:noWrap/>
            <w:vAlign w:val="bottom"/>
            <w:hideMark/>
          </w:tcPr>
          <w:p w14:paraId="74C1CFB0"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21,382</w:t>
            </w:r>
          </w:p>
        </w:tc>
        <w:tc>
          <w:tcPr>
            <w:tcW w:w="584" w:type="pct"/>
            <w:tcBorders>
              <w:top w:val="nil"/>
              <w:left w:val="nil"/>
              <w:bottom w:val="nil"/>
              <w:right w:val="nil"/>
            </w:tcBorders>
            <w:shd w:val="clear" w:color="auto" w:fill="auto"/>
            <w:noWrap/>
            <w:vAlign w:val="bottom"/>
            <w:hideMark/>
          </w:tcPr>
          <w:p w14:paraId="4A49982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22,007</w:t>
            </w:r>
          </w:p>
        </w:tc>
      </w:tr>
      <w:tr w:rsidR="00CB36D7" w:rsidRPr="00615D1A" w14:paraId="5B6D48B9" w14:textId="77777777" w:rsidTr="007431A4">
        <w:trPr>
          <w:trHeight w:val="204"/>
        </w:trPr>
        <w:tc>
          <w:tcPr>
            <w:tcW w:w="2030" w:type="pct"/>
            <w:tcBorders>
              <w:top w:val="nil"/>
              <w:left w:val="nil"/>
              <w:bottom w:val="nil"/>
              <w:right w:val="nil"/>
            </w:tcBorders>
            <w:shd w:val="clear" w:color="auto" w:fill="auto"/>
            <w:noWrap/>
            <w:vAlign w:val="bottom"/>
            <w:hideMark/>
          </w:tcPr>
          <w:p w14:paraId="56F9B6FB"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44ED9F3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w:t>
            </w:r>
            <w:r>
              <w:rPr>
                <w:rFonts w:ascii="Arial" w:hAnsi="Arial" w:cs="Arial"/>
                <w:color w:val="000000"/>
                <w:sz w:val="16"/>
                <w:szCs w:val="16"/>
              </w:rPr>
              <w:t>435</w:t>
            </w:r>
          </w:p>
        </w:tc>
        <w:tc>
          <w:tcPr>
            <w:tcW w:w="584" w:type="pct"/>
            <w:tcBorders>
              <w:top w:val="nil"/>
              <w:left w:val="nil"/>
              <w:bottom w:val="nil"/>
              <w:right w:val="nil"/>
            </w:tcBorders>
            <w:shd w:val="clear" w:color="auto" w:fill="E6E6E6"/>
            <w:noWrap/>
            <w:vAlign w:val="bottom"/>
            <w:hideMark/>
          </w:tcPr>
          <w:p w14:paraId="6B01C743"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w:t>
            </w:r>
            <w:r>
              <w:rPr>
                <w:rFonts w:ascii="Arial" w:hAnsi="Arial" w:cs="Arial"/>
                <w:color w:val="000000"/>
                <w:sz w:val="16"/>
                <w:szCs w:val="16"/>
              </w:rPr>
              <w:t>252</w:t>
            </w:r>
          </w:p>
        </w:tc>
        <w:tc>
          <w:tcPr>
            <w:tcW w:w="584" w:type="pct"/>
            <w:tcBorders>
              <w:top w:val="nil"/>
              <w:left w:val="nil"/>
              <w:bottom w:val="nil"/>
              <w:right w:val="nil"/>
            </w:tcBorders>
            <w:shd w:val="clear" w:color="auto" w:fill="auto"/>
            <w:noWrap/>
            <w:vAlign w:val="bottom"/>
            <w:hideMark/>
          </w:tcPr>
          <w:p w14:paraId="3E463DB7"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w:t>
            </w:r>
            <w:r>
              <w:rPr>
                <w:rFonts w:ascii="Arial" w:hAnsi="Arial" w:cs="Arial"/>
                <w:color w:val="000000"/>
                <w:sz w:val="16"/>
                <w:szCs w:val="16"/>
              </w:rPr>
              <w:t>309</w:t>
            </w:r>
          </w:p>
        </w:tc>
        <w:tc>
          <w:tcPr>
            <w:tcW w:w="584" w:type="pct"/>
            <w:tcBorders>
              <w:top w:val="nil"/>
              <w:left w:val="nil"/>
              <w:bottom w:val="nil"/>
              <w:right w:val="nil"/>
            </w:tcBorders>
            <w:shd w:val="clear" w:color="auto" w:fill="auto"/>
            <w:noWrap/>
            <w:vAlign w:val="bottom"/>
            <w:hideMark/>
          </w:tcPr>
          <w:p w14:paraId="27BA705F"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w:t>
            </w:r>
            <w:r>
              <w:rPr>
                <w:rFonts w:ascii="Arial" w:hAnsi="Arial" w:cs="Arial"/>
                <w:color w:val="000000"/>
                <w:sz w:val="16"/>
                <w:szCs w:val="16"/>
              </w:rPr>
              <w:t>316</w:t>
            </w:r>
          </w:p>
        </w:tc>
        <w:tc>
          <w:tcPr>
            <w:tcW w:w="584" w:type="pct"/>
            <w:tcBorders>
              <w:top w:val="nil"/>
              <w:left w:val="nil"/>
              <w:bottom w:val="nil"/>
              <w:right w:val="nil"/>
            </w:tcBorders>
            <w:shd w:val="clear" w:color="auto" w:fill="auto"/>
            <w:noWrap/>
            <w:vAlign w:val="bottom"/>
            <w:hideMark/>
          </w:tcPr>
          <w:p w14:paraId="3675ACA7"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1,3</w:t>
            </w:r>
            <w:r>
              <w:rPr>
                <w:rFonts w:ascii="Arial" w:hAnsi="Arial" w:cs="Arial"/>
                <w:color w:val="000000"/>
                <w:sz w:val="16"/>
                <w:szCs w:val="16"/>
              </w:rPr>
              <w:t>11</w:t>
            </w:r>
          </w:p>
        </w:tc>
      </w:tr>
      <w:tr w:rsidR="00CB36D7" w:rsidRPr="00615D1A" w14:paraId="465B7693" w14:textId="77777777" w:rsidTr="007431A4">
        <w:trPr>
          <w:trHeight w:val="204"/>
        </w:trPr>
        <w:tc>
          <w:tcPr>
            <w:tcW w:w="2030" w:type="pct"/>
            <w:tcBorders>
              <w:top w:val="nil"/>
              <w:left w:val="nil"/>
              <w:bottom w:val="nil"/>
              <w:right w:val="nil"/>
            </w:tcBorders>
            <w:shd w:val="clear" w:color="auto" w:fill="auto"/>
            <w:noWrap/>
            <w:vAlign w:val="bottom"/>
            <w:hideMark/>
          </w:tcPr>
          <w:p w14:paraId="0A8BDB0B"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325EF5C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23,190</w:t>
            </w:r>
          </w:p>
        </w:tc>
        <w:tc>
          <w:tcPr>
            <w:tcW w:w="584" w:type="pct"/>
            <w:tcBorders>
              <w:top w:val="single" w:sz="4" w:space="0" w:color="000000"/>
              <w:left w:val="nil"/>
              <w:bottom w:val="single" w:sz="4" w:space="0" w:color="000000"/>
              <w:right w:val="nil"/>
            </w:tcBorders>
            <w:shd w:val="clear" w:color="auto" w:fill="E6E6E6"/>
            <w:noWrap/>
            <w:vAlign w:val="bottom"/>
            <w:hideMark/>
          </w:tcPr>
          <w:p w14:paraId="0008E49D"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20,248</w:t>
            </w:r>
          </w:p>
        </w:tc>
        <w:tc>
          <w:tcPr>
            <w:tcW w:w="584" w:type="pct"/>
            <w:tcBorders>
              <w:top w:val="single" w:sz="4" w:space="0" w:color="000000"/>
              <w:left w:val="nil"/>
              <w:bottom w:val="single" w:sz="4" w:space="0" w:color="000000"/>
              <w:right w:val="nil"/>
            </w:tcBorders>
            <w:shd w:val="clear" w:color="auto" w:fill="auto"/>
            <w:noWrap/>
            <w:vAlign w:val="bottom"/>
            <w:hideMark/>
          </w:tcPr>
          <w:p w14:paraId="7037096A"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21,340</w:t>
            </w:r>
          </w:p>
        </w:tc>
        <w:tc>
          <w:tcPr>
            <w:tcW w:w="584" w:type="pct"/>
            <w:tcBorders>
              <w:top w:val="single" w:sz="4" w:space="0" w:color="000000"/>
              <w:left w:val="nil"/>
              <w:bottom w:val="single" w:sz="4" w:space="0" w:color="000000"/>
              <w:right w:val="nil"/>
            </w:tcBorders>
            <w:shd w:val="clear" w:color="auto" w:fill="auto"/>
            <w:noWrap/>
            <w:vAlign w:val="bottom"/>
            <w:hideMark/>
          </w:tcPr>
          <w:p w14:paraId="0A711210"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22,698</w:t>
            </w:r>
          </w:p>
        </w:tc>
        <w:tc>
          <w:tcPr>
            <w:tcW w:w="584" w:type="pct"/>
            <w:tcBorders>
              <w:top w:val="single" w:sz="4" w:space="0" w:color="000000"/>
              <w:left w:val="nil"/>
              <w:bottom w:val="single" w:sz="4" w:space="0" w:color="000000"/>
              <w:right w:val="nil"/>
            </w:tcBorders>
            <w:shd w:val="clear" w:color="auto" w:fill="auto"/>
            <w:noWrap/>
            <w:vAlign w:val="bottom"/>
            <w:hideMark/>
          </w:tcPr>
          <w:p w14:paraId="2ECE95F4"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23,318</w:t>
            </w:r>
          </w:p>
        </w:tc>
      </w:tr>
      <w:tr w:rsidR="00CB36D7" w:rsidRPr="00615D1A" w14:paraId="05346E28" w14:textId="77777777" w:rsidTr="007431A4">
        <w:trPr>
          <w:trHeight w:val="204"/>
        </w:trPr>
        <w:tc>
          <w:tcPr>
            <w:tcW w:w="2030" w:type="pct"/>
            <w:tcBorders>
              <w:top w:val="nil"/>
              <w:left w:val="nil"/>
              <w:bottom w:val="nil"/>
              <w:right w:val="nil"/>
            </w:tcBorders>
            <w:shd w:val="clear" w:color="auto" w:fill="auto"/>
            <w:noWrap/>
            <w:vAlign w:val="bottom"/>
            <w:hideMark/>
          </w:tcPr>
          <w:p w14:paraId="3DE0C370"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Interest bearing liabilities</w:t>
            </w:r>
          </w:p>
        </w:tc>
        <w:tc>
          <w:tcPr>
            <w:tcW w:w="633" w:type="pct"/>
            <w:tcBorders>
              <w:top w:val="nil"/>
              <w:left w:val="nil"/>
              <w:bottom w:val="nil"/>
              <w:right w:val="nil"/>
            </w:tcBorders>
            <w:shd w:val="clear" w:color="auto" w:fill="auto"/>
            <w:noWrap/>
            <w:vAlign w:val="bottom"/>
            <w:hideMark/>
          </w:tcPr>
          <w:p w14:paraId="72B677F3"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D24A46E"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1C4F33D"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BB45ED9"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31A7960E"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085295B2" w14:textId="77777777" w:rsidTr="007431A4">
        <w:trPr>
          <w:trHeight w:val="204"/>
        </w:trPr>
        <w:tc>
          <w:tcPr>
            <w:tcW w:w="2030" w:type="pct"/>
            <w:tcBorders>
              <w:top w:val="nil"/>
              <w:left w:val="nil"/>
              <w:bottom w:val="nil"/>
              <w:right w:val="nil"/>
            </w:tcBorders>
            <w:shd w:val="clear" w:color="auto" w:fill="auto"/>
            <w:noWrap/>
            <w:vAlign w:val="bottom"/>
            <w:hideMark/>
          </w:tcPr>
          <w:p w14:paraId="4772AA8E"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Leases</w:t>
            </w:r>
          </w:p>
        </w:tc>
        <w:tc>
          <w:tcPr>
            <w:tcW w:w="633" w:type="pct"/>
            <w:tcBorders>
              <w:top w:val="nil"/>
              <w:left w:val="nil"/>
              <w:bottom w:val="nil"/>
              <w:right w:val="nil"/>
            </w:tcBorders>
            <w:shd w:val="clear" w:color="auto" w:fill="auto"/>
            <w:noWrap/>
            <w:vAlign w:val="bottom"/>
            <w:hideMark/>
          </w:tcPr>
          <w:p w14:paraId="1505E20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94,420</w:t>
            </w:r>
          </w:p>
        </w:tc>
        <w:tc>
          <w:tcPr>
            <w:tcW w:w="584" w:type="pct"/>
            <w:tcBorders>
              <w:top w:val="nil"/>
              <w:left w:val="nil"/>
              <w:bottom w:val="nil"/>
              <w:right w:val="nil"/>
            </w:tcBorders>
            <w:shd w:val="clear" w:color="auto" w:fill="E6E6E6"/>
            <w:noWrap/>
            <w:vAlign w:val="bottom"/>
            <w:hideMark/>
          </w:tcPr>
          <w:p w14:paraId="1DBC00BB"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76,387</w:t>
            </w:r>
          </w:p>
        </w:tc>
        <w:tc>
          <w:tcPr>
            <w:tcW w:w="584" w:type="pct"/>
            <w:tcBorders>
              <w:top w:val="nil"/>
              <w:left w:val="nil"/>
              <w:bottom w:val="nil"/>
              <w:right w:val="nil"/>
            </w:tcBorders>
            <w:shd w:val="clear" w:color="auto" w:fill="auto"/>
            <w:noWrap/>
            <w:vAlign w:val="bottom"/>
            <w:hideMark/>
          </w:tcPr>
          <w:p w14:paraId="5074BA88"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109,783</w:t>
            </w:r>
          </w:p>
        </w:tc>
        <w:tc>
          <w:tcPr>
            <w:tcW w:w="584" w:type="pct"/>
            <w:tcBorders>
              <w:top w:val="nil"/>
              <w:left w:val="nil"/>
              <w:bottom w:val="nil"/>
              <w:right w:val="nil"/>
            </w:tcBorders>
            <w:shd w:val="clear" w:color="auto" w:fill="auto"/>
            <w:noWrap/>
            <w:vAlign w:val="bottom"/>
            <w:hideMark/>
          </w:tcPr>
          <w:p w14:paraId="2924E0E1"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w:t>
            </w:r>
            <w:r>
              <w:rPr>
                <w:rFonts w:ascii="Arial" w:hAnsi="Arial" w:cs="Arial"/>
                <w:color w:val="000000"/>
                <w:sz w:val="16"/>
                <w:szCs w:val="16"/>
              </w:rPr>
              <w:t>9,319</w:t>
            </w:r>
          </w:p>
        </w:tc>
        <w:tc>
          <w:tcPr>
            <w:tcW w:w="584" w:type="pct"/>
            <w:tcBorders>
              <w:top w:val="nil"/>
              <w:left w:val="nil"/>
              <w:bottom w:val="nil"/>
              <w:right w:val="nil"/>
            </w:tcBorders>
            <w:shd w:val="clear" w:color="auto" w:fill="auto"/>
            <w:noWrap/>
            <w:vAlign w:val="bottom"/>
            <w:hideMark/>
          </w:tcPr>
          <w:p w14:paraId="06D3D9AE"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69,201</w:t>
            </w:r>
          </w:p>
        </w:tc>
      </w:tr>
      <w:tr w:rsidR="00CB36D7" w:rsidRPr="00615D1A" w14:paraId="19DC38FF" w14:textId="77777777" w:rsidTr="007431A4">
        <w:trPr>
          <w:trHeight w:val="204"/>
        </w:trPr>
        <w:tc>
          <w:tcPr>
            <w:tcW w:w="2030" w:type="pct"/>
            <w:tcBorders>
              <w:top w:val="nil"/>
              <w:left w:val="nil"/>
              <w:bottom w:val="nil"/>
              <w:right w:val="nil"/>
            </w:tcBorders>
            <w:shd w:val="clear" w:color="auto" w:fill="auto"/>
            <w:noWrap/>
            <w:vAlign w:val="bottom"/>
            <w:hideMark/>
          </w:tcPr>
          <w:p w14:paraId="63458AF4"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interest bearing liabilities</w:t>
            </w:r>
          </w:p>
        </w:tc>
        <w:tc>
          <w:tcPr>
            <w:tcW w:w="633" w:type="pct"/>
            <w:tcBorders>
              <w:top w:val="single" w:sz="4" w:space="0" w:color="000000"/>
              <w:left w:val="nil"/>
              <w:bottom w:val="single" w:sz="4" w:space="0" w:color="000000"/>
              <w:right w:val="nil"/>
            </w:tcBorders>
            <w:shd w:val="clear" w:color="auto" w:fill="auto"/>
            <w:noWrap/>
            <w:vAlign w:val="bottom"/>
            <w:hideMark/>
          </w:tcPr>
          <w:p w14:paraId="7DF0A2CE" w14:textId="77777777" w:rsidR="00CB36D7" w:rsidRPr="005A13EA" w:rsidRDefault="00CB36D7" w:rsidP="004B1146">
            <w:pPr>
              <w:spacing w:after="0" w:line="240" w:lineRule="auto"/>
              <w:jc w:val="right"/>
              <w:rPr>
                <w:rFonts w:ascii="Arial" w:hAnsi="Arial" w:cs="Arial"/>
                <w:b/>
                <w:bCs/>
                <w:i/>
                <w:iCs/>
                <w:color w:val="000000"/>
                <w:sz w:val="16"/>
                <w:szCs w:val="16"/>
              </w:rPr>
            </w:pPr>
            <w:r w:rsidRPr="005A13EA">
              <w:rPr>
                <w:rFonts w:ascii="Arial" w:hAnsi="Arial" w:cs="Arial"/>
                <w:b/>
                <w:i/>
                <w:color w:val="000000"/>
                <w:sz w:val="16"/>
                <w:szCs w:val="16"/>
              </w:rPr>
              <w:t>94,420</w:t>
            </w:r>
          </w:p>
        </w:tc>
        <w:tc>
          <w:tcPr>
            <w:tcW w:w="584" w:type="pct"/>
            <w:tcBorders>
              <w:top w:val="single" w:sz="4" w:space="0" w:color="000000"/>
              <w:left w:val="nil"/>
              <w:bottom w:val="single" w:sz="4" w:space="0" w:color="000000"/>
              <w:right w:val="nil"/>
            </w:tcBorders>
            <w:shd w:val="clear" w:color="auto" w:fill="E6E6E6"/>
            <w:noWrap/>
            <w:vAlign w:val="bottom"/>
            <w:hideMark/>
          </w:tcPr>
          <w:p w14:paraId="13A2B5D2" w14:textId="77777777" w:rsidR="00CB36D7" w:rsidRPr="005A13EA" w:rsidRDefault="00CB36D7" w:rsidP="004B1146">
            <w:pPr>
              <w:spacing w:after="0" w:line="240" w:lineRule="auto"/>
              <w:jc w:val="right"/>
              <w:rPr>
                <w:rFonts w:ascii="Arial" w:hAnsi="Arial" w:cs="Arial"/>
                <w:b/>
                <w:bCs/>
                <w:i/>
                <w:iCs/>
                <w:color w:val="000000"/>
                <w:sz w:val="16"/>
                <w:szCs w:val="16"/>
              </w:rPr>
            </w:pPr>
            <w:r w:rsidRPr="005A13EA">
              <w:rPr>
                <w:rFonts w:ascii="Arial" w:hAnsi="Arial" w:cs="Arial"/>
                <w:b/>
                <w:i/>
                <w:color w:val="000000"/>
                <w:sz w:val="16"/>
                <w:szCs w:val="16"/>
              </w:rPr>
              <w:t>76,387</w:t>
            </w:r>
          </w:p>
        </w:tc>
        <w:tc>
          <w:tcPr>
            <w:tcW w:w="584" w:type="pct"/>
            <w:tcBorders>
              <w:top w:val="single" w:sz="4" w:space="0" w:color="000000"/>
              <w:left w:val="nil"/>
              <w:bottom w:val="single" w:sz="4" w:space="0" w:color="000000"/>
              <w:right w:val="nil"/>
            </w:tcBorders>
            <w:shd w:val="clear" w:color="auto" w:fill="auto"/>
            <w:noWrap/>
            <w:vAlign w:val="bottom"/>
            <w:hideMark/>
          </w:tcPr>
          <w:p w14:paraId="6425EBDD" w14:textId="77777777" w:rsidR="00CB36D7" w:rsidRPr="005A13EA" w:rsidRDefault="00CB36D7" w:rsidP="004B1146">
            <w:pPr>
              <w:spacing w:after="0" w:line="240" w:lineRule="auto"/>
              <w:jc w:val="right"/>
              <w:rPr>
                <w:rFonts w:ascii="Arial" w:hAnsi="Arial" w:cs="Arial"/>
                <w:b/>
                <w:bCs/>
                <w:i/>
                <w:iCs/>
                <w:color w:val="000000"/>
                <w:sz w:val="16"/>
                <w:szCs w:val="16"/>
              </w:rPr>
            </w:pPr>
            <w:r w:rsidRPr="005A13EA">
              <w:rPr>
                <w:rFonts w:ascii="Arial" w:hAnsi="Arial" w:cs="Arial"/>
                <w:b/>
                <w:i/>
                <w:color w:val="000000"/>
                <w:sz w:val="16"/>
                <w:szCs w:val="16"/>
              </w:rPr>
              <w:t>109,783</w:t>
            </w:r>
          </w:p>
        </w:tc>
        <w:tc>
          <w:tcPr>
            <w:tcW w:w="584" w:type="pct"/>
            <w:tcBorders>
              <w:top w:val="single" w:sz="4" w:space="0" w:color="000000"/>
              <w:left w:val="nil"/>
              <w:bottom w:val="single" w:sz="4" w:space="0" w:color="000000"/>
              <w:right w:val="nil"/>
            </w:tcBorders>
            <w:shd w:val="clear" w:color="auto" w:fill="auto"/>
            <w:noWrap/>
            <w:vAlign w:val="bottom"/>
            <w:hideMark/>
          </w:tcPr>
          <w:p w14:paraId="1DD66E6E" w14:textId="77777777" w:rsidR="00CB36D7" w:rsidRPr="005A13EA" w:rsidRDefault="00CB36D7" w:rsidP="004B1146">
            <w:pPr>
              <w:spacing w:after="0" w:line="240" w:lineRule="auto"/>
              <w:jc w:val="right"/>
              <w:rPr>
                <w:rFonts w:ascii="Arial" w:hAnsi="Arial" w:cs="Arial"/>
                <w:b/>
                <w:bCs/>
                <w:i/>
                <w:iCs/>
                <w:color w:val="000000"/>
                <w:sz w:val="16"/>
                <w:szCs w:val="16"/>
              </w:rPr>
            </w:pPr>
            <w:r w:rsidRPr="005A13EA">
              <w:rPr>
                <w:rFonts w:ascii="Arial" w:hAnsi="Arial" w:cs="Arial"/>
                <w:b/>
                <w:i/>
                <w:color w:val="000000"/>
                <w:sz w:val="16"/>
                <w:szCs w:val="16"/>
              </w:rPr>
              <w:t>89,319</w:t>
            </w:r>
          </w:p>
        </w:tc>
        <w:tc>
          <w:tcPr>
            <w:tcW w:w="584" w:type="pct"/>
            <w:tcBorders>
              <w:top w:val="single" w:sz="4" w:space="0" w:color="000000"/>
              <w:left w:val="nil"/>
              <w:bottom w:val="single" w:sz="4" w:space="0" w:color="000000"/>
              <w:right w:val="nil"/>
            </w:tcBorders>
            <w:shd w:val="clear" w:color="auto" w:fill="auto"/>
            <w:noWrap/>
            <w:vAlign w:val="bottom"/>
            <w:hideMark/>
          </w:tcPr>
          <w:p w14:paraId="46573014" w14:textId="77777777" w:rsidR="00CB36D7" w:rsidRPr="005A13EA" w:rsidRDefault="00CB36D7" w:rsidP="004B1146">
            <w:pPr>
              <w:spacing w:after="0" w:line="240" w:lineRule="auto"/>
              <w:jc w:val="right"/>
              <w:rPr>
                <w:rFonts w:ascii="Arial" w:hAnsi="Arial" w:cs="Arial"/>
                <w:b/>
                <w:bCs/>
                <w:i/>
                <w:iCs/>
                <w:color w:val="000000"/>
                <w:sz w:val="16"/>
                <w:szCs w:val="16"/>
              </w:rPr>
            </w:pPr>
            <w:r w:rsidRPr="005A13EA">
              <w:rPr>
                <w:rFonts w:ascii="Arial" w:hAnsi="Arial" w:cs="Arial"/>
                <w:b/>
                <w:i/>
                <w:color w:val="000000"/>
                <w:sz w:val="16"/>
                <w:szCs w:val="16"/>
              </w:rPr>
              <w:t>69,201</w:t>
            </w:r>
          </w:p>
        </w:tc>
      </w:tr>
      <w:tr w:rsidR="00CB36D7" w:rsidRPr="00615D1A" w14:paraId="49E74727" w14:textId="77777777" w:rsidTr="007431A4">
        <w:trPr>
          <w:trHeight w:val="204"/>
        </w:trPr>
        <w:tc>
          <w:tcPr>
            <w:tcW w:w="2030" w:type="pct"/>
            <w:tcBorders>
              <w:top w:val="nil"/>
              <w:left w:val="nil"/>
              <w:bottom w:val="nil"/>
              <w:right w:val="nil"/>
            </w:tcBorders>
            <w:shd w:val="clear" w:color="auto" w:fill="auto"/>
            <w:noWrap/>
            <w:vAlign w:val="bottom"/>
            <w:hideMark/>
          </w:tcPr>
          <w:p w14:paraId="30835E49"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3AC4F395"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30C16589"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660FA69"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173461D"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4E55BAAC"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408D5451" w14:textId="77777777" w:rsidTr="007431A4">
        <w:trPr>
          <w:trHeight w:val="204"/>
        </w:trPr>
        <w:tc>
          <w:tcPr>
            <w:tcW w:w="2030" w:type="pct"/>
            <w:tcBorders>
              <w:top w:val="nil"/>
              <w:left w:val="nil"/>
              <w:bottom w:val="nil"/>
              <w:right w:val="nil"/>
            </w:tcBorders>
            <w:shd w:val="clear" w:color="auto" w:fill="auto"/>
            <w:noWrap/>
            <w:vAlign w:val="bottom"/>
            <w:hideMark/>
          </w:tcPr>
          <w:p w14:paraId="48A187DF"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77E654A5"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24,765</w:t>
            </w:r>
          </w:p>
        </w:tc>
        <w:tc>
          <w:tcPr>
            <w:tcW w:w="584" w:type="pct"/>
            <w:tcBorders>
              <w:top w:val="nil"/>
              <w:left w:val="nil"/>
              <w:bottom w:val="nil"/>
              <w:right w:val="nil"/>
            </w:tcBorders>
            <w:shd w:val="clear" w:color="auto" w:fill="E6E6E6"/>
            <w:noWrap/>
            <w:vAlign w:val="bottom"/>
            <w:hideMark/>
          </w:tcPr>
          <w:p w14:paraId="5A4A2797"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26,010</w:t>
            </w:r>
          </w:p>
        </w:tc>
        <w:tc>
          <w:tcPr>
            <w:tcW w:w="584" w:type="pct"/>
            <w:tcBorders>
              <w:top w:val="nil"/>
              <w:left w:val="nil"/>
              <w:bottom w:val="nil"/>
              <w:right w:val="nil"/>
            </w:tcBorders>
            <w:shd w:val="clear" w:color="auto" w:fill="auto"/>
            <w:noWrap/>
            <w:vAlign w:val="bottom"/>
            <w:hideMark/>
          </w:tcPr>
          <w:p w14:paraId="69DDAA30"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26,662</w:t>
            </w:r>
          </w:p>
        </w:tc>
        <w:tc>
          <w:tcPr>
            <w:tcW w:w="584" w:type="pct"/>
            <w:tcBorders>
              <w:top w:val="nil"/>
              <w:left w:val="nil"/>
              <w:bottom w:val="nil"/>
              <w:right w:val="nil"/>
            </w:tcBorders>
            <w:shd w:val="clear" w:color="auto" w:fill="auto"/>
            <w:noWrap/>
            <w:vAlign w:val="bottom"/>
            <w:hideMark/>
          </w:tcPr>
          <w:p w14:paraId="77D6E793"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27,443</w:t>
            </w:r>
          </w:p>
        </w:tc>
        <w:tc>
          <w:tcPr>
            <w:tcW w:w="584" w:type="pct"/>
            <w:tcBorders>
              <w:top w:val="nil"/>
              <w:left w:val="nil"/>
              <w:bottom w:val="nil"/>
              <w:right w:val="nil"/>
            </w:tcBorders>
            <w:shd w:val="clear" w:color="auto" w:fill="auto"/>
            <w:noWrap/>
            <w:vAlign w:val="bottom"/>
            <w:hideMark/>
          </w:tcPr>
          <w:p w14:paraId="0A7EE113"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27,386</w:t>
            </w:r>
          </w:p>
        </w:tc>
      </w:tr>
      <w:tr w:rsidR="00CB36D7" w:rsidRPr="00615D1A" w14:paraId="479CC023" w14:textId="77777777" w:rsidTr="007431A4">
        <w:trPr>
          <w:trHeight w:val="204"/>
        </w:trPr>
        <w:tc>
          <w:tcPr>
            <w:tcW w:w="2030" w:type="pct"/>
            <w:tcBorders>
              <w:top w:val="nil"/>
              <w:left w:val="nil"/>
              <w:bottom w:val="nil"/>
              <w:right w:val="nil"/>
            </w:tcBorders>
            <w:shd w:val="clear" w:color="auto" w:fill="auto"/>
            <w:noWrap/>
            <w:vAlign w:val="bottom"/>
            <w:hideMark/>
          </w:tcPr>
          <w:p w14:paraId="08E88D08"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Other provisions</w:t>
            </w:r>
          </w:p>
        </w:tc>
        <w:tc>
          <w:tcPr>
            <w:tcW w:w="633" w:type="pct"/>
            <w:tcBorders>
              <w:top w:val="nil"/>
              <w:left w:val="nil"/>
              <w:bottom w:val="nil"/>
              <w:right w:val="nil"/>
            </w:tcBorders>
            <w:shd w:val="clear" w:color="auto" w:fill="auto"/>
            <w:noWrap/>
            <w:vAlign w:val="bottom"/>
            <w:hideMark/>
          </w:tcPr>
          <w:p w14:paraId="5C772B12"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29,320</w:t>
            </w:r>
          </w:p>
        </w:tc>
        <w:tc>
          <w:tcPr>
            <w:tcW w:w="584" w:type="pct"/>
            <w:tcBorders>
              <w:top w:val="nil"/>
              <w:left w:val="nil"/>
              <w:bottom w:val="nil"/>
              <w:right w:val="nil"/>
            </w:tcBorders>
            <w:shd w:val="clear" w:color="auto" w:fill="E6E6E6"/>
            <w:noWrap/>
            <w:vAlign w:val="bottom"/>
            <w:hideMark/>
          </w:tcPr>
          <w:p w14:paraId="62BC3019"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26,775</w:t>
            </w:r>
          </w:p>
        </w:tc>
        <w:tc>
          <w:tcPr>
            <w:tcW w:w="584" w:type="pct"/>
            <w:tcBorders>
              <w:top w:val="nil"/>
              <w:left w:val="nil"/>
              <w:bottom w:val="nil"/>
              <w:right w:val="nil"/>
            </w:tcBorders>
            <w:shd w:val="clear" w:color="auto" w:fill="auto"/>
            <w:noWrap/>
            <w:vAlign w:val="bottom"/>
            <w:hideMark/>
          </w:tcPr>
          <w:p w14:paraId="688E11C3"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25,614</w:t>
            </w:r>
          </w:p>
        </w:tc>
        <w:tc>
          <w:tcPr>
            <w:tcW w:w="584" w:type="pct"/>
            <w:tcBorders>
              <w:top w:val="nil"/>
              <w:left w:val="nil"/>
              <w:bottom w:val="nil"/>
              <w:right w:val="nil"/>
            </w:tcBorders>
            <w:shd w:val="clear" w:color="auto" w:fill="auto"/>
            <w:noWrap/>
            <w:vAlign w:val="bottom"/>
            <w:hideMark/>
          </w:tcPr>
          <w:p w14:paraId="2D4C4826"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24,941</w:t>
            </w:r>
          </w:p>
        </w:tc>
        <w:tc>
          <w:tcPr>
            <w:tcW w:w="584" w:type="pct"/>
            <w:tcBorders>
              <w:top w:val="nil"/>
              <w:left w:val="nil"/>
              <w:bottom w:val="nil"/>
              <w:right w:val="nil"/>
            </w:tcBorders>
            <w:shd w:val="clear" w:color="auto" w:fill="auto"/>
            <w:noWrap/>
            <w:vAlign w:val="bottom"/>
            <w:hideMark/>
          </w:tcPr>
          <w:p w14:paraId="62789944" w14:textId="77777777" w:rsidR="00CB36D7" w:rsidRPr="0042664A"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24,441</w:t>
            </w:r>
          </w:p>
        </w:tc>
      </w:tr>
      <w:tr w:rsidR="00CB36D7" w:rsidRPr="00615D1A" w14:paraId="2327FE5C" w14:textId="77777777" w:rsidTr="007431A4">
        <w:trPr>
          <w:trHeight w:val="204"/>
        </w:trPr>
        <w:tc>
          <w:tcPr>
            <w:tcW w:w="2030" w:type="pct"/>
            <w:tcBorders>
              <w:top w:val="nil"/>
              <w:left w:val="nil"/>
              <w:bottom w:val="nil"/>
              <w:right w:val="nil"/>
            </w:tcBorders>
            <w:shd w:val="clear" w:color="auto" w:fill="auto"/>
            <w:noWrap/>
            <w:vAlign w:val="bottom"/>
            <w:hideMark/>
          </w:tcPr>
          <w:p w14:paraId="6383D0E9"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52F25E73"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54,085</w:t>
            </w:r>
          </w:p>
        </w:tc>
        <w:tc>
          <w:tcPr>
            <w:tcW w:w="584" w:type="pct"/>
            <w:tcBorders>
              <w:top w:val="single" w:sz="4" w:space="0" w:color="000000"/>
              <w:left w:val="nil"/>
              <w:bottom w:val="single" w:sz="4" w:space="0" w:color="000000"/>
              <w:right w:val="nil"/>
            </w:tcBorders>
            <w:shd w:val="clear" w:color="auto" w:fill="E6E6E6"/>
            <w:noWrap/>
            <w:vAlign w:val="bottom"/>
            <w:hideMark/>
          </w:tcPr>
          <w:p w14:paraId="371E3985"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52,785</w:t>
            </w:r>
          </w:p>
        </w:tc>
        <w:tc>
          <w:tcPr>
            <w:tcW w:w="584" w:type="pct"/>
            <w:tcBorders>
              <w:top w:val="single" w:sz="4" w:space="0" w:color="000000"/>
              <w:left w:val="nil"/>
              <w:bottom w:val="single" w:sz="4" w:space="0" w:color="000000"/>
              <w:right w:val="nil"/>
            </w:tcBorders>
            <w:shd w:val="clear" w:color="auto" w:fill="auto"/>
            <w:noWrap/>
            <w:vAlign w:val="bottom"/>
            <w:hideMark/>
          </w:tcPr>
          <w:p w14:paraId="1D9171B2"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52,276</w:t>
            </w:r>
          </w:p>
        </w:tc>
        <w:tc>
          <w:tcPr>
            <w:tcW w:w="584" w:type="pct"/>
            <w:tcBorders>
              <w:top w:val="single" w:sz="4" w:space="0" w:color="000000"/>
              <w:left w:val="nil"/>
              <w:bottom w:val="single" w:sz="4" w:space="0" w:color="000000"/>
              <w:right w:val="nil"/>
            </w:tcBorders>
            <w:shd w:val="clear" w:color="auto" w:fill="auto"/>
            <w:noWrap/>
            <w:vAlign w:val="bottom"/>
            <w:hideMark/>
          </w:tcPr>
          <w:p w14:paraId="6FC36CFD"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52,384</w:t>
            </w:r>
          </w:p>
        </w:tc>
        <w:tc>
          <w:tcPr>
            <w:tcW w:w="584" w:type="pct"/>
            <w:tcBorders>
              <w:top w:val="single" w:sz="4" w:space="0" w:color="000000"/>
              <w:left w:val="nil"/>
              <w:bottom w:val="single" w:sz="4" w:space="0" w:color="000000"/>
              <w:right w:val="nil"/>
            </w:tcBorders>
            <w:shd w:val="clear" w:color="auto" w:fill="auto"/>
            <w:noWrap/>
            <w:vAlign w:val="bottom"/>
            <w:hideMark/>
          </w:tcPr>
          <w:p w14:paraId="37391002"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51,827</w:t>
            </w:r>
          </w:p>
        </w:tc>
      </w:tr>
      <w:tr w:rsidR="00CB36D7" w:rsidRPr="00615D1A" w14:paraId="112C664E" w14:textId="77777777" w:rsidTr="007431A4">
        <w:trPr>
          <w:trHeight w:val="204"/>
        </w:trPr>
        <w:tc>
          <w:tcPr>
            <w:tcW w:w="2030" w:type="pct"/>
            <w:tcBorders>
              <w:top w:val="nil"/>
              <w:left w:val="nil"/>
              <w:bottom w:val="nil"/>
              <w:right w:val="nil"/>
            </w:tcBorders>
            <w:shd w:val="clear" w:color="auto" w:fill="auto"/>
            <w:noWrap/>
            <w:vAlign w:val="bottom"/>
            <w:hideMark/>
          </w:tcPr>
          <w:p w14:paraId="5055DCE6"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0908365B"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171,695</w:t>
            </w:r>
          </w:p>
        </w:tc>
        <w:tc>
          <w:tcPr>
            <w:tcW w:w="584" w:type="pct"/>
            <w:tcBorders>
              <w:top w:val="single" w:sz="4" w:space="0" w:color="auto"/>
              <w:left w:val="nil"/>
              <w:bottom w:val="single" w:sz="4" w:space="0" w:color="auto"/>
              <w:right w:val="nil"/>
            </w:tcBorders>
            <w:shd w:val="clear" w:color="auto" w:fill="E6E6E6"/>
            <w:noWrap/>
            <w:vAlign w:val="bottom"/>
            <w:hideMark/>
          </w:tcPr>
          <w:p w14:paraId="1B19E986"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149,420</w:t>
            </w:r>
          </w:p>
        </w:tc>
        <w:tc>
          <w:tcPr>
            <w:tcW w:w="584" w:type="pct"/>
            <w:tcBorders>
              <w:top w:val="single" w:sz="4" w:space="0" w:color="auto"/>
              <w:left w:val="nil"/>
              <w:bottom w:val="single" w:sz="4" w:space="0" w:color="auto"/>
              <w:right w:val="nil"/>
            </w:tcBorders>
            <w:shd w:val="clear" w:color="auto" w:fill="auto"/>
            <w:noWrap/>
            <w:vAlign w:val="bottom"/>
            <w:hideMark/>
          </w:tcPr>
          <w:p w14:paraId="4C207074"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183,399</w:t>
            </w:r>
          </w:p>
        </w:tc>
        <w:tc>
          <w:tcPr>
            <w:tcW w:w="584" w:type="pct"/>
            <w:tcBorders>
              <w:top w:val="single" w:sz="4" w:space="0" w:color="auto"/>
              <w:left w:val="nil"/>
              <w:bottom w:val="single" w:sz="4" w:space="0" w:color="auto"/>
              <w:right w:val="nil"/>
            </w:tcBorders>
            <w:shd w:val="clear" w:color="auto" w:fill="auto"/>
            <w:noWrap/>
            <w:vAlign w:val="bottom"/>
            <w:hideMark/>
          </w:tcPr>
          <w:p w14:paraId="1386E384"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164,401</w:t>
            </w:r>
          </w:p>
        </w:tc>
        <w:tc>
          <w:tcPr>
            <w:tcW w:w="584" w:type="pct"/>
            <w:tcBorders>
              <w:top w:val="single" w:sz="4" w:space="0" w:color="auto"/>
              <w:left w:val="nil"/>
              <w:bottom w:val="single" w:sz="4" w:space="0" w:color="auto"/>
              <w:right w:val="nil"/>
            </w:tcBorders>
            <w:shd w:val="clear" w:color="auto" w:fill="auto"/>
            <w:noWrap/>
            <w:vAlign w:val="bottom"/>
            <w:hideMark/>
          </w:tcPr>
          <w:p w14:paraId="38D2FC78"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144,346</w:t>
            </w:r>
          </w:p>
        </w:tc>
      </w:tr>
      <w:tr w:rsidR="00CB36D7" w:rsidRPr="00615D1A" w14:paraId="12B41333" w14:textId="77777777" w:rsidTr="007431A4">
        <w:trPr>
          <w:trHeight w:val="204"/>
        </w:trPr>
        <w:tc>
          <w:tcPr>
            <w:tcW w:w="2030" w:type="pct"/>
            <w:tcBorders>
              <w:top w:val="nil"/>
              <w:left w:val="nil"/>
              <w:bottom w:val="nil"/>
              <w:right w:val="nil"/>
            </w:tcBorders>
            <w:shd w:val="clear" w:color="auto" w:fill="auto"/>
            <w:noWrap/>
            <w:vAlign w:val="bottom"/>
            <w:hideMark/>
          </w:tcPr>
          <w:p w14:paraId="6F5D8896" w14:textId="77777777" w:rsidR="00CB36D7" w:rsidRPr="00615D1A" w:rsidRDefault="00CB36D7" w:rsidP="00CB36D7">
            <w:pPr>
              <w:spacing w:after="0" w:line="240" w:lineRule="auto"/>
              <w:rPr>
                <w:rFonts w:ascii="Arial" w:hAnsi="Arial" w:cs="Arial"/>
                <w:b/>
                <w:bCs/>
                <w:sz w:val="16"/>
                <w:szCs w:val="16"/>
              </w:rPr>
            </w:pPr>
            <w:r w:rsidRPr="00615D1A">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724DE2EB"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222,340</w:t>
            </w:r>
          </w:p>
        </w:tc>
        <w:tc>
          <w:tcPr>
            <w:tcW w:w="584" w:type="pct"/>
            <w:tcBorders>
              <w:top w:val="nil"/>
              <w:left w:val="nil"/>
              <w:bottom w:val="single" w:sz="4" w:space="0" w:color="auto"/>
              <w:right w:val="nil"/>
            </w:tcBorders>
            <w:shd w:val="clear" w:color="auto" w:fill="E6E6E6"/>
            <w:noWrap/>
            <w:vAlign w:val="bottom"/>
            <w:hideMark/>
          </w:tcPr>
          <w:p w14:paraId="3107381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222,737</w:t>
            </w:r>
          </w:p>
        </w:tc>
        <w:tc>
          <w:tcPr>
            <w:tcW w:w="584" w:type="pct"/>
            <w:tcBorders>
              <w:top w:val="nil"/>
              <w:left w:val="nil"/>
              <w:bottom w:val="single" w:sz="4" w:space="0" w:color="auto"/>
              <w:right w:val="nil"/>
            </w:tcBorders>
            <w:shd w:val="clear" w:color="auto" w:fill="auto"/>
            <w:noWrap/>
            <w:vAlign w:val="bottom"/>
            <w:hideMark/>
          </w:tcPr>
          <w:p w14:paraId="7CFFF21E"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223,157</w:t>
            </w:r>
          </w:p>
        </w:tc>
        <w:tc>
          <w:tcPr>
            <w:tcW w:w="584" w:type="pct"/>
            <w:tcBorders>
              <w:top w:val="nil"/>
              <w:left w:val="nil"/>
              <w:bottom w:val="single" w:sz="4" w:space="0" w:color="auto"/>
              <w:right w:val="nil"/>
            </w:tcBorders>
            <w:shd w:val="clear" w:color="auto" w:fill="auto"/>
            <w:noWrap/>
            <w:vAlign w:val="bottom"/>
            <w:hideMark/>
          </w:tcPr>
          <w:p w14:paraId="01F85D57"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224,165</w:t>
            </w:r>
          </w:p>
        </w:tc>
        <w:tc>
          <w:tcPr>
            <w:tcW w:w="584" w:type="pct"/>
            <w:tcBorders>
              <w:top w:val="nil"/>
              <w:left w:val="nil"/>
              <w:bottom w:val="single" w:sz="4" w:space="0" w:color="auto"/>
              <w:right w:val="nil"/>
            </w:tcBorders>
            <w:shd w:val="clear" w:color="auto" w:fill="auto"/>
            <w:noWrap/>
            <w:vAlign w:val="bottom"/>
            <w:hideMark/>
          </w:tcPr>
          <w:p w14:paraId="30219093"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231,109</w:t>
            </w:r>
          </w:p>
        </w:tc>
      </w:tr>
      <w:tr w:rsidR="00CB36D7" w:rsidRPr="00615D1A" w14:paraId="113EEAC0" w14:textId="77777777" w:rsidTr="007431A4">
        <w:trPr>
          <w:trHeight w:val="204"/>
        </w:trPr>
        <w:tc>
          <w:tcPr>
            <w:tcW w:w="2030" w:type="pct"/>
            <w:tcBorders>
              <w:top w:val="nil"/>
              <w:left w:val="nil"/>
              <w:bottom w:val="nil"/>
              <w:right w:val="nil"/>
            </w:tcBorders>
            <w:shd w:val="clear" w:color="auto" w:fill="auto"/>
            <w:noWrap/>
            <w:vAlign w:val="bottom"/>
            <w:hideMark/>
          </w:tcPr>
          <w:p w14:paraId="2151540F"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481296B2"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C2BFCF0"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E93479A"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32E8C34"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6BC575A3"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2056286A" w14:textId="77777777" w:rsidTr="007431A4">
        <w:trPr>
          <w:trHeight w:val="204"/>
        </w:trPr>
        <w:tc>
          <w:tcPr>
            <w:tcW w:w="2030" w:type="pct"/>
            <w:tcBorders>
              <w:top w:val="nil"/>
              <w:left w:val="nil"/>
              <w:bottom w:val="nil"/>
              <w:right w:val="nil"/>
            </w:tcBorders>
            <w:shd w:val="clear" w:color="auto" w:fill="auto"/>
            <w:noWrap/>
            <w:vAlign w:val="bottom"/>
            <w:hideMark/>
          </w:tcPr>
          <w:p w14:paraId="35C07708"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33A338FC" w14:textId="77777777" w:rsidR="00CB36D7" w:rsidRPr="00DC083D" w:rsidRDefault="00CB36D7" w:rsidP="004B1146">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7CDF58A"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3516861" w14:textId="77777777" w:rsidR="00CB36D7" w:rsidRPr="00DC083D" w:rsidRDefault="00CB36D7" w:rsidP="004B1146">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51E2262" w14:textId="77777777" w:rsidR="00CB36D7" w:rsidRPr="002F7F2B" w:rsidRDefault="00CB36D7" w:rsidP="004B1146">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2019FEF1" w14:textId="77777777" w:rsidR="00CB36D7" w:rsidRPr="002F7F2B" w:rsidRDefault="00CB36D7" w:rsidP="004B1146">
            <w:pPr>
              <w:spacing w:after="0" w:line="240" w:lineRule="auto"/>
              <w:jc w:val="right"/>
              <w:rPr>
                <w:rFonts w:ascii="Times New Roman" w:hAnsi="Times New Roman"/>
                <w:sz w:val="16"/>
                <w:szCs w:val="16"/>
              </w:rPr>
            </w:pPr>
          </w:p>
        </w:tc>
      </w:tr>
      <w:tr w:rsidR="00CB36D7" w:rsidRPr="00615D1A" w14:paraId="3ACFF024" w14:textId="77777777" w:rsidTr="007431A4">
        <w:trPr>
          <w:trHeight w:val="204"/>
        </w:trPr>
        <w:tc>
          <w:tcPr>
            <w:tcW w:w="2030" w:type="pct"/>
            <w:tcBorders>
              <w:top w:val="nil"/>
              <w:left w:val="nil"/>
              <w:bottom w:val="nil"/>
              <w:right w:val="nil"/>
            </w:tcBorders>
            <w:shd w:val="clear" w:color="auto" w:fill="auto"/>
            <w:noWrap/>
            <w:vAlign w:val="bottom"/>
            <w:hideMark/>
          </w:tcPr>
          <w:p w14:paraId="24591B37"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0975C30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37,986</w:t>
            </w:r>
          </w:p>
        </w:tc>
        <w:tc>
          <w:tcPr>
            <w:tcW w:w="584" w:type="pct"/>
            <w:tcBorders>
              <w:top w:val="nil"/>
              <w:left w:val="nil"/>
              <w:bottom w:val="nil"/>
              <w:right w:val="nil"/>
            </w:tcBorders>
            <w:shd w:val="clear" w:color="auto" w:fill="E6E6E6"/>
            <w:noWrap/>
            <w:vAlign w:val="bottom"/>
            <w:hideMark/>
          </w:tcPr>
          <w:p w14:paraId="05C6D5C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584" w:type="pct"/>
            <w:tcBorders>
              <w:top w:val="nil"/>
              <w:left w:val="nil"/>
              <w:bottom w:val="nil"/>
              <w:right w:val="nil"/>
            </w:tcBorders>
            <w:shd w:val="clear" w:color="auto" w:fill="auto"/>
            <w:noWrap/>
            <w:vAlign w:val="bottom"/>
            <w:hideMark/>
          </w:tcPr>
          <w:p w14:paraId="38041A0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584" w:type="pct"/>
            <w:tcBorders>
              <w:top w:val="nil"/>
              <w:left w:val="nil"/>
              <w:bottom w:val="nil"/>
              <w:right w:val="nil"/>
            </w:tcBorders>
            <w:shd w:val="clear" w:color="auto" w:fill="auto"/>
            <w:noWrap/>
            <w:vAlign w:val="bottom"/>
            <w:hideMark/>
          </w:tcPr>
          <w:p w14:paraId="10670CC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c>
          <w:tcPr>
            <w:tcW w:w="584" w:type="pct"/>
            <w:tcBorders>
              <w:top w:val="nil"/>
              <w:left w:val="nil"/>
              <w:bottom w:val="nil"/>
              <w:right w:val="nil"/>
            </w:tcBorders>
            <w:shd w:val="clear" w:color="auto" w:fill="auto"/>
            <w:noWrap/>
            <w:vAlign w:val="bottom"/>
            <w:hideMark/>
          </w:tcPr>
          <w:p w14:paraId="5C621BC3"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37,986</w:t>
            </w:r>
          </w:p>
        </w:tc>
      </w:tr>
      <w:tr w:rsidR="00CB36D7" w:rsidRPr="00615D1A" w14:paraId="1F73C0D7" w14:textId="77777777" w:rsidTr="007431A4">
        <w:trPr>
          <w:trHeight w:val="204"/>
        </w:trPr>
        <w:tc>
          <w:tcPr>
            <w:tcW w:w="2030" w:type="pct"/>
            <w:tcBorders>
              <w:top w:val="nil"/>
              <w:left w:val="nil"/>
              <w:bottom w:val="nil"/>
              <w:right w:val="nil"/>
            </w:tcBorders>
            <w:shd w:val="clear" w:color="auto" w:fill="auto"/>
            <w:noWrap/>
            <w:vAlign w:val="bottom"/>
            <w:hideMark/>
          </w:tcPr>
          <w:p w14:paraId="563C68EC"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Reserves</w:t>
            </w:r>
          </w:p>
        </w:tc>
        <w:tc>
          <w:tcPr>
            <w:tcW w:w="633" w:type="pct"/>
            <w:tcBorders>
              <w:top w:val="nil"/>
              <w:left w:val="nil"/>
              <w:bottom w:val="nil"/>
              <w:right w:val="nil"/>
            </w:tcBorders>
            <w:shd w:val="clear" w:color="auto" w:fill="auto"/>
            <w:noWrap/>
            <w:vAlign w:val="bottom"/>
            <w:hideMark/>
          </w:tcPr>
          <w:p w14:paraId="6692096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106,112</w:t>
            </w:r>
          </w:p>
        </w:tc>
        <w:tc>
          <w:tcPr>
            <w:tcW w:w="584" w:type="pct"/>
            <w:tcBorders>
              <w:top w:val="nil"/>
              <w:left w:val="nil"/>
              <w:bottom w:val="nil"/>
              <w:right w:val="nil"/>
            </w:tcBorders>
            <w:shd w:val="clear" w:color="auto" w:fill="E6E6E6"/>
            <w:noWrap/>
            <w:vAlign w:val="bottom"/>
            <w:hideMark/>
          </w:tcPr>
          <w:p w14:paraId="0B7F0B2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106,112</w:t>
            </w:r>
          </w:p>
        </w:tc>
        <w:tc>
          <w:tcPr>
            <w:tcW w:w="584" w:type="pct"/>
            <w:tcBorders>
              <w:top w:val="nil"/>
              <w:left w:val="nil"/>
              <w:bottom w:val="nil"/>
              <w:right w:val="nil"/>
            </w:tcBorders>
            <w:shd w:val="clear" w:color="auto" w:fill="auto"/>
            <w:noWrap/>
            <w:vAlign w:val="bottom"/>
            <w:hideMark/>
          </w:tcPr>
          <w:p w14:paraId="23DAEDF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106,112</w:t>
            </w:r>
          </w:p>
        </w:tc>
        <w:tc>
          <w:tcPr>
            <w:tcW w:w="584" w:type="pct"/>
            <w:tcBorders>
              <w:top w:val="nil"/>
              <w:left w:val="nil"/>
              <w:bottom w:val="nil"/>
              <w:right w:val="nil"/>
            </w:tcBorders>
            <w:shd w:val="clear" w:color="auto" w:fill="auto"/>
            <w:noWrap/>
            <w:vAlign w:val="bottom"/>
            <w:hideMark/>
          </w:tcPr>
          <w:p w14:paraId="20E81C0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106,112</w:t>
            </w:r>
          </w:p>
        </w:tc>
        <w:tc>
          <w:tcPr>
            <w:tcW w:w="584" w:type="pct"/>
            <w:tcBorders>
              <w:top w:val="nil"/>
              <w:left w:val="nil"/>
              <w:bottom w:val="nil"/>
              <w:right w:val="nil"/>
            </w:tcBorders>
            <w:shd w:val="clear" w:color="auto" w:fill="auto"/>
            <w:noWrap/>
            <w:vAlign w:val="bottom"/>
            <w:hideMark/>
          </w:tcPr>
          <w:p w14:paraId="0388500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106,112</w:t>
            </w:r>
          </w:p>
        </w:tc>
      </w:tr>
      <w:tr w:rsidR="00CB36D7" w:rsidRPr="00615D1A" w14:paraId="0AD9C7AC" w14:textId="77777777" w:rsidTr="007431A4">
        <w:trPr>
          <w:trHeight w:val="204"/>
        </w:trPr>
        <w:tc>
          <w:tcPr>
            <w:tcW w:w="2030" w:type="pct"/>
            <w:tcBorders>
              <w:top w:val="nil"/>
              <w:left w:val="nil"/>
              <w:bottom w:val="nil"/>
              <w:right w:val="nil"/>
            </w:tcBorders>
            <w:shd w:val="clear" w:color="auto" w:fill="auto"/>
            <w:vAlign w:val="bottom"/>
            <w:hideMark/>
          </w:tcPr>
          <w:p w14:paraId="36B9C1D6" w14:textId="77777777" w:rsidR="00CB36D7" w:rsidRPr="00615D1A" w:rsidRDefault="00CB36D7" w:rsidP="00CB36D7">
            <w:pPr>
              <w:spacing w:after="0" w:line="240" w:lineRule="auto"/>
              <w:ind w:left="113"/>
              <w:rPr>
                <w:rFonts w:ascii="Arial" w:hAnsi="Arial" w:cs="Arial"/>
                <w:color w:val="000000"/>
                <w:sz w:val="16"/>
                <w:szCs w:val="16"/>
              </w:rPr>
            </w:pPr>
            <w:r w:rsidRPr="00615D1A">
              <w:rPr>
                <w:rFonts w:ascii="Arial" w:hAnsi="Arial" w:cs="Arial"/>
                <w:color w:val="000000"/>
                <w:sz w:val="16"/>
                <w:szCs w:val="16"/>
              </w:rPr>
              <w:t>Retained surplus (accumulated deficit)</w:t>
            </w:r>
          </w:p>
        </w:tc>
        <w:tc>
          <w:tcPr>
            <w:tcW w:w="633" w:type="pct"/>
            <w:tcBorders>
              <w:top w:val="nil"/>
              <w:left w:val="nil"/>
              <w:bottom w:val="nil"/>
              <w:right w:val="nil"/>
            </w:tcBorders>
            <w:shd w:val="clear" w:color="auto" w:fill="auto"/>
            <w:noWrap/>
            <w:vAlign w:val="bottom"/>
            <w:hideMark/>
          </w:tcPr>
          <w:p w14:paraId="0F4DFE6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78,</w:t>
            </w:r>
            <w:r>
              <w:rPr>
                <w:rFonts w:ascii="Arial" w:hAnsi="Arial" w:cs="Arial"/>
                <w:color w:val="000000"/>
                <w:sz w:val="16"/>
                <w:szCs w:val="16"/>
              </w:rPr>
              <w:t>242</w:t>
            </w:r>
          </w:p>
        </w:tc>
        <w:tc>
          <w:tcPr>
            <w:tcW w:w="584" w:type="pct"/>
            <w:tcBorders>
              <w:top w:val="nil"/>
              <w:left w:val="nil"/>
              <w:bottom w:val="nil"/>
              <w:right w:val="nil"/>
            </w:tcBorders>
            <w:shd w:val="clear" w:color="auto" w:fill="E6E6E6"/>
            <w:noWrap/>
            <w:vAlign w:val="bottom"/>
            <w:hideMark/>
          </w:tcPr>
          <w:p w14:paraId="3E251F6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78,639</w:t>
            </w:r>
          </w:p>
        </w:tc>
        <w:tc>
          <w:tcPr>
            <w:tcW w:w="584" w:type="pct"/>
            <w:tcBorders>
              <w:top w:val="nil"/>
              <w:left w:val="nil"/>
              <w:bottom w:val="nil"/>
              <w:right w:val="nil"/>
            </w:tcBorders>
            <w:shd w:val="clear" w:color="auto" w:fill="auto"/>
            <w:noWrap/>
            <w:vAlign w:val="bottom"/>
            <w:hideMark/>
          </w:tcPr>
          <w:p w14:paraId="313209BC"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79,059</w:t>
            </w:r>
          </w:p>
        </w:tc>
        <w:tc>
          <w:tcPr>
            <w:tcW w:w="584" w:type="pct"/>
            <w:tcBorders>
              <w:top w:val="nil"/>
              <w:left w:val="nil"/>
              <w:bottom w:val="nil"/>
              <w:right w:val="nil"/>
            </w:tcBorders>
            <w:shd w:val="clear" w:color="auto" w:fill="auto"/>
            <w:noWrap/>
            <w:vAlign w:val="bottom"/>
            <w:hideMark/>
          </w:tcPr>
          <w:p w14:paraId="67AC32EF"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80,</w:t>
            </w:r>
            <w:r>
              <w:rPr>
                <w:rFonts w:ascii="Arial" w:hAnsi="Arial" w:cs="Arial"/>
                <w:color w:val="000000"/>
                <w:sz w:val="16"/>
                <w:szCs w:val="16"/>
              </w:rPr>
              <w:t>067</w:t>
            </w:r>
          </w:p>
        </w:tc>
        <w:tc>
          <w:tcPr>
            <w:tcW w:w="584" w:type="pct"/>
            <w:tcBorders>
              <w:top w:val="nil"/>
              <w:left w:val="nil"/>
              <w:bottom w:val="nil"/>
              <w:right w:val="nil"/>
            </w:tcBorders>
            <w:shd w:val="clear" w:color="auto" w:fill="auto"/>
            <w:noWrap/>
            <w:vAlign w:val="bottom"/>
            <w:hideMark/>
          </w:tcPr>
          <w:p w14:paraId="542AD92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87,</w:t>
            </w:r>
            <w:r>
              <w:rPr>
                <w:rFonts w:ascii="Arial" w:hAnsi="Arial" w:cs="Arial"/>
                <w:color w:val="000000"/>
                <w:sz w:val="16"/>
                <w:szCs w:val="16"/>
              </w:rPr>
              <w:t>011</w:t>
            </w:r>
          </w:p>
        </w:tc>
      </w:tr>
      <w:tr w:rsidR="00CB36D7" w:rsidRPr="00615D1A" w14:paraId="2CDC8974" w14:textId="77777777" w:rsidTr="007431A4">
        <w:trPr>
          <w:trHeight w:val="204"/>
        </w:trPr>
        <w:tc>
          <w:tcPr>
            <w:tcW w:w="2030" w:type="pct"/>
            <w:tcBorders>
              <w:top w:val="nil"/>
              <w:left w:val="nil"/>
              <w:bottom w:val="nil"/>
              <w:right w:val="nil"/>
            </w:tcBorders>
            <w:shd w:val="clear" w:color="auto" w:fill="auto"/>
            <w:noWrap/>
            <w:vAlign w:val="bottom"/>
            <w:hideMark/>
          </w:tcPr>
          <w:p w14:paraId="5FCDD9CA" w14:textId="77777777" w:rsidR="00CB36D7" w:rsidRPr="00615D1A" w:rsidRDefault="00CB36D7" w:rsidP="00CB36D7">
            <w:pPr>
              <w:spacing w:after="0" w:line="240" w:lineRule="auto"/>
              <w:rPr>
                <w:rFonts w:ascii="Arial" w:hAnsi="Arial" w:cs="Arial"/>
                <w:b/>
                <w:bCs/>
                <w:i/>
                <w:iCs/>
                <w:color w:val="000000"/>
                <w:sz w:val="16"/>
                <w:szCs w:val="16"/>
              </w:rPr>
            </w:pPr>
            <w:r w:rsidRPr="00615D1A">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7728FF15"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222,340</w:t>
            </w:r>
          </w:p>
        </w:tc>
        <w:tc>
          <w:tcPr>
            <w:tcW w:w="584" w:type="pct"/>
            <w:tcBorders>
              <w:top w:val="single" w:sz="4" w:space="0" w:color="000000"/>
              <w:left w:val="nil"/>
              <w:bottom w:val="single" w:sz="4" w:space="0" w:color="000000"/>
              <w:right w:val="nil"/>
            </w:tcBorders>
            <w:shd w:val="clear" w:color="auto" w:fill="E6E6E6"/>
            <w:noWrap/>
            <w:vAlign w:val="bottom"/>
            <w:hideMark/>
          </w:tcPr>
          <w:p w14:paraId="7ACECDA0"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222,737</w:t>
            </w:r>
          </w:p>
        </w:tc>
        <w:tc>
          <w:tcPr>
            <w:tcW w:w="584" w:type="pct"/>
            <w:tcBorders>
              <w:top w:val="single" w:sz="4" w:space="0" w:color="000000"/>
              <w:left w:val="nil"/>
              <w:bottom w:val="single" w:sz="4" w:space="0" w:color="000000"/>
              <w:right w:val="nil"/>
            </w:tcBorders>
            <w:shd w:val="clear" w:color="auto" w:fill="auto"/>
            <w:noWrap/>
            <w:vAlign w:val="bottom"/>
            <w:hideMark/>
          </w:tcPr>
          <w:p w14:paraId="6AB35CD9"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223,157</w:t>
            </w:r>
          </w:p>
        </w:tc>
        <w:tc>
          <w:tcPr>
            <w:tcW w:w="584" w:type="pct"/>
            <w:tcBorders>
              <w:top w:val="single" w:sz="4" w:space="0" w:color="000000"/>
              <w:left w:val="nil"/>
              <w:bottom w:val="single" w:sz="4" w:space="0" w:color="000000"/>
              <w:right w:val="nil"/>
            </w:tcBorders>
            <w:shd w:val="clear" w:color="auto" w:fill="auto"/>
            <w:noWrap/>
            <w:vAlign w:val="bottom"/>
            <w:hideMark/>
          </w:tcPr>
          <w:p w14:paraId="7DFDD60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224,165</w:t>
            </w:r>
          </w:p>
        </w:tc>
        <w:tc>
          <w:tcPr>
            <w:tcW w:w="584" w:type="pct"/>
            <w:tcBorders>
              <w:top w:val="single" w:sz="4" w:space="0" w:color="000000"/>
              <w:left w:val="nil"/>
              <w:bottom w:val="single" w:sz="4" w:space="0" w:color="000000"/>
              <w:right w:val="nil"/>
            </w:tcBorders>
            <w:shd w:val="clear" w:color="auto" w:fill="auto"/>
            <w:noWrap/>
            <w:vAlign w:val="bottom"/>
            <w:hideMark/>
          </w:tcPr>
          <w:p w14:paraId="0E09E681"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231,109</w:t>
            </w:r>
          </w:p>
        </w:tc>
      </w:tr>
      <w:tr w:rsidR="00CB36D7" w:rsidRPr="00615D1A" w14:paraId="46652CC5" w14:textId="77777777" w:rsidTr="007431A4">
        <w:trPr>
          <w:trHeight w:val="204"/>
        </w:trPr>
        <w:tc>
          <w:tcPr>
            <w:tcW w:w="2030" w:type="pct"/>
            <w:tcBorders>
              <w:top w:val="nil"/>
              <w:left w:val="nil"/>
              <w:bottom w:val="single" w:sz="4" w:space="0" w:color="000000"/>
              <w:right w:val="nil"/>
            </w:tcBorders>
            <w:shd w:val="clear" w:color="auto" w:fill="auto"/>
            <w:noWrap/>
            <w:vAlign w:val="bottom"/>
            <w:hideMark/>
          </w:tcPr>
          <w:p w14:paraId="2391EF86" w14:textId="77777777" w:rsidR="00CB36D7" w:rsidRPr="00615D1A" w:rsidRDefault="00CB36D7" w:rsidP="00CB36D7">
            <w:pPr>
              <w:spacing w:after="0" w:line="240" w:lineRule="auto"/>
              <w:rPr>
                <w:rFonts w:ascii="Arial" w:hAnsi="Arial" w:cs="Arial"/>
                <w:b/>
                <w:bCs/>
                <w:color w:val="000000"/>
                <w:sz w:val="16"/>
                <w:szCs w:val="16"/>
              </w:rPr>
            </w:pPr>
            <w:r w:rsidRPr="00615D1A">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309EACFD" w14:textId="77777777" w:rsidR="00CB36D7" w:rsidRPr="0042664A" w:rsidRDefault="00CB36D7" w:rsidP="004B1146">
            <w:pPr>
              <w:spacing w:after="0" w:line="240" w:lineRule="auto"/>
              <w:jc w:val="right"/>
              <w:rPr>
                <w:rFonts w:ascii="Arial" w:hAnsi="Arial" w:cs="Arial"/>
                <w:b/>
                <w:bCs/>
                <w:color w:val="000000"/>
                <w:sz w:val="16"/>
                <w:szCs w:val="16"/>
              </w:rPr>
            </w:pPr>
            <w:r w:rsidRPr="0042664A">
              <w:rPr>
                <w:rFonts w:ascii="Arial" w:hAnsi="Arial" w:cs="Arial"/>
                <w:b/>
                <w:bCs/>
                <w:iCs/>
                <w:color w:val="000000"/>
                <w:sz w:val="16"/>
                <w:szCs w:val="16"/>
              </w:rPr>
              <w:t>222,340</w:t>
            </w:r>
          </w:p>
        </w:tc>
        <w:tc>
          <w:tcPr>
            <w:tcW w:w="584" w:type="pct"/>
            <w:tcBorders>
              <w:top w:val="nil"/>
              <w:left w:val="nil"/>
              <w:bottom w:val="single" w:sz="4" w:space="0" w:color="000000"/>
              <w:right w:val="nil"/>
            </w:tcBorders>
            <w:shd w:val="clear" w:color="auto" w:fill="E6E6E6"/>
            <w:noWrap/>
            <w:vAlign w:val="bottom"/>
            <w:hideMark/>
          </w:tcPr>
          <w:p w14:paraId="525F406C" w14:textId="77777777" w:rsidR="00CB36D7" w:rsidRPr="0042664A" w:rsidRDefault="00CB36D7" w:rsidP="004B1146">
            <w:pPr>
              <w:spacing w:after="0" w:line="240" w:lineRule="auto"/>
              <w:jc w:val="right"/>
              <w:rPr>
                <w:rFonts w:ascii="Arial" w:hAnsi="Arial" w:cs="Arial"/>
                <w:b/>
                <w:bCs/>
                <w:color w:val="000000"/>
                <w:sz w:val="16"/>
                <w:szCs w:val="16"/>
              </w:rPr>
            </w:pPr>
            <w:r w:rsidRPr="0042664A">
              <w:rPr>
                <w:rFonts w:ascii="Arial" w:hAnsi="Arial" w:cs="Arial"/>
                <w:b/>
                <w:bCs/>
                <w:iCs/>
                <w:color w:val="000000"/>
                <w:sz w:val="16"/>
                <w:szCs w:val="16"/>
              </w:rPr>
              <w:t>222,737</w:t>
            </w:r>
          </w:p>
        </w:tc>
        <w:tc>
          <w:tcPr>
            <w:tcW w:w="584" w:type="pct"/>
            <w:tcBorders>
              <w:top w:val="nil"/>
              <w:left w:val="nil"/>
              <w:bottom w:val="single" w:sz="4" w:space="0" w:color="000000"/>
              <w:right w:val="nil"/>
            </w:tcBorders>
            <w:shd w:val="clear" w:color="auto" w:fill="auto"/>
            <w:noWrap/>
            <w:vAlign w:val="bottom"/>
            <w:hideMark/>
          </w:tcPr>
          <w:p w14:paraId="2B375942" w14:textId="77777777" w:rsidR="00CB36D7" w:rsidRPr="0042664A" w:rsidRDefault="00CB36D7" w:rsidP="004B1146">
            <w:pPr>
              <w:spacing w:after="0" w:line="240" w:lineRule="auto"/>
              <w:jc w:val="right"/>
              <w:rPr>
                <w:rFonts w:ascii="Arial" w:hAnsi="Arial" w:cs="Arial"/>
                <w:b/>
                <w:bCs/>
                <w:color w:val="000000"/>
                <w:sz w:val="16"/>
                <w:szCs w:val="16"/>
              </w:rPr>
            </w:pPr>
            <w:r w:rsidRPr="0042664A">
              <w:rPr>
                <w:rFonts w:ascii="Arial" w:hAnsi="Arial" w:cs="Arial"/>
                <w:b/>
                <w:bCs/>
                <w:iCs/>
                <w:color w:val="000000"/>
                <w:sz w:val="16"/>
                <w:szCs w:val="16"/>
              </w:rPr>
              <w:t>223,157</w:t>
            </w:r>
          </w:p>
        </w:tc>
        <w:tc>
          <w:tcPr>
            <w:tcW w:w="584" w:type="pct"/>
            <w:tcBorders>
              <w:top w:val="nil"/>
              <w:left w:val="nil"/>
              <w:bottom w:val="single" w:sz="4" w:space="0" w:color="000000"/>
              <w:right w:val="nil"/>
            </w:tcBorders>
            <w:shd w:val="clear" w:color="auto" w:fill="auto"/>
            <w:noWrap/>
            <w:vAlign w:val="bottom"/>
            <w:hideMark/>
          </w:tcPr>
          <w:p w14:paraId="056813A5" w14:textId="77777777" w:rsidR="00CB36D7" w:rsidRPr="0042664A" w:rsidRDefault="00CB36D7" w:rsidP="004B1146">
            <w:pPr>
              <w:spacing w:after="0" w:line="240" w:lineRule="auto"/>
              <w:jc w:val="right"/>
              <w:rPr>
                <w:rFonts w:ascii="Arial" w:hAnsi="Arial" w:cs="Arial"/>
                <w:b/>
                <w:bCs/>
                <w:color w:val="000000"/>
                <w:sz w:val="16"/>
                <w:szCs w:val="16"/>
              </w:rPr>
            </w:pPr>
            <w:r w:rsidRPr="0042664A">
              <w:rPr>
                <w:rFonts w:ascii="Arial" w:hAnsi="Arial" w:cs="Arial"/>
                <w:b/>
                <w:bCs/>
                <w:iCs/>
                <w:color w:val="000000"/>
                <w:sz w:val="16"/>
                <w:szCs w:val="16"/>
              </w:rPr>
              <w:t>224,165</w:t>
            </w:r>
          </w:p>
        </w:tc>
        <w:tc>
          <w:tcPr>
            <w:tcW w:w="584" w:type="pct"/>
            <w:tcBorders>
              <w:top w:val="nil"/>
              <w:left w:val="nil"/>
              <w:bottom w:val="single" w:sz="4" w:space="0" w:color="000000"/>
              <w:right w:val="nil"/>
            </w:tcBorders>
            <w:shd w:val="clear" w:color="auto" w:fill="auto"/>
            <w:noWrap/>
            <w:vAlign w:val="bottom"/>
            <w:hideMark/>
          </w:tcPr>
          <w:p w14:paraId="04C64C2E" w14:textId="77777777" w:rsidR="00CB36D7" w:rsidRPr="0042664A" w:rsidRDefault="00CB36D7" w:rsidP="004B1146">
            <w:pPr>
              <w:spacing w:after="0" w:line="240" w:lineRule="auto"/>
              <w:jc w:val="right"/>
              <w:rPr>
                <w:rFonts w:ascii="Arial" w:hAnsi="Arial" w:cs="Arial"/>
                <w:b/>
                <w:bCs/>
                <w:color w:val="000000"/>
                <w:sz w:val="16"/>
                <w:szCs w:val="16"/>
              </w:rPr>
            </w:pPr>
            <w:r w:rsidRPr="0042664A">
              <w:rPr>
                <w:rFonts w:ascii="Arial" w:hAnsi="Arial" w:cs="Arial"/>
                <w:b/>
                <w:bCs/>
                <w:iCs/>
                <w:color w:val="000000"/>
                <w:sz w:val="16"/>
                <w:szCs w:val="16"/>
              </w:rPr>
              <w:t>231,109</w:t>
            </w:r>
          </w:p>
        </w:tc>
      </w:tr>
    </w:tbl>
    <w:p w14:paraId="327353EA" w14:textId="77777777" w:rsidR="00CB36D7" w:rsidRDefault="00CB36D7" w:rsidP="004B1146">
      <w:pPr>
        <w:pStyle w:val="Source"/>
        <w:spacing w:before="60"/>
        <w:rPr>
          <w:rFonts w:cs="Arial"/>
        </w:rPr>
      </w:pPr>
      <w:r w:rsidRPr="00553FD8">
        <w:rPr>
          <w:rFonts w:cs="Arial"/>
        </w:rPr>
        <w:t>Prepared on Australian Accounting Standards basis.</w:t>
      </w:r>
    </w:p>
    <w:p w14:paraId="0D670364" w14:textId="77777777" w:rsidR="00CB36D7" w:rsidRPr="00AD42E2" w:rsidRDefault="00CB36D7" w:rsidP="00CB36D7">
      <w:pPr>
        <w:pStyle w:val="TableHeadingcontinued"/>
      </w:pPr>
      <w:r>
        <w:br w:type="page"/>
      </w:r>
    </w:p>
    <w:p w14:paraId="43F9BC77" w14:textId="77777777" w:rsidR="00CB36D7" w:rsidRPr="00052359" w:rsidRDefault="00CB36D7" w:rsidP="00CB36D7">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r w:rsidDel="00EC7A4B">
        <w:t xml:space="preserve"> </w:t>
      </w:r>
    </w:p>
    <w:tbl>
      <w:tblPr>
        <w:tblW w:w="5000" w:type="pct"/>
        <w:tblLook w:val="04A0" w:firstRow="1" w:lastRow="0" w:firstColumn="1" w:lastColumn="0" w:noHBand="0" w:noVBand="1"/>
      </w:tblPr>
      <w:tblGrid>
        <w:gridCol w:w="3732"/>
        <w:gridCol w:w="868"/>
        <w:gridCol w:w="1141"/>
        <w:gridCol w:w="1147"/>
        <w:gridCol w:w="822"/>
      </w:tblGrid>
      <w:tr w:rsidR="00CB36D7" w:rsidRPr="00E965CA" w14:paraId="58953D0C" w14:textId="77777777" w:rsidTr="00CB36D7">
        <w:trPr>
          <w:trHeight w:val="204"/>
        </w:trPr>
        <w:tc>
          <w:tcPr>
            <w:tcW w:w="2420" w:type="pct"/>
            <w:tcBorders>
              <w:top w:val="single" w:sz="4" w:space="0" w:color="auto"/>
              <w:left w:val="nil"/>
              <w:bottom w:val="nil"/>
              <w:right w:val="nil"/>
            </w:tcBorders>
            <w:shd w:val="clear" w:color="auto" w:fill="auto"/>
            <w:noWrap/>
            <w:vAlign w:val="bottom"/>
            <w:hideMark/>
          </w:tcPr>
          <w:p w14:paraId="5EBFF05A" w14:textId="77777777" w:rsidR="00CB36D7" w:rsidRPr="00E965CA" w:rsidRDefault="00CB36D7" w:rsidP="004B1146">
            <w:pPr>
              <w:spacing w:after="0" w:line="240" w:lineRule="auto"/>
              <w:jc w:val="right"/>
              <w:rPr>
                <w:rFonts w:ascii="Arial" w:hAnsi="Arial" w:cs="Arial"/>
                <w:color w:val="000000"/>
                <w:sz w:val="16"/>
                <w:szCs w:val="16"/>
              </w:rPr>
            </w:pPr>
            <w:r w:rsidRPr="00E965CA">
              <w:rPr>
                <w:rFonts w:ascii="Arial" w:hAnsi="Arial" w:cs="Arial"/>
                <w:color w:val="000000"/>
                <w:sz w:val="16"/>
                <w:szCs w:val="16"/>
              </w:rPr>
              <w:t> </w:t>
            </w:r>
          </w:p>
        </w:tc>
        <w:tc>
          <w:tcPr>
            <w:tcW w:w="563" w:type="pct"/>
            <w:tcBorders>
              <w:top w:val="single" w:sz="4" w:space="0" w:color="auto"/>
              <w:left w:val="nil"/>
              <w:bottom w:val="single" w:sz="4" w:space="0" w:color="000000"/>
              <w:right w:val="nil"/>
            </w:tcBorders>
            <w:shd w:val="clear" w:color="auto" w:fill="auto"/>
            <w:vAlign w:val="bottom"/>
            <w:hideMark/>
          </w:tcPr>
          <w:p w14:paraId="0474A5B5" w14:textId="77777777" w:rsidR="00CB36D7" w:rsidRPr="00E965CA" w:rsidRDefault="00CB36D7" w:rsidP="004B1146">
            <w:pPr>
              <w:spacing w:after="0" w:line="240" w:lineRule="auto"/>
              <w:jc w:val="right"/>
              <w:rPr>
                <w:rFonts w:ascii="Arial" w:hAnsi="Arial" w:cs="Arial"/>
                <w:color w:val="000000"/>
                <w:sz w:val="16"/>
                <w:szCs w:val="16"/>
              </w:rPr>
            </w:pPr>
            <w:r w:rsidRPr="00E965CA">
              <w:rPr>
                <w:rFonts w:ascii="Arial" w:hAnsi="Arial" w:cs="Arial"/>
                <w:color w:val="000000"/>
                <w:sz w:val="16"/>
                <w:szCs w:val="16"/>
              </w:rPr>
              <w:t>Retained</w:t>
            </w:r>
            <w:r w:rsidRPr="00E965CA">
              <w:rPr>
                <w:rFonts w:ascii="Arial" w:hAnsi="Arial" w:cs="Arial"/>
                <w:color w:val="000000"/>
                <w:sz w:val="16"/>
                <w:szCs w:val="16"/>
              </w:rPr>
              <w:br/>
              <w:t>earnings</w:t>
            </w:r>
            <w:r w:rsidRPr="00E965CA">
              <w:rPr>
                <w:rFonts w:ascii="Arial" w:hAnsi="Arial" w:cs="Arial"/>
                <w:color w:val="000000"/>
                <w:sz w:val="16"/>
                <w:szCs w:val="16"/>
              </w:rPr>
              <w:br/>
            </w:r>
            <w:r w:rsidRPr="00E965CA">
              <w:rPr>
                <w:rFonts w:ascii="Arial" w:hAnsi="Arial" w:cs="Arial"/>
                <w:color w:val="000000"/>
                <w:sz w:val="16"/>
                <w:szCs w:val="16"/>
              </w:rPr>
              <w:br/>
              <w:t>$'000</w:t>
            </w:r>
          </w:p>
        </w:tc>
        <w:tc>
          <w:tcPr>
            <w:tcW w:w="740" w:type="pct"/>
            <w:tcBorders>
              <w:top w:val="single" w:sz="4" w:space="0" w:color="auto"/>
              <w:left w:val="nil"/>
              <w:bottom w:val="single" w:sz="4" w:space="0" w:color="000000"/>
              <w:right w:val="nil"/>
            </w:tcBorders>
            <w:shd w:val="clear" w:color="auto" w:fill="auto"/>
            <w:vAlign w:val="bottom"/>
            <w:hideMark/>
          </w:tcPr>
          <w:p w14:paraId="0A05D1A5" w14:textId="77777777" w:rsidR="00CB36D7" w:rsidRPr="00E965CA" w:rsidRDefault="00CB36D7" w:rsidP="004B1146">
            <w:pPr>
              <w:spacing w:after="0" w:line="240" w:lineRule="auto"/>
              <w:jc w:val="right"/>
              <w:rPr>
                <w:rFonts w:ascii="Arial" w:hAnsi="Arial" w:cs="Arial"/>
                <w:color w:val="000000"/>
                <w:sz w:val="16"/>
                <w:szCs w:val="16"/>
              </w:rPr>
            </w:pPr>
            <w:r w:rsidRPr="00E965CA">
              <w:rPr>
                <w:rFonts w:ascii="Arial" w:hAnsi="Arial" w:cs="Arial"/>
                <w:color w:val="000000"/>
                <w:sz w:val="16"/>
                <w:szCs w:val="16"/>
              </w:rPr>
              <w:t>Asset</w:t>
            </w:r>
            <w:r w:rsidRPr="00E965CA">
              <w:rPr>
                <w:rFonts w:ascii="Arial" w:hAnsi="Arial" w:cs="Arial"/>
                <w:color w:val="000000"/>
                <w:sz w:val="16"/>
                <w:szCs w:val="16"/>
              </w:rPr>
              <w:br/>
              <w:t>revaluation</w:t>
            </w:r>
            <w:r w:rsidRPr="00E965CA">
              <w:rPr>
                <w:rFonts w:ascii="Arial" w:hAnsi="Arial" w:cs="Arial"/>
                <w:color w:val="000000"/>
                <w:sz w:val="16"/>
                <w:szCs w:val="16"/>
              </w:rPr>
              <w:br/>
              <w:t>reserve</w:t>
            </w:r>
            <w:r w:rsidRPr="00E965CA">
              <w:rPr>
                <w:rFonts w:ascii="Arial" w:hAnsi="Arial" w:cs="Arial"/>
                <w:color w:val="000000"/>
                <w:sz w:val="16"/>
                <w:szCs w:val="16"/>
              </w:rPr>
              <w:br/>
              <w:t>$'000</w:t>
            </w:r>
          </w:p>
        </w:tc>
        <w:tc>
          <w:tcPr>
            <w:tcW w:w="744" w:type="pct"/>
            <w:tcBorders>
              <w:top w:val="single" w:sz="4" w:space="0" w:color="auto"/>
              <w:left w:val="nil"/>
              <w:bottom w:val="single" w:sz="4" w:space="0" w:color="000000"/>
              <w:right w:val="nil"/>
            </w:tcBorders>
            <w:shd w:val="clear" w:color="auto" w:fill="auto"/>
            <w:vAlign w:val="bottom"/>
            <w:hideMark/>
          </w:tcPr>
          <w:p w14:paraId="1C4865F5" w14:textId="77777777" w:rsidR="00CB36D7" w:rsidRPr="00E965CA" w:rsidRDefault="00CB36D7" w:rsidP="004B1146">
            <w:pPr>
              <w:spacing w:after="0" w:line="240" w:lineRule="auto"/>
              <w:jc w:val="right"/>
              <w:rPr>
                <w:rFonts w:ascii="Arial" w:hAnsi="Arial" w:cs="Arial"/>
                <w:color w:val="000000"/>
                <w:sz w:val="16"/>
                <w:szCs w:val="16"/>
              </w:rPr>
            </w:pPr>
            <w:r w:rsidRPr="00E965CA">
              <w:rPr>
                <w:rFonts w:ascii="Arial" w:hAnsi="Arial" w:cs="Arial"/>
                <w:color w:val="000000"/>
                <w:sz w:val="16"/>
                <w:szCs w:val="16"/>
              </w:rPr>
              <w:t>Contributed</w:t>
            </w:r>
            <w:r w:rsidRPr="00E965CA">
              <w:rPr>
                <w:rFonts w:ascii="Arial" w:hAnsi="Arial" w:cs="Arial"/>
                <w:color w:val="000000"/>
                <w:sz w:val="16"/>
                <w:szCs w:val="16"/>
              </w:rPr>
              <w:br/>
              <w:t>equity/</w:t>
            </w:r>
            <w:r w:rsidRPr="00E965CA">
              <w:rPr>
                <w:rFonts w:ascii="Arial" w:hAnsi="Arial" w:cs="Arial"/>
                <w:color w:val="000000"/>
                <w:sz w:val="16"/>
                <w:szCs w:val="16"/>
              </w:rPr>
              <w:br/>
              <w:t>capital</w:t>
            </w:r>
            <w:r w:rsidRPr="00E965CA">
              <w:rPr>
                <w:rFonts w:ascii="Arial" w:hAnsi="Arial" w:cs="Arial"/>
                <w:color w:val="000000"/>
                <w:sz w:val="16"/>
                <w:szCs w:val="16"/>
              </w:rPr>
              <w:br/>
              <w:t>$'000</w:t>
            </w:r>
          </w:p>
        </w:tc>
        <w:tc>
          <w:tcPr>
            <w:tcW w:w="533" w:type="pct"/>
            <w:tcBorders>
              <w:top w:val="single" w:sz="4" w:space="0" w:color="auto"/>
              <w:left w:val="nil"/>
              <w:bottom w:val="single" w:sz="4" w:space="0" w:color="000000"/>
              <w:right w:val="nil"/>
            </w:tcBorders>
            <w:shd w:val="clear" w:color="auto" w:fill="auto"/>
            <w:vAlign w:val="bottom"/>
            <w:hideMark/>
          </w:tcPr>
          <w:p w14:paraId="207C38A1" w14:textId="77777777" w:rsidR="00CB36D7" w:rsidRPr="00E965CA" w:rsidRDefault="00CB36D7" w:rsidP="004B1146">
            <w:pPr>
              <w:spacing w:after="0" w:line="240" w:lineRule="auto"/>
              <w:jc w:val="right"/>
              <w:rPr>
                <w:rFonts w:ascii="Arial" w:hAnsi="Arial" w:cs="Arial"/>
                <w:color w:val="000000"/>
                <w:sz w:val="16"/>
                <w:szCs w:val="16"/>
              </w:rPr>
            </w:pPr>
            <w:r w:rsidRPr="00E965CA">
              <w:rPr>
                <w:rFonts w:ascii="Arial" w:hAnsi="Arial" w:cs="Arial"/>
                <w:color w:val="000000"/>
                <w:sz w:val="16"/>
                <w:szCs w:val="16"/>
              </w:rPr>
              <w:t>Total</w:t>
            </w:r>
            <w:r w:rsidRPr="00E965CA">
              <w:rPr>
                <w:rFonts w:ascii="Arial" w:hAnsi="Arial" w:cs="Arial"/>
                <w:color w:val="000000"/>
                <w:sz w:val="16"/>
                <w:szCs w:val="16"/>
              </w:rPr>
              <w:br/>
              <w:t xml:space="preserve">equity </w:t>
            </w:r>
            <w:r w:rsidRPr="00E965CA">
              <w:rPr>
                <w:rFonts w:ascii="Arial" w:hAnsi="Arial" w:cs="Arial"/>
                <w:color w:val="000000"/>
                <w:sz w:val="16"/>
                <w:szCs w:val="16"/>
              </w:rPr>
              <w:br/>
            </w:r>
            <w:r w:rsidRPr="00E965CA">
              <w:rPr>
                <w:rFonts w:ascii="Arial" w:hAnsi="Arial" w:cs="Arial"/>
                <w:color w:val="000000"/>
                <w:sz w:val="16"/>
                <w:szCs w:val="16"/>
              </w:rPr>
              <w:br/>
              <w:t>$'000</w:t>
            </w:r>
          </w:p>
        </w:tc>
      </w:tr>
      <w:tr w:rsidR="00CB36D7" w:rsidRPr="00E965CA" w14:paraId="533776C9" w14:textId="77777777" w:rsidTr="00CB36D7">
        <w:trPr>
          <w:trHeight w:val="204"/>
        </w:trPr>
        <w:tc>
          <w:tcPr>
            <w:tcW w:w="2420" w:type="pct"/>
            <w:tcBorders>
              <w:top w:val="nil"/>
              <w:left w:val="nil"/>
              <w:bottom w:val="nil"/>
              <w:right w:val="nil"/>
            </w:tcBorders>
            <w:shd w:val="clear" w:color="auto" w:fill="auto"/>
            <w:vAlign w:val="bottom"/>
            <w:hideMark/>
          </w:tcPr>
          <w:p w14:paraId="7053D6EA"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Opening balance as at 1 July 2022</w:t>
            </w:r>
          </w:p>
        </w:tc>
        <w:tc>
          <w:tcPr>
            <w:tcW w:w="563" w:type="pct"/>
            <w:tcBorders>
              <w:top w:val="nil"/>
              <w:left w:val="nil"/>
              <w:bottom w:val="nil"/>
              <w:right w:val="nil"/>
            </w:tcBorders>
            <w:shd w:val="clear" w:color="auto" w:fill="auto"/>
            <w:noWrap/>
            <w:vAlign w:val="bottom"/>
            <w:hideMark/>
          </w:tcPr>
          <w:p w14:paraId="5B68BBE1" w14:textId="77777777" w:rsidR="00CB36D7" w:rsidRPr="00DC083D" w:rsidRDefault="00CB36D7" w:rsidP="00CB36D7">
            <w:pPr>
              <w:spacing w:after="0" w:line="240" w:lineRule="auto"/>
              <w:jc w:val="right"/>
              <w:rPr>
                <w:rFonts w:ascii="Arial" w:hAnsi="Arial" w:cs="Arial"/>
                <w:b/>
                <w:bCs/>
                <w:color w:val="000000"/>
                <w:sz w:val="16"/>
                <w:szCs w:val="16"/>
              </w:rPr>
            </w:pPr>
          </w:p>
        </w:tc>
        <w:tc>
          <w:tcPr>
            <w:tcW w:w="740" w:type="pct"/>
            <w:tcBorders>
              <w:top w:val="nil"/>
              <w:left w:val="nil"/>
              <w:bottom w:val="nil"/>
              <w:right w:val="nil"/>
            </w:tcBorders>
            <w:shd w:val="clear" w:color="auto" w:fill="auto"/>
            <w:noWrap/>
            <w:vAlign w:val="bottom"/>
            <w:hideMark/>
          </w:tcPr>
          <w:p w14:paraId="5BFC7DBB" w14:textId="77777777" w:rsidR="00CB36D7" w:rsidRPr="002F7F2B" w:rsidRDefault="00CB36D7" w:rsidP="00CB36D7">
            <w:pPr>
              <w:spacing w:after="0" w:line="240" w:lineRule="auto"/>
              <w:jc w:val="right"/>
              <w:rPr>
                <w:rFonts w:ascii="Times New Roman" w:hAnsi="Times New Roman"/>
                <w:sz w:val="16"/>
                <w:szCs w:val="16"/>
              </w:rPr>
            </w:pPr>
          </w:p>
        </w:tc>
        <w:tc>
          <w:tcPr>
            <w:tcW w:w="744" w:type="pct"/>
            <w:tcBorders>
              <w:top w:val="nil"/>
              <w:left w:val="nil"/>
              <w:bottom w:val="nil"/>
              <w:right w:val="nil"/>
            </w:tcBorders>
            <w:shd w:val="clear" w:color="auto" w:fill="auto"/>
            <w:noWrap/>
            <w:vAlign w:val="bottom"/>
            <w:hideMark/>
          </w:tcPr>
          <w:p w14:paraId="0070445B" w14:textId="77777777" w:rsidR="00CB36D7" w:rsidRPr="002F7F2B" w:rsidRDefault="00CB36D7" w:rsidP="00CB36D7">
            <w:pPr>
              <w:spacing w:after="0" w:line="240" w:lineRule="auto"/>
              <w:jc w:val="right"/>
              <w:rPr>
                <w:rFonts w:ascii="Times New Roman" w:hAnsi="Times New Roman"/>
                <w:sz w:val="16"/>
                <w:szCs w:val="16"/>
              </w:rPr>
            </w:pPr>
          </w:p>
        </w:tc>
        <w:tc>
          <w:tcPr>
            <w:tcW w:w="533" w:type="pct"/>
            <w:tcBorders>
              <w:top w:val="nil"/>
              <w:left w:val="nil"/>
              <w:bottom w:val="nil"/>
              <w:right w:val="nil"/>
            </w:tcBorders>
            <w:shd w:val="clear" w:color="auto" w:fill="auto"/>
            <w:noWrap/>
            <w:vAlign w:val="bottom"/>
            <w:hideMark/>
          </w:tcPr>
          <w:p w14:paraId="6DFB0D3B"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2900E278" w14:textId="77777777" w:rsidTr="00CB36D7">
        <w:trPr>
          <w:trHeight w:val="204"/>
        </w:trPr>
        <w:tc>
          <w:tcPr>
            <w:tcW w:w="2420" w:type="pct"/>
            <w:tcBorders>
              <w:top w:val="nil"/>
              <w:left w:val="nil"/>
              <w:bottom w:val="nil"/>
              <w:right w:val="nil"/>
            </w:tcBorders>
            <w:shd w:val="clear" w:color="auto" w:fill="auto"/>
            <w:vAlign w:val="bottom"/>
            <w:hideMark/>
          </w:tcPr>
          <w:p w14:paraId="11D4E70C"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Balance carried forward from previous period</w:t>
            </w:r>
          </w:p>
        </w:tc>
        <w:tc>
          <w:tcPr>
            <w:tcW w:w="563" w:type="pct"/>
            <w:tcBorders>
              <w:top w:val="nil"/>
              <w:left w:val="nil"/>
              <w:right w:val="nil"/>
            </w:tcBorders>
            <w:shd w:val="clear" w:color="auto" w:fill="auto"/>
            <w:noWrap/>
            <w:vAlign w:val="bottom"/>
            <w:hideMark/>
          </w:tcPr>
          <w:p w14:paraId="2FB06BA9"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78,</w:t>
            </w:r>
            <w:r>
              <w:rPr>
                <w:rFonts w:ascii="Arial" w:hAnsi="Arial" w:cs="Arial"/>
                <w:color w:val="000000"/>
                <w:sz w:val="16"/>
                <w:szCs w:val="16"/>
              </w:rPr>
              <w:t>242</w:t>
            </w:r>
          </w:p>
        </w:tc>
        <w:tc>
          <w:tcPr>
            <w:tcW w:w="740" w:type="pct"/>
            <w:tcBorders>
              <w:top w:val="nil"/>
              <w:left w:val="nil"/>
              <w:right w:val="nil"/>
            </w:tcBorders>
            <w:shd w:val="clear" w:color="auto" w:fill="auto"/>
            <w:noWrap/>
            <w:vAlign w:val="bottom"/>
            <w:hideMark/>
          </w:tcPr>
          <w:p w14:paraId="1E1F03FE" w14:textId="77777777" w:rsidR="00CB36D7" w:rsidRPr="00DC083D"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106,112</w:t>
            </w:r>
          </w:p>
        </w:tc>
        <w:tc>
          <w:tcPr>
            <w:tcW w:w="744" w:type="pct"/>
            <w:tcBorders>
              <w:top w:val="nil"/>
              <w:left w:val="nil"/>
              <w:right w:val="nil"/>
            </w:tcBorders>
            <w:shd w:val="clear" w:color="auto" w:fill="auto"/>
            <w:noWrap/>
            <w:vAlign w:val="bottom"/>
            <w:hideMark/>
          </w:tcPr>
          <w:p w14:paraId="26E8F9B2"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37,9</w:t>
            </w:r>
            <w:r>
              <w:rPr>
                <w:rFonts w:ascii="Arial" w:hAnsi="Arial" w:cs="Arial"/>
                <w:color w:val="000000"/>
                <w:sz w:val="16"/>
                <w:szCs w:val="16"/>
              </w:rPr>
              <w:t>86</w:t>
            </w:r>
          </w:p>
        </w:tc>
        <w:tc>
          <w:tcPr>
            <w:tcW w:w="533" w:type="pct"/>
            <w:tcBorders>
              <w:top w:val="nil"/>
              <w:left w:val="nil"/>
              <w:right w:val="nil"/>
            </w:tcBorders>
            <w:shd w:val="clear" w:color="auto" w:fill="auto"/>
            <w:noWrap/>
            <w:vAlign w:val="bottom"/>
            <w:hideMark/>
          </w:tcPr>
          <w:p w14:paraId="52BFF402" w14:textId="77777777" w:rsidR="00CB36D7" w:rsidRPr="00DC083D" w:rsidRDefault="00CB36D7" w:rsidP="00CB36D7">
            <w:pPr>
              <w:spacing w:after="0" w:line="240" w:lineRule="auto"/>
              <w:jc w:val="right"/>
              <w:rPr>
                <w:rFonts w:ascii="Arial" w:hAnsi="Arial" w:cs="Arial"/>
                <w:color w:val="000000"/>
                <w:sz w:val="16"/>
                <w:szCs w:val="16"/>
              </w:rPr>
            </w:pPr>
            <w:r>
              <w:rPr>
                <w:rFonts w:ascii="Arial" w:hAnsi="Arial" w:cs="Arial"/>
                <w:color w:val="000000"/>
                <w:sz w:val="16"/>
                <w:szCs w:val="16"/>
              </w:rPr>
              <w:t>222,340</w:t>
            </w:r>
          </w:p>
        </w:tc>
      </w:tr>
      <w:tr w:rsidR="00CB36D7" w:rsidRPr="00DC083D" w14:paraId="67F37B91" w14:textId="77777777" w:rsidTr="00CB36D7">
        <w:trPr>
          <w:trHeight w:val="204"/>
        </w:trPr>
        <w:tc>
          <w:tcPr>
            <w:tcW w:w="2420" w:type="pct"/>
            <w:tcBorders>
              <w:top w:val="nil"/>
              <w:left w:val="nil"/>
              <w:bottom w:val="nil"/>
              <w:right w:val="nil"/>
            </w:tcBorders>
            <w:shd w:val="clear" w:color="auto" w:fill="auto"/>
            <w:vAlign w:val="bottom"/>
            <w:hideMark/>
          </w:tcPr>
          <w:p w14:paraId="21FCE518" w14:textId="77777777" w:rsidR="00CB36D7" w:rsidRPr="00E965CA" w:rsidRDefault="00CB36D7" w:rsidP="004B1146">
            <w:pPr>
              <w:spacing w:after="0" w:line="240" w:lineRule="auto"/>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563" w:type="pct"/>
            <w:tcBorders>
              <w:top w:val="single" w:sz="4" w:space="0" w:color="000000"/>
              <w:left w:val="nil"/>
              <w:bottom w:val="single" w:sz="4" w:space="0" w:color="auto"/>
              <w:right w:val="nil"/>
            </w:tcBorders>
            <w:shd w:val="clear" w:color="auto" w:fill="auto"/>
            <w:noWrap/>
            <w:vAlign w:val="bottom"/>
            <w:hideMark/>
          </w:tcPr>
          <w:p w14:paraId="7DED98D7" w14:textId="77777777" w:rsidR="00CB36D7" w:rsidRPr="0042664A" w:rsidRDefault="00CB36D7" w:rsidP="00CB36D7">
            <w:pPr>
              <w:spacing w:after="0" w:line="240" w:lineRule="auto"/>
              <w:jc w:val="right"/>
              <w:rPr>
                <w:rFonts w:ascii="Arial" w:hAnsi="Arial" w:cs="Arial"/>
                <w:b/>
                <w:bCs/>
                <w:i/>
                <w:iCs/>
                <w:color w:val="000000"/>
                <w:sz w:val="16"/>
                <w:szCs w:val="16"/>
              </w:rPr>
            </w:pPr>
            <w:r w:rsidRPr="0042664A">
              <w:rPr>
                <w:rFonts w:ascii="Arial" w:hAnsi="Arial" w:cs="Arial"/>
                <w:b/>
                <w:i/>
                <w:color w:val="000000"/>
                <w:sz w:val="16"/>
                <w:szCs w:val="16"/>
              </w:rPr>
              <w:t>78,242</w:t>
            </w:r>
          </w:p>
        </w:tc>
        <w:tc>
          <w:tcPr>
            <w:tcW w:w="740" w:type="pct"/>
            <w:tcBorders>
              <w:top w:val="single" w:sz="4" w:space="0" w:color="000000"/>
              <w:left w:val="nil"/>
              <w:bottom w:val="single" w:sz="4" w:space="0" w:color="auto"/>
              <w:right w:val="nil"/>
            </w:tcBorders>
            <w:shd w:val="clear" w:color="auto" w:fill="auto"/>
            <w:noWrap/>
            <w:vAlign w:val="bottom"/>
            <w:hideMark/>
          </w:tcPr>
          <w:p w14:paraId="1F0D691E" w14:textId="77777777" w:rsidR="00CB36D7" w:rsidRPr="0042664A" w:rsidRDefault="00CB36D7" w:rsidP="00CB36D7">
            <w:pPr>
              <w:spacing w:after="0" w:line="240" w:lineRule="auto"/>
              <w:jc w:val="right"/>
              <w:rPr>
                <w:rFonts w:ascii="Arial" w:hAnsi="Arial" w:cs="Arial"/>
                <w:b/>
                <w:bCs/>
                <w:i/>
                <w:iCs/>
                <w:color w:val="000000"/>
                <w:sz w:val="16"/>
                <w:szCs w:val="16"/>
              </w:rPr>
            </w:pPr>
            <w:r w:rsidRPr="0042664A">
              <w:rPr>
                <w:rFonts w:ascii="Arial" w:hAnsi="Arial" w:cs="Arial"/>
                <w:b/>
                <w:i/>
                <w:color w:val="000000"/>
                <w:sz w:val="16"/>
                <w:szCs w:val="16"/>
              </w:rPr>
              <w:t>106,112</w:t>
            </w:r>
          </w:p>
        </w:tc>
        <w:tc>
          <w:tcPr>
            <w:tcW w:w="744" w:type="pct"/>
            <w:tcBorders>
              <w:top w:val="single" w:sz="4" w:space="0" w:color="000000"/>
              <w:left w:val="nil"/>
              <w:bottom w:val="single" w:sz="4" w:space="0" w:color="auto"/>
              <w:right w:val="nil"/>
            </w:tcBorders>
            <w:shd w:val="clear" w:color="auto" w:fill="auto"/>
            <w:noWrap/>
            <w:vAlign w:val="bottom"/>
            <w:hideMark/>
          </w:tcPr>
          <w:p w14:paraId="608664DC" w14:textId="77777777" w:rsidR="00CB36D7" w:rsidRPr="0042664A" w:rsidRDefault="00CB36D7" w:rsidP="00CB36D7">
            <w:pPr>
              <w:spacing w:after="0" w:line="240" w:lineRule="auto"/>
              <w:jc w:val="right"/>
              <w:rPr>
                <w:rFonts w:ascii="Arial" w:hAnsi="Arial" w:cs="Arial"/>
                <w:b/>
                <w:bCs/>
                <w:i/>
                <w:iCs/>
                <w:color w:val="000000"/>
                <w:sz w:val="16"/>
                <w:szCs w:val="16"/>
              </w:rPr>
            </w:pPr>
            <w:r w:rsidRPr="0042664A">
              <w:rPr>
                <w:rFonts w:ascii="Arial" w:hAnsi="Arial" w:cs="Arial"/>
                <w:b/>
                <w:i/>
                <w:color w:val="000000"/>
                <w:sz w:val="16"/>
                <w:szCs w:val="16"/>
              </w:rPr>
              <w:t>37,986</w:t>
            </w:r>
          </w:p>
        </w:tc>
        <w:tc>
          <w:tcPr>
            <w:tcW w:w="533" w:type="pct"/>
            <w:tcBorders>
              <w:top w:val="single" w:sz="4" w:space="0" w:color="000000"/>
              <w:left w:val="nil"/>
              <w:bottom w:val="single" w:sz="4" w:space="0" w:color="auto"/>
              <w:right w:val="nil"/>
            </w:tcBorders>
            <w:shd w:val="clear" w:color="auto" w:fill="auto"/>
            <w:noWrap/>
            <w:vAlign w:val="bottom"/>
            <w:hideMark/>
          </w:tcPr>
          <w:p w14:paraId="1ED83845" w14:textId="77777777" w:rsidR="00CB36D7" w:rsidRPr="0042664A" w:rsidRDefault="00CB36D7" w:rsidP="00CB36D7">
            <w:pPr>
              <w:spacing w:after="0" w:line="240" w:lineRule="auto"/>
              <w:jc w:val="right"/>
              <w:rPr>
                <w:rFonts w:ascii="Arial" w:hAnsi="Arial" w:cs="Arial"/>
                <w:b/>
                <w:bCs/>
                <w:i/>
                <w:iCs/>
                <w:color w:val="000000"/>
                <w:sz w:val="16"/>
                <w:szCs w:val="16"/>
              </w:rPr>
            </w:pPr>
            <w:r w:rsidRPr="0042664A">
              <w:rPr>
                <w:rFonts w:ascii="Arial" w:hAnsi="Arial" w:cs="Arial"/>
                <w:b/>
                <w:i/>
                <w:color w:val="000000"/>
                <w:sz w:val="16"/>
                <w:szCs w:val="16"/>
              </w:rPr>
              <w:t>222,340</w:t>
            </w:r>
          </w:p>
        </w:tc>
      </w:tr>
      <w:tr w:rsidR="00CB36D7" w:rsidRPr="00E965CA" w14:paraId="5C6347D7" w14:textId="77777777" w:rsidTr="00CB36D7">
        <w:trPr>
          <w:trHeight w:val="204"/>
        </w:trPr>
        <w:tc>
          <w:tcPr>
            <w:tcW w:w="2420" w:type="pct"/>
            <w:tcBorders>
              <w:top w:val="nil"/>
              <w:left w:val="nil"/>
              <w:bottom w:val="nil"/>
              <w:right w:val="nil"/>
            </w:tcBorders>
            <w:shd w:val="clear" w:color="auto" w:fill="auto"/>
            <w:noWrap/>
            <w:vAlign w:val="bottom"/>
          </w:tcPr>
          <w:p w14:paraId="02D854FA" w14:textId="77777777" w:rsidR="00CB36D7" w:rsidRPr="00390569" w:rsidRDefault="00CB36D7" w:rsidP="004B1146">
            <w:pPr>
              <w:spacing w:after="0" w:line="240" w:lineRule="auto"/>
              <w:rPr>
                <w:rFonts w:ascii="Arial" w:hAnsi="Arial" w:cs="Arial"/>
                <w:b/>
                <w:sz w:val="16"/>
                <w:szCs w:val="16"/>
              </w:rPr>
            </w:pPr>
            <w:r w:rsidRPr="00390569">
              <w:rPr>
                <w:rFonts w:ascii="Arial" w:hAnsi="Arial" w:cs="Arial"/>
                <w:b/>
                <w:sz w:val="16"/>
                <w:szCs w:val="16"/>
              </w:rPr>
              <w:t>Comprehensive income</w:t>
            </w:r>
          </w:p>
        </w:tc>
        <w:tc>
          <w:tcPr>
            <w:tcW w:w="563" w:type="pct"/>
            <w:tcBorders>
              <w:top w:val="single" w:sz="4" w:space="0" w:color="auto"/>
              <w:left w:val="nil"/>
              <w:bottom w:val="nil"/>
              <w:right w:val="nil"/>
            </w:tcBorders>
            <w:shd w:val="clear" w:color="auto" w:fill="auto"/>
            <w:noWrap/>
            <w:vAlign w:val="bottom"/>
          </w:tcPr>
          <w:p w14:paraId="4040B27E" w14:textId="77777777" w:rsidR="00CB36D7" w:rsidRPr="00DC083D" w:rsidRDefault="00CB36D7" w:rsidP="00CB36D7">
            <w:pPr>
              <w:spacing w:after="0" w:line="240" w:lineRule="auto"/>
              <w:jc w:val="right"/>
              <w:rPr>
                <w:rFonts w:ascii="Arial" w:hAnsi="Arial" w:cs="Arial"/>
                <w:color w:val="000000"/>
                <w:sz w:val="16"/>
                <w:szCs w:val="16"/>
              </w:rPr>
            </w:pPr>
          </w:p>
        </w:tc>
        <w:tc>
          <w:tcPr>
            <w:tcW w:w="740" w:type="pct"/>
            <w:tcBorders>
              <w:top w:val="single" w:sz="4" w:space="0" w:color="auto"/>
              <w:left w:val="nil"/>
              <w:bottom w:val="nil"/>
              <w:right w:val="nil"/>
            </w:tcBorders>
            <w:shd w:val="clear" w:color="auto" w:fill="auto"/>
            <w:noWrap/>
            <w:vAlign w:val="bottom"/>
          </w:tcPr>
          <w:p w14:paraId="0D0C640B" w14:textId="77777777" w:rsidR="00CB36D7" w:rsidRPr="00DC083D" w:rsidRDefault="00CB36D7" w:rsidP="00CB36D7">
            <w:pPr>
              <w:spacing w:after="0" w:line="240" w:lineRule="auto"/>
              <w:jc w:val="right"/>
              <w:rPr>
                <w:rFonts w:ascii="Arial" w:hAnsi="Arial" w:cs="Arial"/>
                <w:color w:val="000000"/>
                <w:sz w:val="16"/>
                <w:szCs w:val="16"/>
              </w:rPr>
            </w:pPr>
          </w:p>
        </w:tc>
        <w:tc>
          <w:tcPr>
            <w:tcW w:w="744" w:type="pct"/>
            <w:tcBorders>
              <w:top w:val="single" w:sz="4" w:space="0" w:color="auto"/>
              <w:left w:val="nil"/>
              <w:bottom w:val="nil"/>
              <w:right w:val="nil"/>
            </w:tcBorders>
            <w:shd w:val="clear" w:color="auto" w:fill="auto"/>
            <w:noWrap/>
            <w:vAlign w:val="bottom"/>
          </w:tcPr>
          <w:p w14:paraId="2F66C36D" w14:textId="77777777" w:rsidR="00CB36D7" w:rsidRPr="00DC083D" w:rsidRDefault="00CB36D7" w:rsidP="00CB36D7">
            <w:pPr>
              <w:spacing w:after="0" w:line="240" w:lineRule="auto"/>
              <w:jc w:val="right"/>
              <w:rPr>
                <w:rFonts w:ascii="Arial" w:hAnsi="Arial" w:cs="Arial"/>
                <w:color w:val="000000"/>
                <w:sz w:val="16"/>
                <w:szCs w:val="16"/>
              </w:rPr>
            </w:pPr>
          </w:p>
        </w:tc>
        <w:tc>
          <w:tcPr>
            <w:tcW w:w="533" w:type="pct"/>
            <w:tcBorders>
              <w:top w:val="single" w:sz="4" w:space="0" w:color="auto"/>
              <w:left w:val="nil"/>
              <w:bottom w:val="nil"/>
              <w:right w:val="nil"/>
            </w:tcBorders>
            <w:shd w:val="clear" w:color="auto" w:fill="auto"/>
            <w:noWrap/>
            <w:vAlign w:val="bottom"/>
          </w:tcPr>
          <w:p w14:paraId="146406BD" w14:textId="77777777" w:rsidR="00CB36D7" w:rsidRPr="00DC083D" w:rsidRDefault="00CB36D7" w:rsidP="00CB36D7">
            <w:pPr>
              <w:spacing w:after="0" w:line="240" w:lineRule="auto"/>
              <w:jc w:val="right"/>
              <w:rPr>
                <w:rFonts w:ascii="Arial" w:hAnsi="Arial" w:cs="Arial"/>
                <w:color w:val="000000"/>
                <w:sz w:val="16"/>
                <w:szCs w:val="16"/>
              </w:rPr>
            </w:pPr>
          </w:p>
        </w:tc>
      </w:tr>
      <w:tr w:rsidR="00CB36D7" w:rsidRPr="00E965CA" w14:paraId="26A6622E" w14:textId="77777777" w:rsidTr="00CB36D7">
        <w:trPr>
          <w:trHeight w:val="204"/>
        </w:trPr>
        <w:tc>
          <w:tcPr>
            <w:tcW w:w="2420" w:type="pct"/>
            <w:tcBorders>
              <w:top w:val="nil"/>
              <w:left w:val="nil"/>
              <w:bottom w:val="nil"/>
              <w:right w:val="nil"/>
            </w:tcBorders>
            <w:shd w:val="clear" w:color="auto" w:fill="auto"/>
            <w:noWrap/>
            <w:vAlign w:val="bottom"/>
            <w:hideMark/>
          </w:tcPr>
          <w:p w14:paraId="67C7F25F"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Surplus/(deficit) for the period</w:t>
            </w:r>
          </w:p>
        </w:tc>
        <w:tc>
          <w:tcPr>
            <w:tcW w:w="563" w:type="pct"/>
            <w:tcBorders>
              <w:top w:val="nil"/>
              <w:left w:val="nil"/>
              <w:bottom w:val="nil"/>
              <w:right w:val="nil"/>
            </w:tcBorders>
            <w:shd w:val="clear" w:color="auto" w:fill="auto"/>
            <w:noWrap/>
            <w:vAlign w:val="bottom"/>
            <w:hideMark/>
          </w:tcPr>
          <w:p w14:paraId="7CAA1C98"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c>
          <w:tcPr>
            <w:tcW w:w="740" w:type="pct"/>
            <w:tcBorders>
              <w:top w:val="nil"/>
              <w:left w:val="nil"/>
              <w:bottom w:val="nil"/>
              <w:right w:val="nil"/>
            </w:tcBorders>
            <w:shd w:val="clear" w:color="auto" w:fill="auto"/>
            <w:noWrap/>
            <w:vAlign w:val="bottom"/>
            <w:hideMark/>
          </w:tcPr>
          <w:p w14:paraId="2517FD9D"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744" w:type="pct"/>
            <w:tcBorders>
              <w:top w:val="nil"/>
              <w:left w:val="nil"/>
              <w:bottom w:val="nil"/>
              <w:right w:val="nil"/>
            </w:tcBorders>
            <w:shd w:val="clear" w:color="auto" w:fill="auto"/>
            <w:noWrap/>
            <w:vAlign w:val="bottom"/>
            <w:hideMark/>
          </w:tcPr>
          <w:p w14:paraId="24693665"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33" w:type="pct"/>
            <w:tcBorders>
              <w:top w:val="nil"/>
              <w:left w:val="nil"/>
              <w:bottom w:val="nil"/>
              <w:right w:val="nil"/>
            </w:tcBorders>
            <w:shd w:val="clear" w:color="auto" w:fill="auto"/>
            <w:noWrap/>
            <w:vAlign w:val="bottom"/>
            <w:hideMark/>
          </w:tcPr>
          <w:p w14:paraId="735889AB"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r>
      <w:tr w:rsidR="00CB36D7" w:rsidRPr="00E965CA" w14:paraId="038419C6" w14:textId="77777777" w:rsidTr="00CB36D7">
        <w:trPr>
          <w:trHeight w:val="204"/>
        </w:trPr>
        <w:tc>
          <w:tcPr>
            <w:tcW w:w="2420" w:type="pct"/>
            <w:tcBorders>
              <w:top w:val="nil"/>
              <w:left w:val="nil"/>
              <w:bottom w:val="nil"/>
              <w:right w:val="nil"/>
            </w:tcBorders>
            <w:shd w:val="clear" w:color="auto" w:fill="auto"/>
            <w:vAlign w:val="bottom"/>
            <w:hideMark/>
          </w:tcPr>
          <w:p w14:paraId="58113854"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comprehensive income</w:t>
            </w:r>
          </w:p>
        </w:tc>
        <w:tc>
          <w:tcPr>
            <w:tcW w:w="563" w:type="pct"/>
            <w:tcBorders>
              <w:top w:val="single" w:sz="4" w:space="0" w:color="000000"/>
              <w:left w:val="nil"/>
              <w:bottom w:val="nil"/>
              <w:right w:val="nil"/>
            </w:tcBorders>
            <w:shd w:val="clear" w:color="auto" w:fill="auto"/>
            <w:noWrap/>
            <w:vAlign w:val="bottom"/>
            <w:hideMark/>
          </w:tcPr>
          <w:p w14:paraId="27AAE282" w14:textId="77777777" w:rsidR="00CB36D7" w:rsidRPr="00DC083D" w:rsidRDefault="00CB36D7" w:rsidP="00CB36D7">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397</w:t>
            </w:r>
          </w:p>
        </w:tc>
        <w:tc>
          <w:tcPr>
            <w:tcW w:w="740" w:type="pct"/>
            <w:tcBorders>
              <w:top w:val="single" w:sz="4" w:space="0" w:color="000000"/>
              <w:left w:val="nil"/>
              <w:bottom w:val="nil"/>
              <w:right w:val="nil"/>
            </w:tcBorders>
            <w:shd w:val="clear" w:color="auto" w:fill="auto"/>
            <w:noWrap/>
            <w:vAlign w:val="bottom"/>
            <w:hideMark/>
          </w:tcPr>
          <w:p w14:paraId="61C04F98" w14:textId="77777777" w:rsidR="00CB36D7" w:rsidRPr="00DC083D" w:rsidRDefault="00CB36D7" w:rsidP="00CB36D7">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744" w:type="pct"/>
            <w:tcBorders>
              <w:top w:val="single" w:sz="4" w:space="0" w:color="000000"/>
              <w:left w:val="nil"/>
              <w:bottom w:val="nil"/>
              <w:right w:val="nil"/>
            </w:tcBorders>
            <w:shd w:val="clear" w:color="auto" w:fill="auto"/>
            <w:noWrap/>
            <w:vAlign w:val="bottom"/>
            <w:hideMark/>
          </w:tcPr>
          <w:p w14:paraId="29BA672B" w14:textId="77777777" w:rsidR="00CB36D7" w:rsidRPr="00DC083D" w:rsidRDefault="00CB36D7" w:rsidP="00CB36D7">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533" w:type="pct"/>
            <w:tcBorders>
              <w:top w:val="single" w:sz="4" w:space="0" w:color="000000"/>
              <w:left w:val="nil"/>
              <w:bottom w:val="nil"/>
              <w:right w:val="nil"/>
            </w:tcBorders>
            <w:shd w:val="clear" w:color="auto" w:fill="auto"/>
            <w:noWrap/>
            <w:vAlign w:val="bottom"/>
            <w:hideMark/>
          </w:tcPr>
          <w:p w14:paraId="6F149424" w14:textId="77777777" w:rsidR="00CB36D7" w:rsidRPr="00DC083D" w:rsidRDefault="00CB36D7" w:rsidP="00CB36D7">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397</w:t>
            </w:r>
          </w:p>
        </w:tc>
      </w:tr>
      <w:tr w:rsidR="00CB36D7" w:rsidRPr="00E965CA" w14:paraId="387ED0B6" w14:textId="77777777" w:rsidTr="00CB36D7">
        <w:trPr>
          <w:trHeight w:val="204"/>
        </w:trPr>
        <w:tc>
          <w:tcPr>
            <w:tcW w:w="2420" w:type="pct"/>
            <w:tcBorders>
              <w:top w:val="nil"/>
              <w:left w:val="nil"/>
              <w:bottom w:val="nil"/>
              <w:right w:val="nil"/>
            </w:tcBorders>
            <w:shd w:val="clear" w:color="auto" w:fill="auto"/>
            <w:noWrap/>
            <w:vAlign w:val="bottom"/>
            <w:hideMark/>
          </w:tcPr>
          <w:p w14:paraId="7DDD7B98"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of which:</w:t>
            </w:r>
          </w:p>
        </w:tc>
        <w:tc>
          <w:tcPr>
            <w:tcW w:w="563" w:type="pct"/>
            <w:tcBorders>
              <w:top w:val="single" w:sz="4" w:space="0" w:color="000000"/>
              <w:left w:val="nil"/>
              <w:bottom w:val="nil"/>
              <w:right w:val="nil"/>
            </w:tcBorders>
            <w:shd w:val="clear" w:color="auto" w:fill="auto"/>
            <w:noWrap/>
            <w:vAlign w:val="bottom"/>
            <w:hideMark/>
          </w:tcPr>
          <w:p w14:paraId="34DB7F0A" w14:textId="77777777" w:rsidR="00CB36D7" w:rsidRPr="00DC083D" w:rsidRDefault="00CB36D7" w:rsidP="00CB36D7">
            <w:pPr>
              <w:spacing w:after="0" w:line="240" w:lineRule="auto"/>
              <w:ind w:left="113"/>
              <w:jc w:val="right"/>
              <w:rPr>
                <w:rFonts w:ascii="Arial" w:hAnsi="Arial" w:cs="Arial"/>
                <w:color w:val="000000"/>
                <w:sz w:val="16"/>
                <w:szCs w:val="16"/>
              </w:rPr>
            </w:pPr>
          </w:p>
        </w:tc>
        <w:tc>
          <w:tcPr>
            <w:tcW w:w="740" w:type="pct"/>
            <w:tcBorders>
              <w:top w:val="single" w:sz="4" w:space="0" w:color="000000"/>
              <w:left w:val="nil"/>
              <w:bottom w:val="nil"/>
              <w:right w:val="nil"/>
            </w:tcBorders>
            <w:shd w:val="clear" w:color="auto" w:fill="auto"/>
            <w:noWrap/>
            <w:vAlign w:val="bottom"/>
            <w:hideMark/>
          </w:tcPr>
          <w:p w14:paraId="63A5702F" w14:textId="77777777" w:rsidR="00CB36D7" w:rsidRPr="00DC083D" w:rsidRDefault="00CB36D7" w:rsidP="00CB36D7">
            <w:pPr>
              <w:spacing w:after="0" w:line="240" w:lineRule="auto"/>
              <w:ind w:left="113"/>
              <w:jc w:val="right"/>
              <w:rPr>
                <w:rFonts w:ascii="Arial" w:hAnsi="Arial" w:cs="Arial"/>
                <w:color w:val="000000"/>
                <w:sz w:val="16"/>
                <w:szCs w:val="16"/>
              </w:rPr>
            </w:pPr>
          </w:p>
        </w:tc>
        <w:tc>
          <w:tcPr>
            <w:tcW w:w="744" w:type="pct"/>
            <w:tcBorders>
              <w:top w:val="single" w:sz="4" w:space="0" w:color="000000"/>
              <w:left w:val="nil"/>
              <w:bottom w:val="nil"/>
              <w:right w:val="nil"/>
            </w:tcBorders>
            <w:shd w:val="clear" w:color="auto" w:fill="auto"/>
            <w:noWrap/>
            <w:vAlign w:val="bottom"/>
            <w:hideMark/>
          </w:tcPr>
          <w:p w14:paraId="5CCD94D6" w14:textId="77777777" w:rsidR="00CB36D7" w:rsidRPr="00DC083D" w:rsidRDefault="00CB36D7" w:rsidP="00CB36D7">
            <w:pPr>
              <w:spacing w:after="0" w:line="240" w:lineRule="auto"/>
              <w:ind w:left="113"/>
              <w:jc w:val="right"/>
              <w:rPr>
                <w:rFonts w:ascii="Arial" w:hAnsi="Arial" w:cs="Arial"/>
                <w:color w:val="000000"/>
                <w:sz w:val="16"/>
                <w:szCs w:val="16"/>
              </w:rPr>
            </w:pPr>
          </w:p>
        </w:tc>
        <w:tc>
          <w:tcPr>
            <w:tcW w:w="533" w:type="pct"/>
            <w:tcBorders>
              <w:top w:val="single" w:sz="4" w:space="0" w:color="000000"/>
              <w:left w:val="nil"/>
              <w:bottom w:val="nil"/>
              <w:right w:val="nil"/>
            </w:tcBorders>
            <w:shd w:val="clear" w:color="auto" w:fill="auto"/>
            <w:noWrap/>
            <w:vAlign w:val="bottom"/>
            <w:hideMark/>
          </w:tcPr>
          <w:p w14:paraId="55D3C6CF" w14:textId="77777777" w:rsidR="00CB36D7" w:rsidRPr="00DC083D" w:rsidRDefault="00CB36D7" w:rsidP="00CB36D7">
            <w:pPr>
              <w:spacing w:after="0" w:line="240" w:lineRule="auto"/>
              <w:ind w:left="113"/>
              <w:jc w:val="right"/>
              <w:rPr>
                <w:rFonts w:ascii="Arial" w:hAnsi="Arial" w:cs="Arial"/>
                <w:color w:val="000000"/>
                <w:sz w:val="16"/>
                <w:szCs w:val="16"/>
              </w:rPr>
            </w:pPr>
          </w:p>
        </w:tc>
      </w:tr>
      <w:tr w:rsidR="00CB36D7" w:rsidRPr="00E965CA" w14:paraId="4A909632" w14:textId="77777777" w:rsidTr="00CB36D7">
        <w:trPr>
          <w:trHeight w:val="204"/>
        </w:trPr>
        <w:tc>
          <w:tcPr>
            <w:tcW w:w="2420" w:type="pct"/>
            <w:tcBorders>
              <w:top w:val="nil"/>
              <w:left w:val="nil"/>
              <w:bottom w:val="nil"/>
              <w:right w:val="nil"/>
            </w:tcBorders>
            <w:shd w:val="clear" w:color="auto" w:fill="auto"/>
            <w:vAlign w:val="bottom"/>
            <w:hideMark/>
          </w:tcPr>
          <w:p w14:paraId="7419A3F7" w14:textId="77777777" w:rsidR="00CB36D7" w:rsidRPr="00E965CA" w:rsidRDefault="00CB36D7" w:rsidP="004B1146">
            <w:pPr>
              <w:spacing w:after="0" w:line="240" w:lineRule="auto"/>
              <w:ind w:left="227"/>
              <w:rPr>
                <w:rFonts w:ascii="Arial" w:hAnsi="Arial" w:cs="Arial"/>
                <w:color w:val="000000"/>
                <w:sz w:val="16"/>
                <w:szCs w:val="16"/>
              </w:rPr>
            </w:pPr>
            <w:r w:rsidRPr="00E965CA">
              <w:rPr>
                <w:rFonts w:ascii="Arial" w:hAnsi="Arial" w:cs="Arial"/>
                <w:color w:val="000000"/>
                <w:sz w:val="16"/>
                <w:szCs w:val="16"/>
              </w:rPr>
              <w:t>Attributable to the Australian Government</w:t>
            </w:r>
          </w:p>
        </w:tc>
        <w:tc>
          <w:tcPr>
            <w:tcW w:w="563" w:type="pct"/>
            <w:tcBorders>
              <w:top w:val="nil"/>
              <w:left w:val="nil"/>
              <w:bottom w:val="nil"/>
              <w:right w:val="nil"/>
            </w:tcBorders>
            <w:shd w:val="clear" w:color="auto" w:fill="auto"/>
            <w:noWrap/>
            <w:vAlign w:val="bottom"/>
            <w:hideMark/>
          </w:tcPr>
          <w:p w14:paraId="16B4305F"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c>
          <w:tcPr>
            <w:tcW w:w="740" w:type="pct"/>
            <w:tcBorders>
              <w:top w:val="nil"/>
              <w:left w:val="nil"/>
              <w:bottom w:val="nil"/>
              <w:right w:val="nil"/>
            </w:tcBorders>
            <w:shd w:val="clear" w:color="auto" w:fill="auto"/>
            <w:noWrap/>
            <w:vAlign w:val="bottom"/>
            <w:hideMark/>
          </w:tcPr>
          <w:p w14:paraId="19B066E2"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744" w:type="pct"/>
            <w:tcBorders>
              <w:top w:val="nil"/>
              <w:left w:val="nil"/>
              <w:bottom w:val="nil"/>
              <w:right w:val="nil"/>
            </w:tcBorders>
            <w:shd w:val="clear" w:color="auto" w:fill="auto"/>
            <w:noWrap/>
            <w:vAlign w:val="bottom"/>
            <w:hideMark/>
          </w:tcPr>
          <w:p w14:paraId="1F67B2B0"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33" w:type="pct"/>
            <w:tcBorders>
              <w:top w:val="nil"/>
              <w:left w:val="nil"/>
              <w:bottom w:val="nil"/>
              <w:right w:val="nil"/>
            </w:tcBorders>
            <w:shd w:val="clear" w:color="auto" w:fill="auto"/>
            <w:noWrap/>
            <w:vAlign w:val="bottom"/>
            <w:hideMark/>
          </w:tcPr>
          <w:p w14:paraId="683EC175" w14:textId="77777777" w:rsidR="00CB36D7" w:rsidRPr="00DC083D" w:rsidRDefault="00CB36D7" w:rsidP="00CB36D7">
            <w:pPr>
              <w:spacing w:after="0" w:line="240" w:lineRule="auto"/>
              <w:jc w:val="right"/>
              <w:rPr>
                <w:rFonts w:ascii="Arial" w:hAnsi="Arial" w:cs="Arial"/>
                <w:color w:val="000000"/>
                <w:sz w:val="16"/>
                <w:szCs w:val="16"/>
              </w:rPr>
            </w:pPr>
            <w:r w:rsidRPr="00DC083D">
              <w:rPr>
                <w:rFonts w:ascii="Arial" w:hAnsi="Arial" w:cs="Arial"/>
                <w:color w:val="000000"/>
                <w:sz w:val="16"/>
                <w:szCs w:val="16"/>
              </w:rPr>
              <w:t>397</w:t>
            </w:r>
          </w:p>
        </w:tc>
      </w:tr>
      <w:tr w:rsidR="00CB36D7" w:rsidRPr="00E965CA" w14:paraId="47D7E6F3" w14:textId="77777777" w:rsidTr="00CB36D7">
        <w:trPr>
          <w:trHeight w:val="204"/>
        </w:trPr>
        <w:tc>
          <w:tcPr>
            <w:tcW w:w="2420" w:type="pct"/>
            <w:tcBorders>
              <w:top w:val="nil"/>
              <w:left w:val="nil"/>
              <w:bottom w:val="nil"/>
              <w:right w:val="nil"/>
            </w:tcBorders>
            <w:shd w:val="clear" w:color="auto" w:fill="auto"/>
            <w:vAlign w:val="bottom"/>
            <w:hideMark/>
          </w:tcPr>
          <w:p w14:paraId="27DEDD33"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Estimated closing balance as at 30 June 2023</w:t>
            </w:r>
          </w:p>
        </w:tc>
        <w:tc>
          <w:tcPr>
            <w:tcW w:w="563" w:type="pct"/>
            <w:tcBorders>
              <w:top w:val="single" w:sz="4" w:space="0" w:color="auto"/>
              <w:left w:val="nil"/>
              <w:bottom w:val="single" w:sz="4" w:space="0" w:color="auto"/>
              <w:right w:val="nil"/>
            </w:tcBorders>
            <w:shd w:val="clear" w:color="auto" w:fill="auto"/>
            <w:noWrap/>
            <w:vAlign w:val="bottom"/>
            <w:hideMark/>
          </w:tcPr>
          <w:p w14:paraId="2BD8A99F" w14:textId="77777777" w:rsidR="00CB36D7" w:rsidRPr="00DC083D" w:rsidRDefault="00CB36D7" w:rsidP="00CB36D7">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78,</w:t>
            </w:r>
            <w:r>
              <w:rPr>
                <w:rFonts w:ascii="Arial" w:hAnsi="Arial" w:cs="Arial"/>
                <w:b/>
                <w:bCs/>
                <w:color w:val="000000"/>
                <w:sz w:val="16"/>
                <w:szCs w:val="16"/>
              </w:rPr>
              <w:t>639</w:t>
            </w:r>
          </w:p>
        </w:tc>
        <w:tc>
          <w:tcPr>
            <w:tcW w:w="740" w:type="pct"/>
            <w:tcBorders>
              <w:top w:val="single" w:sz="4" w:space="0" w:color="auto"/>
              <w:left w:val="nil"/>
              <w:bottom w:val="single" w:sz="4" w:space="0" w:color="auto"/>
              <w:right w:val="nil"/>
            </w:tcBorders>
            <w:shd w:val="clear" w:color="auto" w:fill="auto"/>
            <w:noWrap/>
            <w:vAlign w:val="bottom"/>
            <w:hideMark/>
          </w:tcPr>
          <w:p w14:paraId="31F0062A" w14:textId="77777777" w:rsidR="00CB36D7" w:rsidRPr="0042664A" w:rsidRDefault="00CB36D7" w:rsidP="00CB36D7">
            <w:pPr>
              <w:spacing w:after="0" w:line="240" w:lineRule="auto"/>
              <w:jc w:val="right"/>
              <w:rPr>
                <w:rFonts w:ascii="Arial" w:hAnsi="Arial" w:cs="Arial"/>
                <w:b/>
                <w:bCs/>
                <w:color w:val="000000"/>
                <w:sz w:val="16"/>
                <w:szCs w:val="16"/>
              </w:rPr>
            </w:pPr>
            <w:r w:rsidRPr="0042664A">
              <w:rPr>
                <w:rFonts w:ascii="Arial" w:hAnsi="Arial" w:cs="Arial"/>
                <w:b/>
                <w:color w:val="000000"/>
                <w:sz w:val="16"/>
                <w:szCs w:val="16"/>
              </w:rPr>
              <w:t>106,112</w:t>
            </w:r>
          </w:p>
        </w:tc>
        <w:tc>
          <w:tcPr>
            <w:tcW w:w="744" w:type="pct"/>
            <w:tcBorders>
              <w:top w:val="single" w:sz="4" w:space="0" w:color="auto"/>
              <w:left w:val="nil"/>
              <w:bottom w:val="single" w:sz="4" w:space="0" w:color="auto"/>
              <w:right w:val="nil"/>
            </w:tcBorders>
            <w:shd w:val="clear" w:color="auto" w:fill="auto"/>
            <w:noWrap/>
            <w:vAlign w:val="bottom"/>
            <w:hideMark/>
          </w:tcPr>
          <w:p w14:paraId="60294515" w14:textId="77777777" w:rsidR="00CB36D7" w:rsidRPr="0042664A" w:rsidRDefault="00CB36D7" w:rsidP="00CB36D7">
            <w:pPr>
              <w:spacing w:after="0" w:line="240" w:lineRule="auto"/>
              <w:jc w:val="right"/>
              <w:rPr>
                <w:rFonts w:ascii="Arial" w:hAnsi="Arial" w:cs="Arial"/>
                <w:b/>
                <w:bCs/>
                <w:color w:val="000000"/>
                <w:sz w:val="16"/>
                <w:szCs w:val="16"/>
              </w:rPr>
            </w:pPr>
            <w:r w:rsidRPr="0042664A">
              <w:rPr>
                <w:rFonts w:ascii="Arial" w:hAnsi="Arial" w:cs="Arial"/>
                <w:b/>
                <w:color w:val="000000"/>
                <w:sz w:val="16"/>
                <w:szCs w:val="16"/>
              </w:rPr>
              <w:t>37,986</w:t>
            </w:r>
          </w:p>
        </w:tc>
        <w:tc>
          <w:tcPr>
            <w:tcW w:w="533" w:type="pct"/>
            <w:tcBorders>
              <w:top w:val="single" w:sz="4" w:space="0" w:color="auto"/>
              <w:left w:val="nil"/>
              <w:bottom w:val="single" w:sz="4" w:space="0" w:color="auto"/>
              <w:right w:val="nil"/>
            </w:tcBorders>
            <w:shd w:val="clear" w:color="auto" w:fill="auto"/>
            <w:noWrap/>
            <w:vAlign w:val="bottom"/>
            <w:hideMark/>
          </w:tcPr>
          <w:p w14:paraId="2A4C2FF1" w14:textId="77777777" w:rsidR="00CB36D7" w:rsidRPr="0042664A" w:rsidRDefault="00CB36D7" w:rsidP="00CB36D7">
            <w:pPr>
              <w:spacing w:after="0" w:line="240" w:lineRule="auto"/>
              <w:jc w:val="right"/>
              <w:rPr>
                <w:rFonts w:ascii="Arial" w:hAnsi="Arial" w:cs="Arial"/>
                <w:b/>
                <w:bCs/>
                <w:color w:val="000000"/>
                <w:sz w:val="16"/>
                <w:szCs w:val="16"/>
              </w:rPr>
            </w:pPr>
            <w:r w:rsidRPr="0042664A">
              <w:rPr>
                <w:rFonts w:ascii="Arial" w:hAnsi="Arial" w:cs="Arial"/>
                <w:b/>
                <w:color w:val="000000"/>
                <w:sz w:val="16"/>
                <w:szCs w:val="16"/>
              </w:rPr>
              <w:t>222,</w:t>
            </w:r>
            <w:r>
              <w:rPr>
                <w:rFonts w:ascii="Arial" w:hAnsi="Arial" w:cs="Arial"/>
                <w:b/>
                <w:color w:val="000000"/>
                <w:sz w:val="16"/>
                <w:szCs w:val="16"/>
              </w:rPr>
              <w:t>737</w:t>
            </w:r>
          </w:p>
        </w:tc>
      </w:tr>
      <w:tr w:rsidR="00CB36D7" w:rsidRPr="00E965CA" w14:paraId="64FA42F3" w14:textId="77777777" w:rsidTr="00CB36D7">
        <w:trPr>
          <w:trHeight w:val="204"/>
        </w:trPr>
        <w:tc>
          <w:tcPr>
            <w:tcW w:w="2420" w:type="pct"/>
            <w:tcBorders>
              <w:top w:val="nil"/>
              <w:left w:val="nil"/>
              <w:bottom w:val="single" w:sz="4" w:space="0" w:color="000000"/>
              <w:right w:val="nil"/>
            </w:tcBorders>
            <w:shd w:val="clear" w:color="auto" w:fill="auto"/>
            <w:vAlign w:val="bottom"/>
            <w:hideMark/>
          </w:tcPr>
          <w:p w14:paraId="40C3CD2C"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Closing balance attributable to the Australian Government</w:t>
            </w:r>
          </w:p>
        </w:tc>
        <w:tc>
          <w:tcPr>
            <w:tcW w:w="563" w:type="pct"/>
            <w:tcBorders>
              <w:top w:val="nil"/>
              <w:left w:val="nil"/>
              <w:bottom w:val="single" w:sz="4" w:space="0" w:color="auto"/>
              <w:right w:val="nil"/>
            </w:tcBorders>
            <w:shd w:val="clear" w:color="auto" w:fill="auto"/>
            <w:noWrap/>
            <w:vAlign w:val="bottom"/>
            <w:hideMark/>
          </w:tcPr>
          <w:p w14:paraId="32A2E31B" w14:textId="77777777" w:rsidR="00CB36D7" w:rsidRPr="00DC083D" w:rsidRDefault="00CB36D7" w:rsidP="00CB36D7">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78,</w:t>
            </w:r>
            <w:r>
              <w:rPr>
                <w:rFonts w:ascii="Arial" w:hAnsi="Arial" w:cs="Arial"/>
                <w:b/>
                <w:bCs/>
                <w:color w:val="000000"/>
                <w:sz w:val="16"/>
                <w:szCs w:val="16"/>
              </w:rPr>
              <w:t>639</w:t>
            </w:r>
          </w:p>
        </w:tc>
        <w:tc>
          <w:tcPr>
            <w:tcW w:w="740" w:type="pct"/>
            <w:tcBorders>
              <w:top w:val="nil"/>
              <w:left w:val="nil"/>
              <w:bottom w:val="single" w:sz="4" w:space="0" w:color="auto"/>
              <w:right w:val="nil"/>
            </w:tcBorders>
            <w:shd w:val="clear" w:color="auto" w:fill="auto"/>
            <w:noWrap/>
            <w:vAlign w:val="bottom"/>
            <w:hideMark/>
          </w:tcPr>
          <w:p w14:paraId="2DEF5FA5" w14:textId="77777777" w:rsidR="00CB36D7" w:rsidRPr="00D36DBF" w:rsidRDefault="00CB36D7" w:rsidP="00CB36D7">
            <w:pPr>
              <w:spacing w:after="0" w:line="240" w:lineRule="auto"/>
              <w:jc w:val="right"/>
              <w:rPr>
                <w:rFonts w:ascii="Arial" w:hAnsi="Arial" w:cs="Arial"/>
                <w:b/>
                <w:bCs/>
                <w:color w:val="000000"/>
                <w:sz w:val="16"/>
                <w:szCs w:val="16"/>
              </w:rPr>
            </w:pPr>
            <w:r w:rsidRPr="00CC0533">
              <w:rPr>
                <w:rFonts w:ascii="Arial" w:hAnsi="Arial" w:cs="Arial"/>
                <w:b/>
                <w:color w:val="000000"/>
                <w:sz w:val="16"/>
                <w:szCs w:val="16"/>
              </w:rPr>
              <w:t>106,112</w:t>
            </w:r>
          </w:p>
        </w:tc>
        <w:tc>
          <w:tcPr>
            <w:tcW w:w="744" w:type="pct"/>
            <w:tcBorders>
              <w:top w:val="nil"/>
              <w:left w:val="nil"/>
              <w:bottom w:val="single" w:sz="4" w:space="0" w:color="auto"/>
              <w:right w:val="nil"/>
            </w:tcBorders>
            <w:shd w:val="clear" w:color="auto" w:fill="auto"/>
            <w:noWrap/>
            <w:vAlign w:val="bottom"/>
            <w:hideMark/>
          </w:tcPr>
          <w:p w14:paraId="533518CD" w14:textId="77777777" w:rsidR="00CB36D7" w:rsidRPr="00D36DBF" w:rsidRDefault="00CB36D7" w:rsidP="00CB36D7">
            <w:pPr>
              <w:spacing w:after="0" w:line="240" w:lineRule="auto"/>
              <w:jc w:val="right"/>
              <w:rPr>
                <w:rFonts w:ascii="Arial" w:hAnsi="Arial" w:cs="Arial"/>
                <w:b/>
                <w:bCs/>
                <w:color w:val="000000"/>
                <w:sz w:val="16"/>
                <w:szCs w:val="16"/>
              </w:rPr>
            </w:pPr>
            <w:r w:rsidRPr="00CC0533">
              <w:rPr>
                <w:rFonts w:ascii="Arial" w:hAnsi="Arial" w:cs="Arial"/>
                <w:b/>
                <w:color w:val="000000"/>
                <w:sz w:val="16"/>
                <w:szCs w:val="16"/>
              </w:rPr>
              <w:t>37,986</w:t>
            </w:r>
          </w:p>
        </w:tc>
        <w:tc>
          <w:tcPr>
            <w:tcW w:w="533" w:type="pct"/>
            <w:tcBorders>
              <w:top w:val="nil"/>
              <w:left w:val="nil"/>
              <w:bottom w:val="single" w:sz="4" w:space="0" w:color="auto"/>
              <w:right w:val="nil"/>
            </w:tcBorders>
            <w:shd w:val="clear" w:color="auto" w:fill="auto"/>
            <w:noWrap/>
            <w:vAlign w:val="bottom"/>
            <w:hideMark/>
          </w:tcPr>
          <w:p w14:paraId="370564D6" w14:textId="77777777" w:rsidR="00CB36D7" w:rsidRPr="00D36DBF" w:rsidRDefault="00CB36D7" w:rsidP="00CB36D7">
            <w:pPr>
              <w:spacing w:after="0" w:line="240" w:lineRule="auto"/>
              <w:jc w:val="right"/>
              <w:rPr>
                <w:rFonts w:ascii="Arial" w:hAnsi="Arial" w:cs="Arial"/>
                <w:b/>
                <w:bCs/>
                <w:color w:val="000000"/>
                <w:sz w:val="16"/>
                <w:szCs w:val="16"/>
              </w:rPr>
            </w:pPr>
            <w:r w:rsidRPr="00CC0533">
              <w:rPr>
                <w:rFonts w:ascii="Arial" w:hAnsi="Arial" w:cs="Arial"/>
                <w:b/>
                <w:color w:val="000000"/>
                <w:sz w:val="16"/>
                <w:szCs w:val="16"/>
              </w:rPr>
              <w:t>222,737</w:t>
            </w:r>
          </w:p>
        </w:tc>
      </w:tr>
    </w:tbl>
    <w:p w14:paraId="6FE762FA" w14:textId="77777777" w:rsidR="00CB36D7" w:rsidRDefault="00CB36D7" w:rsidP="004B1146">
      <w:pPr>
        <w:pStyle w:val="Source"/>
        <w:spacing w:before="60"/>
        <w:rPr>
          <w:rFonts w:cs="Arial"/>
        </w:rPr>
      </w:pPr>
      <w:r w:rsidRPr="00553FD8">
        <w:rPr>
          <w:rFonts w:cs="Arial"/>
        </w:rPr>
        <w:t>Prepared on Australian Accounting Standards basis.</w:t>
      </w:r>
    </w:p>
    <w:p w14:paraId="1ACD16F2" w14:textId="77777777" w:rsidR="00CB36D7" w:rsidRDefault="00CB36D7" w:rsidP="00CB36D7">
      <w:pPr>
        <w:pStyle w:val="TableHeading"/>
      </w:pPr>
      <w:r>
        <w:br w:type="page"/>
      </w: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r w:rsidRPr="00AD5D03">
        <w:t xml:space="preserve"> </w:t>
      </w:r>
    </w:p>
    <w:tbl>
      <w:tblPr>
        <w:tblW w:w="5000" w:type="pct"/>
        <w:tblLook w:val="04A0" w:firstRow="1" w:lastRow="0" w:firstColumn="1" w:lastColumn="0" w:noHBand="0" w:noVBand="1"/>
      </w:tblPr>
      <w:tblGrid>
        <w:gridCol w:w="3185"/>
        <w:gridCol w:w="949"/>
        <w:gridCol w:w="894"/>
        <w:gridCol w:w="894"/>
        <w:gridCol w:w="894"/>
        <w:gridCol w:w="894"/>
      </w:tblGrid>
      <w:tr w:rsidR="00CB36D7" w:rsidRPr="00E965CA" w14:paraId="6E034A21" w14:textId="77777777" w:rsidTr="007431A4">
        <w:trPr>
          <w:trHeight w:val="204"/>
        </w:trPr>
        <w:tc>
          <w:tcPr>
            <w:tcW w:w="2065" w:type="pct"/>
            <w:tcBorders>
              <w:top w:val="single" w:sz="4" w:space="0" w:color="auto"/>
              <w:left w:val="nil"/>
              <w:bottom w:val="nil"/>
              <w:right w:val="nil"/>
            </w:tcBorders>
            <w:shd w:val="clear" w:color="auto" w:fill="auto"/>
            <w:noWrap/>
            <w:vAlign w:val="bottom"/>
            <w:hideMark/>
          </w:tcPr>
          <w:p w14:paraId="48F5FAC9" w14:textId="77777777" w:rsidR="00CB36D7" w:rsidRPr="00E965CA" w:rsidRDefault="00CB36D7" w:rsidP="004B1146">
            <w:pPr>
              <w:spacing w:after="0" w:line="240" w:lineRule="auto"/>
              <w:jc w:val="right"/>
              <w:rPr>
                <w:rFonts w:ascii="Arial" w:hAnsi="Arial" w:cs="Arial"/>
                <w:b/>
                <w:bCs/>
                <w:sz w:val="16"/>
                <w:szCs w:val="16"/>
              </w:rPr>
            </w:pPr>
            <w:r w:rsidRPr="00E965CA">
              <w:rPr>
                <w:rFonts w:ascii="Arial" w:hAnsi="Arial" w:cs="Arial"/>
                <w:b/>
                <w:bCs/>
                <w:sz w:val="16"/>
                <w:szCs w:val="16"/>
              </w:rPr>
              <w:t> </w:t>
            </w:r>
          </w:p>
        </w:tc>
        <w:tc>
          <w:tcPr>
            <w:tcW w:w="615" w:type="pct"/>
            <w:tcBorders>
              <w:top w:val="single" w:sz="4" w:space="0" w:color="auto"/>
              <w:left w:val="nil"/>
              <w:bottom w:val="single" w:sz="4" w:space="0" w:color="auto"/>
              <w:right w:val="nil"/>
            </w:tcBorders>
            <w:shd w:val="clear" w:color="auto" w:fill="auto"/>
            <w:vAlign w:val="bottom"/>
            <w:hideMark/>
          </w:tcPr>
          <w:p w14:paraId="1FA2C5B1"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2021-22 Estimated actual</w:t>
            </w:r>
            <w:r w:rsidRPr="00E965CA">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E6E6E6"/>
            <w:vAlign w:val="bottom"/>
            <w:hideMark/>
          </w:tcPr>
          <w:p w14:paraId="4286D484"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2022-23</w:t>
            </w:r>
            <w:r w:rsidRPr="00E965CA">
              <w:rPr>
                <w:rFonts w:ascii="Arial" w:hAnsi="Arial" w:cs="Arial"/>
                <w:sz w:val="16"/>
                <w:szCs w:val="16"/>
              </w:rPr>
              <w:br/>
              <w:t>Budget</w:t>
            </w:r>
            <w:r w:rsidRPr="00E965CA">
              <w:rPr>
                <w:rFonts w:ascii="Arial" w:hAnsi="Arial" w:cs="Arial"/>
                <w:sz w:val="16"/>
                <w:szCs w:val="16"/>
              </w:rPr>
              <w:br/>
            </w:r>
            <w:r w:rsidRPr="00E965CA">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4993B527"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2023-24 Forward estimate</w:t>
            </w:r>
            <w:r w:rsidRPr="00E965CA">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429973E8"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2024-25 Forward estimate</w:t>
            </w:r>
            <w:r w:rsidRPr="00E965CA">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140063D9"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2025-26</w:t>
            </w:r>
            <w:r w:rsidRPr="00E965CA">
              <w:rPr>
                <w:rFonts w:ascii="Arial" w:hAnsi="Arial" w:cs="Arial"/>
                <w:sz w:val="16"/>
                <w:szCs w:val="16"/>
              </w:rPr>
              <w:br/>
              <w:t>Forward estimate</w:t>
            </w:r>
            <w:r w:rsidRPr="00E965CA">
              <w:rPr>
                <w:rFonts w:ascii="Arial" w:hAnsi="Arial" w:cs="Arial"/>
                <w:sz w:val="16"/>
                <w:szCs w:val="16"/>
              </w:rPr>
              <w:br/>
              <w:t>$'000</w:t>
            </w:r>
          </w:p>
        </w:tc>
      </w:tr>
      <w:tr w:rsidR="00CB36D7" w:rsidRPr="00E965CA" w14:paraId="2238425D" w14:textId="77777777" w:rsidTr="007431A4">
        <w:trPr>
          <w:trHeight w:val="204"/>
        </w:trPr>
        <w:tc>
          <w:tcPr>
            <w:tcW w:w="2065" w:type="pct"/>
            <w:tcBorders>
              <w:top w:val="nil"/>
              <w:left w:val="nil"/>
              <w:bottom w:val="nil"/>
              <w:right w:val="nil"/>
            </w:tcBorders>
            <w:shd w:val="clear" w:color="auto" w:fill="auto"/>
            <w:noWrap/>
            <w:vAlign w:val="bottom"/>
            <w:hideMark/>
          </w:tcPr>
          <w:p w14:paraId="0F3FCD13"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OPERATING ACTIVITIES</w:t>
            </w:r>
          </w:p>
        </w:tc>
        <w:tc>
          <w:tcPr>
            <w:tcW w:w="615" w:type="pct"/>
            <w:tcBorders>
              <w:top w:val="nil"/>
              <w:left w:val="nil"/>
              <w:bottom w:val="nil"/>
              <w:right w:val="nil"/>
            </w:tcBorders>
            <w:shd w:val="clear" w:color="auto" w:fill="auto"/>
            <w:noWrap/>
            <w:vAlign w:val="bottom"/>
            <w:hideMark/>
          </w:tcPr>
          <w:p w14:paraId="1DAB19C3"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480808BC"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743E54B"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2C055A7"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27A28E42"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348A98F6" w14:textId="77777777" w:rsidTr="007431A4">
        <w:trPr>
          <w:trHeight w:val="204"/>
        </w:trPr>
        <w:tc>
          <w:tcPr>
            <w:tcW w:w="2065" w:type="pct"/>
            <w:tcBorders>
              <w:top w:val="nil"/>
              <w:left w:val="nil"/>
              <w:bottom w:val="nil"/>
              <w:right w:val="nil"/>
            </w:tcBorders>
            <w:shd w:val="clear" w:color="auto" w:fill="auto"/>
            <w:noWrap/>
            <w:vAlign w:val="bottom"/>
            <w:hideMark/>
          </w:tcPr>
          <w:p w14:paraId="63569FBB"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received</w:t>
            </w:r>
          </w:p>
        </w:tc>
        <w:tc>
          <w:tcPr>
            <w:tcW w:w="615" w:type="pct"/>
            <w:tcBorders>
              <w:top w:val="nil"/>
              <w:left w:val="nil"/>
              <w:bottom w:val="nil"/>
              <w:right w:val="nil"/>
            </w:tcBorders>
            <w:shd w:val="clear" w:color="auto" w:fill="auto"/>
            <w:noWrap/>
            <w:vAlign w:val="bottom"/>
            <w:hideMark/>
          </w:tcPr>
          <w:p w14:paraId="0D3AC0BF"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220123E0"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20C9FC9A"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FEC6A92"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2BC15FF2"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3C0CAC3C" w14:textId="77777777" w:rsidTr="007431A4">
        <w:trPr>
          <w:trHeight w:val="204"/>
        </w:trPr>
        <w:tc>
          <w:tcPr>
            <w:tcW w:w="2065" w:type="pct"/>
            <w:tcBorders>
              <w:top w:val="nil"/>
              <w:left w:val="nil"/>
              <w:bottom w:val="nil"/>
              <w:right w:val="nil"/>
            </w:tcBorders>
            <w:shd w:val="clear" w:color="auto" w:fill="auto"/>
            <w:noWrap/>
            <w:vAlign w:val="bottom"/>
            <w:hideMark/>
          </w:tcPr>
          <w:p w14:paraId="441AEB3C"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Appropriations</w:t>
            </w:r>
          </w:p>
        </w:tc>
        <w:tc>
          <w:tcPr>
            <w:tcW w:w="615" w:type="pct"/>
            <w:tcBorders>
              <w:top w:val="nil"/>
              <w:left w:val="nil"/>
              <w:bottom w:val="nil"/>
              <w:right w:val="nil"/>
            </w:tcBorders>
            <w:shd w:val="clear" w:color="auto" w:fill="auto"/>
            <w:noWrap/>
            <w:vAlign w:val="bottom"/>
            <w:hideMark/>
          </w:tcPr>
          <w:p w14:paraId="57BF3CC7"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87,80</w:t>
            </w:r>
            <w:r>
              <w:rPr>
                <w:rFonts w:ascii="Arial" w:hAnsi="Arial" w:cs="Arial"/>
                <w:color w:val="000000"/>
                <w:sz w:val="16"/>
                <w:szCs w:val="16"/>
              </w:rPr>
              <w:t>4</w:t>
            </w:r>
          </w:p>
        </w:tc>
        <w:tc>
          <w:tcPr>
            <w:tcW w:w="580" w:type="pct"/>
            <w:tcBorders>
              <w:top w:val="nil"/>
              <w:left w:val="nil"/>
              <w:bottom w:val="nil"/>
              <w:right w:val="nil"/>
            </w:tcBorders>
            <w:shd w:val="clear" w:color="auto" w:fill="E6E6E6"/>
            <w:noWrap/>
            <w:vAlign w:val="bottom"/>
            <w:hideMark/>
          </w:tcPr>
          <w:p w14:paraId="5E8B924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92,893</w:t>
            </w:r>
          </w:p>
        </w:tc>
        <w:tc>
          <w:tcPr>
            <w:tcW w:w="580" w:type="pct"/>
            <w:tcBorders>
              <w:top w:val="nil"/>
              <w:left w:val="nil"/>
              <w:bottom w:val="nil"/>
              <w:right w:val="nil"/>
            </w:tcBorders>
            <w:shd w:val="clear" w:color="auto" w:fill="auto"/>
            <w:noWrap/>
            <w:vAlign w:val="bottom"/>
            <w:hideMark/>
          </w:tcPr>
          <w:p w14:paraId="2B77B4E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83,724</w:t>
            </w:r>
          </w:p>
        </w:tc>
        <w:tc>
          <w:tcPr>
            <w:tcW w:w="580" w:type="pct"/>
            <w:tcBorders>
              <w:top w:val="nil"/>
              <w:left w:val="nil"/>
              <w:bottom w:val="nil"/>
              <w:right w:val="nil"/>
            </w:tcBorders>
            <w:shd w:val="clear" w:color="auto" w:fill="auto"/>
            <w:noWrap/>
            <w:vAlign w:val="bottom"/>
            <w:hideMark/>
          </w:tcPr>
          <w:p w14:paraId="2A63556A"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85,242</w:t>
            </w:r>
          </w:p>
        </w:tc>
        <w:tc>
          <w:tcPr>
            <w:tcW w:w="580" w:type="pct"/>
            <w:tcBorders>
              <w:top w:val="nil"/>
              <w:left w:val="nil"/>
              <w:bottom w:val="nil"/>
              <w:right w:val="nil"/>
            </w:tcBorders>
            <w:shd w:val="clear" w:color="auto" w:fill="auto"/>
            <w:noWrap/>
            <w:vAlign w:val="bottom"/>
            <w:hideMark/>
          </w:tcPr>
          <w:p w14:paraId="3FD07B08"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86,297</w:t>
            </w:r>
          </w:p>
        </w:tc>
      </w:tr>
      <w:tr w:rsidR="00CB36D7" w:rsidRPr="00E965CA" w14:paraId="79BEB1FD" w14:textId="77777777" w:rsidTr="007431A4">
        <w:trPr>
          <w:trHeight w:val="204"/>
        </w:trPr>
        <w:tc>
          <w:tcPr>
            <w:tcW w:w="2065" w:type="pct"/>
            <w:tcBorders>
              <w:top w:val="nil"/>
              <w:left w:val="nil"/>
              <w:bottom w:val="nil"/>
              <w:right w:val="nil"/>
            </w:tcBorders>
            <w:shd w:val="clear" w:color="auto" w:fill="auto"/>
            <w:noWrap/>
            <w:vAlign w:val="bottom"/>
            <w:hideMark/>
          </w:tcPr>
          <w:p w14:paraId="4D385AD4"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Receipts from Government</w:t>
            </w:r>
          </w:p>
        </w:tc>
        <w:tc>
          <w:tcPr>
            <w:tcW w:w="615" w:type="pct"/>
            <w:tcBorders>
              <w:top w:val="nil"/>
              <w:left w:val="nil"/>
              <w:bottom w:val="nil"/>
              <w:right w:val="nil"/>
            </w:tcBorders>
            <w:shd w:val="clear" w:color="auto" w:fill="auto"/>
            <w:noWrap/>
            <w:vAlign w:val="bottom"/>
            <w:hideMark/>
          </w:tcPr>
          <w:p w14:paraId="0601597A"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135,641</w:t>
            </w:r>
          </w:p>
        </w:tc>
        <w:tc>
          <w:tcPr>
            <w:tcW w:w="580" w:type="pct"/>
            <w:tcBorders>
              <w:top w:val="nil"/>
              <w:left w:val="nil"/>
              <w:bottom w:val="nil"/>
              <w:right w:val="nil"/>
            </w:tcBorders>
            <w:shd w:val="clear" w:color="auto" w:fill="E6E6E6"/>
            <w:noWrap/>
            <w:vAlign w:val="bottom"/>
            <w:hideMark/>
          </w:tcPr>
          <w:p w14:paraId="7CD2445B"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134,642</w:t>
            </w:r>
          </w:p>
        </w:tc>
        <w:tc>
          <w:tcPr>
            <w:tcW w:w="580" w:type="pct"/>
            <w:tcBorders>
              <w:top w:val="nil"/>
              <w:left w:val="nil"/>
              <w:bottom w:val="nil"/>
              <w:right w:val="nil"/>
            </w:tcBorders>
            <w:shd w:val="clear" w:color="auto" w:fill="auto"/>
            <w:noWrap/>
            <w:vAlign w:val="bottom"/>
            <w:hideMark/>
          </w:tcPr>
          <w:p w14:paraId="29954940"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153,147</w:t>
            </w:r>
          </w:p>
        </w:tc>
        <w:tc>
          <w:tcPr>
            <w:tcW w:w="580" w:type="pct"/>
            <w:tcBorders>
              <w:top w:val="nil"/>
              <w:left w:val="nil"/>
              <w:bottom w:val="nil"/>
              <w:right w:val="nil"/>
            </w:tcBorders>
            <w:shd w:val="clear" w:color="auto" w:fill="auto"/>
            <w:noWrap/>
            <w:vAlign w:val="bottom"/>
            <w:hideMark/>
          </w:tcPr>
          <w:p w14:paraId="5F27EF3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157,322</w:t>
            </w:r>
          </w:p>
        </w:tc>
        <w:tc>
          <w:tcPr>
            <w:tcW w:w="580" w:type="pct"/>
            <w:tcBorders>
              <w:top w:val="nil"/>
              <w:left w:val="nil"/>
              <w:bottom w:val="nil"/>
              <w:right w:val="nil"/>
            </w:tcBorders>
            <w:shd w:val="clear" w:color="auto" w:fill="auto"/>
            <w:noWrap/>
            <w:vAlign w:val="bottom"/>
            <w:hideMark/>
          </w:tcPr>
          <w:p w14:paraId="1A102DEE"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160,533</w:t>
            </w:r>
          </w:p>
        </w:tc>
      </w:tr>
      <w:tr w:rsidR="00CB36D7" w:rsidRPr="00E965CA" w14:paraId="45974A93" w14:textId="77777777" w:rsidTr="007431A4">
        <w:trPr>
          <w:trHeight w:val="204"/>
        </w:trPr>
        <w:tc>
          <w:tcPr>
            <w:tcW w:w="2065" w:type="pct"/>
            <w:tcBorders>
              <w:top w:val="nil"/>
              <w:left w:val="nil"/>
              <w:bottom w:val="nil"/>
              <w:right w:val="nil"/>
            </w:tcBorders>
            <w:shd w:val="clear" w:color="auto" w:fill="auto"/>
            <w:vAlign w:val="bottom"/>
            <w:hideMark/>
          </w:tcPr>
          <w:p w14:paraId="23BF2F66"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Sale of goods and rendering of services</w:t>
            </w:r>
          </w:p>
        </w:tc>
        <w:tc>
          <w:tcPr>
            <w:tcW w:w="615" w:type="pct"/>
            <w:tcBorders>
              <w:top w:val="nil"/>
              <w:left w:val="nil"/>
              <w:bottom w:val="nil"/>
              <w:right w:val="nil"/>
            </w:tcBorders>
            <w:shd w:val="clear" w:color="auto" w:fill="auto"/>
            <w:noWrap/>
            <w:vAlign w:val="bottom"/>
            <w:hideMark/>
          </w:tcPr>
          <w:p w14:paraId="788A128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12,</w:t>
            </w:r>
            <w:r>
              <w:rPr>
                <w:rFonts w:ascii="Arial" w:hAnsi="Arial" w:cs="Arial"/>
                <w:color w:val="000000"/>
                <w:sz w:val="16"/>
                <w:szCs w:val="16"/>
              </w:rPr>
              <w:t>281</w:t>
            </w:r>
          </w:p>
        </w:tc>
        <w:tc>
          <w:tcPr>
            <w:tcW w:w="580" w:type="pct"/>
            <w:tcBorders>
              <w:top w:val="nil"/>
              <w:left w:val="nil"/>
              <w:bottom w:val="nil"/>
              <w:right w:val="nil"/>
            </w:tcBorders>
            <w:shd w:val="clear" w:color="auto" w:fill="E6E6E6"/>
            <w:noWrap/>
            <w:vAlign w:val="bottom"/>
            <w:hideMark/>
          </w:tcPr>
          <w:p w14:paraId="63F5A0E7"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9,611</w:t>
            </w:r>
          </w:p>
        </w:tc>
        <w:tc>
          <w:tcPr>
            <w:tcW w:w="580" w:type="pct"/>
            <w:tcBorders>
              <w:top w:val="nil"/>
              <w:left w:val="nil"/>
              <w:bottom w:val="nil"/>
              <w:right w:val="nil"/>
            </w:tcBorders>
            <w:shd w:val="clear" w:color="auto" w:fill="auto"/>
            <w:noWrap/>
            <w:vAlign w:val="bottom"/>
            <w:hideMark/>
          </w:tcPr>
          <w:p w14:paraId="612AB26E"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10,329</w:t>
            </w:r>
          </w:p>
        </w:tc>
        <w:tc>
          <w:tcPr>
            <w:tcW w:w="580" w:type="pct"/>
            <w:tcBorders>
              <w:top w:val="nil"/>
              <w:left w:val="nil"/>
              <w:bottom w:val="nil"/>
              <w:right w:val="nil"/>
            </w:tcBorders>
            <w:shd w:val="clear" w:color="auto" w:fill="auto"/>
            <w:noWrap/>
            <w:vAlign w:val="bottom"/>
            <w:hideMark/>
          </w:tcPr>
          <w:p w14:paraId="3E0C111C"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10,210</w:t>
            </w:r>
          </w:p>
        </w:tc>
        <w:tc>
          <w:tcPr>
            <w:tcW w:w="580" w:type="pct"/>
            <w:tcBorders>
              <w:top w:val="nil"/>
              <w:left w:val="nil"/>
              <w:bottom w:val="nil"/>
              <w:right w:val="nil"/>
            </w:tcBorders>
            <w:shd w:val="clear" w:color="auto" w:fill="auto"/>
            <w:noWrap/>
            <w:vAlign w:val="bottom"/>
            <w:hideMark/>
          </w:tcPr>
          <w:p w14:paraId="6FF92F4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10,322</w:t>
            </w:r>
          </w:p>
        </w:tc>
      </w:tr>
      <w:tr w:rsidR="00CB36D7" w:rsidRPr="00E965CA" w14:paraId="71C07597" w14:textId="77777777" w:rsidTr="007431A4">
        <w:trPr>
          <w:trHeight w:val="204"/>
        </w:trPr>
        <w:tc>
          <w:tcPr>
            <w:tcW w:w="2065" w:type="pct"/>
            <w:tcBorders>
              <w:top w:val="nil"/>
              <w:left w:val="nil"/>
              <w:bottom w:val="nil"/>
              <w:right w:val="nil"/>
            </w:tcBorders>
            <w:shd w:val="clear" w:color="auto" w:fill="auto"/>
            <w:noWrap/>
            <w:vAlign w:val="bottom"/>
            <w:hideMark/>
          </w:tcPr>
          <w:p w14:paraId="5814C171"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Interest</w:t>
            </w:r>
          </w:p>
        </w:tc>
        <w:tc>
          <w:tcPr>
            <w:tcW w:w="615" w:type="pct"/>
            <w:tcBorders>
              <w:top w:val="nil"/>
              <w:left w:val="nil"/>
              <w:bottom w:val="nil"/>
              <w:right w:val="nil"/>
            </w:tcBorders>
            <w:shd w:val="clear" w:color="auto" w:fill="auto"/>
            <w:noWrap/>
            <w:vAlign w:val="bottom"/>
            <w:hideMark/>
          </w:tcPr>
          <w:p w14:paraId="2F4DF64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476</w:t>
            </w:r>
          </w:p>
        </w:tc>
        <w:tc>
          <w:tcPr>
            <w:tcW w:w="580" w:type="pct"/>
            <w:tcBorders>
              <w:top w:val="nil"/>
              <w:left w:val="nil"/>
              <w:bottom w:val="nil"/>
              <w:right w:val="nil"/>
            </w:tcBorders>
            <w:shd w:val="clear" w:color="auto" w:fill="E6E6E6"/>
            <w:noWrap/>
            <w:vAlign w:val="bottom"/>
            <w:hideMark/>
          </w:tcPr>
          <w:p w14:paraId="5CEEB12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468</w:t>
            </w:r>
          </w:p>
        </w:tc>
        <w:tc>
          <w:tcPr>
            <w:tcW w:w="580" w:type="pct"/>
            <w:tcBorders>
              <w:top w:val="nil"/>
              <w:left w:val="nil"/>
              <w:bottom w:val="nil"/>
              <w:right w:val="nil"/>
            </w:tcBorders>
            <w:shd w:val="clear" w:color="auto" w:fill="auto"/>
            <w:noWrap/>
            <w:vAlign w:val="bottom"/>
            <w:hideMark/>
          </w:tcPr>
          <w:p w14:paraId="4C0FF6F2"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752</w:t>
            </w:r>
          </w:p>
        </w:tc>
        <w:tc>
          <w:tcPr>
            <w:tcW w:w="580" w:type="pct"/>
            <w:tcBorders>
              <w:top w:val="nil"/>
              <w:left w:val="nil"/>
              <w:bottom w:val="nil"/>
              <w:right w:val="nil"/>
            </w:tcBorders>
            <w:shd w:val="clear" w:color="auto" w:fill="auto"/>
            <w:noWrap/>
            <w:vAlign w:val="bottom"/>
            <w:hideMark/>
          </w:tcPr>
          <w:p w14:paraId="1B81757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908</w:t>
            </w:r>
          </w:p>
        </w:tc>
        <w:tc>
          <w:tcPr>
            <w:tcW w:w="580" w:type="pct"/>
            <w:tcBorders>
              <w:top w:val="nil"/>
              <w:left w:val="nil"/>
              <w:bottom w:val="nil"/>
              <w:right w:val="nil"/>
            </w:tcBorders>
            <w:shd w:val="clear" w:color="auto" w:fill="auto"/>
            <w:noWrap/>
            <w:vAlign w:val="bottom"/>
            <w:hideMark/>
          </w:tcPr>
          <w:p w14:paraId="5083F7A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1,192</w:t>
            </w:r>
          </w:p>
        </w:tc>
      </w:tr>
      <w:tr w:rsidR="00CB36D7" w:rsidRPr="00E965CA" w14:paraId="5EAB698D" w14:textId="77777777" w:rsidTr="007431A4">
        <w:trPr>
          <w:trHeight w:val="204"/>
        </w:trPr>
        <w:tc>
          <w:tcPr>
            <w:tcW w:w="2065" w:type="pct"/>
            <w:tcBorders>
              <w:top w:val="nil"/>
              <w:left w:val="nil"/>
              <w:bottom w:val="nil"/>
              <w:right w:val="nil"/>
            </w:tcBorders>
            <w:shd w:val="clear" w:color="auto" w:fill="auto"/>
            <w:noWrap/>
            <w:vAlign w:val="bottom"/>
            <w:hideMark/>
          </w:tcPr>
          <w:p w14:paraId="7F6C1D55"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Net GST received</w:t>
            </w:r>
          </w:p>
        </w:tc>
        <w:tc>
          <w:tcPr>
            <w:tcW w:w="615" w:type="pct"/>
            <w:tcBorders>
              <w:top w:val="nil"/>
              <w:left w:val="nil"/>
              <w:bottom w:val="nil"/>
              <w:right w:val="nil"/>
            </w:tcBorders>
            <w:shd w:val="clear" w:color="auto" w:fill="auto"/>
            <w:noWrap/>
            <w:vAlign w:val="bottom"/>
            <w:hideMark/>
          </w:tcPr>
          <w:p w14:paraId="71AE534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14,419</w:t>
            </w:r>
          </w:p>
        </w:tc>
        <w:tc>
          <w:tcPr>
            <w:tcW w:w="580" w:type="pct"/>
            <w:tcBorders>
              <w:top w:val="nil"/>
              <w:left w:val="nil"/>
              <w:bottom w:val="nil"/>
              <w:right w:val="nil"/>
            </w:tcBorders>
            <w:shd w:val="clear" w:color="auto" w:fill="E6E6E6"/>
            <w:noWrap/>
            <w:vAlign w:val="bottom"/>
            <w:hideMark/>
          </w:tcPr>
          <w:p w14:paraId="47BD4E9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116</w:t>
            </w:r>
          </w:p>
        </w:tc>
        <w:tc>
          <w:tcPr>
            <w:tcW w:w="580" w:type="pct"/>
            <w:tcBorders>
              <w:top w:val="nil"/>
              <w:left w:val="nil"/>
              <w:bottom w:val="nil"/>
              <w:right w:val="nil"/>
            </w:tcBorders>
            <w:shd w:val="clear" w:color="auto" w:fill="auto"/>
            <w:noWrap/>
            <w:vAlign w:val="bottom"/>
            <w:hideMark/>
          </w:tcPr>
          <w:p w14:paraId="447DC11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(196)</w:t>
            </w:r>
          </w:p>
        </w:tc>
        <w:tc>
          <w:tcPr>
            <w:tcW w:w="580" w:type="pct"/>
            <w:tcBorders>
              <w:top w:val="nil"/>
              <w:left w:val="nil"/>
              <w:bottom w:val="nil"/>
              <w:right w:val="nil"/>
            </w:tcBorders>
            <w:shd w:val="clear" w:color="auto" w:fill="auto"/>
            <w:noWrap/>
            <w:vAlign w:val="bottom"/>
            <w:hideMark/>
          </w:tcPr>
          <w:p w14:paraId="27646F7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(116)</w:t>
            </w:r>
          </w:p>
        </w:tc>
        <w:tc>
          <w:tcPr>
            <w:tcW w:w="580" w:type="pct"/>
            <w:tcBorders>
              <w:top w:val="nil"/>
              <w:left w:val="nil"/>
              <w:bottom w:val="nil"/>
              <w:right w:val="nil"/>
            </w:tcBorders>
            <w:shd w:val="clear" w:color="auto" w:fill="auto"/>
            <w:noWrap/>
            <w:vAlign w:val="bottom"/>
            <w:hideMark/>
          </w:tcPr>
          <w:p w14:paraId="5314C3E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(19)</w:t>
            </w:r>
          </w:p>
        </w:tc>
      </w:tr>
      <w:tr w:rsidR="00CB36D7" w:rsidRPr="00E965CA" w14:paraId="5E55C427" w14:textId="77777777" w:rsidTr="007431A4">
        <w:trPr>
          <w:trHeight w:val="204"/>
        </w:trPr>
        <w:tc>
          <w:tcPr>
            <w:tcW w:w="2065" w:type="pct"/>
            <w:tcBorders>
              <w:top w:val="nil"/>
              <w:left w:val="nil"/>
              <w:bottom w:val="nil"/>
              <w:right w:val="nil"/>
            </w:tcBorders>
            <w:shd w:val="clear" w:color="auto" w:fill="auto"/>
            <w:noWrap/>
            <w:vAlign w:val="bottom"/>
            <w:hideMark/>
          </w:tcPr>
          <w:p w14:paraId="70FD25C1"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 xml:space="preserve">Other </w:t>
            </w:r>
          </w:p>
        </w:tc>
        <w:tc>
          <w:tcPr>
            <w:tcW w:w="615" w:type="pct"/>
            <w:tcBorders>
              <w:top w:val="nil"/>
              <w:left w:val="nil"/>
              <w:bottom w:val="nil"/>
              <w:right w:val="nil"/>
            </w:tcBorders>
            <w:shd w:val="clear" w:color="auto" w:fill="auto"/>
            <w:noWrap/>
            <w:vAlign w:val="bottom"/>
            <w:hideMark/>
          </w:tcPr>
          <w:p w14:paraId="3A9E4DA8"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21,107</w:t>
            </w:r>
          </w:p>
        </w:tc>
        <w:tc>
          <w:tcPr>
            <w:tcW w:w="580" w:type="pct"/>
            <w:tcBorders>
              <w:top w:val="nil"/>
              <w:left w:val="nil"/>
              <w:bottom w:val="nil"/>
              <w:right w:val="nil"/>
            </w:tcBorders>
            <w:shd w:val="clear" w:color="auto" w:fill="E6E6E6"/>
            <w:noWrap/>
            <w:vAlign w:val="bottom"/>
            <w:hideMark/>
          </w:tcPr>
          <w:p w14:paraId="6615F94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3,351</w:t>
            </w:r>
          </w:p>
        </w:tc>
        <w:tc>
          <w:tcPr>
            <w:tcW w:w="580" w:type="pct"/>
            <w:tcBorders>
              <w:top w:val="nil"/>
              <w:left w:val="nil"/>
              <w:bottom w:val="nil"/>
              <w:right w:val="nil"/>
            </w:tcBorders>
            <w:shd w:val="clear" w:color="auto" w:fill="auto"/>
            <w:noWrap/>
            <w:vAlign w:val="bottom"/>
            <w:hideMark/>
          </w:tcPr>
          <w:p w14:paraId="7408EB10"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1,535</w:t>
            </w:r>
          </w:p>
        </w:tc>
        <w:tc>
          <w:tcPr>
            <w:tcW w:w="580" w:type="pct"/>
            <w:tcBorders>
              <w:top w:val="nil"/>
              <w:left w:val="nil"/>
              <w:bottom w:val="nil"/>
              <w:right w:val="nil"/>
            </w:tcBorders>
            <w:shd w:val="clear" w:color="auto" w:fill="auto"/>
            <w:noWrap/>
            <w:vAlign w:val="bottom"/>
            <w:hideMark/>
          </w:tcPr>
          <w:p w14:paraId="152EAF97"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1,559</w:t>
            </w:r>
          </w:p>
        </w:tc>
        <w:tc>
          <w:tcPr>
            <w:tcW w:w="580" w:type="pct"/>
            <w:tcBorders>
              <w:top w:val="nil"/>
              <w:left w:val="nil"/>
              <w:bottom w:val="nil"/>
              <w:right w:val="nil"/>
            </w:tcBorders>
            <w:shd w:val="clear" w:color="auto" w:fill="auto"/>
            <w:noWrap/>
            <w:vAlign w:val="bottom"/>
            <w:hideMark/>
          </w:tcPr>
          <w:p w14:paraId="3B12E130"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1,557</w:t>
            </w:r>
          </w:p>
        </w:tc>
      </w:tr>
      <w:tr w:rsidR="00CB36D7" w:rsidRPr="00E965CA" w14:paraId="71E95D75" w14:textId="77777777" w:rsidTr="007431A4">
        <w:trPr>
          <w:trHeight w:val="204"/>
        </w:trPr>
        <w:tc>
          <w:tcPr>
            <w:tcW w:w="2065" w:type="pct"/>
            <w:tcBorders>
              <w:top w:val="nil"/>
              <w:left w:val="nil"/>
              <w:bottom w:val="nil"/>
              <w:right w:val="nil"/>
            </w:tcBorders>
            <w:shd w:val="clear" w:color="auto" w:fill="auto"/>
            <w:noWrap/>
            <w:vAlign w:val="bottom"/>
            <w:hideMark/>
          </w:tcPr>
          <w:p w14:paraId="1B530495"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cash received</w:t>
            </w:r>
          </w:p>
        </w:tc>
        <w:tc>
          <w:tcPr>
            <w:tcW w:w="615" w:type="pct"/>
            <w:tcBorders>
              <w:top w:val="single" w:sz="4" w:space="0" w:color="000000"/>
              <w:left w:val="nil"/>
              <w:bottom w:val="single" w:sz="4" w:space="0" w:color="000000"/>
              <w:right w:val="nil"/>
            </w:tcBorders>
            <w:shd w:val="clear" w:color="auto" w:fill="auto"/>
            <w:noWrap/>
            <w:vAlign w:val="bottom"/>
            <w:hideMark/>
          </w:tcPr>
          <w:p w14:paraId="5AE377A2" w14:textId="3340931F"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w:t>
            </w:r>
            <w:r w:rsidR="00824089">
              <w:rPr>
                <w:rFonts w:ascii="Arial" w:hAnsi="Arial" w:cs="Arial"/>
                <w:b/>
                <w:bCs/>
                <w:i/>
                <w:iCs/>
                <w:color w:val="000000"/>
                <w:sz w:val="16"/>
                <w:szCs w:val="16"/>
              </w:rPr>
              <w:t>7</w:t>
            </w:r>
            <w:r>
              <w:rPr>
                <w:rFonts w:ascii="Arial" w:hAnsi="Arial" w:cs="Arial"/>
                <w:b/>
                <w:bCs/>
                <w:i/>
                <w:iCs/>
                <w:color w:val="000000"/>
                <w:sz w:val="16"/>
                <w:szCs w:val="16"/>
              </w:rPr>
              <w:t>1,728</w:t>
            </w:r>
          </w:p>
        </w:tc>
        <w:tc>
          <w:tcPr>
            <w:tcW w:w="580" w:type="pct"/>
            <w:tcBorders>
              <w:top w:val="single" w:sz="4" w:space="0" w:color="000000"/>
              <w:left w:val="nil"/>
              <w:bottom w:val="single" w:sz="4" w:space="0" w:color="000000"/>
              <w:right w:val="nil"/>
            </w:tcBorders>
            <w:shd w:val="clear" w:color="auto" w:fill="E6E6E6"/>
            <w:noWrap/>
            <w:vAlign w:val="bottom"/>
            <w:hideMark/>
          </w:tcPr>
          <w:p w14:paraId="637161D5"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241,081</w:t>
            </w:r>
          </w:p>
        </w:tc>
        <w:tc>
          <w:tcPr>
            <w:tcW w:w="580" w:type="pct"/>
            <w:tcBorders>
              <w:top w:val="single" w:sz="4" w:space="0" w:color="000000"/>
              <w:left w:val="nil"/>
              <w:bottom w:val="single" w:sz="4" w:space="0" w:color="000000"/>
              <w:right w:val="nil"/>
            </w:tcBorders>
            <w:shd w:val="clear" w:color="auto" w:fill="auto"/>
            <w:noWrap/>
            <w:vAlign w:val="bottom"/>
            <w:hideMark/>
          </w:tcPr>
          <w:p w14:paraId="0FC31C5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249,291</w:t>
            </w:r>
          </w:p>
        </w:tc>
        <w:tc>
          <w:tcPr>
            <w:tcW w:w="580" w:type="pct"/>
            <w:tcBorders>
              <w:top w:val="single" w:sz="4" w:space="0" w:color="000000"/>
              <w:left w:val="nil"/>
              <w:bottom w:val="single" w:sz="4" w:space="0" w:color="000000"/>
              <w:right w:val="nil"/>
            </w:tcBorders>
            <w:shd w:val="clear" w:color="auto" w:fill="auto"/>
            <w:noWrap/>
            <w:vAlign w:val="bottom"/>
            <w:hideMark/>
          </w:tcPr>
          <w:p w14:paraId="4B2422E1"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255,165</w:t>
            </w:r>
          </w:p>
        </w:tc>
        <w:tc>
          <w:tcPr>
            <w:tcW w:w="580" w:type="pct"/>
            <w:tcBorders>
              <w:top w:val="single" w:sz="4" w:space="0" w:color="000000"/>
              <w:left w:val="nil"/>
              <w:bottom w:val="single" w:sz="4" w:space="0" w:color="000000"/>
              <w:right w:val="nil"/>
            </w:tcBorders>
            <w:shd w:val="clear" w:color="auto" w:fill="auto"/>
            <w:noWrap/>
            <w:vAlign w:val="bottom"/>
            <w:hideMark/>
          </w:tcPr>
          <w:p w14:paraId="445AFEA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259,882</w:t>
            </w:r>
          </w:p>
        </w:tc>
      </w:tr>
      <w:tr w:rsidR="00CB36D7" w:rsidRPr="00E965CA" w14:paraId="38FAB2F3" w14:textId="77777777" w:rsidTr="007431A4">
        <w:trPr>
          <w:trHeight w:val="204"/>
        </w:trPr>
        <w:tc>
          <w:tcPr>
            <w:tcW w:w="2065" w:type="pct"/>
            <w:tcBorders>
              <w:top w:val="nil"/>
              <w:left w:val="nil"/>
              <w:bottom w:val="nil"/>
              <w:right w:val="nil"/>
            </w:tcBorders>
            <w:shd w:val="clear" w:color="auto" w:fill="auto"/>
            <w:noWrap/>
            <w:vAlign w:val="bottom"/>
            <w:hideMark/>
          </w:tcPr>
          <w:p w14:paraId="20B34233"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used</w:t>
            </w:r>
          </w:p>
        </w:tc>
        <w:tc>
          <w:tcPr>
            <w:tcW w:w="615" w:type="pct"/>
            <w:tcBorders>
              <w:top w:val="nil"/>
              <w:left w:val="nil"/>
              <w:bottom w:val="nil"/>
              <w:right w:val="nil"/>
            </w:tcBorders>
            <w:shd w:val="clear" w:color="auto" w:fill="auto"/>
            <w:noWrap/>
            <w:vAlign w:val="bottom"/>
            <w:hideMark/>
          </w:tcPr>
          <w:p w14:paraId="17FF5933"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3A0DB59F"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AFD622A"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25ABB116"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46B56BF0"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78026F2E" w14:textId="77777777" w:rsidTr="007431A4">
        <w:trPr>
          <w:trHeight w:val="204"/>
        </w:trPr>
        <w:tc>
          <w:tcPr>
            <w:tcW w:w="2065" w:type="pct"/>
            <w:tcBorders>
              <w:top w:val="nil"/>
              <w:left w:val="nil"/>
              <w:bottom w:val="nil"/>
              <w:right w:val="nil"/>
            </w:tcBorders>
            <w:shd w:val="clear" w:color="auto" w:fill="auto"/>
            <w:noWrap/>
            <w:vAlign w:val="bottom"/>
            <w:hideMark/>
          </w:tcPr>
          <w:p w14:paraId="04AFE92D"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Employees</w:t>
            </w:r>
          </w:p>
        </w:tc>
        <w:tc>
          <w:tcPr>
            <w:tcW w:w="615" w:type="pct"/>
            <w:tcBorders>
              <w:top w:val="nil"/>
              <w:left w:val="nil"/>
              <w:bottom w:val="nil"/>
              <w:right w:val="nil"/>
            </w:tcBorders>
            <w:shd w:val="clear" w:color="auto" w:fill="auto"/>
            <w:noWrap/>
            <w:vAlign w:val="bottom"/>
            <w:hideMark/>
          </w:tcPr>
          <w:p w14:paraId="6B910F1A" w14:textId="616C99CE"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70,9</w:t>
            </w:r>
            <w:r w:rsidR="002F3A22">
              <w:rPr>
                <w:rFonts w:ascii="Arial" w:hAnsi="Arial" w:cs="Arial"/>
                <w:color w:val="000000"/>
                <w:sz w:val="16"/>
                <w:szCs w:val="16"/>
              </w:rPr>
              <w:t>8</w:t>
            </w:r>
            <w:r>
              <w:rPr>
                <w:rFonts w:ascii="Arial" w:hAnsi="Arial" w:cs="Arial"/>
                <w:color w:val="000000"/>
                <w:sz w:val="16"/>
                <w:szCs w:val="16"/>
              </w:rPr>
              <w:t>2</w:t>
            </w:r>
          </w:p>
        </w:tc>
        <w:tc>
          <w:tcPr>
            <w:tcW w:w="580" w:type="pct"/>
            <w:tcBorders>
              <w:top w:val="nil"/>
              <w:left w:val="nil"/>
              <w:bottom w:val="nil"/>
              <w:right w:val="nil"/>
            </w:tcBorders>
            <w:shd w:val="clear" w:color="auto" w:fill="E6E6E6"/>
            <w:noWrap/>
            <w:vAlign w:val="bottom"/>
            <w:hideMark/>
          </w:tcPr>
          <w:p w14:paraId="36FD5BA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74,066</w:t>
            </w:r>
          </w:p>
        </w:tc>
        <w:tc>
          <w:tcPr>
            <w:tcW w:w="580" w:type="pct"/>
            <w:tcBorders>
              <w:top w:val="nil"/>
              <w:left w:val="nil"/>
              <w:bottom w:val="nil"/>
              <w:right w:val="nil"/>
            </w:tcBorders>
            <w:shd w:val="clear" w:color="auto" w:fill="auto"/>
            <w:noWrap/>
            <w:vAlign w:val="bottom"/>
            <w:hideMark/>
          </w:tcPr>
          <w:p w14:paraId="30B1A4E1"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75,506</w:t>
            </w:r>
          </w:p>
        </w:tc>
        <w:tc>
          <w:tcPr>
            <w:tcW w:w="580" w:type="pct"/>
            <w:tcBorders>
              <w:top w:val="nil"/>
              <w:left w:val="nil"/>
              <w:bottom w:val="nil"/>
              <w:right w:val="nil"/>
            </w:tcBorders>
            <w:shd w:val="clear" w:color="auto" w:fill="auto"/>
            <w:noWrap/>
            <w:vAlign w:val="bottom"/>
            <w:hideMark/>
          </w:tcPr>
          <w:p w14:paraId="2A0F20B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76,771</w:t>
            </w:r>
          </w:p>
        </w:tc>
        <w:tc>
          <w:tcPr>
            <w:tcW w:w="580" w:type="pct"/>
            <w:tcBorders>
              <w:top w:val="nil"/>
              <w:left w:val="nil"/>
              <w:bottom w:val="nil"/>
              <w:right w:val="nil"/>
            </w:tcBorders>
            <w:shd w:val="clear" w:color="auto" w:fill="auto"/>
            <w:noWrap/>
            <w:vAlign w:val="bottom"/>
            <w:hideMark/>
          </w:tcPr>
          <w:p w14:paraId="216698D9"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76,645</w:t>
            </w:r>
          </w:p>
        </w:tc>
      </w:tr>
      <w:tr w:rsidR="00CB36D7" w:rsidRPr="00E965CA" w14:paraId="23C6E606" w14:textId="77777777" w:rsidTr="007431A4">
        <w:trPr>
          <w:trHeight w:val="204"/>
        </w:trPr>
        <w:tc>
          <w:tcPr>
            <w:tcW w:w="2065" w:type="pct"/>
            <w:tcBorders>
              <w:top w:val="nil"/>
              <w:left w:val="nil"/>
              <w:bottom w:val="nil"/>
              <w:right w:val="nil"/>
            </w:tcBorders>
            <w:shd w:val="clear" w:color="auto" w:fill="auto"/>
            <w:noWrap/>
            <w:vAlign w:val="bottom"/>
            <w:hideMark/>
          </w:tcPr>
          <w:p w14:paraId="10703A50"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Suppliers</w:t>
            </w:r>
          </w:p>
        </w:tc>
        <w:tc>
          <w:tcPr>
            <w:tcW w:w="615" w:type="pct"/>
            <w:tcBorders>
              <w:top w:val="nil"/>
              <w:left w:val="nil"/>
              <w:bottom w:val="nil"/>
              <w:right w:val="nil"/>
            </w:tcBorders>
            <w:shd w:val="clear" w:color="auto" w:fill="auto"/>
            <w:noWrap/>
            <w:vAlign w:val="bottom"/>
            <w:hideMark/>
          </w:tcPr>
          <w:p w14:paraId="3C79D99E"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120,434</w:t>
            </w:r>
          </w:p>
        </w:tc>
        <w:tc>
          <w:tcPr>
            <w:tcW w:w="580" w:type="pct"/>
            <w:tcBorders>
              <w:top w:val="nil"/>
              <w:left w:val="nil"/>
              <w:bottom w:val="nil"/>
              <w:right w:val="nil"/>
            </w:tcBorders>
            <w:shd w:val="clear" w:color="auto" w:fill="E6E6E6"/>
            <w:noWrap/>
            <w:vAlign w:val="bottom"/>
            <w:hideMark/>
          </w:tcPr>
          <w:p w14:paraId="299E51F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131,268</w:t>
            </w:r>
          </w:p>
        </w:tc>
        <w:tc>
          <w:tcPr>
            <w:tcW w:w="580" w:type="pct"/>
            <w:tcBorders>
              <w:top w:val="nil"/>
              <w:left w:val="nil"/>
              <w:bottom w:val="nil"/>
              <w:right w:val="nil"/>
            </w:tcBorders>
            <w:shd w:val="clear" w:color="auto" w:fill="auto"/>
            <w:noWrap/>
            <w:vAlign w:val="bottom"/>
            <w:hideMark/>
          </w:tcPr>
          <w:p w14:paraId="39BB938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13</w:t>
            </w:r>
            <w:r>
              <w:rPr>
                <w:rFonts w:ascii="Arial" w:hAnsi="Arial" w:cs="Arial"/>
                <w:color w:val="000000"/>
                <w:sz w:val="16"/>
                <w:szCs w:val="16"/>
              </w:rPr>
              <w:t>4,211</w:t>
            </w:r>
          </w:p>
        </w:tc>
        <w:tc>
          <w:tcPr>
            <w:tcW w:w="580" w:type="pct"/>
            <w:tcBorders>
              <w:top w:val="nil"/>
              <w:left w:val="nil"/>
              <w:bottom w:val="nil"/>
              <w:right w:val="nil"/>
            </w:tcBorders>
            <w:shd w:val="clear" w:color="auto" w:fill="auto"/>
            <w:noWrap/>
            <w:vAlign w:val="bottom"/>
            <w:hideMark/>
          </w:tcPr>
          <w:p w14:paraId="6C1856BF"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136,526</w:t>
            </w:r>
          </w:p>
        </w:tc>
        <w:tc>
          <w:tcPr>
            <w:tcW w:w="580" w:type="pct"/>
            <w:tcBorders>
              <w:top w:val="nil"/>
              <w:left w:val="nil"/>
              <w:bottom w:val="nil"/>
              <w:right w:val="nil"/>
            </w:tcBorders>
            <w:shd w:val="clear" w:color="auto" w:fill="auto"/>
            <w:noWrap/>
            <w:vAlign w:val="bottom"/>
            <w:hideMark/>
          </w:tcPr>
          <w:p w14:paraId="7CC4C50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138,582</w:t>
            </w:r>
          </w:p>
        </w:tc>
      </w:tr>
      <w:tr w:rsidR="00CB36D7" w:rsidRPr="00E965CA" w14:paraId="65BAD7FB" w14:textId="77777777" w:rsidTr="007431A4">
        <w:trPr>
          <w:trHeight w:val="204"/>
        </w:trPr>
        <w:tc>
          <w:tcPr>
            <w:tcW w:w="2065" w:type="pct"/>
            <w:tcBorders>
              <w:top w:val="nil"/>
              <w:left w:val="nil"/>
              <w:bottom w:val="nil"/>
              <w:right w:val="nil"/>
            </w:tcBorders>
            <w:shd w:val="clear" w:color="auto" w:fill="auto"/>
            <w:noWrap/>
            <w:vAlign w:val="bottom"/>
            <w:hideMark/>
          </w:tcPr>
          <w:p w14:paraId="2073373E"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Net GST paid</w:t>
            </w:r>
          </w:p>
        </w:tc>
        <w:tc>
          <w:tcPr>
            <w:tcW w:w="615" w:type="pct"/>
            <w:tcBorders>
              <w:top w:val="nil"/>
              <w:left w:val="nil"/>
              <w:bottom w:val="nil"/>
              <w:right w:val="nil"/>
            </w:tcBorders>
            <w:shd w:val="clear" w:color="auto" w:fill="auto"/>
            <w:noWrap/>
            <w:vAlign w:val="bottom"/>
            <w:hideMark/>
          </w:tcPr>
          <w:p w14:paraId="7F1B0EC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14,294</w:t>
            </w:r>
          </w:p>
        </w:tc>
        <w:tc>
          <w:tcPr>
            <w:tcW w:w="580" w:type="pct"/>
            <w:tcBorders>
              <w:top w:val="nil"/>
              <w:left w:val="nil"/>
              <w:bottom w:val="nil"/>
              <w:right w:val="nil"/>
            </w:tcBorders>
            <w:shd w:val="clear" w:color="auto" w:fill="E6E6E6"/>
            <w:noWrap/>
            <w:vAlign w:val="bottom"/>
            <w:hideMark/>
          </w:tcPr>
          <w:p w14:paraId="4C13C10A"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2CE16C22"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5EFE237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56A3D1F7"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E965CA" w14:paraId="7DBBC29D" w14:textId="77777777" w:rsidTr="007431A4">
        <w:trPr>
          <w:trHeight w:val="204"/>
        </w:trPr>
        <w:tc>
          <w:tcPr>
            <w:tcW w:w="2065" w:type="pct"/>
            <w:tcBorders>
              <w:top w:val="nil"/>
              <w:left w:val="nil"/>
              <w:bottom w:val="nil"/>
              <w:right w:val="nil"/>
            </w:tcBorders>
            <w:shd w:val="clear" w:color="auto" w:fill="auto"/>
            <w:vAlign w:val="bottom"/>
            <w:hideMark/>
          </w:tcPr>
          <w:p w14:paraId="4BFC9D90"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Interest payments on lease liability</w:t>
            </w:r>
          </w:p>
        </w:tc>
        <w:tc>
          <w:tcPr>
            <w:tcW w:w="615" w:type="pct"/>
            <w:tcBorders>
              <w:top w:val="nil"/>
              <w:left w:val="nil"/>
              <w:bottom w:val="nil"/>
              <w:right w:val="nil"/>
            </w:tcBorders>
            <w:shd w:val="clear" w:color="auto" w:fill="auto"/>
            <w:noWrap/>
            <w:vAlign w:val="bottom"/>
            <w:hideMark/>
          </w:tcPr>
          <w:p w14:paraId="35356DF0"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w:t>
            </w:r>
            <w:r>
              <w:rPr>
                <w:rFonts w:ascii="Arial" w:hAnsi="Arial" w:cs="Arial"/>
                <w:color w:val="000000"/>
                <w:sz w:val="16"/>
                <w:szCs w:val="16"/>
              </w:rPr>
              <w:t>252</w:t>
            </w:r>
          </w:p>
        </w:tc>
        <w:tc>
          <w:tcPr>
            <w:tcW w:w="580" w:type="pct"/>
            <w:tcBorders>
              <w:top w:val="nil"/>
              <w:left w:val="nil"/>
              <w:bottom w:val="nil"/>
              <w:right w:val="nil"/>
            </w:tcBorders>
            <w:shd w:val="clear" w:color="auto" w:fill="E6E6E6"/>
            <w:noWrap/>
            <w:vAlign w:val="bottom"/>
            <w:hideMark/>
          </w:tcPr>
          <w:p w14:paraId="5DC754BF"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1,012</w:t>
            </w:r>
          </w:p>
        </w:tc>
        <w:tc>
          <w:tcPr>
            <w:tcW w:w="580" w:type="pct"/>
            <w:tcBorders>
              <w:top w:val="nil"/>
              <w:left w:val="nil"/>
              <w:bottom w:val="nil"/>
              <w:right w:val="nil"/>
            </w:tcBorders>
            <w:shd w:val="clear" w:color="auto" w:fill="auto"/>
            <w:noWrap/>
            <w:vAlign w:val="bottom"/>
            <w:hideMark/>
          </w:tcPr>
          <w:p w14:paraId="430B04F2"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921</w:t>
            </w:r>
          </w:p>
        </w:tc>
        <w:tc>
          <w:tcPr>
            <w:tcW w:w="580" w:type="pct"/>
            <w:tcBorders>
              <w:top w:val="nil"/>
              <w:left w:val="nil"/>
              <w:bottom w:val="nil"/>
              <w:right w:val="nil"/>
            </w:tcBorders>
            <w:shd w:val="clear" w:color="auto" w:fill="auto"/>
            <w:noWrap/>
            <w:vAlign w:val="bottom"/>
            <w:hideMark/>
          </w:tcPr>
          <w:p w14:paraId="18C97E6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711</w:t>
            </w:r>
          </w:p>
        </w:tc>
        <w:tc>
          <w:tcPr>
            <w:tcW w:w="580" w:type="pct"/>
            <w:tcBorders>
              <w:top w:val="nil"/>
              <w:left w:val="nil"/>
              <w:bottom w:val="nil"/>
              <w:right w:val="nil"/>
            </w:tcBorders>
            <w:shd w:val="clear" w:color="auto" w:fill="auto"/>
            <w:noWrap/>
            <w:vAlign w:val="bottom"/>
            <w:hideMark/>
          </w:tcPr>
          <w:p w14:paraId="0503CC2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586</w:t>
            </w:r>
          </w:p>
        </w:tc>
      </w:tr>
      <w:tr w:rsidR="00CB36D7" w:rsidRPr="00E965CA" w14:paraId="6647955E" w14:textId="77777777" w:rsidTr="007431A4">
        <w:trPr>
          <w:trHeight w:val="204"/>
        </w:trPr>
        <w:tc>
          <w:tcPr>
            <w:tcW w:w="2065" w:type="pct"/>
            <w:tcBorders>
              <w:top w:val="nil"/>
              <w:left w:val="nil"/>
              <w:bottom w:val="nil"/>
              <w:right w:val="nil"/>
            </w:tcBorders>
            <w:shd w:val="clear" w:color="auto" w:fill="auto"/>
            <w:noWrap/>
            <w:vAlign w:val="bottom"/>
            <w:hideMark/>
          </w:tcPr>
          <w:p w14:paraId="2726080F"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Other</w:t>
            </w:r>
          </w:p>
        </w:tc>
        <w:tc>
          <w:tcPr>
            <w:tcW w:w="615" w:type="pct"/>
            <w:tcBorders>
              <w:top w:val="nil"/>
              <w:left w:val="nil"/>
              <w:bottom w:val="nil"/>
              <w:right w:val="nil"/>
            </w:tcBorders>
            <w:shd w:val="clear" w:color="auto" w:fill="auto"/>
            <w:noWrap/>
            <w:vAlign w:val="bottom"/>
            <w:hideMark/>
          </w:tcPr>
          <w:p w14:paraId="790FE736"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3,888</w:t>
            </w:r>
          </w:p>
        </w:tc>
        <w:tc>
          <w:tcPr>
            <w:tcW w:w="580" w:type="pct"/>
            <w:tcBorders>
              <w:top w:val="nil"/>
              <w:left w:val="nil"/>
              <w:bottom w:val="nil"/>
              <w:right w:val="nil"/>
            </w:tcBorders>
            <w:shd w:val="clear" w:color="auto" w:fill="E6E6E6"/>
            <w:noWrap/>
            <w:vAlign w:val="bottom"/>
            <w:hideMark/>
          </w:tcPr>
          <w:p w14:paraId="7225F28F"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2,062</w:t>
            </w:r>
          </w:p>
        </w:tc>
        <w:tc>
          <w:tcPr>
            <w:tcW w:w="580" w:type="pct"/>
            <w:tcBorders>
              <w:top w:val="nil"/>
              <w:left w:val="nil"/>
              <w:bottom w:val="nil"/>
              <w:right w:val="nil"/>
            </w:tcBorders>
            <w:shd w:val="clear" w:color="auto" w:fill="auto"/>
            <w:noWrap/>
            <w:vAlign w:val="bottom"/>
            <w:hideMark/>
          </w:tcPr>
          <w:p w14:paraId="34D7402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1,259</w:t>
            </w:r>
          </w:p>
        </w:tc>
        <w:tc>
          <w:tcPr>
            <w:tcW w:w="580" w:type="pct"/>
            <w:tcBorders>
              <w:top w:val="nil"/>
              <w:left w:val="nil"/>
              <w:bottom w:val="nil"/>
              <w:right w:val="nil"/>
            </w:tcBorders>
            <w:shd w:val="clear" w:color="auto" w:fill="auto"/>
            <w:noWrap/>
            <w:vAlign w:val="bottom"/>
            <w:hideMark/>
          </w:tcPr>
          <w:p w14:paraId="40C5CB4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766</w:t>
            </w:r>
          </w:p>
        </w:tc>
        <w:tc>
          <w:tcPr>
            <w:tcW w:w="580" w:type="pct"/>
            <w:tcBorders>
              <w:top w:val="nil"/>
              <w:left w:val="nil"/>
              <w:bottom w:val="nil"/>
              <w:right w:val="nil"/>
            </w:tcBorders>
            <w:shd w:val="clear" w:color="auto" w:fill="auto"/>
            <w:noWrap/>
            <w:vAlign w:val="bottom"/>
            <w:hideMark/>
          </w:tcPr>
          <w:p w14:paraId="7F15115A"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605</w:t>
            </w:r>
          </w:p>
        </w:tc>
      </w:tr>
      <w:tr w:rsidR="00CB36D7" w:rsidRPr="00E965CA" w14:paraId="488CC27F" w14:textId="77777777" w:rsidTr="007431A4">
        <w:trPr>
          <w:trHeight w:val="204"/>
        </w:trPr>
        <w:tc>
          <w:tcPr>
            <w:tcW w:w="2065" w:type="pct"/>
            <w:tcBorders>
              <w:top w:val="nil"/>
              <w:left w:val="nil"/>
              <w:bottom w:val="nil"/>
              <w:right w:val="nil"/>
            </w:tcBorders>
            <w:shd w:val="clear" w:color="auto" w:fill="auto"/>
            <w:noWrap/>
            <w:vAlign w:val="bottom"/>
            <w:hideMark/>
          </w:tcPr>
          <w:p w14:paraId="633A11BC"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615" w:type="pct"/>
            <w:tcBorders>
              <w:top w:val="single" w:sz="4" w:space="0" w:color="000000"/>
              <w:left w:val="nil"/>
              <w:bottom w:val="nil"/>
              <w:right w:val="nil"/>
            </w:tcBorders>
            <w:shd w:val="clear" w:color="auto" w:fill="auto"/>
            <w:noWrap/>
            <w:vAlign w:val="bottom"/>
            <w:hideMark/>
          </w:tcPr>
          <w:p w14:paraId="45C74A4A"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210,850</w:t>
            </w:r>
          </w:p>
        </w:tc>
        <w:tc>
          <w:tcPr>
            <w:tcW w:w="580" w:type="pct"/>
            <w:tcBorders>
              <w:top w:val="single" w:sz="4" w:space="0" w:color="000000"/>
              <w:left w:val="nil"/>
              <w:bottom w:val="nil"/>
              <w:right w:val="nil"/>
            </w:tcBorders>
            <w:shd w:val="clear" w:color="auto" w:fill="E6E6E6"/>
            <w:noWrap/>
            <w:vAlign w:val="bottom"/>
            <w:hideMark/>
          </w:tcPr>
          <w:p w14:paraId="0979CF6E"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208,408</w:t>
            </w:r>
          </w:p>
        </w:tc>
        <w:tc>
          <w:tcPr>
            <w:tcW w:w="580" w:type="pct"/>
            <w:tcBorders>
              <w:top w:val="single" w:sz="4" w:space="0" w:color="000000"/>
              <w:left w:val="nil"/>
              <w:bottom w:val="nil"/>
              <w:right w:val="nil"/>
            </w:tcBorders>
            <w:shd w:val="clear" w:color="auto" w:fill="auto"/>
            <w:noWrap/>
            <w:vAlign w:val="bottom"/>
            <w:hideMark/>
          </w:tcPr>
          <w:p w14:paraId="21175A92"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211,897</w:t>
            </w:r>
          </w:p>
        </w:tc>
        <w:tc>
          <w:tcPr>
            <w:tcW w:w="580" w:type="pct"/>
            <w:tcBorders>
              <w:top w:val="single" w:sz="4" w:space="0" w:color="000000"/>
              <w:left w:val="nil"/>
              <w:bottom w:val="nil"/>
              <w:right w:val="nil"/>
            </w:tcBorders>
            <w:shd w:val="clear" w:color="auto" w:fill="auto"/>
            <w:noWrap/>
            <w:vAlign w:val="bottom"/>
            <w:hideMark/>
          </w:tcPr>
          <w:p w14:paraId="17FA61F1"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214,774</w:t>
            </w:r>
          </w:p>
        </w:tc>
        <w:tc>
          <w:tcPr>
            <w:tcW w:w="580" w:type="pct"/>
            <w:tcBorders>
              <w:top w:val="single" w:sz="4" w:space="0" w:color="000000"/>
              <w:left w:val="nil"/>
              <w:bottom w:val="nil"/>
              <w:right w:val="nil"/>
            </w:tcBorders>
            <w:shd w:val="clear" w:color="auto" w:fill="auto"/>
            <w:noWrap/>
            <w:vAlign w:val="bottom"/>
            <w:hideMark/>
          </w:tcPr>
          <w:p w14:paraId="7B8C184A"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216,418</w:t>
            </w:r>
          </w:p>
        </w:tc>
      </w:tr>
      <w:tr w:rsidR="00CB36D7" w:rsidRPr="00E965CA" w14:paraId="0B30394A" w14:textId="77777777" w:rsidTr="007431A4">
        <w:trPr>
          <w:trHeight w:val="204"/>
        </w:trPr>
        <w:tc>
          <w:tcPr>
            <w:tcW w:w="2065" w:type="pct"/>
            <w:tcBorders>
              <w:top w:val="nil"/>
              <w:left w:val="nil"/>
              <w:bottom w:val="nil"/>
              <w:right w:val="nil"/>
            </w:tcBorders>
            <w:shd w:val="clear" w:color="auto" w:fill="auto"/>
            <w:vAlign w:val="bottom"/>
            <w:hideMark/>
          </w:tcPr>
          <w:p w14:paraId="5B0E6677"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Net cash from/(used by) operating activities</w:t>
            </w:r>
          </w:p>
        </w:tc>
        <w:tc>
          <w:tcPr>
            <w:tcW w:w="615" w:type="pct"/>
            <w:tcBorders>
              <w:top w:val="single" w:sz="4" w:space="0" w:color="auto"/>
              <w:left w:val="nil"/>
              <w:bottom w:val="single" w:sz="4" w:space="0" w:color="auto"/>
              <w:right w:val="nil"/>
            </w:tcBorders>
            <w:shd w:val="clear" w:color="auto" w:fill="auto"/>
            <w:noWrap/>
            <w:vAlign w:val="bottom"/>
            <w:hideMark/>
          </w:tcPr>
          <w:p w14:paraId="527DC563"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60,878</w:t>
            </w:r>
          </w:p>
        </w:tc>
        <w:tc>
          <w:tcPr>
            <w:tcW w:w="580" w:type="pct"/>
            <w:tcBorders>
              <w:top w:val="single" w:sz="4" w:space="0" w:color="auto"/>
              <w:left w:val="nil"/>
              <w:bottom w:val="single" w:sz="4" w:space="0" w:color="auto"/>
              <w:right w:val="nil"/>
            </w:tcBorders>
            <w:shd w:val="clear" w:color="auto" w:fill="E6E6E6"/>
            <w:noWrap/>
            <w:vAlign w:val="bottom"/>
            <w:hideMark/>
          </w:tcPr>
          <w:p w14:paraId="3E0A3EDB"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32,673</w:t>
            </w:r>
          </w:p>
        </w:tc>
        <w:tc>
          <w:tcPr>
            <w:tcW w:w="580" w:type="pct"/>
            <w:tcBorders>
              <w:top w:val="single" w:sz="4" w:space="0" w:color="auto"/>
              <w:left w:val="nil"/>
              <w:bottom w:val="single" w:sz="4" w:space="0" w:color="auto"/>
              <w:right w:val="nil"/>
            </w:tcBorders>
            <w:shd w:val="clear" w:color="auto" w:fill="auto"/>
            <w:noWrap/>
            <w:vAlign w:val="bottom"/>
            <w:hideMark/>
          </w:tcPr>
          <w:p w14:paraId="2A1A33DF"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37,394</w:t>
            </w:r>
          </w:p>
        </w:tc>
        <w:tc>
          <w:tcPr>
            <w:tcW w:w="580" w:type="pct"/>
            <w:tcBorders>
              <w:top w:val="single" w:sz="4" w:space="0" w:color="auto"/>
              <w:left w:val="nil"/>
              <w:bottom w:val="single" w:sz="4" w:space="0" w:color="auto"/>
              <w:right w:val="nil"/>
            </w:tcBorders>
            <w:shd w:val="clear" w:color="auto" w:fill="auto"/>
            <w:noWrap/>
            <w:vAlign w:val="bottom"/>
            <w:hideMark/>
          </w:tcPr>
          <w:p w14:paraId="4A44C375"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40,391</w:t>
            </w:r>
          </w:p>
        </w:tc>
        <w:tc>
          <w:tcPr>
            <w:tcW w:w="580" w:type="pct"/>
            <w:tcBorders>
              <w:top w:val="single" w:sz="4" w:space="0" w:color="auto"/>
              <w:left w:val="nil"/>
              <w:bottom w:val="single" w:sz="4" w:space="0" w:color="auto"/>
              <w:right w:val="nil"/>
            </w:tcBorders>
            <w:shd w:val="clear" w:color="auto" w:fill="auto"/>
            <w:noWrap/>
            <w:vAlign w:val="bottom"/>
            <w:hideMark/>
          </w:tcPr>
          <w:p w14:paraId="4B0B4A5A"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43,464</w:t>
            </w:r>
          </w:p>
        </w:tc>
      </w:tr>
      <w:tr w:rsidR="00CB36D7" w:rsidRPr="00E965CA" w14:paraId="4A73D8E0" w14:textId="77777777" w:rsidTr="007431A4">
        <w:trPr>
          <w:trHeight w:val="204"/>
        </w:trPr>
        <w:tc>
          <w:tcPr>
            <w:tcW w:w="2065" w:type="pct"/>
            <w:tcBorders>
              <w:top w:val="nil"/>
              <w:left w:val="nil"/>
              <w:bottom w:val="nil"/>
              <w:right w:val="nil"/>
            </w:tcBorders>
            <w:shd w:val="clear" w:color="auto" w:fill="auto"/>
            <w:noWrap/>
            <w:vAlign w:val="bottom"/>
            <w:hideMark/>
          </w:tcPr>
          <w:p w14:paraId="54127026"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INVESTING ACTIVITIES</w:t>
            </w:r>
          </w:p>
        </w:tc>
        <w:tc>
          <w:tcPr>
            <w:tcW w:w="615" w:type="pct"/>
            <w:tcBorders>
              <w:top w:val="nil"/>
              <w:left w:val="nil"/>
              <w:bottom w:val="nil"/>
              <w:right w:val="nil"/>
            </w:tcBorders>
            <w:shd w:val="clear" w:color="auto" w:fill="auto"/>
            <w:noWrap/>
            <w:vAlign w:val="bottom"/>
            <w:hideMark/>
          </w:tcPr>
          <w:p w14:paraId="62653858"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602F804D"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1959FF3D"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2CA184E7"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4B745F2B"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531A67E8" w14:textId="77777777" w:rsidTr="007431A4">
        <w:trPr>
          <w:trHeight w:val="204"/>
        </w:trPr>
        <w:tc>
          <w:tcPr>
            <w:tcW w:w="2065" w:type="pct"/>
            <w:tcBorders>
              <w:top w:val="nil"/>
              <w:left w:val="nil"/>
              <w:bottom w:val="nil"/>
              <w:right w:val="nil"/>
            </w:tcBorders>
            <w:shd w:val="clear" w:color="auto" w:fill="auto"/>
            <w:noWrap/>
            <w:vAlign w:val="bottom"/>
            <w:hideMark/>
          </w:tcPr>
          <w:p w14:paraId="5953E490"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received</w:t>
            </w:r>
          </w:p>
        </w:tc>
        <w:tc>
          <w:tcPr>
            <w:tcW w:w="615" w:type="pct"/>
            <w:tcBorders>
              <w:top w:val="nil"/>
              <w:left w:val="nil"/>
              <w:bottom w:val="nil"/>
              <w:right w:val="nil"/>
            </w:tcBorders>
            <w:shd w:val="clear" w:color="auto" w:fill="auto"/>
            <w:noWrap/>
            <w:vAlign w:val="bottom"/>
            <w:hideMark/>
          </w:tcPr>
          <w:p w14:paraId="02744454"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416E0017"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4064754"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6FEB2B3E"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2BE6DF89"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00D84AD3" w14:textId="77777777" w:rsidTr="007431A4">
        <w:trPr>
          <w:trHeight w:val="204"/>
        </w:trPr>
        <w:tc>
          <w:tcPr>
            <w:tcW w:w="2065" w:type="pct"/>
            <w:tcBorders>
              <w:top w:val="nil"/>
              <w:left w:val="nil"/>
              <w:bottom w:val="nil"/>
              <w:right w:val="nil"/>
            </w:tcBorders>
            <w:shd w:val="clear" w:color="auto" w:fill="auto"/>
            <w:vAlign w:val="bottom"/>
            <w:hideMark/>
          </w:tcPr>
          <w:p w14:paraId="371100A7"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Proceeds from sales of property, plant and equipment</w:t>
            </w:r>
          </w:p>
        </w:tc>
        <w:tc>
          <w:tcPr>
            <w:tcW w:w="615" w:type="pct"/>
            <w:tcBorders>
              <w:top w:val="nil"/>
              <w:left w:val="nil"/>
              <w:bottom w:val="nil"/>
              <w:right w:val="nil"/>
            </w:tcBorders>
            <w:shd w:val="clear" w:color="auto" w:fill="auto"/>
            <w:noWrap/>
            <w:vAlign w:val="bottom"/>
            <w:hideMark/>
          </w:tcPr>
          <w:p w14:paraId="2252EA8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691</w:t>
            </w:r>
          </w:p>
        </w:tc>
        <w:tc>
          <w:tcPr>
            <w:tcW w:w="580" w:type="pct"/>
            <w:tcBorders>
              <w:top w:val="nil"/>
              <w:left w:val="nil"/>
              <w:bottom w:val="nil"/>
              <w:right w:val="nil"/>
            </w:tcBorders>
            <w:shd w:val="clear" w:color="auto" w:fill="E6E6E6"/>
            <w:noWrap/>
            <w:vAlign w:val="bottom"/>
            <w:hideMark/>
          </w:tcPr>
          <w:p w14:paraId="61FCDB91"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3C803A4B"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1E492950"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77C2A24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CB36D7" w:rsidRPr="00E965CA" w14:paraId="15CDD596" w14:textId="77777777" w:rsidTr="007431A4">
        <w:trPr>
          <w:trHeight w:val="204"/>
        </w:trPr>
        <w:tc>
          <w:tcPr>
            <w:tcW w:w="2065" w:type="pct"/>
            <w:tcBorders>
              <w:top w:val="nil"/>
              <w:left w:val="nil"/>
              <w:bottom w:val="nil"/>
              <w:right w:val="nil"/>
            </w:tcBorders>
            <w:shd w:val="clear" w:color="auto" w:fill="auto"/>
            <w:noWrap/>
            <w:vAlign w:val="bottom"/>
            <w:hideMark/>
          </w:tcPr>
          <w:p w14:paraId="04BB29A4"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Investments</w:t>
            </w:r>
          </w:p>
        </w:tc>
        <w:tc>
          <w:tcPr>
            <w:tcW w:w="615" w:type="pct"/>
            <w:tcBorders>
              <w:top w:val="nil"/>
              <w:left w:val="nil"/>
              <w:bottom w:val="nil"/>
              <w:right w:val="nil"/>
            </w:tcBorders>
            <w:shd w:val="clear" w:color="auto" w:fill="auto"/>
            <w:noWrap/>
            <w:vAlign w:val="bottom"/>
            <w:hideMark/>
          </w:tcPr>
          <w:p w14:paraId="1B3939C5"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E6E6E6"/>
            <w:noWrap/>
            <w:vAlign w:val="bottom"/>
            <w:hideMark/>
          </w:tcPr>
          <w:p w14:paraId="7D69FA9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10,000</w:t>
            </w:r>
          </w:p>
        </w:tc>
        <w:tc>
          <w:tcPr>
            <w:tcW w:w="580" w:type="pct"/>
            <w:tcBorders>
              <w:top w:val="nil"/>
              <w:left w:val="nil"/>
              <w:bottom w:val="nil"/>
              <w:right w:val="nil"/>
            </w:tcBorders>
            <w:shd w:val="clear" w:color="auto" w:fill="auto"/>
            <w:noWrap/>
            <w:vAlign w:val="bottom"/>
            <w:hideMark/>
          </w:tcPr>
          <w:p w14:paraId="65BF39FF"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20,000</w:t>
            </w:r>
          </w:p>
        </w:tc>
        <w:tc>
          <w:tcPr>
            <w:tcW w:w="580" w:type="pct"/>
            <w:tcBorders>
              <w:top w:val="nil"/>
              <w:left w:val="nil"/>
              <w:bottom w:val="nil"/>
              <w:right w:val="nil"/>
            </w:tcBorders>
            <w:shd w:val="clear" w:color="auto" w:fill="auto"/>
            <w:noWrap/>
            <w:vAlign w:val="bottom"/>
            <w:hideMark/>
          </w:tcPr>
          <w:p w14:paraId="7420EAA3"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2DD66AD9"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CB36D7" w:rsidRPr="00E965CA" w14:paraId="176200A9" w14:textId="77777777" w:rsidTr="007431A4">
        <w:trPr>
          <w:trHeight w:val="204"/>
        </w:trPr>
        <w:tc>
          <w:tcPr>
            <w:tcW w:w="2065" w:type="pct"/>
            <w:tcBorders>
              <w:top w:val="nil"/>
              <w:left w:val="nil"/>
              <w:bottom w:val="nil"/>
              <w:right w:val="nil"/>
            </w:tcBorders>
            <w:shd w:val="clear" w:color="auto" w:fill="auto"/>
            <w:noWrap/>
            <w:vAlign w:val="bottom"/>
          </w:tcPr>
          <w:p w14:paraId="14878B4D" w14:textId="77777777" w:rsidR="00CB36D7" w:rsidRPr="00E965CA" w:rsidRDefault="00CB36D7" w:rsidP="004B1146">
            <w:pPr>
              <w:spacing w:after="0" w:line="240" w:lineRule="auto"/>
              <w:ind w:left="113"/>
              <w:rPr>
                <w:rFonts w:ascii="Arial" w:hAnsi="Arial" w:cs="Arial"/>
                <w:color w:val="000000"/>
                <w:sz w:val="16"/>
                <w:szCs w:val="16"/>
              </w:rPr>
            </w:pPr>
            <w:r>
              <w:rPr>
                <w:rFonts w:ascii="Arial" w:hAnsi="Arial" w:cs="Arial"/>
                <w:color w:val="000000"/>
                <w:sz w:val="16"/>
                <w:szCs w:val="16"/>
              </w:rPr>
              <w:t>Other</w:t>
            </w:r>
          </w:p>
        </w:tc>
        <w:tc>
          <w:tcPr>
            <w:tcW w:w="615" w:type="pct"/>
            <w:tcBorders>
              <w:top w:val="nil"/>
              <w:left w:val="nil"/>
              <w:bottom w:val="nil"/>
              <w:right w:val="nil"/>
            </w:tcBorders>
            <w:shd w:val="clear" w:color="auto" w:fill="auto"/>
            <w:noWrap/>
            <w:vAlign w:val="bottom"/>
          </w:tcPr>
          <w:p w14:paraId="2EF7B81B"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580" w:type="pct"/>
            <w:tcBorders>
              <w:top w:val="nil"/>
              <w:left w:val="nil"/>
              <w:bottom w:val="nil"/>
              <w:right w:val="nil"/>
            </w:tcBorders>
            <w:shd w:val="clear" w:color="auto" w:fill="E6E6E6"/>
            <w:noWrap/>
            <w:vAlign w:val="bottom"/>
          </w:tcPr>
          <w:p w14:paraId="705EA0F3"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tcPr>
          <w:p w14:paraId="79516C8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tcPr>
          <w:p w14:paraId="43BC962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tcPr>
          <w:p w14:paraId="34D9822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B36D7" w:rsidRPr="00E965CA" w14:paraId="278D781B" w14:textId="77777777" w:rsidTr="007431A4">
        <w:trPr>
          <w:trHeight w:val="204"/>
        </w:trPr>
        <w:tc>
          <w:tcPr>
            <w:tcW w:w="2065" w:type="pct"/>
            <w:tcBorders>
              <w:top w:val="nil"/>
              <w:left w:val="nil"/>
              <w:bottom w:val="nil"/>
              <w:right w:val="nil"/>
            </w:tcBorders>
            <w:shd w:val="clear" w:color="auto" w:fill="auto"/>
            <w:noWrap/>
            <w:vAlign w:val="bottom"/>
            <w:hideMark/>
          </w:tcPr>
          <w:p w14:paraId="25C0109D"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cash received</w:t>
            </w:r>
          </w:p>
        </w:tc>
        <w:tc>
          <w:tcPr>
            <w:tcW w:w="615" w:type="pct"/>
            <w:tcBorders>
              <w:top w:val="single" w:sz="4" w:space="0" w:color="000000"/>
              <w:left w:val="nil"/>
              <w:bottom w:val="single" w:sz="4" w:space="0" w:color="000000"/>
              <w:right w:val="nil"/>
            </w:tcBorders>
            <w:shd w:val="clear" w:color="auto" w:fill="auto"/>
            <w:noWrap/>
            <w:vAlign w:val="bottom"/>
            <w:hideMark/>
          </w:tcPr>
          <w:p w14:paraId="544A19D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1,993</w:t>
            </w:r>
          </w:p>
        </w:tc>
        <w:tc>
          <w:tcPr>
            <w:tcW w:w="580" w:type="pct"/>
            <w:tcBorders>
              <w:top w:val="single" w:sz="4" w:space="0" w:color="000000"/>
              <w:left w:val="nil"/>
              <w:bottom w:val="single" w:sz="4" w:space="0" w:color="000000"/>
              <w:right w:val="nil"/>
            </w:tcBorders>
            <w:shd w:val="clear" w:color="auto" w:fill="E6E6E6"/>
            <w:noWrap/>
            <w:vAlign w:val="bottom"/>
            <w:hideMark/>
          </w:tcPr>
          <w:p w14:paraId="39CF5AC0"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10,000</w:t>
            </w:r>
          </w:p>
        </w:tc>
        <w:tc>
          <w:tcPr>
            <w:tcW w:w="580" w:type="pct"/>
            <w:tcBorders>
              <w:top w:val="single" w:sz="4" w:space="0" w:color="000000"/>
              <w:left w:val="nil"/>
              <w:bottom w:val="single" w:sz="4" w:space="0" w:color="000000"/>
              <w:right w:val="nil"/>
            </w:tcBorders>
            <w:shd w:val="clear" w:color="auto" w:fill="auto"/>
            <w:noWrap/>
            <w:vAlign w:val="bottom"/>
            <w:hideMark/>
          </w:tcPr>
          <w:p w14:paraId="62D95050"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20,000</w:t>
            </w:r>
          </w:p>
        </w:tc>
        <w:tc>
          <w:tcPr>
            <w:tcW w:w="580" w:type="pct"/>
            <w:tcBorders>
              <w:top w:val="single" w:sz="4" w:space="0" w:color="000000"/>
              <w:left w:val="nil"/>
              <w:bottom w:val="single" w:sz="4" w:space="0" w:color="000000"/>
              <w:right w:val="nil"/>
            </w:tcBorders>
            <w:shd w:val="clear" w:color="auto" w:fill="auto"/>
            <w:noWrap/>
            <w:vAlign w:val="bottom"/>
            <w:hideMark/>
          </w:tcPr>
          <w:p w14:paraId="45EB01BA"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c>
          <w:tcPr>
            <w:tcW w:w="580" w:type="pct"/>
            <w:tcBorders>
              <w:top w:val="single" w:sz="4" w:space="0" w:color="000000"/>
              <w:left w:val="nil"/>
              <w:bottom w:val="single" w:sz="4" w:space="0" w:color="000000"/>
              <w:right w:val="nil"/>
            </w:tcBorders>
            <w:shd w:val="clear" w:color="auto" w:fill="auto"/>
            <w:noWrap/>
            <w:vAlign w:val="bottom"/>
            <w:hideMark/>
          </w:tcPr>
          <w:p w14:paraId="63AE0F4A"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w:t>
            </w:r>
          </w:p>
        </w:tc>
      </w:tr>
      <w:tr w:rsidR="00CB36D7" w:rsidRPr="00E965CA" w14:paraId="70AABF20" w14:textId="77777777" w:rsidTr="007431A4">
        <w:trPr>
          <w:trHeight w:val="204"/>
        </w:trPr>
        <w:tc>
          <w:tcPr>
            <w:tcW w:w="2065" w:type="pct"/>
            <w:tcBorders>
              <w:top w:val="nil"/>
              <w:left w:val="nil"/>
              <w:bottom w:val="nil"/>
              <w:right w:val="nil"/>
            </w:tcBorders>
            <w:shd w:val="clear" w:color="auto" w:fill="auto"/>
            <w:noWrap/>
            <w:vAlign w:val="bottom"/>
            <w:hideMark/>
          </w:tcPr>
          <w:p w14:paraId="79455EB3"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used</w:t>
            </w:r>
          </w:p>
        </w:tc>
        <w:tc>
          <w:tcPr>
            <w:tcW w:w="615" w:type="pct"/>
            <w:tcBorders>
              <w:top w:val="nil"/>
              <w:left w:val="nil"/>
              <w:bottom w:val="nil"/>
              <w:right w:val="nil"/>
            </w:tcBorders>
            <w:shd w:val="clear" w:color="auto" w:fill="auto"/>
            <w:noWrap/>
            <w:vAlign w:val="bottom"/>
            <w:hideMark/>
          </w:tcPr>
          <w:p w14:paraId="754EF063"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7068ED70"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469DC0D"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6C2B83A9"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5C66D949"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7A25FB0D" w14:textId="77777777" w:rsidTr="007431A4">
        <w:trPr>
          <w:trHeight w:val="204"/>
        </w:trPr>
        <w:tc>
          <w:tcPr>
            <w:tcW w:w="2065" w:type="pct"/>
            <w:tcBorders>
              <w:top w:val="nil"/>
              <w:left w:val="nil"/>
              <w:bottom w:val="nil"/>
              <w:right w:val="nil"/>
            </w:tcBorders>
            <w:shd w:val="clear" w:color="auto" w:fill="auto"/>
            <w:vAlign w:val="bottom"/>
            <w:hideMark/>
          </w:tcPr>
          <w:p w14:paraId="61732742"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Purchase of property, plant and equipment and intangibles</w:t>
            </w:r>
          </w:p>
        </w:tc>
        <w:tc>
          <w:tcPr>
            <w:tcW w:w="615" w:type="pct"/>
            <w:tcBorders>
              <w:top w:val="nil"/>
              <w:left w:val="nil"/>
              <w:bottom w:val="nil"/>
              <w:right w:val="nil"/>
            </w:tcBorders>
            <w:shd w:val="clear" w:color="auto" w:fill="auto"/>
            <w:noWrap/>
            <w:vAlign w:val="bottom"/>
            <w:hideMark/>
          </w:tcPr>
          <w:p w14:paraId="19B5F9E7"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12,223</w:t>
            </w:r>
          </w:p>
        </w:tc>
        <w:tc>
          <w:tcPr>
            <w:tcW w:w="580" w:type="pct"/>
            <w:tcBorders>
              <w:top w:val="nil"/>
              <w:left w:val="nil"/>
              <w:bottom w:val="nil"/>
              <w:right w:val="nil"/>
            </w:tcBorders>
            <w:shd w:val="clear" w:color="auto" w:fill="E6E6E6"/>
            <w:noWrap/>
            <w:vAlign w:val="bottom"/>
            <w:hideMark/>
          </w:tcPr>
          <w:p w14:paraId="7540CE1C"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23,247</w:t>
            </w:r>
          </w:p>
        </w:tc>
        <w:tc>
          <w:tcPr>
            <w:tcW w:w="580" w:type="pct"/>
            <w:tcBorders>
              <w:top w:val="nil"/>
              <w:left w:val="nil"/>
              <w:bottom w:val="nil"/>
              <w:right w:val="nil"/>
            </w:tcBorders>
            <w:shd w:val="clear" w:color="auto" w:fill="auto"/>
            <w:noWrap/>
            <w:vAlign w:val="bottom"/>
            <w:hideMark/>
          </w:tcPr>
          <w:p w14:paraId="522FF50B"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37,056</w:t>
            </w:r>
          </w:p>
        </w:tc>
        <w:tc>
          <w:tcPr>
            <w:tcW w:w="580" w:type="pct"/>
            <w:tcBorders>
              <w:top w:val="nil"/>
              <w:left w:val="nil"/>
              <w:bottom w:val="nil"/>
              <w:right w:val="nil"/>
            </w:tcBorders>
            <w:shd w:val="clear" w:color="auto" w:fill="auto"/>
            <w:noWrap/>
            <w:vAlign w:val="bottom"/>
            <w:hideMark/>
          </w:tcPr>
          <w:p w14:paraId="14D87DFE"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13,37</w:t>
            </w:r>
            <w:r>
              <w:rPr>
                <w:rFonts w:ascii="Arial" w:hAnsi="Arial" w:cs="Arial"/>
                <w:color w:val="000000"/>
                <w:sz w:val="16"/>
                <w:szCs w:val="16"/>
              </w:rPr>
              <w:t>6</w:t>
            </w:r>
          </w:p>
        </w:tc>
        <w:tc>
          <w:tcPr>
            <w:tcW w:w="580" w:type="pct"/>
            <w:tcBorders>
              <w:top w:val="nil"/>
              <w:left w:val="nil"/>
              <w:bottom w:val="nil"/>
              <w:right w:val="nil"/>
            </w:tcBorders>
            <w:shd w:val="clear" w:color="auto" w:fill="auto"/>
            <w:noWrap/>
            <w:vAlign w:val="bottom"/>
            <w:hideMark/>
          </w:tcPr>
          <w:p w14:paraId="50662854"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26,442</w:t>
            </w:r>
          </w:p>
        </w:tc>
      </w:tr>
      <w:tr w:rsidR="00CB36D7" w:rsidRPr="00E965CA" w14:paraId="763278FD" w14:textId="77777777" w:rsidTr="007431A4">
        <w:trPr>
          <w:trHeight w:val="204"/>
        </w:trPr>
        <w:tc>
          <w:tcPr>
            <w:tcW w:w="2065" w:type="pct"/>
            <w:tcBorders>
              <w:top w:val="nil"/>
              <w:left w:val="nil"/>
              <w:bottom w:val="nil"/>
              <w:right w:val="nil"/>
            </w:tcBorders>
            <w:shd w:val="clear" w:color="auto" w:fill="auto"/>
            <w:noWrap/>
            <w:vAlign w:val="bottom"/>
            <w:hideMark/>
          </w:tcPr>
          <w:p w14:paraId="1E1D0814"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Investments</w:t>
            </w:r>
          </w:p>
        </w:tc>
        <w:tc>
          <w:tcPr>
            <w:tcW w:w="615" w:type="pct"/>
            <w:tcBorders>
              <w:top w:val="nil"/>
              <w:left w:val="nil"/>
              <w:bottom w:val="nil"/>
              <w:right w:val="nil"/>
            </w:tcBorders>
            <w:shd w:val="clear" w:color="auto" w:fill="auto"/>
            <w:noWrap/>
            <w:vAlign w:val="bottom"/>
            <w:hideMark/>
          </w:tcPr>
          <w:p w14:paraId="5ACB9F89"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25,000</w:t>
            </w:r>
          </w:p>
        </w:tc>
        <w:tc>
          <w:tcPr>
            <w:tcW w:w="580" w:type="pct"/>
            <w:tcBorders>
              <w:top w:val="nil"/>
              <w:left w:val="nil"/>
              <w:bottom w:val="nil"/>
              <w:right w:val="nil"/>
            </w:tcBorders>
            <w:shd w:val="clear" w:color="auto" w:fill="E6E6E6"/>
            <w:noWrap/>
            <w:vAlign w:val="bottom"/>
            <w:hideMark/>
          </w:tcPr>
          <w:p w14:paraId="50B4346B"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2C4BCB0F"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72B9BE49"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5,000</w:t>
            </w:r>
          </w:p>
        </w:tc>
        <w:tc>
          <w:tcPr>
            <w:tcW w:w="580" w:type="pct"/>
            <w:tcBorders>
              <w:top w:val="nil"/>
              <w:left w:val="nil"/>
              <w:bottom w:val="nil"/>
              <w:right w:val="nil"/>
            </w:tcBorders>
            <w:shd w:val="clear" w:color="auto" w:fill="auto"/>
            <w:noWrap/>
            <w:vAlign w:val="bottom"/>
            <w:hideMark/>
          </w:tcPr>
          <w:p w14:paraId="5AC5ED6E"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CB36D7" w:rsidRPr="00E965CA" w14:paraId="48E4EA94" w14:textId="77777777" w:rsidTr="007431A4">
        <w:trPr>
          <w:trHeight w:val="204"/>
        </w:trPr>
        <w:tc>
          <w:tcPr>
            <w:tcW w:w="2065" w:type="pct"/>
            <w:tcBorders>
              <w:top w:val="nil"/>
              <w:left w:val="nil"/>
              <w:bottom w:val="nil"/>
              <w:right w:val="nil"/>
            </w:tcBorders>
            <w:shd w:val="clear" w:color="auto" w:fill="auto"/>
            <w:noWrap/>
            <w:vAlign w:val="bottom"/>
            <w:hideMark/>
          </w:tcPr>
          <w:p w14:paraId="09586E8F" w14:textId="77777777" w:rsidR="00CB36D7" w:rsidRPr="00E965CA" w:rsidRDefault="00CB36D7" w:rsidP="004B1146">
            <w:pPr>
              <w:spacing w:after="0" w:line="240" w:lineRule="auto"/>
              <w:ind w:left="113"/>
              <w:rPr>
                <w:rFonts w:ascii="Arial" w:hAnsi="Arial" w:cs="Arial"/>
                <w:color w:val="000000"/>
                <w:sz w:val="16"/>
                <w:szCs w:val="16"/>
              </w:rPr>
            </w:pPr>
            <w:r w:rsidRPr="00E965CA">
              <w:rPr>
                <w:rFonts w:ascii="Arial" w:hAnsi="Arial" w:cs="Arial"/>
                <w:color w:val="000000"/>
                <w:sz w:val="16"/>
                <w:szCs w:val="16"/>
              </w:rPr>
              <w:t>Other</w:t>
            </w:r>
          </w:p>
        </w:tc>
        <w:tc>
          <w:tcPr>
            <w:tcW w:w="615" w:type="pct"/>
            <w:tcBorders>
              <w:top w:val="nil"/>
              <w:left w:val="nil"/>
              <w:bottom w:val="nil"/>
              <w:right w:val="nil"/>
            </w:tcBorders>
            <w:shd w:val="clear" w:color="auto" w:fill="auto"/>
            <w:noWrap/>
            <w:vAlign w:val="bottom"/>
            <w:hideMark/>
          </w:tcPr>
          <w:p w14:paraId="2096261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0" w:type="pct"/>
            <w:tcBorders>
              <w:top w:val="nil"/>
              <w:left w:val="nil"/>
              <w:bottom w:val="nil"/>
              <w:right w:val="nil"/>
            </w:tcBorders>
            <w:shd w:val="clear" w:color="auto" w:fill="E6E6E6"/>
            <w:noWrap/>
            <w:vAlign w:val="bottom"/>
            <w:hideMark/>
          </w:tcPr>
          <w:p w14:paraId="3B40E8EC"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585</w:t>
            </w:r>
          </w:p>
        </w:tc>
        <w:tc>
          <w:tcPr>
            <w:tcW w:w="580" w:type="pct"/>
            <w:tcBorders>
              <w:top w:val="nil"/>
              <w:left w:val="nil"/>
              <w:bottom w:val="nil"/>
              <w:right w:val="nil"/>
            </w:tcBorders>
            <w:shd w:val="clear" w:color="auto" w:fill="auto"/>
            <w:noWrap/>
            <w:vAlign w:val="bottom"/>
            <w:hideMark/>
          </w:tcPr>
          <w:p w14:paraId="44347D07"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2CAD4079"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c>
          <w:tcPr>
            <w:tcW w:w="580" w:type="pct"/>
            <w:tcBorders>
              <w:top w:val="nil"/>
              <w:left w:val="nil"/>
              <w:bottom w:val="nil"/>
              <w:right w:val="nil"/>
            </w:tcBorders>
            <w:shd w:val="clear" w:color="auto" w:fill="auto"/>
            <w:noWrap/>
            <w:vAlign w:val="bottom"/>
            <w:hideMark/>
          </w:tcPr>
          <w:p w14:paraId="0D8F2E03"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w:t>
            </w:r>
          </w:p>
        </w:tc>
      </w:tr>
      <w:tr w:rsidR="00CB36D7" w:rsidRPr="00E965CA" w14:paraId="4E06BC1E" w14:textId="77777777" w:rsidTr="007431A4">
        <w:trPr>
          <w:trHeight w:val="204"/>
        </w:trPr>
        <w:tc>
          <w:tcPr>
            <w:tcW w:w="2065" w:type="pct"/>
            <w:tcBorders>
              <w:top w:val="nil"/>
              <w:left w:val="nil"/>
              <w:right w:val="nil"/>
            </w:tcBorders>
            <w:shd w:val="clear" w:color="auto" w:fill="auto"/>
            <w:noWrap/>
            <w:vAlign w:val="bottom"/>
            <w:hideMark/>
          </w:tcPr>
          <w:p w14:paraId="1108002B"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615" w:type="pct"/>
            <w:tcBorders>
              <w:top w:val="single" w:sz="4" w:space="0" w:color="000000"/>
              <w:left w:val="nil"/>
              <w:bottom w:val="single" w:sz="4" w:space="0" w:color="000000"/>
              <w:right w:val="nil"/>
            </w:tcBorders>
            <w:shd w:val="clear" w:color="auto" w:fill="auto"/>
            <w:noWrap/>
            <w:vAlign w:val="bottom"/>
            <w:hideMark/>
          </w:tcPr>
          <w:p w14:paraId="7AFB2146"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37,223</w:t>
            </w:r>
          </w:p>
        </w:tc>
        <w:tc>
          <w:tcPr>
            <w:tcW w:w="580" w:type="pct"/>
            <w:tcBorders>
              <w:top w:val="single" w:sz="4" w:space="0" w:color="000000"/>
              <w:left w:val="nil"/>
              <w:bottom w:val="single" w:sz="4" w:space="0" w:color="000000"/>
              <w:right w:val="nil"/>
            </w:tcBorders>
            <w:shd w:val="clear" w:color="auto" w:fill="E6E6E6"/>
            <w:noWrap/>
            <w:vAlign w:val="bottom"/>
            <w:hideMark/>
          </w:tcPr>
          <w:p w14:paraId="0F38685A"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23,832</w:t>
            </w:r>
          </w:p>
        </w:tc>
        <w:tc>
          <w:tcPr>
            <w:tcW w:w="580" w:type="pct"/>
            <w:tcBorders>
              <w:top w:val="single" w:sz="4" w:space="0" w:color="000000"/>
              <w:left w:val="nil"/>
              <w:bottom w:val="single" w:sz="4" w:space="0" w:color="000000"/>
              <w:right w:val="nil"/>
            </w:tcBorders>
            <w:shd w:val="clear" w:color="auto" w:fill="auto"/>
            <w:noWrap/>
            <w:vAlign w:val="bottom"/>
            <w:hideMark/>
          </w:tcPr>
          <w:p w14:paraId="02080A28"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37,056</w:t>
            </w:r>
          </w:p>
        </w:tc>
        <w:tc>
          <w:tcPr>
            <w:tcW w:w="580" w:type="pct"/>
            <w:tcBorders>
              <w:top w:val="single" w:sz="4" w:space="0" w:color="000000"/>
              <w:left w:val="nil"/>
              <w:bottom w:val="single" w:sz="4" w:space="0" w:color="000000"/>
              <w:right w:val="nil"/>
            </w:tcBorders>
            <w:shd w:val="clear" w:color="auto" w:fill="auto"/>
            <w:noWrap/>
            <w:vAlign w:val="bottom"/>
            <w:hideMark/>
          </w:tcPr>
          <w:p w14:paraId="097A629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18,376</w:t>
            </w:r>
          </w:p>
        </w:tc>
        <w:tc>
          <w:tcPr>
            <w:tcW w:w="580" w:type="pct"/>
            <w:tcBorders>
              <w:top w:val="single" w:sz="4" w:space="0" w:color="000000"/>
              <w:left w:val="nil"/>
              <w:bottom w:val="single" w:sz="4" w:space="0" w:color="000000"/>
              <w:right w:val="nil"/>
            </w:tcBorders>
            <w:shd w:val="clear" w:color="auto" w:fill="auto"/>
            <w:noWrap/>
            <w:vAlign w:val="bottom"/>
            <w:hideMark/>
          </w:tcPr>
          <w:p w14:paraId="3726292F"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26,442</w:t>
            </w:r>
          </w:p>
        </w:tc>
      </w:tr>
      <w:tr w:rsidR="00CB36D7" w:rsidRPr="00E965CA" w14:paraId="73A0C371" w14:textId="77777777" w:rsidTr="007431A4">
        <w:trPr>
          <w:trHeight w:val="204"/>
        </w:trPr>
        <w:tc>
          <w:tcPr>
            <w:tcW w:w="2065" w:type="pct"/>
            <w:tcBorders>
              <w:top w:val="nil"/>
              <w:left w:val="nil"/>
              <w:right w:val="nil"/>
            </w:tcBorders>
            <w:shd w:val="clear" w:color="auto" w:fill="auto"/>
            <w:vAlign w:val="bottom"/>
            <w:hideMark/>
          </w:tcPr>
          <w:p w14:paraId="736BA376"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Net cash from/(used by) investing activities</w:t>
            </w:r>
          </w:p>
        </w:tc>
        <w:tc>
          <w:tcPr>
            <w:tcW w:w="615" w:type="pct"/>
            <w:tcBorders>
              <w:top w:val="nil"/>
              <w:left w:val="nil"/>
              <w:bottom w:val="single" w:sz="4" w:space="0" w:color="auto"/>
              <w:right w:val="nil"/>
            </w:tcBorders>
            <w:shd w:val="clear" w:color="auto" w:fill="auto"/>
            <w:noWrap/>
            <w:vAlign w:val="bottom"/>
            <w:hideMark/>
          </w:tcPr>
          <w:p w14:paraId="036ADA8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(35,230)</w:t>
            </w:r>
          </w:p>
        </w:tc>
        <w:tc>
          <w:tcPr>
            <w:tcW w:w="580" w:type="pct"/>
            <w:tcBorders>
              <w:top w:val="nil"/>
              <w:left w:val="nil"/>
              <w:bottom w:val="single" w:sz="4" w:space="0" w:color="auto"/>
              <w:right w:val="nil"/>
            </w:tcBorders>
            <w:shd w:val="clear" w:color="auto" w:fill="E6E6E6"/>
            <w:noWrap/>
            <w:vAlign w:val="bottom"/>
            <w:hideMark/>
          </w:tcPr>
          <w:p w14:paraId="354E6634"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(13,832)</w:t>
            </w:r>
          </w:p>
        </w:tc>
        <w:tc>
          <w:tcPr>
            <w:tcW w:w="580" w:type="pct"/>
            <w:tcBorders>
              <w:top w:val="nil"/>
              <w:left w:val="nil"/>
              <w:bottom w:val="single" w:sz="4" w:space="0" w:color="auto"/>
              <w:right w:val="nil"/>
            </w:tcBorders>
            <w:shd w:val="clear" w:color="auto" w:fill="auto"/>
            <w:noWrap/>
            <w:vAlign w:val="bottom"/>
            <w:hideMark/>
          </w:tcPr>
          <w:p w14:paraId="1BB3A7B8"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(17,056)</w:t>
            </w:r>
          </w:p>
        </w:tc>
        <w:tc>
          <w:tcPr>
            <w:tcW w:w="580" w:type="pct"/>
            <w:tcBorders>
              <w:top w:val="nil"/>
              <w:left w:val="nil"/>
              <w:bottom w:val="single" w:sz="4" w:space="0" w:color="auto"/>
              <w:right w:val="nil"/>
            </w:tcBorders>
            <w:shd w:val="clear" w:color="auto" w:fill="auto"/>
            <w:noWrap/>
            <w:vAlign w:val="bottom"/>
            <w:hideMark/>
          </w:tcPr>
          <w:p w14:paraId="5635F49E"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(18,376</w:t>
            </w:r>
            <w:r w:rsidRPr="00DC083D">
              <w:rPr>
                <w:rFonts w:ascii="Arial" w:hAnsi="Arial" w:cs="Arial"/>
                <w:b/>
                <w:bCs/>
                <w:color w:val="000000"/>
                <w:sz w:val="16"/>
                <w:szCs w:val="16"/>
              </w:rPr>
              <w:t>)</w:t>
            </w:r>
          </w:p>
        </w:tc>
        <w:tc>
          <w:tcPr>
            <w:tcW w:w="580" w:type="pct"/>
            <w:tcBorders>
              <w:top w:val="nil"/>
              <w:left w:val="nil"/>
              <w:bottom w:val="single" w:sz="4" w:space="0" w:color="auto"/>
              <w:right w:val="nil"/>
            </w:tcBorders>
            <w:shd w:val="clear" w:color="auto" w:fill="auto"/>
            <w:noWrap/>
            <w:vAlign w:val="bottom"/>
            <w:hideMark/>
          </w:tcPr>
          <w:p w14:paraId="6EF622C5"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(26,442)</w:t>
            </w:r>
          </w:p>
        </w:tc>
      </w:tr>
      <w:tr w:rsidR="00CB36D7" w:rsidRPr="00E965CA" w14:paraId="6319515C" w14:textId="77777777" w:rsidTr="007431A4">
        <w:trPr>
          <w:trHeight w:val="204"/>
        </w:trPr>
        <w:tc>
          <w:tcPr>
            <w:tcW w:w="2065" w:type="pct"/>
            <w:tcBorders>
              <w:left w:val="nil"/>
              <w:bottom w:val="nil"/>
              <w:right w:val="nil"/>
            </w:tcBorders>
            <w:shd w:val="clear" w:color="auto" w:fill="auto"/>
            <w:noWrap/>
            <w:vAlign w:val="bottom"/>
            <w:hideMark/>
          </w:tcPr>
          <w:p w14:paraId="7976CB32"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FINANCING ACTIVITIES</w:t>
            </w:r>
          </w:p>
        </w:tc>
        <w:tc>
          <w:tcPr>
            <w:tcW w:w="615" w:type="pct"/>
            <w:tcBorders>
              <w:top w:val="nil"/>
              <w:left w:val="nil"/>
              <w:bottom w:val="nil"/>
              <w:right w:val="nil"/>
            </w:tcBorders>
            <w:shd w:val="clear" w:color="auto" w:fill="auto"/>
            <w:noWrap/>
            <w:vAlign w:val="bottom"/>
            <w:hideMark/>
          </w:tcPr>
          <w:p w14:paraId="5D5E34D3"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021D5FA4"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BEADA04"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BBA9137"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7F61B994"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1D2C16D3" w14:textId="77777777" w:rsidTr="007431A4">
        <w:trPr>
          <w:trHeight w:val="204"/>
        </w:trPr>
        <w:tc>
          <w:tcPr>
            <w:tcW w:w="2065" w:type="pct"/>
            <w:tcBorders>
              <w:top w:val="nil"/>
              <w:left w:val="nil"/>
              <w:bottom w:val="nil"/>
              <w:right w:val="nil"/>
            </w:tcBorders>
            <w:shd w:val="clear" w:color="auto" w:fill="auto"/>
            <w:noWrap/>
            <w:vAlign w:val="bottom"/>
            <w:hideMark/>
          </w:tcPr>
          <w:p w14:paraId="5D531428"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used</w:t>
            </w:r>
          </w:p>
        </w:tc>
        <w:tc>
          <w:tcPr>
            <w:tcW w:w="615" w:type="pct"/>
            <w:tcBorders>
              <w:top w:val="nil"/>
              <w:left w:val="nil"/>
              <w:bottom w:val="nil"/>
              <w:right w:val="nil"/>
            </w:tcBorders>
            <w:shd w:val="clear" w:color="auto" w:fill="auto"/>
            <w:noWrap/>
            <w:vAlign w:val="bottom"/>
            <w:hideMark/>
          </w:tcPr>
          <w:p w14:paraId="57392549" w14:textId="77777777" w:rsidR="00CB36D7" w:rsidRPr="00DC083D" w:rsidRDefault="00CB36D7" w:rsidP="004B1146">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46584ACB"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443A2F74" w14:textId="77777777" w:rsidR="00CB36D7" w:rsidRPr="00DC083D" w:rsidRDefault="00CB36D7" w:rsidP="004B1146">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73B4997" w14:textId="77777777" w:rsidR="00CB36D7" w:rsidRPr="002F7F2B" w:rsidRDefault="00CB36D7" w:rsidP="004B1146">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0882CE2C" w14:textId="77777777" w:rsidR="00CB36D7" w:rsidRPr="002F7F2B" w:rsidRDefault="00CB36D7" w:rsidP="004B1146">
            <w:pPr>
              <w:spacing w:after="0" w:line="240" w:lineRule="auto"/>
              <w:jc w:val="right"/>
              <w:rPr>
                <w:rFonts w:ascii="Arial" w:hAnsi="Arial" w:cs="Arial"/>
                <w:sz w:val="16"/>
                <w:szCs w:val="16"/>
              </w:rPr>
            </w:pPr>
          </w:p>
        </w:tc>
      </w:tr>
      <w:tr w:rsidR="00CB36D7" w:rsidRPr="00E965CA" w14:paraId="61CECB26" w14:textId="77777777" w:rsidTr="007431A4">
        <w:trPr>
          <w:trHeight w:val="204"/>
        </w:trPr>
        <w:tc>
          <w:tcPr>
            <w:tcW w:w="2065" w:type="pct"/>
            <w:tcBorders>
              <w:top w:val="nil"/>
              <w:left w:val="nil"/>
              <w:bottom w:val="nil"/>
              <w:right w:val="nil"/>
            </w:tcBorders>
            <w:shd w:val="clear" w:color="auto" w:fill="auto"/>
            <w:noWrap/>
            <w:vAlign w:val="bottom"/>
            <w:hideMark/>
          </w:tcPr>
          <w:p w14:paraId="3F744FE7"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Principal payments on lease liability</w:t>
            </w:r>
          </w:p>
        </w:tc>
        <w:tc>
          <w:tcPr>
            <w:tcW w:w="615" w:type="pct"/>
            <w:tcBorders>
              <w:top w:val="nil"/>
              <w:left w:val="nil"/>
              <w:bottom w:val="nil"/>
              <w:right w:val="nil"/>
            </w:tcBorders>
            <w:shd w:val="clear" w:color="auto" w:fill="auto"/>
            <w:noWrap/>
            <w:vAlign w:val="bottom"/>
            <w:hideMark/>
          </w:tcPr>
          <w:p w14:paraId="6C2A340C"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w:t>
            </w:r>
            <w:r>
              <w:rPr>
                <w:rFonts w:ascii="Arial" w:hAnsi="Arial" w:cs="Arial"/>
                <w:color w:val="000000"/>
                <w:sz w:val="16"/>
                <w:szCs w:val="16"/>
              </w:rPr>
              <w:t>0,623</w:t>
            </w:r>
          </w:p>
        </w:tc>
        <w:tc>
          <w:tcPr>
            <w:tcW w:w="580" w:type="pct"/>
            <w:tcBorders>
              <w:top w:val="nil"/>
              <w:left w:val="nil"/>
              <w:bottom w:val="nil"/>
              <w:right w:val="nil"/>
            </w:tcBorders>
            <w:shd w:val="clear" w:color="auto" w:fill="E6E6E6"/>
            <w:noWrap/>
            <w:vAlign w:val="bottom"/>
            <w:hideMark/>
          </w:tcPr>
          <w:p w14:paraId="2A1B961D"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21,402</w:t>
            </w:r>
          </w:p>
        </w:tc>
        <w:tc>
          <w:tcPr>
            <w:tcW w:w="580" w:type="pct"/>
            <w:tcBorders>
              <w:top w:val="nil"/>
              <w:left w:val="nil"/>
              <w:bottom w:val="nil"/>
              <w:right w:val="nil"/>
            </w:tcBorders>
            <w:shd w:val="clear" w:color="auto" w:fill="auto"/>
            <w:noWrap/>
            <w:vAlign w:val="bottom"/>
            <w:hideMark/>
          </w:tcPr>
          <w:p w14:paraId="7F5AA3C8"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21,841</w:t>
            </w:r>
          </w:p>
        </w:tc>
        <w:tc>
          <w:tcPr>
            <w:tcW w:w="580" w:type="pct"/>
            <w:tcBorders>
              <w:top w:val="nil"/>
              <w:left w:val="nil"/>
              <w:bottom w:val="nil"/>
              <w:right w:val="nil"/>
            </w:tcBorders>
            <w:shd w:val="clear" w:color="auto" w:fill="auto"/>
            <w:noWrap/>
            <w:vAlign w:val="bottom"/>
            <w:hideMark/>
          </w:tcPr>
          <w:p w14:paraId="534A3A46"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20,654</w:t>
            </w:r>
          </w:p>
        </w:tc>
        <w:tc>
          <w:tcPr>
            <w:tcW w:w="580" w:type="pct"/>
            <w:tcBorders>
              <w:top w:val="nil"/>
              <w:left w:val="nil"/>
              <w:bottom w:val="nil"/>
              <w:right w:val="nil"/>
            </w:tcBorders>
            <w:shd w:val="clear" w:color="auto" w:fill="auto"/>
            <w:noWrap/>
            <w:vAlign w:val="bottom"/>
            <w:hideMark/>
          </w:tcPr>
          <w:p w14:paraId="61AA6AC4"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20,308</w:t>
            </w:r>
          </w:p>
        </w:tc>
      </w:tr>
      <w:tr w:rsidR="00CB36D7" w:rsidRPr="00E965CA" w14:paraId="7E4824C6" w14:textId="77777777" w:rsidTr="007431A4">
        <w:trPr>
          <w:trHeight w:val="204"/>
        </w:trPr>
        <w:tc>
          <w:tcPr>
            <w:tcW w:w="2065" w:type="pct"/>
            <w:tcBorders>
              <w:top w:val="nil"/>
              <w:left w:val="nil"/>
              <w:bottom w:val="nil"/>
              <w:right w:val="nil"/>
            </w:tcBorders>
            <w:shd w:val="clear" w:color="auto" w:fill="auto"/>
            <w:noWrap/>
            <w:vAlign w:val="bottom"/>
            <w:hideMark/>
          </w:tcPr>
          <w:p w14:paraId="55546ADD" w14:textId="77777777" w:rsidR="00CB36D7" w:rsidRPr="00E965CA" w:rsidRDefault="00CB36D7" w:rsidP="004B1146">
            <w:pPr>
              <w:spacing w:after="0" w:line="240" w:lineRule="auto"/>
              <w:rPr>
                <w:rFonts w:ascii="Arial" w:hAnsi="Arial" w:cs="Arial"/>
                <w:b/>
                <w:bCs/>
                <w:i/>
                <w:iCs/>
                <w:color w:val="000000"/>
                <w:sz w:val="16"/>
                <w:szCs w:val="16"/>
              </w:rPr>
            </w:pPr>
            <w:r w:rsidRPr="00E965CA">
              <w:rPr>
                <w:rFonts w:ascii="Arial" w:hAnsi="Arial" w:cs="Arial"/>
                <w:b/>
                <w:bCs/>
                <w:i/>
                <w:iCs/>
                <w:color w:val="000000"/>
                <w:sz w:val="16"/>
                <w:szCs w:val="16"/>
              </w:rPr>
              <w:t>Total cash used</w:t>
            </w:r>
          </w:p>
        </w:tc>
        <w:tc>
          <w:tcPr>
            <w:tcW w:w="615" w:type="pct"/>
            <w:tcBorders>
              <w:top w:val="single" w:sz="4" w:space="0" w:color="000000"/>
              <w:left w:val="nil"/>
              <w:bottom w:val="single" w:sz="4" w:space="0" w:color="000000"/>
              <w:right w:val="nil"/>
            </w:tcBorders>
            <w:shd w:val="clear" w:color="auto" w:fill="auto"/>
            <w:noWrap/>
            <w:vAlign w:val="bottom"/>
            <w:hideMark/>
          </w:tcPr>
          <w:p w14:paraId="22947601" w14:textId="77777777" w:rsidR="00CB36D7" w:rsidRPr="00DC083D" w:rsidRDefault="00CB36D7" w:rsidP="004B114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20,623</w:t>
            </w:r>
          </w:p>
        </w:tc>
        <w:tc>
          <w:tcPr>
            <w:tcW w:w="580" w:type="pct"/>
            <w:tcBorders>
              <w:top w:val="single" w:sz="4" w:space="0" w:color="000000"/>
              <w:left w:val="nil"/>
              <w:bottom w:val="single" w:sz="4" w:space="0" w:color="000000"/>
              <w:right w:val="nil"/>
            </w:tcBorders>
            <w:shd w:val="clear" w:color="auto" w:fill="E6E6E6"/>
            <w:noWrap/>
            <w:vAlign w:val="bottom"/>
            <w:hideMark/>
          </w:tcPr>
          <w:p w14:paraId="347FD669"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21,402</w:t>
            </w:r>
          </w:p>
        </w:tc>
        <w:tc>
          <w:tcPr>
            <w:tcW w:w="580" w:type="pct"/>
            <w:tcBorders>
              <w:top w:val="single" w:sz="4" w:space="0" w:color="000000"/>
              <w:left w:val="nil"/>
              <w:bottom w:val="single" w:sz="4" w:space="0" w:color="000000"/>
              <w:right w:val="nil"/>
            </w:tcBorders>
            <w:shd w:val="clear" w:color="auto" w:fill="auto"/>
            <w:noWrap/>
            <w:vAlign w:val="bottom"/>
            <w:hideMark/>
          </w:tcPr>
          <w:p w14:paraId="27515004"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21,841</w:t>
            </w:r>
          </w:p>
        </w:tc>
        <w:tc>
          <w:tcPr>
            <w:tcW w:w="580" w:type="pct"/>
            <w:tcBorders>
              <w:top w:val="single" w:sz="4" w:space="0" w:color="000000"/>
              <w:left w:val="nil"/>
              <w:bottom w:val="single" w:sz="4" w:space="0" w:color="000000"/>
              <w:right w:val="nil"/>
            </w:tcBorders>
            <w:shd w:val="clear" w:color="auto" w:fill="auto"/>
            <w:noWrap/>
            <w:vAlign w:val="bottom"/>
            <w:hideMark/>
          </w:tcPr>
          <w:p w14:paraId="75776312"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20,654</w:t>
            </w:r>
          </w:p>
        </w:tc>
        <w:tc>
          <w:tcPr>
            <w:tcW w:w="580" w:type="pct"/>
            <w:tcBorders>
              <w:top w:val="single" w:sz="4" w:space="0" w:color="000000"/>
              <w:left w:val="nil"/>
              <w:bottom w:val="single" w:sz="4" w:space="0" w:color="000000"/>
              <w:right w:val="nil"/>
            </w:tcBorders>
            <w:shd w:val="clear" w:color="auto" w:fill="auto"/>
            <w:noWrap/>
            <w:vAlign w:val="bottom"/>
            <w:hideMark/>
          </w:tcPr>
          <w:p w14:paraId="00209D88" w14:textId="77777777" w:rsidR="00CB36D7" w:rsidRPr="00DC083D" w:rsidRDefault="00CB36D7" w:rsidP="004B1146">
            <w:pPr>
              <w:spacing w:after="0" w:line="240" w:lineRule="auto"/>
              <w:jc w:val="right"/>
              <w:rPr>
                <w:rFonts w:ascii="Arial" w:hAnsi="Arial" w:cs="Arial"/>
                <w:b/>
                <w:bCs/>
                <w:i/>
                <w:iCs/>
                <w:color w:val="000000"/>
                <w:sz w:val="16"/>
                <w:szCs w:val="16"/>
              </w:rPr>
            </w:pPr>
            <w:r w:rsidRPr="00DC083D">
              <w:rPr>
                <w:rFonts w:ascii="Arial" w:hAnsi="Arial" w:cs="Arial"/>
                <w:b/>
                <w:bCs/>
                <w:i/>
                <w:iCs/>
                <w:color w:val="000000"/>
                <w:sz w:val="16"/>
                <w:szCs w:val="16"/>
              </w:rPr>
              <w:t>20,308</w:t>
            </w:r>
          </w:p>
        </w:tc>
      </w:tr>
      <w:tr w:rsidR="00CB36D7" w:rsidRPr="00E965CA" w14:paraId="6067B1FB" w14:textId="77777777" w:rsidTr="007431A4">
        <w:trPr>
          <w:trHeight w:val="204"/>
        </w:trPr>
        <w:tc>
          <w:tcPr>
            <w:tcW w:w="2065" w:type="pct"/>
            <w:tcBorders>
              <w:top w:val="nil"/>
              <w:left w:val="nil"/>
              <w:bottom w:val="nil"/>
              <w:right w:val="nil"/>
            </w:tcBorders>
            <w:shd w:val="clear" w:color="auto" w:fill="auto"/>
            <w:vAlign w:val="bottom"/>
            <w:hideMark/>
          </w:tcPr>
          <w:p w14:paraId="30B7ACE1"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Net cash from/(used by) financing activities</w:t>
            </w:r>
          </w:p>
        </w:tc>
        <w:tc>
          <w:tcPr>
            <w:tcW w:w="615" w:type="pct"/>
            <w:tcBorders>
              <w:top w:val="nil"/>
              <w:left w:val="nil"/>
              <w:bottom w:val="single" w:sz="4" w:space="0" w:color="000000"/>
              <w:right w:val="nil"/>
            </w:tcBorders>
            <w:shd w:val="clear" w:color="auto" w:fill="auto"/>
            <w:noWrap/>
            <w:vAlign w:val="bottom"/>
            <w:hideMark/>
          </w:tcPr>
          <w:p w14:paraId="116FF9A6"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w:t>
            </w:r>
            <w:r>
              <w:rPr>
                <w:rFonts w:ascii="Arial" w:hAnsi="Arial" w:cs="Arial"/>
                <w:b/>
                <w:bCs/>
                <w:color w:val="000000"/>
                <w:sz w:val="16"/>
                <w:szCs w:val="16"/>
              </w:rPr>
              <w:t>20,623</w:t>
            </w:r>
            <w:r w:rsidRPr="00DC083D">
              <w:rPr>
                <w:rFonts w:ascii="Arial" w:hAnsi="Arial" w:cs="Arial"/>
                <w:b/>
                <w:bCs/>
                <w:color w:val="000000"/>
                <w:sz w:val="16"/>
                <w:szCs w:val="16"/>
              </w:rPr>
              <w:t>)</w:t>
            </w:r>
          </w:p>
        </w:tc>
        <w:tc>
          <w:tcPr>
            <w:tcW w:w="580" w:type="pct"/>
            <w:tcBorders>
              <w:top w:val="nil"/>
              <w:left w:val="nil"/>
              <w:bottom w:val="single" w:sz="4" w:space="0" w:color="000000"/>
              <w:right w:val="nil"/>
            </w:tcBorders>
            <w:shd w:val="clear" w:color="auto" w:fill="E6E6E6"/>
            <w:noWrap/>
            <w:vAlign w:val="bottom"/>
            <w:hideMark/>
          </w:tcPr>
          <w:p w14:paraId="0FC91AD7"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(21,402)</w:t>
            </w:r>
          </w:p>
        </w:tc>
        <w:tc>
          <w:tcPr>
            <w:tcW w:w="580" w:type="pct"/>
            <w:tcBorders>
              <w:top w:val="nil"/>
              <w:left w:val="nil"/>
              <w:bottom w:val="single" w:sz="4" w:space="0" w:color="000000"/>
              <w:right w:val="nil"/>
            </w:tcBorders>
            <w:shd w:val="clear" w:color="auto" w:fill="auto"/>
            <w:noWrap/>
            <w:vAlign w:val="bottom"/>
            <w:hideMark/>
          </w:tcPr>
          <w:p w14:paraId="31177329"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(21,841)</w:t>
            </w:r>
          </w:p>
        </w:tc>
        <w:tc>
          <w:tcPr>
            <w:tcW w:w="580" w:type="pct"/>
            <w:tcBorders>
              <w:top w:val="nil"/>
              <w:left w:val="nil"/>
              <w:bottom w:val="single" w:sz="4" w:space="0" w:color="000000"/>
              <w:right w:val="nil"/>
            </w:tcBorders>
            <w:shd w:val="clear" w:color="auto" w:fill="auto"/>
            <w:noWrap/>
            <w:vAlign w:val="bottom"/>
            <w:hideMark/>
          </w:tcPr>
          <w:p w14:paraId="6BA9C98D"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(20,654)</w:t>
            </w:r>
          </w:p>
        </w:tc>
        <w:tc>
          <w:tcPr>
            <w:tcW w:w="580" w:type="pct"/>
            <w:tcBorders>
              <w:top w:val="nil"/>
              <w:left w:val="nil"/>
              <w:bottom w:val="single" w:sz="4" w:space="0" w:color="000000"/>
              <w:right w:val="nil"/>
            </w:tcBorders>
            <w:shd w:val="clear" w:color="auto" w:fill="auto"/>
            <w:noWrap/>
            <w:vAlign w:val="bottom"/>
            <w:hideMark/>
          </w:tcPr>
          <w:p w14:paraId="6BA6285F"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(20,308)</w:t>
            </w:r>
          </w:p>
        </w:tc>
      </w:tr>
      <w:tr w:rsidR="00CB36D7" w:rsidRPr="00E965CA" w14:paraId="206DAACC" w14:textId="77777777" w:rsidTr="007431A4">
        <w:trPr>
          <w:trHeight w:val="204"/>
        </w:trPr>
        <w:tc>
          <w:tcPr>
            <w:tcW w:w="2065" w:type="pct"/>
            <w:tcBorders>
              <w:top w:val="nil"/>
              <w:left w:val="nil"/>
              <w:bottom w:val="nil"/>
              <w:right w:val="nil"/>
            </w:tcBorders>
            <w:shd w:val="clear" w:color="auto" w:fill="auto"/>
            <w:vAlign w:val="bottom"/>
            <w:hideMark/>
          </w:tcPr>
          <w:p w14:paraId="0523D290"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Net increase/(decrease) in cash held</w:t>
            </w:r>
          </w:p>
        </w:tc>
        <w:tc>
          <w:tcPr>
            <w:tcW w:w="615" w:type="pct"/>
            <w:tcBorders>
              <w:top w:val="nil"/>
              <w:left w:val="nil"/>
              <w:bottom w:val="single" w:sz="4" w:space="0" w:color="000000"/>
              <w:right w:val="nil"/>
            </w:tcBorders>
            <w:shd w:val="clear" w:color="auto" w:fill="auto"/>
            <w:noWrap/>
            <w:vAlign w:val="bottom"/>
            <w:hideMark/>
          </w:tcPr>
          <w:p w14:paraId="4A5192C3"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5,025</w:t>
            </w:r>
          </w:p>
        </w:tc>
        <w:tc>
          <w:tcPr>
            <w:tcW w:w="580" w:type="pct"/>
            <w:tcBorders>
              <w:top w:val="nil"/>
              <w:left w:val="nil"/>
              <w:bottom w:val="single" w:sz="4" w:space="0" w:color="000000"/>
              <w:right w:val="nil"/>
            </w:tcBorders>
            <w:shd w:val="clear" w:color="auto" w:fill="E6E6E6"/>
            <w:noWrap/>
            <w:vAlign w:val="bottom"/>
            <w:hideMark/>
          </w:tcPr>
          <w:p w14:paraId="36782260"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(2,561)</w:t>
            </w:r>
          </w:p>
        </w:tc>
        <w:tc>
          <w:tcPr>
            <w:tcW w:w="580" w:type="pct"/>
            <w:tcBorders>
              <w:top w:val="nil"/>
              <w:left w:val="nil"/>
              <w:bottom w:val="single" w:sz="4" w:space="0" w:color="000000"/>
              <w:right w:val="nil"/>
            </w:tcBorders>
            <w:shd w:val="clear" w:color="auto" w:fill="auto"/>
            <w:noWrap/>
            <w:vAlign w:val="bottom"/>
            <w:hideMark/>
          </w:tcPr>
          <w:p w14:paraId="39CB870E"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(1,503)</w:t>
            </w:r>
          </w:p>
        </w:tc>
        <w:tc>
          <w:tcPr>
            <w:tcW w:w="580" w:type="pct"/>
            <w:tcBorders>
              <w:top w:val="nil"/>
              <w:left w:val="nil"/>
              <w:bottom w:val="single" w:sz="4" w:space="0" w:color="000000"/>
              <w:right w:val="nil"/>
            </w:tcBorders>
            <w:shd w:val="clear" w:color="auto" w:fill="auto"/>
            <w:noWrap/>
            <w:vAlign w:val="bottom"/>
            <w:hideMark/>
          </w:tcPr>
          <w:p w14:paraId="5008F72E"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1,361</w:t>
            </w:r>
          </w:p>
        </w:tc>
        <w:tc>
          <w:tcPr>
            <w:tcW w:w="580" w:type="pct"/>
            <w:tcBorders>
              <w:top w:val="nil"/>
              <w:left w:val="nil"/>
              <w:bottom w:val="single" w:sz="4" w:space="0" w:color="000000"/>
              <w:right w:val="nil"/>
            </w:tcBorders>
            <w:shd w:val="clear" w:color="auto" w:fill="auto"/>
            <w:noWrap/>
            <w:vAlign w:val="bottom"/>
            <w:hideMark/>
          </w:tcPr>
          <w:p w14:paraId="02FF8A6A" w14:textId="77777777" w:rsidR="00CB36D7" w:rsidRPr="00DC083D" w:rsidRDefault="00CB36D7" w:rsidP="004B1146">
            <w:pPr>
              <w:spacing w:after="0" w:line="240" w:lineRule="auto"/>
              <w:jc w:val="right"/>
              <w:rPr>
                <w:rFonts w:ascii="Arial" w:hAnsi="Arial" w:cs="Arial"/>
                <w:b/>
                <w:bCs/>
                <w:color w:val="000000"/>
                <w:sz w:val="16"/>
                <w:szCs w:val="16"/>
              </w:rPr>
            </w:pPr>
            <w:r w:rsidRPr="00DC083D">
              <w:rPr>
                <w:rFonts w:ascii="Arial" w:hAnsi="Arial" w:cs="Arial"/>
                <w:b/>
                <w:bCs/>
                <w:color w:val="000000"/>
                <w:sz w:val="16"/>
                <w:szCs w:val="16"/>
              </w:rPr>
              <w:t>(3,286)</w:t>
            </w:r>
          </w:p>
        </w:tc>
      </w:tr>
      <w:tr w:rsidR="00CB36D7" w:rsidRPr="00E965CA" w14:paraId="709262E3" w14:textId="77777777" w:rsidTr="007431A4">
        <w:trPr>
          <w:trHeight w:val="204"/>
        </w:trPr>
        <w:tc>
          <w:tcPr>
            <w:tcW w:w="2065" w:type="pct"/>
            <w:tcBorders>
              <w:top w:val="nil"/>
              <w:left w:val="nil"/>
              <w:bottom w:val="nil"/>
              <w:right w:val="nil"/>
            </w:tcBorders>
            <w:shd w:val="clear" w:color="auto" w:fill="auto"/>
            <w:vAlign w:val="bottom"/>
            <w:hideMark/>
          </w:tcPr>
          <w:p w14:paraId="2A3E26FC" w14:textId="77777777" w:rsidR="00CB36D7" w:rsidRPr="00E965CA" w:rsidRDefault="00CB36D7" w:rsidP="004B1146">
            <w:pPr>
              <w:spacing w:before="60" w:after="0" w:line="240" w:lineRule="auto"/>
              <w:rPr>
                <w:rFonts w:ascii="Arial" w:hAnsi="Arial" w:cs="Arial"/>
                <w:color w:val="000000"/>
                <w:sz w:val="16"/>
                <w:szCs w:val="16"/>
              </w:rPr>
            </w:pPr>
            <w:r w:rsidRPr="00E965CA">
              <w:rPr>
                <w:rFonts w:ascii="Arial" w:hAnsi="Arial" w:cs="Arial"/>
                <w:color w:val="000000"/>
                <w:sz w:val="16"/>
                <w:szCs w:val="16"/>
              </w:rPr>
              <w:t>Cash and cash equivalents at the</w:t>
            </w:r>
            <w:r>
              <w:rPr>
                <w:rFonts w:ascii="Arial" w:hAnsi="Arial" w:cs="Arial"/>
                <w:color w:val="000000"/>
                <w:sz w:val="16"/>
                <w:szCs w:val="16"/>
              </w:rPr>
              <w:t xml:space="preserve"> </w:t>
            </w:r>
            <w:r w:rsidRPr="00E965CA">
              <w:rPr>
                <w:rFonts w:ascii="Arial" w:hAnsi="Arial" w:cs="Arial"/>
                <w:color w:val="000000"/>
                <w:sz w:val="16"/>
                <w:szCs w:val="16"/>
              </w:rPr>
              <w:t>beginning of the reporting period</w:t>
            </w:r>
          </w:p>
        </w:tc>
        <w:tc>
          <w:tcPr>
            <w:tcW w:w="615" w:type="pct"/>
            <w:tcBorders>
              <w:top w:val="nil"/>
              <w:left w:val="nil"/>
              <w:bottom w:val="nil"/>
              <w:right w:val="nil"/>
            </w:tcBorders>
            <w:shd w:val="clear" w:color="auto" w:fill="auto"/>
            <w:noWrap/>
            <w:vAlign w:val="bottom"/>
            <w:hideMark/>
          </w:tcPr>
          <w:p w14:paraId="2D6A57FB" w14:textId="77777777" w:rsidR="00CB36D7" w:rsidRPr="00DC083D" w:rsidRDefault="00CB36D7" w:rsidP="004B1146">
            <w:pPr>
              <w:spacing w:after="0" w:line="240" w:lineRule="auto"/>
              <w:jc w:val="right"/>
              <w:rPr>
                <w:rFonts w:ascii="Arial" w:hAnsi="Arial" w:cs="Arial"/>
                <w:color w:val="000000"/>
                <w:sz w:val="16"/>
                <w:szCs w:val="16"/>
              </w:rPr>
            </w:pPr>
            <w:r w:rsidRPr="00DC083D">
              <w:rPr>
                <w:rFonts w:ascii="Arial" w:hAnsi="Arial" w:cs="Arial"/>
                <w:color w:val="000000"/>
                <w:sz w:val="16"/>
                <w:szCs w:val="16"/>
              </w:rPr>
              <w:t>28,175</w:t>
            </w:r>
          </w:p>
        </w:tc>
        <w:tc>
          <w:tcPr>
            <w:tcW w:w="580" w:type="pct"/>
            <w:tcBorders>
              <w:top w:val="nil"/>
              <w:left w:val="nil"/>
              <w:bottom w:val="nil"/>
              <w:right w:val="nil"/>
            </w:tcBorders>
            <w:shd w:val="clear" w:color="auto" w:fill="E6E6E6"/>
            <w:noWrap/>
            <w:vAlign w:val="bottom"/>
            <w:hideMark/>
          </w:tcPr>
          <w:p w14:paraId="63BE0821"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33,200</w:t>
            </w:r>
          </w:p>
        </w:tc>
        <w:tc>
          <w:tcPr>
            <w:tcW w:w="580" w:type="pct"/>
            <w:tcBorders>
              <w:top w:val="nil"/>
              <w:left w:val="nil"/>
              <w:bottom w:val="nil"/>
              <w:right w:val="nil"/>
            </w:tcBorders>
            <w:shd w:val="clear" w:color="auto" w:fill="auto"/>
            <w:noWrap/>
            <w:vAlign w:val="bottom"/>
            <w:hideMark/>
          </w:tcPr>
          <w:p w14:paraId="0C4AD2ED"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30,639</w:t>
            </w:r>
          </w:p>
        </w:tc>
        <w:tc>
          <w:tcPr>
            <w:tcW w:w="580" w:type="pct"/>
            <w:tcBorders>
              <w:top w:val="nil"/>
              <w:left w:val="nil"/>
              <w:bottom w:val="nil"/>
              <w:right w:val="nil"/>
            </w:tcBorders>
            <w:shd w:val="clear" w:color="auto" w:fill="auto"/>
            <w:noWrap/>
            <w:vAlign w:val="bottom"/>
            <w:hideMark/>
          </w:tcPr>
          <w:p w14:paraId="2D8A8805"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29,136</w:t>
            </w:r>
          </w:p>
        </w:tc>
        <w:tc>
          <w:tcPr>
            <w:tcW w:w="580" w:type="pct"/>
            <w:tcBorders>
              <w:top w:val="nil"/>
              <w:left w:val="nil"/>
              <w:bottom w:val="nil"/>
              <w:right w:val="nil"/>
            </w:tcBorders>
            <w:shd w:val="clear" w:color="auto" w:fill="auto"/>
            <w:noWrap/>
            <w:vAlign w:val="bottom"/>
            <w:hideMark/>
          </w:tcPr>
          <w:p w14:paraId="3690EAF4" w14:textId="77777777" w:rsidR="00CB36D7" w:rsidRPr="00DC083D" w:rsidRDefault="00CB36D7" w:rsidP="004B1146">
            <w:pPr>
              <w:spacing w:after="0" w:line="240" w:lineRule="auto"/>
              <w:jc w:val="right"/>
              <w:rPr>
                <w:rFonts w:ascii="Arial" w:hAnsi="Arial" w:cs="Arial"/>
                <w:color w:val="000000"/>
                <w:sz w:val="16"/>
                <w:szCs w:val="16"/>
              </w:rPr>
            </w:pPr>
            <w:r>
              <w:rPr>
                <w:rFonts w:ascii="Arial" w:hAnsi="Arial" w:cs="Arial"/>
                <w:color w:val="000000"/>
                <w:sz w:val="16"/>
                <w:szCs w:val="16"/>
              </w:rPr>
              <w:t>30,497</w:t>
            </w:r>
          </w:p>
        </w:tc>
      </w:tr>
      <w:tr w:rsidR="00CB36D7" w:rsidRPr="00E965CA" w14:paraId="2D29820B" w14:textId="77777777" w:rsidTr="007431A4">
        <w:trPr>
          <w:trHeight w:val="204"/>
        </w:trPr>
        <w:tc>
          <w:tcPr>
            <w:tcW w:w="2065" w:type="pct"/>
            <w:tcBorders>
              <w:top w:val="nil"/>
              <w:left w:val="nil"/>
              <w:bottom w:val="single" w:sz="4" w:space="0" w:color="auto"/>
              <w:right w:val="nil"/>
            </w:tcBorders>
            <w:shd w:val="clear" w:color="auto" w:fill="auto"/>
            <w:vAlign w:val="bottom"/>
            <w:hideMark/>
          </w:tcPr>
          <w:p w14:paraId="3AE88CE9" w14:textId="77777777" w:rsidR="00CB36D7" w:rsidRPr="00E965CA" w:rsidRDefault="00CB36D7" w:rsidP="004B1146">
            <w:pPr>
              <w:spacing w:after="0" w:line="240" w:lineRule="auto"/>
              <w:rPr>
                <w:rFonts w:ascii="Arial" w:hAnsi="Arial" w:cs="Arial"/>
                <w:b/>
                <w:bCs/>
                <w:color w:val="000000"/>
                <w:sz w:val="16"/>
                <w:szCs w:val="16"/>
              </w:rPr>
            </w:pPr>
            <w:r w:rsidRPr="00E965CA">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E965CA">
              <w:rPr>
                <w:rFonts w:ascii="Arial" w:hAnsi="Arial" w:cs="Arial"/>
                <w:b/>
                <w:bCs/>
                <w:color w:val="000000"/>
                <w:sz w:val="16"/>
                <w:szCs w:val="16"/>
              </w:rPr>
              <w:t>the end of the reporting period</w:t>
            </w:r>
          </w:p>
        </w:tc>
        <w:tc>
          <w:tcPr>
            <w:tcW w:w="615" w:type="pct"/>
            <w:tcBorders>
              <w:top w:val="single" w:sz="4" w:space="0" w:color="000000"/>
              <w:left w:val="nil"/>
              <w:bottom w:val="single" w:sz="4" w:space="0" w:color="auto"/>
              <w:right w:val="nil"/>
            </w:tcBorders>
            <w:shd w:val="clear" w:color="auto" w:fill="auto"/>
            <w:noWrap/>
            <w:vAlign w:val="bottom"/>
            <w:hideMark/>
          </w:tcPr>
          <w:p w14:paraId="0672969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33,200</w:t>
            </w:r>
          </w:p>
        </w:tc>
        <w:tc>
          <w:tcPr>
            <w:tcW w:w="580" w:type="pct"/>
            <w:tcBorders>
              <w:top w:val="single" w:sz="4" w:space="0" w:color="000000"/>
              <w:left w:val="nil"/>
              <w:bottom w:val="single" w:sz="4" w:space="0" w:color="auto"/>
              <w:right w:val="nil"/>
            </w:tcBorders>
            <w:shd w:val="clear" w:color="auto" w:fill="E6E6E6"/>
            <w:noWrap/>
            <w:vAlign w:val="bottom"/>
            <w:hideMark/>
          </w:tcPr>
          <w:p w14:paraId="750817C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30,639</w:t>
            </w:r>
          </w:p>
        </w:tc>
        <w:tc>
          <w:tcPr>
            <w:tcW w:w="580" w:type="pct"/>
            <w:tcBorders>
              <w:top w:val="single" w:sz="4" w:space="0" w:color="000000"/>
              <w:left w:val="nil"/>
              <w:bottom w:val="single" w:sz="4" w:space="0" w:color="auto"/>
              <w:right w:val="nil"/>
            </w:tcBorders>
            <w:shd w:val="clear" w:color="auto" w:fill="auto"/>
            <w:noWrap/>
            <w:vAlign w:val="bottom"/>
            <w:hideMark/>
          </w:tcPr>
          <w:p w14:paraId="528580AA"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29,136</w:t>
            </w:r>
          </w:p>
        </w:tc>
        <w:tc>
          <w:tcPr>
            <w:tcW w:w="580" w:type="pct"/>
            <w:tcBorders>
              <w:top w:val="single" w:sz="4" w:space="0" w:color="000000"/>
              <w:left w:val="nil"/>
              <w:bottom w:val="single" w:sz="4" w:space="0" w:color="auto"/>
              <w:right w:val="nil"/>
            </w:tcBorders>
            <w:shd w:val="clear" w:color="auto" w:fill="auto"/>
            <w:noWrap/>
            <w:vAlign w:val="bottom"/>
            <w:hideMark/>
          </w:tcPr>
          <w:p w14:paraId="66A5E354"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30,497</w:t>
            </w:r>
          </w:p>
        </w:tc>
        <w:tc>
          <w:tcPr>
            <w:tcW w:w="580" w:type="pct"/>
            <w:tcBorders>
              <w:top w:val="single" w:sz="4" w:space="0" w:color="000000"/>
              <w:left w:val="nil"/>
              <w:bottom w:val="single" w:sz="4" w:space="0" w:color="auto"/>
              <w:right w:val="nil"/>
            </w:tcBorders>
            <w:shd w:val="clear" w:color="auto" w:fill="auto"/>
            <w:noWrap/>
            <w:vAlign w:val="bottom"/>
            <w:hideMark/>
          </w:tcPr>
          <w:p w14:paraId="050F0B19" w14:textId="77777777" w:rsidR="00CB36D7" w:rsidRPr="00DC083D" w:rsidRDefault="00CB36D7" w:rsidP="004B1146">
            <w:pPr>
              <w:spacing w:after="0" w:line="240" w:lineRule="auto"/>
              <w:jc w:val="right"/>
              <w:rPr>
                <w:rFonts w:ascii="Arial" w:hAnsi="Arial" w:cs="Arial"/>
                <w:b/>
                <w:bCs/>
                <w:color w:val="000000"/>
                <w:sz w:val="16"/>
                <w:szCs w:val="16"/>
              </w:rPr>
            </w:pPr>
            <w:r>
              <w:rPr>
                <w:rFonts w:ascii="Arial" w:hAnsi="Arial" w:cs="Arial"/>
                <w:b/>
                <w:bCs/>
                <w:color w:val="000000"/>
                <w:sz w:val="16"/>
                <w:szCs w:val="16"/>
              </w:rPr>
              <w:t>27,211</w:t>
            </w:r>
          </w:p>
        </w:tc>
      </w:tr>
    </w:tbl>
    <w:p w14:paraId="2C6EB02C" w14:textId="77777777" w:rsidR="00CB36D7" w:rsidRPr="008F58AA" w:rsidRDefault="00CB36D7" w:rsidP="004B1146">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553FD8">
        <w:rPr>
          <w:rFonts w:cs="Arial"/>
        </w:rPr>
        <w:t>Prepared on Australian Accounting Standards basis.</w:t>
      </w:r>
    </w:p>
    <w:p w14:paraId="2D694919" w14:textId="77777777" w:rsidR="00CB36D7" w:rsidRPr="00D30CBA" w:rsidRDefault="00CB36D7" w:rsidP="00CB36D7">
      <w:pPr>
        <w:pStyle w:val="Source"/>
        <w:spacing w:before="60"/>
      </w:pPr>
      <w:r>
        <w:br w:type="page"/>
      </w:r>
    </w:p>
    <w:p w14:paraId="3B261801" w14:textId="77777777" w:rsidR="00CB36D7" w:rsidRPr="00A00283" w:rsidRDefault="00CB36D7" w:rsidP="00CB36D7">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43"/>
        <w:gridCol w:w="973"/>
        <w:gridCol w:w="897"/>
        <w:gridCol w:w="899"/>
        <w:gridCol w:w="899"/>
        <w:gridCol w:w="899"/>
      </w:tblGrid>
      <w:tr w:rsidR="00CB36D7" w:rsidRPr="00E965CA" w14:paraId="0F7618D8" w14:textId="77777777" w:rsidTr="007431A4">
        <w:trPr>
          <w:trHeight w:val="204"/>
        </w:trPr>
        <w:tc>
          <w:tcPr>
            <w:tcW w:w="2038" w:type="pct"/>
            <w:tcBorders>
              <w:top w:val="single" w:sz="4" w:space="0" w:color="auto"/>
              <w:left w:val="nil"/>
              <w:bottom w:val="nil"/>
              <w:right w:val="nil"/>
            </w:tcBorders>
            <w:shd w:val="clear" w:color="auto" w:fill="auto"/>
            <w:noWrap/>
            <w:vAlign w:val="bottom"/>
            <w:hideMark/>
          </w:tcPr>
          <w:p w14:paraId="3F73A2A0" w14:textId="77777777" w:rsidR="00CB36D7" w:rsidRPr="00E965CA" w:rsidRDefault="00CB36D7" w:rsidP="004B1146">
            <w:pPr>
              <w:spacing w:after="0" w:line="240" w:lineRule="auto"/>
              <w:jc w:val="right"/>
              <w:rPr>
                <w:rFonts w:ascii="Arial" w:hAnsi="Arial" w:cs="Arial"/>
                <w:b/>
                <w:bCs/>
                <w:sz w:val="16"/>
                <w:szCs w:val="16"/>
              </w:rPr>
            </w:pPr>
            <w:r w:rsidRPr="00E965CA">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523299CF"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2021-22 Estimated actual</w:t>
            </w:r>
            <w:r w:rsidRPr="00E965CA">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E6E6E6"/>
            <w:vAlign w:val="bottom"/>
            <w:hideMark/>
          </w:tcPr>
          <w:p w14:paraId="7A437130"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2022-23</w:t>
            </w:r>
            <w:r w:rsidRPr="00E965CA">
              <w:rPr>
                <w:rFonts w:ascii="Arial" w:hAnsi="Arial" w:cs="Arial"/>
                <w:sz w:val="16"/>
                <w:szCs w:val="16"/>
              </w:rPr>
              <w:br/>
              <w:t>Budget</w:t>
            </w:r>
            <w:r w:rsidRPr="00E965CA">
              <w:rPr>
                <w:rFonts w:ascii="Arial" w:hAnsi="Arial" w:cs="Arial"/>
                <w:sz w:val="16"/>
                <w:szCs w:val="16"/>
              </w:rPr>
              <w:br/>
            </w:r>
            <w:r w:rsidRPr="00E965CA">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085A3A39"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2023-24 Forward estimate</w:t>
            </w:r>
            <w:r w:rsidRPr="00E965CA">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087852E2"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2024-25 Forward estimate</w:t>
            </w:r>
            <w:r w:rsidRPr="00E965CA">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0B106818" w14:textId="77777777" w:rsidR="00CB36D7" w:rsidRPr="00E965CA" w:rsidRDefault="00CB36D7" w:rsidP="004B1146">
            <w:pPr>
              <w:spacing w:after="0" w:line="240" w:lineRule="auto"/>
              <w:jc w:val="right"/>
              <w:rPr>
                <w:rFonts w:ascii="Arial" w:hAnsi="Arial" w:cs="Arial"/>
                <w:sz w:val="16"/>
                <w:szCs w:val="16"/>
              </w:rPr>
            </w:pPr>
            <w:r w:rsidRPr="00E965CA">
              <w:rPr>
                <w:rFonts w:ascii="Arial" w:hAnsi="Arial" w:cs="Arial"/>
                <w:sz w:val="16"/>
                <w:szCs w:val="16"/>
              </w:rPr>
              <w:t>2025-26</w:t>
            </w:r>
            <w:r w:rsidRPr="00E965CA">
              <w:rPr>
                <w:rFonts w:ascii="Arial" w:hAnsi="Arial" w:cs="Arial"/>
                <w:sz w:val="16"/>
                <w:szCs w:val="16"/>
              </w:rPr>
              <w:br/>
              <w:t>Forward estimate</w:t>
            </w:r>
            <w:r w:rsidRPr="00E965CA">
              <w:rPr>
                <w:rFonts w:ascii="Arial" w:hAnsi="Arial" w:cs="Arial"/>
                <w:sz w:val="16"/>
                <w:szCs w:val="16"/>
              </w:rPr>
              <w:br/>
              <w:t>$'000</w:t>
            </w:r>
          </w:p>
        </w:tc>
      </w:tr>
      <w:tr w:rsidR="00CB36D7" w:rsidRPr="00E965CA" w14:paraId="57A724BD" w14:textId="77777777" w:rsidTr="007431A4">
        <w:trPr>
          <w:trHeight w:val="204"/>
        </w:trPr>
        <w:tc>
          <w:tcPr>
            <w:tcW w:w="2038" w:type="pct"/>
            <w:tcBorders>
              <w:top w:val="nil"/>
              <w:left w:val="nil"/>
              <w:bottom w:val="nil"/>
              <w:right w:val="nil"/>
            </w:tcBorders>
            <w:shd w:val="clear" w:color="auto" w:fill="auto"/>
            <w:vAlign w:val="bottom"/>
            <w:hideMark/>
          </w:tcPr>
          <w:p w14:paraId="40A3CBD1" w14:textId="77777777" w:rsidR="00CB36D7" w:rsidRPr="00E965CA" w:rsidRDefault="00CB36D7" w:rsidP="004B1146">
            <w:pPr>
              <w:spacing w:after="0" w:line="240" w:lineRule="auto"/>
              <w:rPr>
                <w:rFonts w:ascii="Arial" w:hAnsi="Arial" w:cs="Arial"/>
                <w:b/>
                <w:bCs/>
                <w:sz w:val="16"/>
                <w:szCs w:val="16"/>
              </w:rPr>
            </w:pPr>
            <w:r w:rsidRPr="00E965CA">
              <w:rPr>
                <w:rFonts w:ascii="Arial" w:hAnsi="Arial" w:cs="Arial"/>
                <w:b/>
                <w:bCs/>
                <w:sz w:val="16"/>
                <w:szCs w:val="16"/>
              </w:rPr>
              <w:t>PURCHASE OF NON-FINANCIAL ASSETS</w:t>
            </w:r>
          </w:p>
        </w:tc>
        <w:tc>
          <w:tcPr>
            <w:tcW w:w="631" w:type="pct"/>
            <w:tcBorders>
              <w:top w:val="nil"/>
              <w:left w:val="nil"/>
              <w:bottom w:val="nil"/>
              <w:right w:val="nil"/>
            </w:tcBorders>
            <w:shd w:val="clear" w:color="auto" w:fill="auto"/>
            <w:vAlign w:val="bottom"/>
            <w:hideMark/>
          </w:tcPr>
          <w:p w14:paraId="66CEF75A" w14:textId="77777777" w:rsidR="00CB36D7" w:rsidRPr="00DC083D" w:rsidRDefault="00CB36D7" w:rsidP="004B1146">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vAlign w:val="bottom"/>
            <w:hideMark/>
          </w:tcPr>
          <w:p w14:paraId="2CF41D26" w14:textId="77777777" w:rsidR="00CB36D7" w:rsidRPr="00DC083D" w:rsidRDefault="00CB36D7" w:rsidP="004B114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2C0F1266" w14:textId="77777777" w:rsidR="00CB36D7" w:rsidRPr="00DC083D" w:rsidRDefault="00CB36D7" w:rsidP="004B114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5941937E" w14:textId="77777777" w:rsidR="00CB36D7" w:rsidRPr="002F7F2B" w:rsidRDefault="00CB36D7" w:rsidP="004B1146">
            <w:pPr>
              <w:spacing w:after="0" w:line="240" w:lineRule="auto"/>
              <w:jc w:val="right"/>
              <w:rPr>
                <w:rFonts w:ascii="Times New Roman" w:hAnsi="Times New Roman"/>
                <w:sz w:val="16"/>
                <w:szCs w:val="16"/>
              </w:rPr>
            </w:pPr>
          </w:p>
        </w:tc>
        <w:tc>
          <w:tcPr>
            <w:tcW w:w="583" w:type="pct"/>
            <w:tcBorders>
              <w:top w:val="nil"/>
              <w:left w:val="nil"/>
              <w:bottom w:val="nil"/>
              <w:right w:val="nil"/>
            </w:tcBorders>
            <w:shd w:val="clear" w:color="auto" w:fill="auto"/>
            <w:vAlign w:val="bottom"/>
            <w:hideMark/>
          </w:tcPr>
          <w:p w14:paraId="43C42AB4" w14:textId="77777777" w:rsidR="00CB36D7" w:rsidRPr="002F7F2B" w:rsidRDefault="00CB36D7" w:rsidP="004B1146">
            <w:pPr>
              <w:spacing w:after="0" w:line="240" w:lineRule="auto"/>
              <w:jc w:val="right"/>
              <w:rPr>
                <w:rFonts w:ascii="Times New Roman" w:hAnsi="Times New Roman"/>
                <w:sz w:val="16"/>
                <w:szCs w:val="16"/>
              </w:rPr>
            </w:pPr>
          </w:p>
        </w:tc>
      </w:tr>
      <w:tr w:rsidR="00CB36D7" w:rsidRPr="00E965CA" w14:paraId="5C5EF354" w14:textId="77777777" w:rsidTr="007431A4">
        <w:trPr>
          <w:trHeight w:val="204"/>
        </w:trPr>
        <w:tc>
          <w:tcPr>
            <w:tcW w:w="2038" w:type="pct"/>
            <w:tcBorders>
              <w:top w:val="nil"/>
              <w:left w:val="nil"/>
              <w:bottom w:val="nil"/>
              <w:right w:val="nil"/>
            </w:tcBorders>
            <w:shd w:val="clear" w:color="auto" w:fill="auto"/>
            <w:vAlign w:val="bottom"/>
            <w:hideMark/>
          </w:tcPr>
          <w:p w14:paraId="42394F56"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 xml:space="preserve">Funded internally from </w:t>
            </w:r>
            <w:r>
              <w:rPr>
                <w:rFonts w:ascii="Arial" w:hAnsi="Arial" w:cs="Arial"/>
                <w:sz w:val="16"/>
                <w:szCs w:val="16"/>
              </w:rPr>
              <w:t>Department</w:t>
            </w:r>
            <w:r w:rsidRPr="00E965CA">
              <w:rPr>
                <w:rFonts w:ascii="Arial" w:hAnsi="Arial" w:cs="Arial"/>
                <w:sz w:val="16"/>
                <w:szCs w:val="16"/>
              </w:rPr>
              <w:t xml:space="preserve">al resources </w:t>
            </w:r>
            <w:r w:rsidRPr="00E965CA">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2BA56691" w14:textId="77777777" w:rsidR="00CB36D7" w:rsidRPr="00DC083D" w:rsidRDefault="00CB36D7" w:rsidP="004B1146">
            <w:pPr>
              <w:spacing w:after="0" w:line="240" w:lineRule="auto"/>
              <w:jc w:val="right"/>
              <w:rPr>
                <w:rFonts w:ascii="Arial" w:hAnsi="Arial" w:cs="Arial"/>
                <w:sz w:val="16"/>
                <w:szCs w:val="16"/>
              </w:rPr>
            </w:pPr>
            <w:r>
              <w:rPr>
                <w:rFonts w:ascii="Arial" w:hAnsi="Arial" w:cs="Arial"/>
                <w:sz w:val="16"/>
                <w:szCs w:val="16"/>
              </w:rPr>
              <w:t>12,223</w:t>
            </w:r>
          </w:p>
        </w:tc>
        <w:tc>
          <w:tcPr>
            <w:tcW w:w="582" w:type="pct"/>
            <w:tcBorders>
              <w:top w:val="nil"/>
              <w:left w:val="nil"/>
              <w:bottom w:val="nil"/>
              <w:right w:val="nil"/>
            </w:tcBorders>
            <w:shd w:val="clear" w:color="auto" w:fill="E6E6E6"/>
            <w:noWrap/>
            <w:vAlign w:val="bottom"/>
            <w:hideMark/>
          </w:tcPr>
          <w:p w14:paraId="035C97BB" w14:textId="77777777" w:rsidR="00CB36D7" w:rsidRPr="00DC083D" w:rsidRDefault="00CB36D7" w:rsidP="004B1146">
            <w:pPr>
              <w:spacing w:after="0" w:line="240" w:lineRule="auto"/>
              <w:jc w:val="right"/>
              <w:rPr>
                <w:rFonts w:ascii="Arial" w:hAnsi="Arial" w:cs="Arial"/>
                <w:sz w:val="16"/>
                <w:szCs w:val="16"/>
              </w:rPr>
            </w:pPr>
            <w:r>
              <w:rPr>
                <w:rFonts w:ascii="Arial" w:hAnsi="Arial" w:cs="Arial"/>
                <w:sz w:val="16"/>
                <w:szCs w:val="16"/>
              </w:rPr>
              <w:t>23,247</w:t>
            </w:r>
          </w:p>
        </w:tc>
        <w:tc>
          <w:tcPr>
            <w:tcW w:w="583" w:type="pct"/>
            <w:tcBorders>
              <w:top w:val="nil"/>
              <w:left w:val="nil"/>
              <w:bottom w:val="nil"/>
              <w:right w:val="nil"/>
            </w:tcBorders>
            <w:shd w:val="clear" w:color="auto" w:fill="auto"/>
            <w:noWrap/>
            <w:vAlign w:val="bottom"/>
            <w:hideMark/>
          </w:tcPr>
          <w:p w14:paraId="12358640" w14:textId="77777777" w:rsidR="00CB36D7" w:rsidRPr="00DC083D" w:rsidRDefault="00CB36D7" w:rsidP="004B1146">
            <w:pPr>
              <w:spacing w:after="0" w:line="240" w:lineRule="auto"/>
              <w:jc w:val="right"/>
              <w:rPr>
                <w:rFonts w:ascii="Arial" w:hAnsi="Arial" w:cs="Arial"/>
                <w:sz w:val="16"/>
                <w:szCs w:val="16"/>
              </w:rPr>
            </w:pPr>
            <w:r>
              <w:rPr>
                <w:rFonts w:ascii="Arial" w:hAnsi="Arial" w:cs="Arial"/>
                <w:sz w:val="16"/>
                <w:szCs w:val="16"/>
              </w:rPr>
              <w:t>37,056</w:t>
            </w:r>
          </w:p>
        </w:tc>
        <w:tc>
          <w:tcPr>
            <w:tcW w:w="583" w:type="pct"/>
            <w:tcBorders>
              <w:top w:val="nil"/>
              <w:left w:val="nil"/>
              <w:bottom w:val="nil"/>
              <w:right w:val="nil"/>
            </w:tcBorders>
            <w:shd w:val="clear" w:color="auto" w:fill="auto"/>
            <w:noWrap/>
            <w:vAlign w:val="bottom"/>
            <w:hideMark/>
          </w:tcPr>
          <w:p w14:paraId="2A6C0A43"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13,376</w:t>
            </w:r>
          </w:p>
        </w:tc>
        <w:tc>
          <w:tcPr>
            <w:tcW w:w="583" w:type="pct"/>
            <w:tcBorders>
              <w:top w:val="nil"/>
              <w:left w:val="nil"/>
              <w:bottom w:val="nil"/>
              <w:right w:val="nil"/>
            </w:tcBorders>
            <w:shd w:val="clear" w:color="auto" w:fill="auto"/>
            <w:noWrap/>
            <w:vAlign w:val="bottom"/>
            <w:hideMark/>
          </w:tcPr>
          <w:p w14:paraId="0DD26AFC"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26,442</w:t>
            </w:r>
          </w:p>
        </w:tc>
      </w:tr>
      <w:tr w:rsidR="00CB36D7" w:rsidRPr="00E965CA" w14:paraId="6CF1DE7B" w14:textId="77777777" w:rsidTr="007431A4">
        <w:trPr>
          <w:trHeight w:val="204"/>
        </w:trPr>
        <w:tc>
          <w:tcPr>
            <w:tcW w:w="2038" w:type="pct"/>
            <w:tcBorders>
              <w:top w:val="nil"/>
              <w:left w:val="nil"/>
              <w:bottom w:val="nil"/>
              <w:right w:val="nil"/>
            </w:tcBorders>
            <w:shd w:val="clear" w:color="auto" w:fill="auto"/>
            <w:noWrap/>
            <w:vAlign w:val="bottom"/>
            <w:hideMark/>
          </w:tcPr>
          <w:p w14:paraId="41A9B6AE" w14:textId="77777777" w:rsidR="00CB36D7" w:rsidRPr="00E965CA" w:rsidRDefault="00CB36D7" w:rsidP="004B1146">
            <w:pPr>
              <w:spacing w:after="0" w:line="240" w:lineRule="auto"/>
              <w:rPr>
                <w:rFonts w:ascii="Arial" w:hAnsi="Arial" w:cs="Arial"/>
                <w:b/>
                <w:bCs/>
                <w:sz w:val="16"/>
                <w:szCs w:val="16"/>
              </w:rPr>
            </w:pPr>
            <w:r w:rsidRPr="00E965CA">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14:paraId="26D210E5" w14:textId="77777777" w:rsidR="00CB36D7" w:rsidRPr="00DC083D" w:rsidRDefault="00CB36D7" w:rsidP="004B1146">
            <w:pPr>
              <w:spacing w:after="0" w:line="240" w:lineRule="auto"/>
              <w:jc w:val="right"/>
              <w:rPr>
                <w:rFonts w:ascii="Arial" w:hAnsi="Arial" w:cs="Arial"/>
                <w:b/>
                <w:bCs/>
                <w:sz w:val="16"/>
                <w:szCs w:val="16"/>
              </w:rPr>
            </w:pPr>
            <w:r>
              <w:rPr>
                <w:rFonts w:ascii="Arial" w:hAnsi="Arial" w:cs="Arial"/>
                <w:b/>
                <w:bCs/>
                <w:sz w:val="16"/>
                <w:szCs w:val="16"/>
              </w:rPr>
              <w:t>12,223</w:t>
            </w:r>
          </w:p>
        </w:tc>
        <w:tc>
          <w:tcPr>
            <w:tcW w:w="582" w:type="pct"/>
            <w:tcBorders>
              <w:top w:val="single" w:sz="4" w:space="0" w:color="auto"/>
              <w:left w:val="nil"/>
              <w:bottom w:val="single" w:sz="4" w:space="0" w:color="auto"/>
              <w:right w:val="nil"/>
            </w:tcBorders>
            <w:shd w:val="clear" w:color="auto" w:fill="E6E6E6"/>
            <w:noWrap/>
            <w:vAlign w:val="bottom"/>
            <w:hideMark/>
          </w:tcPr>
          <w:p w14:paraId="63DEF94E"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23,247</w:t>
            </w:r>
          </w:p>
        </w:tc>
        <w:tc>
          <w:tcPr>
            <w:tcW w:w="583" w:type="pct"/>
            <w:tcBorders>
              <w:top w:val="single" w:sz="4" w:space="0" w:color="auto"/>
              <w:left w:val="nil"/>
              <w:bottom w:val="single" w:sz="4" w:space="0" w:color="auto"/>
              <w:right w:val="nil"/>
            </w:tcBorders>
            <w:shd w:val="clear" w:color="auto" w:fill="auto"/>
            <w:noWrap/>
            <w:vAlign w:val="bottom"/>
            <w:hideMark/>
          </w:tcPr>
          <w:p w14:paraId="7C0F168D"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37,056</w:t>
            </w:r>
          </w:p>
        </w:tc>
        <w:tc>
          <w:tcPr>
            <w:tcW w:w="583" w:type="pct"/>
            <w:tcBorders>
              <w:top w:val="single" w:sz="4" w:space="0" w:color="auto"/>
              <w:left w:val="nil"/>
              <w:bottom w:val="single" w:sz="4" w:space="0" w:color="auto"/>
              <w:right w:val="nil"/>
            </w:tcBorders>
            <w:shd w:val="clear" w:color="auto" w:fill="auto"/>
            <w:noWrap/>
            <w:vAlign w:val="bottom"/>
            <w:hideMark/>
          </w:tcPr>
          <w:p w14:paraId="69E10AAB"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13,376</w:t>
            </w:r>
          </w:p>
        </w:tc>
        <w:tc>
          <w:tcPr>
            <w:tcW w:w="583" w:type="pct"/>
            <w:tcBorders>
              <w:top w:val="single" w:sz="4" w:space="0" w:color="auto"/>
              <w:left w:val="nil"/>
              <w:bottom w:val="single" w:sz="4" w:space="0" w:color="auto"/>
              <w:right w:val="nil"/>
            </w:tcBorders>
            <w:shd w:val="clear" w:color="auto" w:fill="auto"/>
            <w:noWrap/>
            <w:vAlign w:val="bottom"/>
            <w:hideMark/>
          </w:tcPr>
          <w:p w14:paraId="79632E3D"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26,442</w:t>
            </w:r>
          </w:p>
        </w:tc>
      </w:tr>
      <w:tr w:rsidR="00CB36D7" w:rsidRPr="00E965CA" w14:paraId="5E97B418" w14:textId="77777777" w:rsidTr="007431A4">
        <w:trPr>
          <w:trHeight w:val="204"/>
        </w:trPr>
        <w:tc>
          <w:tcPr>
            <w:tcW w:w="2038" w:type="pct"/>
            <w:tcBorders>
              <w:top w:val="nil"/>
              <w:left w:val="nil"/>
              <w:bottom w:val="nil"/>
              <w:right w:val="nil"/>
            </w:tcBorders>
            <w:shd w:val="clear" w:color="auto" w:fill="auto"/>
            <w:vAlign w:val="bottom"/>
            <w:hideMark/>
          </w:tcPr>
          <w:p w14:paraId="15F10C7F" w14:textId="77777777" w:rsidR="00CB36D7" w:rsidRPr="00E965CA" w:rsidRDefault="00CB36D7" w:rsidP="004B1146">
            <w:pPr>
              <w:spacing w:after="0" w:line="240" w:lineRule="auto"/>
              <w:rPr>
                <w:rFonts w:ascii="Arial" w:hAnsi="Arial" w:cs="Arial"/>
                <w:b/>
                <w:bCs/>
                <w:sz w:val="16"/>
                <w:szCs w:val="16"/>
              </w:rPr>
            </w:pPr>
            <w:r w:rsidRPr="00E965CA">
              <w:rPr>
                <w:rFonts w:ascii="Arial" w:hAnsi="Arial" w:cs="Arial"/>
                <w:b/>
                <w:bCs/>
                <w:sz w:val="16"/>
                <w:szCs w:val="16"/>
              </w:rPr>
              <w:t>RECONCILIATION OF CASH USED TO ACQUIRE ASSETS TO ASSET MOVEMENT TABLE</w:t>
            </w:r>
          </w:p>
        </w:tc>
        <w:tc>
          <w:tcPr>
            <w:tcW w:w="631" w:type="pct"/>
            <w:tcBorders>
              <w:top w:val="nil"/>
              <w:left w:val="nil"/>
              <w:bottom w:val="nil"/>
              <w:right w:val="nil"/>
            </w:tcBorders>
            <w:shd w:val="clear" w:color="auto" w:fill="auto"/>
            <w:noWrap/>
            <w:vAlign w:val="bottom"/>
            <w:hideMark/>
          </w:tcPr>
          <w:p w14:paraId="5B7928B2" w14:textId="77777777" w:rsidR="00CB36D7" w:rsidRPr="00DC083D" w:rsidRDefault="00CB36D7" w:rsidP="004B1146">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noWrap/>
            <w:vAlign w:val="bottom"/>
            <w:hideMark/>
          </w:tcPr>
          <w:p w14:paraId="521B1638" w14:textId="77777777" w:rsidR="00CB36D7" w:rsidRPr="00DC083D" w:rsidRDefault="00CB36D7" w:rsidP="004B114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74304F36" w14:textId="77777777" w:rsidR="00CB36D7" w:rsidRPr="00DC083D" w:rsidRDefault="00CB36D7" w:rsidP="004B114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7C5BC7E5" w14:textId="77777777" w:rsidR="00CB36D7" w:rsidRPr="002F7F2B" w:rsidRDefault="00CB36D7" w:rsidP="004B1146">
            <w:pPr>
              <w:spacing w:after="0" w:line="240" w:lineRule="auto"/>
              <w:jc w:val="right"/>
              <w:rPr>
                <w:rFonts w:ascii="Times New Roman" w:hAnsi="Times New Roman"/>
                <w:sz w:val="16"/>
                <w:szCs w:val="16"/>
              </w:rPr>
            </w:pPr>
          </w:p>
        </w:tc>
        <w:tc>
          <w:tcPr>
            <w:tcW w:w="583" w:type="pct"/>
            <w:tcBorders>
              <w:top w:val="nil"/>
              <w:left w:val="nil"/>
              <w:bottom w:val="nil"/>
              <w:right w:val="nil"/>
            </w:tcBorders>
            <w:shd w:val="clear" w:color="auto" w:fill="auto"/>
            <w:noWrap/>
            <w:vAlign w:val="bottom"/>
            <w:hideMark/>
          </w:tcPr>
          <w:p w14:paraId="68109101" w14:textId="77777777" w:rsidR="00CB36D7" w:rsidRPr="002F7F2B" w:rsidRDefault="00CB36D7" w:rsidP="004B1146">
            <w:pPr>
              <w:spacing w:after="0" w:line="240" w:lineRule="auto"/>
              <w:jc w:val="right"/>
              <w:rPr>
                <w:rFonts w:ascii="Times New Roman" w:hAnsi="Times New Roman"/>
                <w:sz w:val="16"/>
                <w:szCs w:val="16"/>
              </w:rPr>
            </w:pPr>
          </w:p>
        </w:tc>
      </w:tr>
      <w:tr w:rsidR="00CB36D7" w:rsidRPr="00E965CA" w14:paraId="5C63BB2B" w14:textId="77777777" w:rsidTr="007431A4">
        <w:trPr>
          <w:trHeight w:val="204"/>
        </w:trPr>
        <w:tc>
          <w:tcPr>
            <w:tcW w:w="2038" w:type="pct"/>
            <w:tcBorders>
              <w:top w:val="nil"/>
              <w:left w:val="nil"/>
              <w:bottom w:val="nil"/>
              <w:right w:val="nil"/>
            </w:tcBorders>
            <w:shd w:val="clear" w:color="auto" w:fill="auto"/>
            <w:noWrap/>
            <w:vAlign w:val="bottom"/>
            <w:hideMark/>
          </w:tcPr>
          <w:p w14:paraId="7CE4E9A9"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Total purchases</w:t>
            </w:r>
          </w:p>
        </w:tc>
        <w:tc>
          <w:tcPr>
            <w:tcW w:w="631" w:type="pct"/>
            <w:tcBorders>
              <w:top w:val="nil"/>
              <w:left w:val="nil"/>
              <w:bottom w:val="nil"/>
              <w:right w:val="nil"/>
            </w:tcBorders>
            <w:shd w:val="clear" w:color="auto" w:fill="auto"/>
            <w:noWrap/>
            <w:vAlign w:val="bottom"/>
            <w:hideMark/>
          </w:tcPr>
          <w:p w14:paraId="74E4FCA4" w14:textId="77777777" w:rsidR="00CB36D7" w:rsidRPr="00DC083D" w:rsidRDefault="00CB36D7" w:rsidP="004B1146">
            <w:pPr>
              <w:spacing w:after="0" w:line="240" w:lineRule="auto"/>
              <w:jc w:val="right"/>
              <w:rPr>
                <w:rFonts w:ascii="Arial" w:hAnsi="Arial" w:cs="Arial"/>
                <w:sz w:val="16"/>
                <w:szCs w:val="16"/>
              </w:rPr>
            </w:pPr>
            <w:r>
              <w:rPr>
                <w:rFonts w:ascii="Arial" w:hAnsi="Arial" w:cs="Arial"/>
                <w:sz w:val="16"/>
                <w:szCs w:val="16"/>
              </w:rPr>
              <w:t>16,316</w:t>
            </w:r>
          </w:p>
        </w:tc>
        <w:tc>
          <w:tcPr>
            <w:tcW w:w="582" w:type="pct"/>
            <w:tcBorders>
              <w:top w:val="nil"/>
              <w:left w:val="nil"/>
              <w:bottom w:val="nil"/>
              <w:right w:val="nil"/>
            </w:tcBorders>
            <w:shd w:val="clear" w:color="auto" w:fill="E6E6E6"/>
            <w:noWrap/>
            <w:vAlign w:val="bottom"/>
            <w:hideMark/>
          </w:tcPr>
          <w:p w14:paraId="0FBD1059"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26,616</w:t>
            </w:r>
          </w:p>
        </w:tc>
        <w:tc>
          <w:tcPr>
            <w:tcW w:w="583" w:type="pct"/>
            <w:tcBorders>
              <w:top w:val="nil"/>
              <w:left w:val="nil"/>
              <w:bottom w:val="nil"/>
              <w:right w:val="nil"/>
            </w:tcBorders>
            <w:shd w:val="clear" w:color="auto" w:fill="auto"/>
            <w:noWrap/>
            <w:vAlign w:val="bottom"/>
            <w:hideMark/>
          </w:tcPr>
          <w:p w14:paraId="6328E80B"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92,383</w:t>
            </w:r>
          </w:p>
        </w:tc>
        <w:tc>
          <w:tcPr>
            <w:tcW w:w="583" w:type="pct"/>
            <w:tcBorders>
              <w:top w:val="nil"/>
              <w:left w:val="nil"/>
              <w:bottom w:val="nil"/>
              <w:right w:val="nil"/>
            </w:tcBorders>
            <w:shd w:val="clear" w:color="auto" w:fill="auto"/>
            <w:noWrap/>
            <w:vAlign w:val="bottom"/>
            <w:hideMark/>
          </w:tcPr>
          <w:p w14:paraId="335AD34D"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13,566</w:t>
            </w:r>
          </w:p>
        </w:tc>
        <w:tc>
          <w:tcPr>
            <w:tcW w:w="583" w:type="pct"/>
            <w:tcBorders>
              <w:top w:val="nil"/>
              <w:left w:val="nil"/>
              <w:bottom w:val="nil"/>
              <w:right w:val="nil"/>
            </w:tcBorders>
            <w:shd w:val="clear" w:color="auto" w:fill="auto"/>
            <w:noWrap/>
            <w:vAlign w:val="bottom"/>
            <w:hideMark/>
          </w:tcPr>
          <w:p w14:paraId="3E68FAA1"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26,632</w:t>
            </w:r>
          </w:p>
        </w:tc>
      </w:tr>
      <w:tr w:rsidR="00CB36D7" w:rsidRPr="00E965CA" w14:paraId="39E6F568" w14:textId="77777777" w:rsidTr="007431A4">
        <w:trPr>
          <w:trHeight w:val="204"/>
        </w:trPr>
        <w:tc>
          <w:tcPr>
            <w:tcW w:w="2038" w:type="pct"/>
            <w:tcBorders>
              <w:top w:val="nil"/>
              <w:left w:val="nil"/>
              <w:bottom w:val="nil"/>
              <w:right w:val="nil"/>
            </w:tcBorders>
            <w:shd w:val="clear" w:color="auto" w:fill="auto"/>
            <w:noWrap/>
            <w:vAlign w:val="bottom"/>
            <w:hideMark/>
          </w:tcPr>
          <w:p w14:paraId="791041CD" w14:textId="77777777" w:rsidR="00CB36D7" w:rsidRPr="00E965CA" w:rsidRDefault="00CB36D7" w:rsidP="004B1146">
            <w:pPr>
              <w:spacing w:after="0" w:line="240" w:lineRule="auto"/>
              <w:ind w:left="113"/>
              <w:rPr>
                <w:rFonts w:ascii="Arial" w:hAnsi="Arial" w:cs="Arial"/>
                <w:sz w:val="16"/>
                <w:szCs w:val="16"/>
              </w:rPr>
            </w:pPr>
            <w:r w:rsidRPr="00E965CA">
              <w:rPr>
                <w:rFonts w:ascii="Arial" w:hAnsi="Arial" w:cs="Arial"/>
                <w:sz w:val="16"/>
                <w:szCs w:val="16"/>
              </w:rPr>
              <w:t>less: ROU additions</w:t>
            </w:r>
          </w:p>
        </w:tc>
        <w:tc>
          <w:tcPr>
            <w:tcW w:w="631" w:type="pct"/>
            <w:tcBorders>
              <w:top w:val="nil"/>
              <w:left w:val="nil"/>
              <w:bottom w:val="nil"/>
              <w:right w:val="nil"/>
            </w:tcBorders>
            <w:shd w:val="clear" w:color="auto" w:fill="auto"/>
            <w:noWrap/>
            <w:vAlign w:val="bottom"/>
            <w:hideMark/>
          </w:tcPr>
          <w:p w14:paraId="7FB945DD"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4,093</w:t>
            </w:r>
            <w:r w:rsidRPr="00DC083D">
              <w:rPr>
                <w:rFonts w:ascii="Arial" w:hAnsi="Arial" w:cs="Arial"/>
                <w:sz w:val="16"/>
                <w:szCs w:val="16"/>
              </w:rPr>
              <w:t>)</w:t>
            </w:r>
          </w:p>
        </w:tc>
        <w:tc>
          <w:tcPr>
            <w:tcW w:w="582" w:type="pct"/>
            <w:tcBorders>
              <w:top w:val="nil"/>
              <w:left w:val="nil"/>
              <w:bottom w:val="nil"/>
              <w:right w:val="nil"/>
            </w:tcBorders>
            <w:shd w:val="clear" w:color="auto" w:fill="E6E6E6"/>
            <w:noWrap/>
            <w:vAlign w:val="bottom"/>
            <w:hideMark/>
          </w:tcPr>
          <w:p w14:paraId="01BA1AD0"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(3,369)</w:t>
            </w:r>
          </w:p>
        </w:tc>
        <w:tc>
          <w:tcPr>
            <w:tcW w:w="583" w:type="pct"/>
            <w:tcBorders>
              <w:top w:val="nil"/>
              <w:left w:val="nil"/>
              <w:bottom w:val="nil"/>
              <w:right w:val="nil"/>
            </w:tcBorders>
            <w:shd w:val="clear" w:color="auto" w:fill="auto"/>
            <w:noWrap/>
            <w:vAlign w:val="bottom"/>
            <w:hideMark/>
          </w:tcPr>
          <w:p w14:paraId="5BA343D9"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(55,327)</w:t>
            </w:r>
          </w:p>
        </w:tc>
        <w:tc>
          <w:tcPr>
            <w:tcW w:w="583" w:type="pct"/>
            <w:tcBorders>
              <w:top w:val="nil"/>
              <w:left w:val="nil"/>
              <w:bottom w:val="nil"/>
              <w:right w:val="nil"/>
            </w:tcBorders>
            <w:shd w:val="clear" w:color="auto" w:fill="auto"/>
            <w:noWrap/>
            <w:vAlign w:val="bottom"/>
            <w:hideMark/>
          </w:tcPr>
          <w:p w14:paraId="216ED512"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(190)</w:t>
            </w:r>
          </w:p>
        </w:tc>
        <w:tc>
          <w:tcPr>
            <w:tcW w:w="583" w:type="pct"/>
            <w:tcBorders>
              <w:top w:val="nil"/>
              <w:left w:val="nil"/>
              <w:bottom w:val="nil"/>
              <w:right w:val="nil"/>
            </w:tcBorders>
            <w:shd w:val="clear" w:color="auto" w:fill="auto"/>
            <w:noWrap/>
            <w:vAlign w:val="bottom"/>
            <w:hideMark/>
          </w:tcPr>
          <w:p w14:paraId="33F0D9F9" w14:textId="77777777" w:rsidR="00CB36D7" w:rsidRPr="00DC083D" w:rsidRDefault="00CB36D7" w:rsidP="004B1146">
            <w:pPr>
              <w:spacing w:after="0" w:line="240" w:lineRule="auto"/>
              <w:jc w:val="right"/>
              <w:rPr>
                <w:rFonts w:ascii="Arial" w:hAnsi="Arial" w:cs="Arial"/>
                <w:sz w:val="16"/>
                <w:szCs w:val="16"/>
              </w:rPr>
            </w:pPr>
            <w:r w:rsidRPr="00DC083D">
              <w:rPr>
                <w:rFonts w:ascii="Arial" w:hAnsi="Arial" w:cs="Arial"/>
                <w:sz w:val="16"/>
                <w:szCs w:val="16"/>
              </w:rPr>
              <w:t>(190)</w:t>
            </w:r>
          </w:p>
        </w:tc>
      </w:tr>
      <w:tr w:rsidR="00CB36D7" w:rsidRPr="00E965CA" w14:paraId="0A83905E" w14:textId="77777777" w:rsidTr="007431A4">
        <w:trPr>
          <w:trHeight w:val="204"/>
        </w:trPr>
        <w:tc>
          <w:tcPr>
            <w:tcW w:w="2038" w:type="pct"/>
            <w:tcBorders>
              <w:top w:val="nil"/>
              <w:left w:val="nil"/>
              <w:bottom w:val="single" w:sz="4" w:space="0" w:color="auto"/>
              <w:right w:val="nil"/>
            </w:tcBorders>
            <w:shd w:val="clear" w:color="auto" w:fill="auto"/>
            <w:vAlign w:val="bottom"/>
            <w:hideMark/>
          </w:tcPr>
          <w:p w14:paraId="6C61695A" w14:textId="77777777" w:rsidR="00CB36D7" w:rsidRPr="00E965CA" w:rsidRDefault="00CB36D7" w:rsidP="004B1146">
            <w:pPr>
              <w:spacing w:after="0" w:line="240" w:lineRule="auto"/>
              <w:rPr>
                <w:rFonts w:ascii="Arial" w:hAnsi="Arial" w:cs="Arial"/>
                <w:b/>
                <w:bCs/>
                <w:sz w:val="16"/>
                <w:szCs w:val="16"/>
              </w:rPr>
            </w:pPr>
            <w:r w:rsidRPr="00E965CA">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bottom"/>
            <w:hideMark/>
          </w:tcPr>
          <w:p w14:paraId="701381FA" w14:textId="77777777" w:rsidR="00CB36D7" w:rsidRPr="00DC083D" w:rsidRDefault="00CB36D7" w:rsidP="004B1146">
            <w:pPr>
              <w:spacing w:after="0" w:line="240" w:lineRule="auto"/>
              <w:jc w:val="right"/>
              <w:rPr>
                <w:rFonts w:ascii="Arial" w:hAnsi="Arial" w:cs="Arial"/>
                <w:b/>
                <w:bCs/>
                <w:sz w:val="16"/>
                <w:szCs w:val="16"/>
              </w:rPr>
            </w:pPr>
            <w:r>
              <w:rPr>
                <w:rFonts w:ascii="Arial" w:hAnsi="Arial" w:cs="Arial"/>
                <w:b/>
                <w:bCs/>
                <w:sz w:val="16"/>
                <w:szCs w:val="16"/>
              </w:rPr>
              <w:t>12,223</w:t>
            </w:r>
          </w:p>
        </w:tc>
        <w:tc>
          <w:tcPr>
            <w:tcW w:w="582" w:type="pct"/>
            <w:tcBorders>
              <w:top w:val="single" w:sz="4" w:space="0" w:color="auto"/>
              <w:left w:val="nil"/>
              <w:bottom w:val="single" w:sz="4" w:space="0" w:color="auto"/>
              <w:right w:val="nil"/>
            </w:tcBorders>
            <w:shd w:val="clear" w:color="auto" w:fill="E6E6E6"/>
            <w:noWrap/>
            <w:vAlign w:val="bottom"/>
            <w:hideMark/>
          </w:tcPr>
          <w:p w14:paraId="376E3D65"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23,247</w:t>
            </w:r>
          </w:p>
        </w:tc>
        <w:tc>
          <w:tcPr>
            <w:tcW w:w="583" w:type="pct"/>
            <w:tcBorders>
              <w:top w:val="single" w:sz="4" w:space="0" w:color="auto"/>
              <w:left w:val="nil"/>
              <w:bottom w:val="single" w:sz="4" w:space="0" w:color="auto"/>
              <w:right w:val="nil"/>
            </w:tcBorders>
            <w:shd w:val="clear" w:color="auto" w:fill="auto"/>
            <w:noWrap/>
            <w:vAlign w:val="bottom"/>
            <w:hideMark/>
          </w:tcPr>
          <w:p w14:paraId="1B3622FC"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37,056</w:t>
            </w:r>
          </w:p>
        </w:tc>
        <w:tc>
          <w:tcPr>
            <w:tcW w:w="583" w:type="pct"/>
            <w:tcBorders>
              <w:top w:val="single" w:sz="4" w:space="0" w:color="auto"/>
              <w:left w:val="nil"/>
              <w:bottom w:val="single" w:sz="4" w:space="0" w:color="auto"/>
              <w:right w:val="nil"/>
            </w:tcBorders>
            <w:shd w:val="clear" w:color="auto" w:fill="auto"/>
            <w:noWrap/>
            <w:vAlign w:val="bottom"/>
            <w:hideMark/>
          </w:tcPr>
          <w:p w14:paraId="06E8E87B"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13,376</w:t>
            </w:r>
          </w:p>
        </w:tc>
        <w:tc>
          <w:tcPr>
            <w:tcW w:w="583" w:type="pct"/>
            <w:tcBorders>
              <w:top w:val="single" w:sz="4" w:space="0" w:color="auto"/>
              <w:left w:val="nil"/>
              <w:bottom w:val="single" w:sz="4" w:space="0" w:color="auto"/>
              <w:right w:val="nil"/>
            </w:tcBorders>
            <w:shd w:val="clear" w:color="auto" w:fill="auto"/>
            <w:noWrap/>
            <w:vAlign w:val="bottom"/>
            <w:hideMark/>
          </w:tcPr>
          <w:p w14:paraId="302B5C60" w14:textId="77777777" w:rsidR="00CB36D7" w:rsidRPr="00DC083D" w:rsidRDefault="00CB36D7" w:rsidP="004B1146">
            <w:pPr>
              <w:spacing w:after="0" w:line="240" w:lineRule="auto"/>
              <w:jc w:val="right"/>
              <w:rPr>
                <w:rFonts w:ascii="Arial" w:hAnsi="Arial" w:cs="Arial"/>
                <w:b/>
                <w:bCs/>
                <w:sz w:val="16"/>
                <w:szCs w:val="16"/>
              </w:rPr>
            </w:pPr>
            <w:r w:rsidRPr="00DC083D">
              <w:rPr>
                <w:rFonts w:ascii="Arial" w:hAnsi="Arial" w:cs="Arial"/>
                <w:b/>
                <w:bCs/>
                <w:sz w:val="16"/>
                <w:szCs w:val="16"/>
              </w:rPr>
              <w:t>26,442</w:t>
            </w:r>
          </w:p>
        </w:tc>
      </w:tr>
    </w:tbl>
    <w:p w14:paraId="7446102E" w14:textId="77777777" w:rsidR="00CB36D7" w:rsidRPr="008F58AA" w:rsidRDefault="00CB36D7" w:rsidP="004B1146">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7125FC">
        <w:rPr>
          <w:rFonts w:cs="Arial"/>
        </w:rPr>
        <w:t>Prepared on Australian Accounting Standards basis.</w:t>
      </w:r>
    </w:p>
    <w:p w14:paraId="3EE7B118" w14:textId="77777777" w:rsidR="00CB36D7" w:rsidRPr="004B1146" w:rsidRDefault="00CB36D7" w:rsidP="008D0F63">
      <w:pPr>
        <w:pStyle w:val="ChartandTableFootnoteAlpha"/>
        <w:numPr>
          <w:ilvl w:val="0"/>
          <w:numId w:val="156"/>
        </w:numPr>
        <w:tabs>
          <w:tab w:val="clear" w:pos="284"/>
        </w:tabs>
        <w:ind w:left="426" w:hanging="426"/>
        <w:jc w:val="left"/>
        <w:rPr>
          <w:rFonts w:cs="Arial"/>
          <w:szCs w:val="16"/>
        </w:rPr>
      </w:pPr>
      <w:r w:rsidRPr="004B1146">
        <w:rPr>
          <w:rFonts w:cs="Arial"/>
          <w:szCs w:val="16"/>
        </w:rPr>
        <w:t>Includes funding from prior year appropriations, entity receipts, and proceeds from the sale of assets.</w:t>
      </w:r>
    </w:p>
    <w:p w14:paraId="5981AD46" w14:textId="77777777" w:rsidR="00CB36D7" w:rsidRDefault="00CB36D7" w:rsidP="00CB36D7">
      <w:pPr>
        <w:spacing w:after="0" w:line="240" w:lineRule="auto"/>
        <w:rPr>
          <w:rFonts w:ascii="Arial" w:hAnsi="Arial"/>
          <w:b/>
          <w:color w:val="000000"/>
          <w:lang w:val="x-none" w:eastAsia="x-none"/>
        </w:rPr>
      </w:pPr>
      <w:r>
        <w:br w:type="page"/>
      </w:r>
    </w:p>
    <w:p w14:paraId="5EE1422D" w14:textId="77777777" w:rsidR="00CB36D7" w:rsidRDefault="00CB36D7" w:rsidP="00CB36D7">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2885"/>
        <w:gridCol w:w="908"/>
        <w:gridCol w:w="911"/>
        <w:gridCol w:w="1098"/>
        <w:gridCol w:w="998"/>
        <w:gridCol w:w="910"/>
      </w:tblGrid>
      <w:tr w:rsidR="00CB36D7" w:rsidRPr="00E965CA" w14:paraId="3766F56A" w14:textId="77777777" w:rsidTr="00CB36D7">
        <w:trPr>
          <w:trHeight w:val="204"/>
        </w:trPr>
        <w:tc>
          <w:tcPr>
            <w:tcW w:w="1871" w:type="pct"/>
            <w:tcBorders>
              <w:top w:val="single" w:sz="4" w:space="0" w:color="auto"/>
              <w:left w:val="nil"/>
              <w:bottom w:val="nil"/>
              <w:right w:val="nil"/>
            </w:tcBorders>
            <w:shd w:val="clear" w:color="auto" w:fill="auto"/>
            <w:noWrap/>
            <w:vAlign w:val="bottom"/>
            <w:hideMark/>
          </w:tcPr>
          <w:p w14:paraId="02B499D5" w14:textId="77777777" w:rsidR="00CB36D7" w:rsidRPr="00E965CA" w:rsidRDefault="00CB36D7" w:rsidP="00CB36D7">
            <w:pPr>
              <w:spacing w:after="0" w:line="240" w:lineRule="auto"/>
              <w:rPr>
                <w:rFonts w:ascii="Arial" w:hAnsi="Arial" w:cs="Arial"/>
                <w:sz w:val="16"/>
                <w:szCs w:val="16"/>
              </w:rPr>
            </w:pPr>
            <w:r w:rsidRPr="00E965CA">
              <w:rPr>
                <w:rFonts w:ascii="Arial" w:hAnsi="Arial" w:cs="Arial"/>
                <w:sz w:val="16"/>
                <w:szCs w:val="16"/>
              </w:rPr>
              <w:t> </w:t>
            </w:r>
          </w:p>
        </w:tc>
        <w:tc>
          <w:tcPr>
            <w:tcW w:w="3129" w:type="pct"/>
            <w:gridSpan w:val="5"/>
            <w:tcBorders>
              <w:top w:val="single" w:sz="4" w:space="0" w:color="auto"/>
              <w:left w:val="nil"/>
              <w:bottom w:val="single" w:sz="4" w:space="0" w:color="auto"/>
              <w:right w:val="nil"/>
            </w:tcBorders>
            <w:shd w:val="clear" w:color="auto" w:fill="auto"/>
            <w:vAlign w:val="bottom"/>
          </w:tcPr>
          <w:p w14:paraId="657E3FEB" w14:textId="77777777" w:rsidR="00CB36D7" w:rsidRPr="002F7F2B" w:rsidRDefault="00CB36D7" w:rsidP="00CB36D7">
            <w:pPr>
              <w:spacing w:after="0" w:line="240" w:lineRule="auto"/>
              <w:jc w:val="center"/>
              <w:rPr>
                <w:rFonts w:ascii="Arial" w:hAnsi="Arial" w:cs="Arial"/>
                <w:b/>
                <w:sz w:val="16"/>
                <w:szCs w:val="16"/>
              </w:rPr>
            </w:pPr>
            <w:r w:rsidRPr="002F7F2B">
              <w:rPr>
                <w:rFonts w:ascii="Arial" w:hAnsi="Arial" w:cs="Arial"/>
                <w:b/>
                <w:sz w:val="16"/>
                <w:szCs w:val="16"/>
              </w:rPr>
              <w:t>Asset Category</w:t>
            </w:r>
          </w:p>
        </w:tc>
      </w:tr>
      <w:tr w:rsidR="00CB36D7" w:rsidRPr="00E965CA" w14:paraId="750D1A87" w14:textId="77777777" w:rsidTr="00CB36D7">
        <w:trPr>
          <w:trHeight w:val="204"/>
        </w:trPr>
        <w:tc>
          <w:tcPr>
            <w:tcW w:w="1871" w:type="pct"/>
            <w:tcBorders>
              <w:left w:val="nil"/>
              <w:bottom w:val="nil"/>
              <w:right w:val="nil"/>
            </w:tcBorders>
            <w:shd w:val="clear" w:color="auto" w:fill="auto"/>
            <w:noWrap/>
            <w:vAlign w:val="bottom"/>
          </w:tcPr>
          <w:p w14:paraId="03E1A23A" w14:textId="77777777" w:rsidR="00CB36D7" w:rsidRPr="00E965CA" w:rsidRDefault="00CB36D7" w:rsidP="00CB36D7">
            <w:pPr>
              <w:spacing w:after="0" w:line="240" w:lineRule="auto"/>
              <w:rPr>
                <w:rFonts w:ascii="Arial" w:hAnsi="Arial" w:cs="Arial"/>
                <w:sz w:val="16"/>
                <w:szCs w:val="16"/>
              </w:rPr>
            </w:pPr>
          </w:p>
        </w:tc>
        <w:tc>
          <w:tcPr>
            <w:tcW w:w="589" w:type="pct"/>
            <w:tcBorders>
              <w:top w:val="single" w:sz="4" w:space="0" w:color="auto"/>
              <w:left w:val="nil"/>
              <w:bottom w:val="single" w:sz="4" w:space="0" w:color="auto"/>
              <w:right w:val="nil"/>
            </w:tcBorders>
            <w:shd w:val="clear" w:color="auto" w:fill="auto"/>
            <w:vAlign w:val="bottom"/>
          </w:tcPr>
          <w:p w14:paraId="02193FD3" w14:textId="77777777" w:rsidR="00CB36D7" w:rsidRPr="00E965CA" w:rsidRDefault="00CB36D7" w:rsidP="00CB36D7">
            <w:pPr>
              <w:spacing w:after="0" w:line="240" w:lineRule="auto"/>
              <w:jc w:val="right"/>
              <w:rPr>
                <w:rFonts w:ascii="Arial" w:hAnsi="Arial" w:cs="Arial"/>
                <w:sz w:val="16"/>
                <w:szCs w:val="16"/>
              </w:rPr>
            </w:pPr>
            <w:r w:rsidRPr="00E965CA">
              <w:rPr>
                <w:rFonts w:ascii="Arial" w:hAnsi="Arial" w:cs="Arial"/>
                <w:sz w:val="16"/>
                <w:szCs w:val="16"/>
              </w:rPr>
              <w:t>Land</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tcPr>
          <w:p w14:paraId="1DB23056" w14:textId="77777777" w:rsidR="00CB36D7" w:rsidRPr="00E965CA" w:rsidRDefault="00CB36D7" w:rsidP="00CB36D7">
            <w:pPr>
              <w:spacing w:after="0" w:line="240" w:lineRule="auto"/>
              <w:jc w:val="right"/>
              <w:rPr>
                <w:rFonts w:ascii="Arial" w:hAnsi="Arial" w:cs="Arial"/>
                <w:sz w:val="16"/>
                <w:szCs w:val="16"/>
              </w:rPr>
            </w:pPr>
            <w:r w:rsidRPr="00E965CA">
              <w:rPr>
                <w:rFonts w:ascii="Arial" w:hAnsi="Arial" w:cs="Arial"/>
                <w:sz w:val="16"/>
                <w:szCs w:val="16"/>
              </w:rPr>
              <w:t>Buildings</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c>
          <w:tcPr>
            <w:tcW w:w="712" w:type="pct"/>
            <w:tcBorders>
              <w:top w:val="single" w:sz="4" w:space="0" w:color="auto"/>
              <w:left w:val="nil"/>
              <w:bottom w:val="single" w:sz="4" w:space="0" w:color="auto"/>
              <w:right w:val="nil"/>
            </w:tcBorders>
            <w:shd w:val="clear" w:color="auto" w:fill="auto"/>
            <w:vAlign w:val="bottom"/>
          </w:tcPr>
          <w:p w14:paraId="57F50CF0" w14:textId="6C62D4AE" w:rsidR="00CB36D7" w:rsidRPr="00E965CA" w:rsidRDefault="00CB36D7" w:rsidP="00CB36D7">
            <w:pPr>
              <w:spacing w:after="0" w:line="240" w:lineRule="auto"/>
              <w:jc w:val="right"/>
              <w:rPr>
                <w:rFonts w:ascii="Arial" w:hAnsi="Arial" w:cs="Arial"/>
                <w:sz w:val="16"/>
                <w:szCs w:val="16"/>
              </w:rPr>
            </w:pPr>
            <w:r w:rsidRPr="00E965CA">
              <w:rPr>
                <w:rFonts w:ascii="Arial" w:hAnsi="Arial" w:cs="Arial"/>
                <w:sz w:val="16"/>
                <w:szCs w:val="16"/>
              </w:rPr>
              <w:t>Other</w:t>
            </w:r>
            <w:r w:rsidRPr="00E965CA">
              <w:rPr>
                <w:rFonts w:ascii="Arial" w:hAnsi="Arial" w:cs="Arial"/>
                <w:sz w:val="16"/>
                <w:szCs w:val="16"/>
              </w:rPr>
              <w:br/>
              <w:t>property,</w:t>
            </w:r>
            <w:r w:rsidRPr="00E965CA">
              <w:rPr>
                <w:rFonts w:ascii="Arial" w:hAnsi="Arial" w:cs="Arial"/>
                <w:sz w:val="16"/>
                <w:szCs w:val="16"/>
              </w:rPr>
              <w:br/>
              <w:t>plant</w:t>
            </w:r>
            <w:r w:rsidR="00224D27">
              <w:rPr>
                <w:rFonts w:ascii="Arial" w:hAnsi="Arial" w:cs="Arial"/>
                <w:sz w:val="16"/>
                <w:szCs w:val="16"/>
              </w:rPr>
              <w:t xml:space="preserve"> </w:t>
            </w:r>
            <w:r w:rsidRPr="00E965CA">
              <w:rPr>
                <w:rFonts w:ascii="Arial" w:hAnsi="Arial" w:cs="Arial"/>
                <w:sz w:val="16"/>
                <w:szCs w:val="16"/>
              </w:rPr>
              <w:t>and</w:t>
            </w:r>
            <w:r w:rsidRPr="00E965CA">
              <w:rPr>
                <w:rFonts w:ascii="Arial" w:hAnsi="Arial" w:cs="Arial"/>
                <w:sz w:val="16"/>
                <w:szCs w:val="16"/>
              </w:rPr>
              <w:br/>
              <w:t>equipment</w:t>
            </w:r>
            <w:r w:rsidRPr="00E965CA">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vAlign w:val="bottom"/>
          </w:tcPr>
          <w:p w14:paraId="6EFE3EC8" w14:textId="6D6041FD" w:rsidR="00CB36D7" w:rsidRPr="00E965CA" w:rsidRDefault="00CB36D7" w:rsidP="00CB36D7">
            <w:pPr>
              <w:spacing w:after="0" w:line="240" w:lineRule="auto"/>
              <w:jc w:val="right"/>
              <w:rPr>
                <w:rFonts w:ascii="Arial" w:hAnsi="Arial" w:cs="Arial"/>
                <w:sz w:val="16"/>
                <w:szCs w:val="16"/>
              </w:rPr>
            </w:pPr>
            <w:r w:rsidRPr="00E965CA">
              <w:rPr>
                <w:rFonts w:ascii="Arial" w:hAnsi="Arial" w:cs="Arial"/>
                <w:sz w:val="16"/>
                <w:szCs w:val="16"/>
              </w:rPr>
              <w:t>Com</w:t>
            </w:r>
            <w:r>
              <w:rPr>
                <w:rFonts w:ascii="Arial" w:hAnsi="Arial" w:cs="Arial"/>
                <w:sz w:val="16"/>
                <w:szCs w:val="16"/>
              </w:rPr>
              <w:t>puter</w:t>
            </w:r>
            <w:r>
              <w:rPr>
                <w:rFonts w:ascii="Arial" w:hAnsi="Arial" w:cs="Arial"/>
                <w:sz w:val="16"/>
                <w:szCs w:val="16"/>
              </w:rPr>
              <w:br/>
              <w:t>software</w:t>
            </w:r>
            <w:r w:rsidR="00224D27">
              <w:rPr>
                <w:rFonts w:ascii="Arial" w:hAnsi="Arial" w:cs="Arial"/>
                <w:sz w:val="16"/>
                <w:szCs w:val="16"/>
              </w:rPr>
              <w:t xml:space="preserve"> </w:t>
            </w:r>
            <w:r>
              <w:rPr>
                <w:rFonts w:ascii="Arial" w:hAnsi="Arial" w:cs="Arial"/>
                <w:sz w:val="16"/>
                <w:szCs w:val="16"/>
              </w:rPr>
              <w:t>and</w:t>
            </w:r>
            <w:r>
              <w:rPr>
                <w:rFonts w:ascii="Arial" w:hAnsi="Arial" w:cs="Arial"/>
                <w:sz w:val="16"/>
                <w:szCs w:val="16"/>
              </w:rPr>
              <w:br/>
              <w:t>intangibles</w:t>
            </w:r>
            <w:r>
              <w:rPr>
                <w:rFonts w:ascii="Arial" w:hAnsi="Arial" w:cs="Arial"/>
                <w:sz w:val="16"/>
                <w:szCs w:val="16"/>
              </w:rPr>
              <w:br/>
            </w:r>
            <w:r w:rsidRPr="00E965CA">
              <w:rPr>
                <w:rFonts w:ascii="Arial" w:hAnsi="Arial" w:cs="Arial"/>
                <w:sz w:val="16"/>
                <w:szCs w:val="16"/>
              </w:rPr>
              <w:t>$'000</w:t>
            </w:r>
          </w:p>
        </w:tc>
        <w:tc>
          <w:tcPr>
            <w:tcW w:w="590" w:type="pct"/>
            <w:tcBorders>
              <w:top w:val="single" w:sz="4" w:space="0" w:color="auto"/>
              <w:left w:val="nil"/>
              <w:bottom w:val="single" w:sz="4" w:space="0" w:color="auto"/>
              <w:right w:val="nil"/>
            </w:tcBorders>
            <w:shd w:val="clear" w:color="auto" w:fill="auto"/>
            <w:vAlign w:val="bottom"/>
          </w:tcPr>
          <w:p w14:paraId="2ABB7891" w14:textId="77777777" w:rsidR="00CB36D7" w:rsidRPr="00E965CA" w:rsidRDefault="00CB36D7" w:rsidP="00CB36D7">
            <w:pPr>
              <w:spacing w:after="0" w:line="240" w:lineRule="auto"/>
              <w:jc w:val="right"/>
              <w:rPr>
                <w:rFonts w:ascii="Arial" w:hAnsi="Arial" w:cs="Arial"/>
                <w:sz w:val="16"/>
                <w:szCs w:val="16"/>
              </w:rPr>
            </w:pPr>
            <w:r w:rsidRPr="00E965CA">
              <w:rPr>
                <w:rFonts w:ascii="Arial" w:hAnsi="Arial" w:cs="Arial"/>
                <w:sz w:val="16"/>
                <w:szCs w:val="16"/>
              </w:rPr>
              <w:t>Total</w:t>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r>
            <w:r w:rsidRPr="00E965CA">
              <w:rPr>
                <w:rFonts w:ascii="Arial" w:hAnsi="Arial" w:cs="Arial"/>
                <w:sz w:val="16"/>
                <w:szCs w:val="16"/>
              </w:rPr>
              <w:br/>
              <w:t>$'000</w:t>
            </w:r>
          </w:p>
        </w:tc>
      </w:tr>
      <w:tr w:rsidR="00CB36D7" w:rsidRPr="00E965CA" w14:paraId="1CDBF881" w14:textId="77777777" w:rsidTr="00CB36D7">
        <w:trPr>
          <w:trHeight w:val="204"/>
        </w:trPr>
        <w:tc>
          <w:tcPr>
            <w:tcW w:w="1871" w:type="pct"/>
            <w:tcBorders>
              <w:top w:val="nil"/>
              <w:left w:val="nil"/>
              <w:bottom w:val="nil"/>
              <w:right w:val="nil"/>
            </w:tcBorders>
            <w:shd w:val="clear" w:color="auto" w:fill="auto"/>
            <w:vAlign w:val="bottom"/>
            <w:hideMark/>
          </w:tcPr>
          <w:p w14:paraId="12BFB4AB"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As at 1 July 2022</w:t>
            </w:r>
          </w:p>
        </w:tc>
        <w:tc>
          <w:tcPr>
            <w:tcW w:w="589" w:type="pct"/>
            <w:tcBorders>
              <w:top w:val="nil"/>
              <w:left w:val="nil"/>
              <w:bottom w:val="nil"/>
              <w:right w:val="nil"/>
            </w:tcBorders>
            <w:shd w:val="clear" w:color="auto" w:fill="auto"/>
            <w:noWrap/>
            <w:vAlign w:val="bottom"/>
            <w:hideMark/>
          </w:tcPr>
          <w:p w14:paraId="5F82AEE7" w14:textId="77777777" w:rsidR="00CB36D7" w:rsidRPr="00DC083D" w:rsidRDefault="00CB36D7" w:rsidP="00CB36D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337CC942" w14:textId="77777777" w:rsidR="00CB36D7" w:rsidRPr="002F7F2B" w:rsidRDefault="00CB36D7" w:rsidP="00CB36D7">
            <w:pPr>
              <w:spacing w:after="0" w:line="240" w:lineRule="auto"/>
              <w:jc w:val="right"/>
              <w:rPr>
                <w:rFonts w:ascii="Times New Roman" w:hAnsi="Times New Roman"/>
                <w:sz w:val="16"/>
                <w:szCs w:val="16"/>
              </w:rPr>
            </w:pPr>
          </w:p>
        </w:tc>
        <w:tc>
          <w:tcPr>
            <w:tcW w:w="712" w:type="pct"/>
            <w:tcBorders>
              <w:top w:val="nil"/>
              <w:left w:val="nil"/>
              <w:bottom w:val="nil"/>
              <w:right w:val="nil"/>
            </w:tcBorders>
            <w:shd w:val="clear" w:color="auto" w:fill="auto"/>
            <w:noWrap/>
            <w:vAlign w:val="bottom"/>
            <w:hideMark/>
          </w:tcPr>
          <w:p w14:paraId="5541ADAF" w14:textId="77777777" w:rsidR="00CB36D7" w:rsidRPr="002F7F2B" w:rsidRDefault="00CB36D7" w:rsidP="00CB36D7">
            <w:pPr>
              <w:spacing w:after="0" w:line="240" w:lineRule="auto"/>
              <w:jc w:val="right"/>
              <w:rPr>
                <w:rFonts w:ascii="Times New Roman" w:hAnsi="Times New Roman"/>
                <w:sz w:val="16"/>
                <w:szCs w:val="16"/>
              </w:rPr>
            </w:pPr>
          </w:p>
        </w:tc>
        <w:tc>
          <w:tcPr>
            <w:tcW w:w="647" w:type="pct"/>
            <w:tcBorders>
              <w:top w:val="nil"/>
              <w:left w:val="nil"/>
              <w:bottom w:val="nil"/>
              <w:right w:val="nil"/>
            </w:tcBorders>
            <w:shd w:val="clear" w:color="auto" w:fill="auto"/>
            <w:noWrap/>
            <w:vAlign w:val="bottom"/>
            <w:hideMark/>
          </w:tcPr>
          <w:p w14:paraId="53B10211" w14:textId="77777777" w:rsidR="00CB36D7" w:rsidRPr="002F7F2B" w:rsidRDefault="00CB36D7" w:rsidP="00CB36D7">
            <w:pPr>
              <w:spacing w:after="0" w:line="240" w:lineRule="auto"/>
              <w:jc w:val="right"/>
              <w:rPr>
                <w:rFonts w:ascii="Times New Roman" w:hAnsi="Times New Roman"/>
                <w:sz w:val="16"/>
                <w:szCs w:val="16"/>
              </w:rPr>
            </w:pPr>
          </w:p>
        </w:tc>
        <w:tc>
          <w:tcPr>
            <w:tcW w:w="590" w:type="pct"/>
            <w:tcBorders>
              <w:top w:val="nil"/>
              <w:left w:val="nil"/>
              <w:bottom w:val="nil"/>
              <w:right w:val="nil"/>
            </w:tcBorders>
            <w:shd w:val="clear" w:color="auto" w:fill="auto"/>
            <w:noWrap/>
            <w:vAlign w:val="bottom"/>
            <w:hideMark/>
          </w:tcPr>
          <w:p w14:paraId="48A92ACE"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251089D4" w14:textId="77777777" w:rsidTr="00CB36D7">
        <w:trPr>
          <w:trHeight w:val="204"/>
        </w:trPr>
        <w:tc>
          <w:tcPr>
            <w:tcW w:w="1871" w:type="pct"/>
            <w:tcBorders>
              <w:top w:val="nil"/>
              <w:left w:val="nil"/>
              <w:bottom w:val="nil"/>
              <w:right w:val="nil"/>
            </w:tcBorders>
            <w:shd w:val="clear" w:color="auto" w:fill="auto"/>
            <w:vAlign w:val="bottom"/>
            <w:hideMark/>
          </w:tcPr>
          <w:p w14:paraId="3DD93445"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 xml:space="preserve">Gross book value </w:t>
            </w:r>
          </w:p>
        </w:tc>
        <w:tc>
          <w:tcPr>
            <w:tcW w:w="589" w:type="pct"/>
            <w:tcBorders>
              <w:top w:val="nil"/>
              <w:left w:val="nil"/>
              <w:bottom w:val="nil"/>
              <w:right w:val="nil"/>
            </w:tcBorders>
            <w:shd w:val="clear" w:color="auto" w:fill="auto"/>
            <w:noWrap/>
            <w:vAlign w:val="bottom"/>
            <w:hideMark/>
          </w:tcPr>
          <w:p w14:paraId="50B718E0"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w:t>
            </w:r>
            <w:r>
              <w:rPr>
                <w:rFonts w:ascii="Arial" w:hAnsi="Arial" w:cs="Arial"/>
                <w:sz w:val="16"/>
                <w:szCs w:val="16"/>
              </w:rPr>
              <w:t>595</w:t>
            </w:r>
          </w:p>
        </w:tc>
        <w:tc>
          <w:tcPr>
            <w:tcW w:w="591" w:type="pct"/>
            <w:tcBorders>
              <w:top w:val="nil"/>
              <w:left w:val="nil"/>
              <w:bottom w:val="nil"/>
              <w:right w:val="nil"/>
            </w:tcBorders>
            <w:shd w:val="clear" w:color="auto" w:fill="auto"/>
            <w:noWrap/>
            <w:vAlign w:val="bottom"/>
            <w:hideMark/>
          </w:tcPr>
          <w:p w14:paraId="1B42331A"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11,280</w:t>
            </w:r>
          </w:p>
        </w:tc>
        <w:tc>
          <w:tcPr>
            <w:tcW w:w="712" w:type="pct"/>
            <w:tcBorders>
              <w:top w:val="nil"/>
              <w:left w:val="nil"/>
              <w:bottom w:val="nil"/>
              <w:right w:val="nil"/>
            </w:tcBorders>
            <w:shd w:val="clear" w:color="auto" w:fill="auto"/>
            <w:noWrap/>
            <w:vAlign w:val="bottom"/>
            <w:hideMark/>
          </w:tcPr>
          <w:p w14:paraId="55AF2B3C"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119,390</w:t>
            </w:r>
          </w:p>
        </w:tc>
        <w:tc>
          <w:tcPr>
            <w:tcW w:w="647" w:type="pct"/>
            <w:tcBorders>
              <w:top w:val="nil"/>
              <w:left w:val="nil"/>
              <w:bottom w:val="nil"/>
              <w:right w:val="nil"/>
            </w:tcBorders>
            <w:shd w:val="clear" w:color="auto" w:fill="auto"/>
            <w:noWrap/>
            <w:vAlign w:val="bottom"/>
            <w:hideMark/>
          </w:tcPr>
          <w:p w14:paraId="3C1A7EE1"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19,762</w:t>
            </w:r>
          </w:p>
        </w:tc>
        <w:tc>
          <w:tcPr>
            <w:tcW w:w="590" w:type="pct"/>
            <w:tcBorders>
              <w:top w:val="nil"/>
              <w:left w:val="nil"/>
              <w:bottom w:val="nil"/>
              <w:right w:val="nil"/>
            </w:tcBorders>
            <w:shd w:val="clear" w:color="auto" w:fill="auto"/>
            <w:noWrap/>
            <w:vAlign w:val="bottom"/>
            <w:hideMark/>
          </w:tcPr>
          <w:p w14:paraId="5F824EA9"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153,027</w:t>
            </w:r>
          </w:p>
        </w:tc>
      </w:tr>
      <w:tr w:rsidR="00CB36D7" w:rsidRPr="00E965CA" w14:paraId="0433A64E" w14:textId="77777777" w:rsidTr="00CB36D7">
        <w:trPr>
          <w:trHeight w:val="204"/>
        </w:trPr>
        <w:tc>
          <w:tcPr>
            <w:tcW w:w="1871" w:type="pct"/>
            <w:tcBorders>
              <w:top w:val="nil"/>
              <w:left w:val="nil"/>
              <w:bottom w:val="nil"/>
              <w:right w:val="nil"/>
            </w:tcBorders>
            <w:shd w:val="clear" w:color="auto" w:fill="auto"/>
            <w:noWrap/>
            <w:vAlign w:val="bottom"/>
            <w:hideMark/>
          </w:tcPr>
          <w:p w14:paraId="06845B18"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1EA7495D"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2,635</w:t>
            </w:r>
          </w:p>
        </w:tc>
        <w:tc>
          <w:tcPr>
            <w:tcW w:w="591" w:type="pct"/>
            <w:tcBorders>
              <w:top w:val="nil"/>
              <w:left w:val="nil"/>
              <w:bottom w:val="nil"/>
              <w:right w:val="nil"/>
            </w:tcBorders>
            <w:shd w:val="clear" w:color="auto" w:fill="auto"/>
            <w:noWrap/>
            <w:vAlign w:val="bottom"/>
            <w:hideMark/>
          </w:tcPr>
          <w:p w14:paraId="12B63D9E"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41,743</w:t>
            </w:r>
          </w:p>
        </w:tc>
        <w:tc>
          <w:tcPr>
            <w:tcW w:w="712" w:type="pct"/>
            <w:tcBorders>
              <w:top w:val="nil"/>
              <w:left w:val="nil"/>
              <w:bottom w:val="nil"/>
              <w:right w:val="nil"/>
            </w:tcBorders>
            <w:shd w:val="clear" w:color="auto" w:fill="auto"/>
            <w:noWrap/>
            <w:vAlign w:val="bottom"/>
            <w:hideMark/>
          </w:tcPr>
          <w:p w14:paraId="74669F27"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85,136</w:t>
            </w:r>
          </w:p>
        </w:tc>
        <w:tc>
          <w:tcPr>
            <w:tcW w:w="647" w:type="pct"/>
            <w:tcBorders>
              <w:top w:val="nil"/>
              <w:left w:val="nil"/>
              <w:bottom w:val="nil"/>
              <w:right w:val="nil"/>
            </w:tcBorders>
            <w:shd w:val="clear" w:color="auto" w:fill="auto"/>
            <w:noWrap/>
            <w:vAlign w:val="bottom"/>
            <w:hideMark/>
          </w:tcPr>
          <w:p w14:paraId="1FF48352"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025EA6DA"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129,514</w:t>
            </w:r>
          </w:p>
        </w:tc>
      </w:tr>
      <w:tr w:rsidR="00CB36D7" w:rsidRPr="00E965CA" w14:paraId="215B2434" w14:textId="77777777" w:rsidTr="00CB36D7">
        <w:trPr>
          <w:trHeight w:val="204"/>
        </w:trPr>
        <w:tc>
          <w:tcPr>
            <w:tcW w:w="1871" w:type="pct"/>
            <w:tcBorders>
              <w:top w:val="nil"/>
              <w:left w:val="nil"/>
              <w:bottom w:val="nil"/>
              <w:right w:val="nil"/>
            </w:tcBorders>
            <w:shd w:val="clear" w:color="auto" w:fill="auto"/>
            <w:vAlign w:val="bottom"/>
            <w:hideMark/>
          </w:tcPr>
          <w:p w14:paraId="4C7FBF27"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w:t>
            </w:r>
          </w:p>
        </w:tc>
        <w:tc>
          <w:tcPr>
            <w:tcW w:w="589" w:type="pct"/>
            <w:tcBorders>
              <w:top w:val="nil"/>
              <w:left w:val="nil"/>
              <w:bottom w:val="nil"/>
              <w:right w:val="nil"/>
            </w:tcBorders>
            <w:shd w:val="clear" w:color="auto" w:fill="auto"/>
            <w:noWrap/>
            <w:vAlign w:val="bottom"/>
            <w:hideMark/>
          </w:tcPr>
          <w:p w14:paraId="5BD50A3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16F57603"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w:t>
            </w:r>
          </w:p>
        </w:tc>
        <w:tc>
          <w:tcPr>
            <w:tcW w:w="712" w:type="pct"/>
            <w:tcBorders>
              <w:top w:val="nil"/>
              <w:left w:val="nil"/>
              <w:bottom w:val="nil"/>
              <w:right w:val="nil"/>
            </w:tcBorders>
            <w:shd w:val="clear" w:color="auto" w:fill="auto"/>
            <w:noWrap/>
            <w:vAlign w:val="bottom"/>
            <w:hideMark/>
          </w:tcPr>
          <w:p w14:paraId="61BD1400"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w:t>
            </w:r>
          </w:p>
        </w:tc>
        <w:tc>
          <w:tcPr>
            <w:tcW w:w="647" w:type="pct"/>
            <w:tcBorders>
              <w:top w:val="nil"/>
              <w:left w:val="nil"/>
              <w:bottom w:val="nil"/>
              <w:right w:val="nil"/>
            </w:tcBorders>
            <w:shd w:val="clear" w:color="auto" w:fill="auto"/>
            <w:noWrap/>
            <w:vAlign w:val="bottom"/>
            <w:hideMark/>
          </w:tcPr>
          <w:p w14:paraId="2DB525B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11,880</w:t>
            </w: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19746533"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11,880</w:t>
            </w:r>
            <w:r w:rsidRPr="00DC083D">
              <w:rPr>
                <w:rFonts w:ascii="Arial" w:hAnsi="Arial" w:cs="Arial"/>
                <w:sz w:val="16"/>
                <w:szCs w:val="16"/>
              </w:rPr>
              <w:t>)</w:t>
            </w:r>
          </w:p>
        </w:tc>
      </w:tr>
      <w:tr w:rsidR="00CB36D7" w:rsidRPr="00E965CA" w14:paraId="46E96C93" w14:textId="77777777" w:rsidTr="00CB36D7">
        <w:trPr>
          <w:trHeight w:val="204"/>
        </w:trPr>
        <w:tc>
          <w:tcPr>
            <w:tcW w:w="1871" w:type="pct"/>
            <w:tcBorders>
              <w:top w:val="nil"/>
              <w:left w:val="nil"/>
              <w:bottom w:val="nil"/>
              <w:right w:val="nil"/>
            </w:tcBorders>
            <w:shd w:val="clear" w:color="auto" w:fill="auto"/>
            <w:vAlign w:val="bottom"/>
            <w:hideMark/>
          </w:tcPr>
          <w:p w14:paraId="4088AE17"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 - ROU assets</w:t>
            </w:r>
          </w:p>
        </w:tc>
        <w:tc>
          <w:tcPr>
            <w:tcW w:w="589" w:type="pct"/>
            <w:tcBorders>
              <w:top w:val="nil"/>
              <w:left w:val="nil"/>
              <w:bottom w:val="nil"/>
              <w:right w:val="nil"/>
            </w:tcBorders>
            <w:shd w:val="clear" w:color="auto" w:fill="auto"/>
            <w:noWrap/>
            <w:vAlign w:val="bottom"/>
            <w:hideMark/>
          </w:tcPr>
          <w:p w14:paraId="568B81F8"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241</w:t>
            </w: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4105EA39"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w:t>
            </w:r>
            <w:r>
              <w:rPr>
                <w:rFonts w:ascii="Arial" w:hAnsi="Arial" w:cs="Arial"/>
                <w:sz w:val="16"/>
                <w:szCs w:val="16"/>
              </w:rPr>
              <w:t>0,008</w:t>
            </w:r>
            <w:r w:rsidRPr="00DC083D">
              <w:rPr>
                <w:rFonts w:ascii="Arial" w:hAnsi="Arial" w:cs="Arial"/>
                <w:sz w:val="16"/>
                <w:szCs w:val="16"/>
              </w:rPr>
              <w:t>)</w:t>
            </w:r>
          </w:p>
        </w:tc>
        <w:tc>
          <w:tcPr>
            <w:tcW w:w="712" w:type="pct"/>
            <w:tcBorders>
              <w:top w:val="nil"/>
              <w:left w:val="nil"/>
              <w:bottom w:val="nil"/>
              <w:right w:val="nil"/>
            </w:tcBorders>
            <w:shd w:val="clear" w:color="auto" w:fill="auto"/>
            <w:noWrap/>
            <w:vAlign w:val="bottom"/>
            <w:hideMark/>
          </w:tcPr>
          <w:p w14:paraId="1AF77276"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15,522</w:t>
            </w:r>
            <w:r w:rsidRPr="00DC083D">
              <w:rPr>
                <w:rFonts w:ascii="Arial" w:hAnsi="Arial" w:cs="Arial"/>
                <w:sz w:val="16"/>
                <w:szCs w:val="16"/>
              </w:rPr>
              <w:t>)</w:t>
            </w:r>
          </w:p>
        </w:tc>
        <w:tc>
          <w:tcPr>
            <w:tcW w:w="647" w:type="pct"/>
            <w:tcBorders>
              <w:top w:val="nil"/>
              <w:left w:val="nil"/>
              <w:bottom w:val="nil"/>
              <w:right w:val="nil"/>
            </w:tcBorders>
            <w:shd w:val="clear" w:color="auto" w:fill="auto"/>
            <w:noWrap/>
            <w:vAlign w:val="bottom"/>
            <w:hideMark/>
          </w:tcPr>
          <w:p w14:paraId="21EEE5F8"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64F93169" w14:textId="0014C2FD"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35,771)</w:t>
            </w:r>
          </w:p>
        </w:tc>
      </w:tr>
      <w:tr w:rsidR="00CB36D7" w:rsidRPr="00E965CA" w14:paraId="1277863D" w14:textId="77777777" w:rsidTr="00CB36D7">
        <w:trPr>
          <w:trHeight w:val="204"/>
        </w:trPr>
        <w:tc>
          <w:tcPr>
            <w:tcW w:w="1871" w:type="pct"/>
            <w:tcBorders>
              <w:top w:val="nil"/>
              <w:left w:val="nil"/>
              <w:bottom w:val="nil"/>
              <w:right w:val="nil"/>
            </w:tcBorders>
            <w:shd w:val="clear" w:color="auto" w:fill="auto"/>
            <w:vAlign w:val="bottom"/>
            <w:hideMark/>
          </w:tcPr>
          <w:p w14:paraId="03F71EAB"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Opening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3A6042BD" w14:textId="3B165508"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4,9</w:t>
            </w:r>
            <w:r w:rsidR="00224D27">
              <w:rPr>
                <w:rFonts w:ascii="Arial" w:hAnsi="Arial" w:cs="Arial"/>
                <w:b/>
                <w:bCs/>
                <w:sz w:val="16"/>
                <w:szCs w:val="16"/>
              </w:rPr>
              <w:t>8</w:t>
            </w:r>
            <w:r>
              <w:rPr>
                <w:rFonts w:ascii="Arial" w:hAnsi="Arial" w:cs="Arial"/>
                <w:b/>
                <w:bCs/>
                <w:sz w:val="16"/>
                <w:szCs w:val="16"/>
              </w:rPr>
              <w:t>9</w:t>
            </w:r>
          </w:p>
        </w:tc>
        <w:tc>
          <w:tcPr>
            <w:tcW w:w="591" w:type="pct"/>
            <w:tcBorders>
              <w:top w:val="single" w:sz="4" w:space="0" w:color="auto"/>
              <w:left w:val="nil"/>
              <w:bottom w:val="single" w:sz="4" w:space="0" w:color="auto"/>
              <w:right w:val="nil"/>
            </w:tcBorders>
            <w:shd w:val="clear" w:color="auto" w:fill="auto"/>
            <w:noWrap/>
            <w:vAlign w:val="bottom"/>
            <w:hideMark/>
          </w:tcPr>
          <w:p w14:paraId="19ED247B"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33,015</w:t>
            </w:r>
          </w:p>
        </w:tc>
        <w:tc>
          <w:tcPr>
            <w:tcW w:w="712" w:type="pct"/>
            <w:tcBorders>
              <w:top w:val="single" w:sz="4" w:space="0" w:color="auto"/>
              <w:left w:val="nil"/>
              <w:bottom w:val="single" w:sz="4" w:space="0" w:color="auto"/>
              <w:right w:val="nil"/>
            </w:tcBorders>
            <w:shd w:val="clear" w:color="auto" w:fill="auto"/>
            <w:noWrap/>
            <w:vAlign w:val="bottom"/>
            <w:hideMark/>
          </w:tcPr>
          <w:p w14:paraId="399D31AA"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189,004</w:t>
            </w:r>
          </w:p>
        </w:tc>
        <w:tc>
          <w:tcPr>
            <w:tcW w:w="647" w:type="pct"/>
            <w:tcBorders>
              <w:top w:val="single" w:sz="4" w:space="0" w:color="auto"/>
              <w:left w:val="nil"/>
              <w:bottom w:val="single" w:sz="4" w:space="0" w:color="auto"/>
              <w:right w:val="nil"/>
            </w:tcBorders>
            <w:shd w:val="clear" w:color="auto" w:fill="auto"/>
            <w:noWrap/>
            <w:vAlign w:val="bottom"/>
            <w:hideMark/>
          </w:tcPr>
          <w:p w14:paraId="5E871C53"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7,882</w:t>
            </w:r>
          </w:p>
        </w:tc>
        <w:tc>
          <w:tcPr>
            <w:tcW w:w="590" w:type="pct"/>
            <w:tcBorders>
              <w:top w:val="single" w:sz="4" w:space="0" w:color="auto"/>
              <w:left w:val="nil"/>
              <w:bottom w:val="single" w:sz="4" w:space="0" w:color="auto"/>
              <w:right w:val="nil"/>
            </w:tcBorders>
            <w:shd w:val="clear" w:color="auto" w:fill="auto"/>
            <w:noWrap/>
            <w:vAlign w:val="bottom"/>
            <w:hideMark/>
          </w:tcPr>
          <w:p w14:paraId="005686A1"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234,890</w:t>
            </w:r>
          </w:p>
        </w:tc>
      </w:tr>
      <w:tr w:rsidR="00CB36D7" w:rsidRPr="00E965CA" w14:paraId="1CFA0DDC" w14:textId="77777777" w:rsidTr="00CB36D7">
        <w:trPr>
          <w:trHeight w:val="204"/>
        </w:trPr>
        <w:tc>
          <w:tcPr>
            <w:tcW w:w="1871" w:type="pct"/>
            <w:tcBorders>
              <w:top w:val="nil"/>
              <w:left w:val="nil"/>
              <w:bottom w:val="nil"/>
              <w:right w:val="nil"/>
            </w:tcBorders>
            <w:shd w:val="clear" w:color="auto" w:fill="auto"/>
            <w:vAlign w:val="bottom"/>
            <w:hideMark/>
          </w:tcPr>
          <w:p w14:paraId="0E658B09"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Capital asset additions</w:t>
            </w:r>
          </w:p>
        </w:tc>
        <w:tc>
          <w:tcPr>
            <w:tcW w:w="589" w:type="pct"/>
            <w:tcBorders>
              <w:top w:val="nil"/>
              <w:left w:val="nil"/>
              <w:bottom w:val="nil"/>
              <w:right w:val="nil"/>
            </w:tcBorders>
            <w:shd w:val="clear" w:color="auto" w:fill="auto"/>
            <w:noWrap/>
            <w:vAlign w:val="bottom"/>
            <w:hideMark/>
          </w:tcPr>
          <w:p w14:paraId="689394F1" w14:textId="77777777" w:rsidR="00CB36D7" w:rsidRPr="00DC083D" w:rsidRDefault="00CB36D7" w:rsidP="00CB36D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00C5C830" w14:textId="77777777" w:rsidR="00CB36D7" w:rsidRPr="002F7F2B" w:rsidRDefault="00CB36D7" w:rsidP="00CB36D7">
            <w:pPr>
              <w:spacing w:after="0" w:line="240" w:lineRule="auto"/>
              <w:jc w:val="right"/>
              <w:rPr>
                <w:rFonts w:ascii="Times New Roman" w:hAnsi="Times New Roman"/>
                <w:sz w:val="16"/>
                <w:szCs w:val="16"/>
              </w:rPr>
            </w:pPr>
          </w:p>
        </w:tc>
        <w:tc>
          <w:tcPr>
            <w:tcW w:w="712" w:type="pct"/>
            <w:tcBorders>
              <w:top w:val="nil"/>
              <w:left w:val="nil"/>
              <w:bottom w:val="nil"/>
              <w:right w:val="nil"/>
            </w:tcBorders>
            <w:shd w:val="clear" w:color="auto" w:fill="auto"/>
            <w:noWrap/>
            <w:vAlign w:val="bottom"/>
            <w:hideMark/>
          </w:tcPr>
          <w:p w14:paraId="3E9D8EF0" w14:textId="77777777" w:rsidR="00CB36D7" w:rsidRPr="002F7F2B" w:rsidRDefault="00CB36D7" w:rsidP="00CB36D7">
            <w:pPr>
              <w:spacing w:after="0" w:line="240" w:lineRule="auto"/>
              <w:jc w:val="right"/>
              <w:rPr>
                <w:rFonts w:ascii="Times New Roman" w:hAnsi="Times New Roman"/>
                <w:sz w:val="16"/>
                <w:szCs w:val="16"/>
              </w:rPr>
            </w:pPr>
          </w:p>
        </w:tc>
        <w:tc>
          <w:tcPr>
            <w:tcW w:w="647" w:type="pct"/>
            <w:tcBorders>
              <w:top w:val="nil"/>
              <w:left w:val="nil"/>
              <w:bottom w:val="nil"/>
              <w:right w:val="nil"/>
            </w:tcBorders>
            <w:shd w:val="clear" w:color="auto" w:fill="auto"/>
            <w:noWrap/>
            <w:vAlign w:val="bottom"/>
            <w:hideMark/>
          </w:tcPr>
          <w:p w14:paraId="3D815B31" w14:textId="77777777" w:rsidR="00CB36D7" w:rsidRPr="002F7F2B" w:rsidRDefault="00CB36D7" w:rsidP="00CB36D7">
            <w:pPr>
              <w:spacing w:after="0" w:line="240" w:lineRule="auto"/>
              <w:jc w:val="right"/>
              <w:rPr>
                <w:rFonts w:ascii="Times New Roman" w:hAnsi="Times New Roman"/>
                <w:sz w:val="16"/>
                <w:szCs w:val="16"/>
              </w:rPr>
            </w:pPr>
          </w:p>
        </w:tc>
        <w:tc>
          <w:tcPr>
            <w:tcW w:w="590" w:type="pct"/>
            <w:tcBorders>
              <w:top w:val="nil"/>
              <w:left w:val="nil"/>
              <w:bottom w:val="nil"/>
              <w:right w:val="nil"/>
            </w:tcBorders>
            <w:shd w:val="clear" w:color="auto" w:fill="auto"/>
            <w:noWrap/>
            <w:vAlign w:val="bottom"/>
            <w:hideMark/>
          </w:tcPr>
          <w:p w14:paraId="2694291D"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3AE3EF0C" w14:textId="77777777" w:rsidTr="00CB36D7">
        <w:trPr>
          <w:trHeight w:val="204"/>
        </w:trPr>
        <w:tc>
          <w:tcPr>
            <w:tcW w:w="1871" w:type="pct"/>
            <w:tcBorders>
              <w:top w:val="nil"/>
              <w:left w:val="nil"/>
              <w:bottom w:val="nil"/>
              <w:right w:val="nil"/>
            </w:tcBorders>
            <w:shd w:val="clear" w:color="auto" w:fill="auto"/>
            <w:vAlign w:val="bottom"/>
            <w:hideMark/>
          </w:tcPr>
          <w:p w14:paraId="3FF27FF9"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Estimated expenditure on new or replacement assets</w:t>
            </w:r>
          </w:p>
        </w:tc>
        <w:tc>
          <w:tcPr>
            <w:tcW w:w="589" w:type="pct"/>
            <w:tcBorders>
              <w:top w:val="nil"/>
              <w:left w:val="nil"/>
              <w:bottom w:val="nil"/>
              <w:right w:val="nil"/>
            </w:tcBorders>
            <w:shd w:val="clear" w:color="auto" w:fill="auto"/>
            <w:noWrap/>
            <w:vAlign w:val="bottom"/>
            <w:hideMark/>
          </w:tcPr>
          <w:p w14:paraId="55243F22" w14:textId="77777777" w:rsidR="00CB36D7" w:rsidRPr="00DC083D" w:rsidRDefault="00CB36D7" w:rsidP="00CB36D7">
            <w:pPr>
              <w:spacing w:after="0" w:line="240" w:lineRule="auto"/>
              <w:ind w:firstLineChars="100" w:firstLine="161"/>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6A96E6B9" w14:textId="77777777" w:rsidR="00CB36D7" w:rsidRPr="002F7F2B" w:rsidRDefault="00CB36D7" w:rsidP="00CB36D7">
            <w:pPr>
              <w:spacing w:after="0" w:line="240" w:lineRule="auto"/>
              <w:jc w:val="right"/>
              <w:rPr>
                <w:rFonts w:ascii="Times New Roman" w:hAnsi="Times New Roman"/>
                <w:sz w:val="16"/>
                <w:szCs w:val="16"/>
              </w:rPr>
            </w:pPr>
          </w:p>
        </w:tc>
        <w:tc>
          <w:tcPr>
            <w:tcW w:w="712" w:type="pct"/>
            <w:tcBorders>
              <w:top w:val="nil"/>
              <w:left w:val="nil"/>
              <w:bottom w:val="nil"/>
              <w:right w:val="nil"/>
            </w:tcBorders>
            <w:shd w:val="clear" w:color="auto" w:fill="auto"/>
            <w:noWrap/>
            <w:vAlign w:val="bottom"/>
            <w:hideMark/>
          </w:tcPr>
          <w:p w14:paraId="3A1E2C36" w14:textId="77777777" w:rsidR="00CB36D7" w:rsidRPr="002F7F2B" w:rsidRDefault="00CB36D7" w:rsidP="00CB36D7">
            <w:pPr>
              <w:spacing w:after="0" w:line="240" w:lineRule="auto"/>
              <w:jc w:val="right"/>
              <w:rPr>
                <w:rFonts w:ascii="Times New Roman" w:hAnsi="Times New Roman"/>
                <w:sz w:val="16"/>
                <w:szCs w:val="16"/>
              </w:rPr>
            </w:pPr>
          </w:p>
        </w:tc>
        <w:tc>
          <w:tcPr>
            <w:tcW w:w="647" w:type="pct"/>
            <w:tcBorders>
              <w:top w:val="nil"/>
              <w:left w:val="nil"/>
              <w:bottom w:val="nil"/>
              <w:right w:val="nil"/>
            </w:tcBorders>
            <w:shd w:val="clear" w:color="auto" w:fill="auto"/>
            <w:noWrap/>
            <w:vAlign w:val="bottom"/>
            <w:hideMark/>
          </w:tcPr>
          <w:p w14:paraId="3292E7C3" w14:textId="77777777" w:rsidR="00CB36D7" w:rsidRPr="002F7F2B" w:rsidRDefault="00CB36D7" w:rsidP="00CB36D7">
            <w:pPr>
              <w:spacing w:after="0" w:line="240" w:lineRule="auto"/>
              <w:jc w:val="right"/>
              <w:rPr>
                <w:rFonts w:ascii="Times New Roman" w:hAnsi="Times New Roman"/>
                <w:sz w:val="16"/>
                <w:szCs w:val="16"/>
              </w:rPr>
            </w:pPr>
          </w:p>
        </w:tc>
        <w:tc>
          <w:tcPr>
            <w:tcW w:w="590" w:type="pct"/>
            <w:tcBorders>
              <w:top w:val="nil"/>
              <w:left w:val="nil"/>
              <w:bottom w:val="nil"/>
              <w:right w:val="nil"/>
            </w:tcBorders>
            <w:shd w:val="clear" w:color="auto" w:fill="auto"/>
            <w:noWrap/>
            <w:vAlign w:val="bottom"/>
            <w:hideMark/>
          </w:tcPr>
          <w:p w14:paraId="48D1FD01"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56F8AB14" w14:textId="77777777" w:rsidTr="00CB36D7">
        <w:trPr>
          <w:trHeight w:val="204"/>
        </w:trPr>
        <w:tc>
          <w:tcPr>
            <w:tcW w:w="1871" w:type="pct"/>
            <w:tcBorders>
              <w:top w:val="nil"/>
              <w:left w:val="nil"/>
              <w:bottom w:val="nil"/>
              <w:right w:val="nil"/>
            </w:tcBorders>
            <w:shd w:val="clear" w:color="auto" w:fill="auto"/>
            <w:vAlign w:val="bottom"/>
            <w:hideMark/>
          </w:tcPr>
          <w:p w14:paraId="55567779"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By purchase - appropriation ordinary annual services</w:t>
            </w:r>
            <w:r w:rsidRPr="00E965CA">
              <w:rPr>
                <w:rFonts w:ascii="Arial" w:hAnsi="Arial" w:cs="Arial"/>
                <w:sz w:val="16"/>
                <w:szCs w:val="16"/>
                <w:vertAlign w:val="superscript"/>
              </w:rPr>
              <w:t xml:space="preserve"> (a)</w:t>
            </w:r>
          </w:p>
        </w:tc>
        <w:tc>
          <w:tcPr>
            <w:tcW w:w="589" w:type="pct"/>
            <w:tcBorders>
              <w:top w:val="nil"/>
              <w:left w:val="nil"/>
              <w:bottom w:val="nil"/>
              <w:right w:val="nil"/>
            </w:tcBorders>
            <w:shd w:val="clear" w:color="auto" w:fill="auto"/>
            <w:noWrap/>
            <w:vAlign w:val="bottom"/>
            <w:hideMark/>
          </w:tcPr>
          <w:p w14:paraId="71324E2C"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31EDD96F"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712" w:type="pct"/>
            <w:tcBorders>
              <w:top w:val="nil"/>
              <w:left w:val="nil"/>
              <w:bottom w:val="nil"/>
              <w:right w:val="nil"/>
            </w:tcBorders>
            <w:shd w:val="clear" w:color="auto" w:fill="auto"/>
            <w:noWrap/>
            <w:vAlign w:val="bottom"/>
            <w:hideMark/>
          </w:tcPr>
          <w:p w14:paraId="0CBB3D16"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21,241</w:t>
            </w:r>
          </w:p>
        </w:tc>
        <w:tc>
          <w:tcPr>
            <w:tcW w:w="647" w:type="pct"/>
            <w:tcBorders>
              <w:top w:val="nil"/>
              <w:left w:val="nil"/>
              <w:bottom w:val="nil"/>
              <w:right w:val="nil"/>
            </w:tcBorders>
            <w:shd w:val="clear" w:color="auto" w:fill="auto"/>
            <w:noWrap/>
            <w:vAlign w:val="bottom"/>
            <w:hideMark/>
          </w:tcPr>
          <w:p w14:paraId="06232C98"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2,006</w:t>
            </w:r>
          </w:p>
        </w:tc>
        <w:tc>
          <w:tcPr>
            <w:tcW w:w="590" w:type="pct"/>
            <w:tcBorders>
              <w:top w:val="nil"/>
              <w:left w:val="nil"/>
              <w:bottom w:val="nil"/>
              <w:right w:val="nil"/>
            </w:tcBorders>
            <w:shd w:val="clear" w:color="auto" w:fill="auto"/>
            <w:noWrap/>
            <w:vAlign w:val="bottom"/>
            <w:hideMark/>
          </w:tcPr>
          <w:p w14:paraId="0E726E28"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23,247</w:t>
            </w:r>
          </w:p>
        </w:tc>
      </w:tr>
      <w:tr w:rsidR="00CB36D7" w:rsidRPr="00E965CA" w14:paraId="10B4254B" w14:textId="77777777" w:rsidTr="00CB36D7">
        <w:trPr>
          <w:trHeight w:val="204"/>
        </w:trPr>
        <w:tc>
          <w:tcPr>
            <w:tcW w:w="1871" w:type="pct"/>
            <w:tcBorders>
              <w:top w:val="nil"/>
              <w:left w:val="nil"/>
              <w:bottom w:val="nil"/>
              <w:right w:val="nil"/>
            </w:tcBorders>
            <w:shd w:val="clear" w:color="auto" w:fill="auto"/>
            <w:vAlign w:val="bottom"/>
            <w:hideMark/>
          </w:tcPr>
          <w:p w14:paraId="1CC80119"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By purchase - appropriation ordinary annual services - ROU assets</w:t>
            </w:r>
          </w:p>
        </w:tc>
        <w:tc>
          <w:tcPr>
            <w:tcW w:w="589" w:type="pct"/>
            <w:tcBorders>
              <w:top w:val="nil"/>
              <w:left w:val="nil"/>
              <w:bottom w:val="nil"/>
              <w:right w:val="nil"/>
            </w:tcBorders>
            <w:shd w:val="clear" w:color="auto" w:fill="auto"/>
            <w:noWrap/>
            <w:vAlign w:val="bottom"/>
            <w:hideMark/>
          </w:tcPr>
          <w:p w14:paraId="3FDEE5F6"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6528EBF3"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3,179</w:t>
            </w:r>
          </w:p>
        </w:tc>
        <w:tc>
          <w:tcPr>
            <w:tcW w:w="712" w:type="pct"/>
            <w:tcBorders>
              <w:top w:val="nil"/>
              <w:left w:val="nil"/>
              <w:bottom w:val="nil"/>
              <w:right w:val="nil"/>
            </w:tcBorders>
            <w:shd w:val="clear" w:color="auto" w:fill="auto"/>
            <w:noWrap/>
            <w:vAlign w:val="bottom"/>
            <w:hideMark/>
          </w:tcPr>
          <w:p w14:paraId="6DF0C47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190</w:t>
            </w:r>
          </w:p>
        </w:tc>
        <w:tc>
          <w:tcPr>
            <w:tcW w:w="647" w:type="pct"/>
            <w:tcBorders>
              <w:top w:val="nil"/>
              <w:left w:val="nil"/>
              <w:bottom w:val="nil"/>
              <w:right w:val="nil"/>
            </w:tcBorders>
            <w:shd w:val="clear" w:color="auto" w:fill="auto"/>
            <w:noWrap/>
            <w:vAlign w:val="bottom"/>
            <w:hideMark/>
          </w:tcPr>
          <w:p w14:paraId="48ADAE0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49F9D6D9"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3,369</w:t>
            </w:r>
          </w:p>
        </w:tc>
      </w:tr>
      <w:tr w:rsidR="00CB36D7" w:rsidRPr="00E965CA" w14:paraId="679A49AC" w14:textId="77777777" w:rsidTr="00CB36D7">
        <w:trPr>
          <w:trHeight w:val="204"/>
        </w:trPr>
        <w:tc>
          <w:tcPr>
            <w:tcW w:w="1871" w:type="pct"/>
            <w:tcBorders>
              <w:top w:val="nil"/>
              <w:left w:val="nil"/>
              <w:bottom w:val="nil"/>
              <w:right w:val="nil"/>
            </w:tcBorders>
            <w:shd w:val="clear" w:color="auto" w:fill="auto"/>
            <w:vAlign w:val="bottom"/>
            <w:hideMark/>
          </w:tcPr>
          <w:p w14:paraId="6A075548"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Total additions</w:t>
            </w:r>
          </w:p>
        </w:tc>
        <w:tc>
          <w:tcPr>
            <w:tcW w:w="589" w:type="pct"/>
            <w:tcBorders>
              <w:top w:val="single" w:sz="4" w:space="0" w:color="auto"/>
              <w:left w:val="nil"/>
              <w:bottom w:val="nil"/>
              <w:right w:val="nil"/>
            </w:tcBorders>
            <w:shd w:val="clear" w:color="auto" w:fill="auto"/>
            <w:noWrap/>
            <w:vAlign w:val="bottom"/>
            <w:hideMark/>
          </w:tcPr>
          <w:p w14:paraId="365F9D59"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w:t>
            </w:r>
          </w:p>
        </w:tc>
        <w:tc>
          <w:tcPr>
            <w:tcW w:w="591" w:type="pct"/>
            <w:tcBorders>
              <w:top w:val="single" w:sz="4" w:space="0" w:color="auto"/>
              <w:left w:val="nil"/>
              <w:bottom w:val="nil"/>
              <w:right w:val="nil"/>
            </w:tcBorders>
            <w:shd w:val="clear" w:color="auto" w:fill="auto"/>
            <w:noWrap/>
            <w:vAlign w:val="bottom"/>
            <w:hideMark/>
          </w:tcPr>
          <w:p w14:paraId="0D243248"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3,179</w:t>
            </w:r>
          </w:p>
        </w:tc>
        <w:tc>
          <w:tcPr>
            <w:tcW w:w="712" w:type="pct"/>
            <w:tcBorders>
              <w:top w:val="single" w:sz="4" w:space="0" w:color="auto"/>
              <w:left w:val="nil"/>
              <w:bottom w:val="nil"/>
              <w:right w:val="nil"/>
            </w:tcBorders>
            <w:shd w:val="clear" w:color="auto" w:fill="auto"/>
            <w:noWrap/>
            <w:vAlign w:val="bottom"/>
            <w:hideMark/>
          </w:tcPr>
          <w:p w14:paraId="40A9AA8E"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21,431</w:t>
            </w:r>
          </w:p>
        </w:tc>
        <w:tc>
          <w:tcPr>
            <w:tcW w:w="647" w:type="pct"/>
            <w:tcBorders>
              <w:top w:val="single" w:sz="4" w:space="0" w:color="auto"/>
              <w:left w:val="nil"/>
              <w:bottom w:val="nil"/>
              <w:right w:val="nil"/>
            </w:tcBorders>
            <w:shd w:val="clear" w:color="auto" w:fill="auto"/>
            <w:noWrap/>
            <w:vAlign w:val="bottom"/>
            <w:hideMark/>
          </w:tcPr>
          <w:p w14:paraId="4800DE7B"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2,006</w:t>
            </w:r>
          </w:p>
        </w:tc>
        <w:tc>
          <w:tcPr>
            <w:tcW w:w="590" w:type="pct"/>
            <w:tcBorders>
              <w:top w:val="single" w:sz="4" w:space="0" w:color="auto"/>
              <w:left w:val="nil"/>
              <w:bottom w:val="nil"/>
              <w:right w:val="nil"/>
            </w:tcBorders>
            <w:shd w:val="clear" w:color="auto" w:fill="auto"/>
            <w:noWrap/>
            <w:vAlign w:val="bottom"/>
            <w:hideMark/>
          </w:tcPr>
          <w:p w14:paraId="6463E6CE"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26,616</w:t>
            </w:r>
          </w:p>
        </w:tc>
      </w:tr>
      <w:tr w:rsidR="00CB36D7" w:rsidRPr="00E965CA" w14:paraId="3B5A6186" w14:textId="77777777" w:rsidTr="00CB36D7">
        <w:trPr>
          <w:trHeight w:val="204"/>
        </w:trPr>
        <w:tc>
          <w:tcPr>
            <w:tcW w:w="1871" w:type="pct"/>
            <w:tcBorders>
              <w:top w:val="nil"/>
              <w:left w:val="nil"/>
              <w:bottom w:val="nil"/>
              <w:right w:val="nil"/>
            </w:tcBorders>
            <w:shd w:val="clear" w:color="auto" w:fill="auto"/>
            <w:vAlign w:val="bottom"/>
            <w:hideMark/>
          </w:tcPr>
          <w:p w14:paraId="25092759"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Other movements</w:t>
            </w:r>
          </w:p>
        </w:tc>
        <w:tc>
          <w:tcPr>
            <w:tcW w:w="589" w:type="pct"/>
            <w:tcBorders>
              <w:top w:val="single" w:sz="4" w:space="0" w:color="auto"/>
              <w:left w:val="nil"/>
              <w:bottom w:val="nil"/>
              <w:right w:val="nil"/>
            </w:tcBorders>
            <w:shd w:val="clear" w:color="auto" w:fill="auto"/>
            <w:noWrap/>
            <w:vAlign w:val="bottom"/>
            <w:hideMark/>
          </w:tcPr>
          <w:p w14:paraId="6B374F54" w14:textId="77777777" w:rsidR="00CB36D7" w:rsidRPr="00DC083D" w:rsidRDefault="00CB36D7" w:rsidP="00CB36D7">
            <w:pPr>
              <w:spacing w:after="0" w:line="240" w:lineRule="auto"/>
              <w:jc w:val="right"/>
              <w:rPr>
                <w:rFonts w:ascii="Arial" w:hAnsi="Arial" w:cs="Arial"/>
                <w:b/>
                <w:bCs/>
                <w:sz w:val="16"/>
                <w:szCs w:val="16"/>
              </w:rPr>
            </w:pPr>
          </w:p>
        </w:tc>
        <w:tc>
          <w:tcPr>
            <w:tcW w:w="591" w:type="pct"/>
            <w:tcBorders>
              <w:top w:val="single" w:sz="4" w:space="0" w:color="auto"/>
              <w:left w:val="nil"/>
              <w:bottom w:val="nil"/>
              <w:right w:val="nil"/>
            </w:tcBorders>
            <w:shd w:val="clear" w:color="auto" w:fill="auto"/>
            <w:noWrap/>
            <w:vAlign w:val="bottom"/>
            <w:hideMark/>
          </w:tcPr>
          <w:p w14:paraId="43EB4D17" w14:textId="77777777" w:rsidR="00CB36D7" w:rsidRPr="00DC083D" w:rsidRDefault="00CB36D7" w:rsidP="00CB36D7">
            <w:pPr>
              <w:spacing w:after="0" w:line="240" w:lineRule="auto"/>
              <w:jc w:val="right"/>
              <w:rPr>
                <w:rFonts w:ascii="Arial" w:hAnsi="Arial" w:cs="Arial"/>
                <w:b/>
                <w:bCs/>
                <w:sz w:val="16"/>
                <w:szCs w:val="16"/>
              </w:rPr>
            </w:pPr>
          </w:p>
        </w:tc>
        <w:tc>
          <w:tcPr>
            <w:tcW w:w="712" w:type="pct"/>
            <w:tcBorders>
              <w:top w:val="single" w:sz="4" w:space="0" w:color="auto"/>
              <w:left w:val="nil"/>
              <w:bottom w:val="nil"/>
              <w:right w:val="nil"/>
            </w:tcBorders>
            <w:shd w:val="clear" w:color="auto" w:fill="auto"/>
            <w:noWrap/>
            <w:vAlign w:val="bottom"/>
            <w:hideMark/>
          </w:tcPr>
          <w:p w14:paraId="34F943B2" w14:textId="77777777" w:rsidR="00CB36D7" w:rsidRPr="00DC083D" w:rsidRDefault="00CB36D7" w:rsidP="00CB36D7">
            <w:pPr>
              <w:spacing w:after="0" w:line="240" w:lineRule="auto"/>
              <w:jc w:val="right"/>
              <w:rPr>
                <w:rFonts w:ascii="Arial" w:hAnsi="Arial" w:cs="Arial"/>
                <w:b/>
                <w:bCs/>
                <w:sz w:val="16"/>
                <w:szCs w:val="16"/>
              </w:rPr>
            </w:pPr>
          </w:p>
        </w:tc>
        <w:tc>
          <w:tcPr>
            <w:tcW w:w="647" w:type="pct"/>
            <w:tcBorders>
              <w:top w:val="single" w:sz="4" w:space="0" w:color="auto"/>
              <w:left w:val="nil"/>
              <w:bottom w:val="nil"/>
              <w:right w:val="nil"/>
            </w:tcBorders>
            <w:shd w:val="clear" w:color="auto" w:fill="auto"/>
            <w:noWrap/>
            <w:vAlign w:val="bottom"/>
            <w:hideMark/>
          </w:tcPr>
          <w:p w14:paraId="59A6E36C" w14:textId="77777777" w:rsidR="00CB36D7" w:rsidRPr="00DC083D" w:rsidRDefault="00CB36D7" w:rsidP="00CB36D7">
            <w:pPr>
              <w:spacing w:after="0" w:line="240" w:lineRule="auto"/>
              <w:jc w:val="right"/>
              <w:rPr>
                <w:rFonts w:ascii="Arial" w:hAnsi="Arial" w:cs="Arial"/>
                <w:b/>
                <w:bCs/>
                <w:sz w:val="16"/>
                <w:szCs w:val="16"/>
              </w:rPr>
            </w:pPr>
          </w:p>
        </w:tc>
        <w:tc>
          <w:tcPr>
            <w:tcW w:w="590" w:type="pct"/>
            <w:tcBorders>
              <w:top w:val="single" w:sz="4" w:space="0" w:color="auto"/>
              <w:left w:val="nil"/>
              <w:bottom w:val="nil"/>
              <w:right w:val="nil"/>
            </w:tcBorders>
            <w:shd w:val="clear" w:color="auto" w:fill="auto"/>
            <w:noWrap/>
            <w:vAlign w:val="bottom"/>
            <w:hideMark/>
          </w:tcPr>
          <w:p w14:paraId="726F8551" w14:textId="77777777" w:rsidR="00CB36D7" w:rsidRPr="00DC083D" w:rsidRDefault="00CB36D7" w:rsidP="00CB36D7">
            <w:pPr>
              <w:spacing w:after="0" w:line="240" w:lineRule="auto"/>
              <w:jc w:val="right"/>
              <w:rPr>
                <w:rFonts w:ascii="Arial" w:hAnsi="Arial" w:cs="Arial"/>
                <w:b/>
                <w:bCs/>
                <w:sz w:val="16"/>
                <w:szCs w:val="16"/>
              </w:rPr>
            </w:pPr>
          </w:p>
        </w:tc>
      </w:tr>
      <w:tr w:rsidR="00CB36D7" w:rsidRPr="00E965CA" w14:paraId="773C2E38" w14:textId="77777777" w:rsidTr="00CB36D7">
        <w:trPr>
          <w:trHeight w:val="204"/>
        </w:trPr>
        <w:tc>
          <w:tcPr>
            <w:tcW w:w="1871" w:type="pct"/>
            <w:tcBorders>
              <w:top w:val="nil"/>
              <w:left w:val="nil"/>
              <w:bottom w:val="nil"/>
              <w:right w:val="nil"/>
            </w:tcBorders>
            <w:shd w:val="clear" w:color="auto" w:fill="auto"/>
            <w:vAlign w:val="bottom"/>
            <w:hideMark/>
          </w:tcPr>
          <w:p w14:paraId="155C1724"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Depreciation/amortisation expense</w:t>
            </w:r>
          </w:p>
        </w:tc>
        <w:tc>
          <w:tcPr>
            <w:tcW w:w="589" w:type="pct"/>
            <w:tcBorders>
              <w:top w:val="nil"/>
              <w:left w:val="nil"/>
              <w:bottom w:val="nil"/>
              <w:right w:val="nil"/>
            </w:tcBorders>
            <w:shd w:val="clear" w:color="auto" w:fill="auto"/>
            <w:noWrap/>
            <w:vAlign w:val="bottom"/>
            <w:hideMark/>
          </w:tcPr>
          <w:p w14:paraId="08F0822B"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0DBE670B"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(124)</w:t>
            </w:r>
          </w:p>
        </w:tc>
        <w:tc>
          <w:tcPr>
            <w:tcW w:w="712" w:type="pct"/>
            <w:tcBorders>
              <w:top w:val="nil"/>
              <w:left w:val="nil"/>
              <w:bottom w:val="nil"/>
              <w:right w:val="nil"/>
            </w:tcBorders>
            <w:shd w:val="clear" w:color="auto" w:fill="auto"/>
            <w:noWrap/>
            <w:vAlign w:val="bottom"/>
            <w:hideMark/>
          </w:tcPr>
          <w:p w14:paraId="5C83C60B"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(11,421)</w:t>
            </w:r>
          </w:p>
        </w:tc>
        <w:tc>
          <w:tcPr>
            <w:tcW w:w="647" w:type="pct"/>
            <w:tcBorders>
              <w:top w:val="nil"/>
              <w:left w:val="nil"/>
              <w:bottom w:val="nil"/>
              <w:right w:val="nil"/>
            </w:tcBorders>
            <w:shd w:val="clear" w:color="auto" w:fill="auto"/>
            <w:noWrap/>
            <w:vAlign w:val="bottom"/>
            <w:hideMark/>
          </w:tcPr>
          <w:p w14:paraId="465184EA"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(3,833)</w:t>
            </w:r>
          </w:p>
        </w:tc>
        <w:tc>
          <w:tcPr>
            <w:tcW w:w="590" w:type="pct"/>
            <w:tcBorders>
              <w:top w:val="nil"/>
              <w:left w:val="nil"/>
              <w:bottom w:val="nil"/>
              <w:right w:val="nil"/>
            </w:tcBorders>
            <w:shd w:val="clear" w:color="auto" w:fill="auto"/>
            <w:noWrap/>
            <w:vAlign w:val="bottom"/>
            <w:hideMark/>
          </w:tcPr>
          <w:p w14:paraId="4064D49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(15,378)</w:t>
            </w:r>
          </w:p>
        </w:tc>
      </w:tr>
      <w:tr w:rsidR="00CB36D7" w:rsidRPr="00E965CA" w14:paraId="46D4A900" w14:textId="77777777" w:rsidTr="00CB36D7">
        <w:trPr>
          <w:trHeight w:val="204"/>
        </w:trPr>
        <w:tc>
          <w:tcPr>
            <w:tcW w:w="1871" w:type="pct"/>
            <w:tcBorders>
              <w:top w:val="nil"/>
              <w:left w:val="nil"/>
              <w:bottom w:val="nil"/>
              <w:right w:val="nil"/>
            </w:tcBorders>
            <w:shd w:val="clear" w:color="auto" w:fill="auto"/>
            <w:vAlign w:val="bottom"/>
            <w:hideMark/>
          </w:tcPr>
          <w:p w14:paraId="5AC60F3B"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D</w:t>
            </w:r>
            <w:r>
              <w:rPr>
                <w:rFonts w:ascii="Arial" w:hAnsi="Arial" w:cs="Arial"/>
                <w:sz w:val="16"/>
                <w:szCs w:val="16"/>
              </w:rPr>
              <w:t xml:space="preserve">epreciation/amortisation on ROU </w:t>
            </w:r>
            <w:r w:rsidRPr="00E965CA">
              <w:rPr>
                <w:rFonts w:ascii="Arial" w:hAnsi="Arial" w:cs="Arial"/>
                <w:sz w:val="16"/>
                <w:szCs w:val="16"/>
              </w:rPr>
              <w:t>assets</w:t>
            </w:r>
          </w:p>
        </w:tc>
        <w:tc>
          <w:tcPr>
            <w:tcW w:w="589" w:type="pct"/>
            <w:tcBorders>
              <w:top w:val="nil"/>
              <w:left w:val="nil"/>
              <w:bottom w:val="nil"/>
              <w:right w:val="nil"/>
            </w:tcBorders>
            <w:shd w:val="clear" w:color="auto" w:fill="auto"/>
            <w:noWrap/>
            <w:vAlign w:val="bottom"/>
            <w:hideMark/>
          </w:tcPr>
          <w:p w14:paraId="7B43320E"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(121)</w:t>
            </w:r>
          </w:p>
        </w:tc>
        <w:tc>
          <w:tcPr>
            <w:tcW w:w="591" w:type="pct"/>
            <w:tcBorders>
              <w:top w:val="nil"/>
              <w:left w:val="nil"/>
              <w:bottom w:val="nil"/>
              <w:right w:val="nil"/>
            </w:tcBorders>
            <w:shd w:val="clear" w:color="auto" w:fill="auto"/>
            <w:noWrap/>
            <w:vAlign w:val="bottom"/>
            <w:hideMark/>
          </w:tcPr>
          <w:p w14:paraId="5BE44B4E"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(8,456)</w:t>
            </w:r>
          </w:p>
        </w:tc>
        <w:tc>
          <w:tcPr>
            <w:tcW w:w="712" w:type="pct"/>
            <w:tcBorders>
              <w:top w:val="nil"/>
              <w:left w:val="nil"/>
              <w:bottom w:val="nil"/>
              <w:right w:val="nil"/>
            </w:tcBorders>
            <w:shd w:val="clear" w:color="auto" w:fill="auto"/>
            <w:noWrap/>
            <w:vAlign w:val="bottom"/>
            <w:hideMark/>
          </w:tcPr>
          <w:p w14:paraId="6029D1DD"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(12,562)</w:t>
            </w:r>
          </w:p>
        </w:tc>
        <w:tc>
          <w:tcPr>
            <w:tcW w:w="647" w:type="pct"/>
            <w:tcBorders>
              <w:top w:val="nil"/>
              <w:left w:val="nil"/>
              <w:bottom w:val="nil"/>
              <w:right w:val="nil"/>
            </w:tcBorders>
            <w:shd w:val="clear" w:color="auto" w:fill="auto"/>
            <w:noWrap/>
            <w:vAlign w:val="bottom"/>
            <w:hideMark/>
          </w:tcPr>
          <w:p w14:paraId="3F65060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21A4B586"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(21,139)</w:t>
            </w:r>
          </w:p>
        </w:tc>
      </w:tr>
      <w:tr w:rsidR="00CB36D7" w:rsidRPr="00E965CA" w14:paraId="58BBB9E0" w14:textId="77777777" w:rsidTr="00CB36D7">
        <w:trPr>
          <w:trHeight w:val="204"/>
        </w:trPr>
        <w:tc>
          <w:tcPr>
            <w:tcW w:w="1871" w:type="pct"/>
            <w:tcBorders>
              <w:top w:val="nil"/>
              <w:left w:val="nil"/>
              <w:bottom w:val="nil"/>
              <w:right w:val="nil"/>
            </w:tcBorders>
            <w:shd w:val="clear" w:color="auto" w:fill="auto"/>
            <w:vAlign w:val="bottom"/>
            <w:hideMark/>
          </w:tcPr>
          <w:p w14:paraId="67643E3D"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Disposals</w:t>
            </w:r>
          </w:p>
        </w:tc>
        <w:tc>
          <w:tcPr>
            <w:tcW w:w="589" w:type="pct"/>
            <w:tcBorders>
              <w:top w:val="nil"/>
              <w:left w:val="nil"/>
              <w:bottom w:val="nil"/>
              <w:right w:val="nil"/>
            </w:tcBorders>
            <w:shd w:val="clear" w:color="auto" w:fill="auto"/>
            <w:noWrap/>
            <w:vAlign w:val="bottom"/>
            <w:hideMark/>
          </w:tcPr>
          <w:p w14:paraId="0BB490D1" w14:textId="77777777" w:rsidR="00CB36D7" w:rsidRPr="00DC083D" w:rsidRDefault="00CB36D7" w:rsidP="00CB36D7">
            <w:pPr>
              <w:spacing w:after="0" w:line="240" w:lineRule="auto"/>
              <w:ind w:firstLineChars="200" w:firstLine="320"/>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9244F8F" w14:textId="77777777" w:rsidR="00CB36D7" w:rsidRPr="002F7F2B" w:rsidRDefault="00CB36D7" w:rsidP="00CB36D7">
            <w:pPr>
              <w:spacing w:after="0" w:line="240" w:lineRule="auto"/>
              <w:jc w:val="right"/>
              <w:rPr>
                <w:rFonts w:ascii="Times New Roman" w:hAnsi="Times New Roman"/>
                <w:sz w:val="16"/>
                <w:szCs w:val="16"/>
              </w:rPr>
            </w:pPr>
          </w:p>
        </w:tc>
        <w:tc>
          <w:tcPr>
            <w:tcW w:w="712" w:type="pct"/>
            <w:tcBorders>
              <w:top w:val="nil"/>
              <w:left w:val="nil"/>
              <w:bottom w:val="nil"/>
              <w:right w:val="nil"/>
            </w:tcBorders>
            <w:shd w:val="clear" w:color="auto" w:fill="auto"/>
            <w:noWrap/>
            <w:vAlign w:val="bottom"/>
            <w:hideMark/>
          </w:tcPr>
          <w:p w14:paraId="710CEC2D" w14:textId="77777777" w:rsidR="00CB36D7" w:rsidRPr="002F7F2B" w:rsidRDefault="00CB36D7" w:rsidP="00CB36D7">
            <w:pPr>
              <w:spacing w:after="0" w:line="240" w:lineRule="auto"/>
              <w:jc w:val="right"/>
              <w:rPr>
                <w:rFonts w:ascii="Times New Roman" w:hAnsi="Times New Roman"/>
                <w:sz w:val="16"/>
                <w:szCs w:val="16"/>
              </w:rPr>
            </w:pPr>
          </w:p>
        </w:tc>
        <w:tc>
          <w:tcPr>
            <w:tcW w:w="647" w:type="pct"/>
            <w:tcBorders>
              <w:top w:val="nil"/>
              <w:left w:val="nil"/>
              <w:bottom w:val="nil"/>
              <w:right w:val="nil"/>
            </w:tcBorders>
            <w:shd w:val="clear" w:color="auto" w:fill="auto"/>
            <w:noWrap/>
            <w:vAlign w:val="bottom"/>
            <w:hideMark/>
          </w:tcPr>
          <w:p w14:paraId="17CD6247" w14:textId="77777777" w:rsidR="00CB36D7" w:rsidRPr="002F7F2B" w:rsidRDefault="00CB36D7" w:rsidP="00CB36D7">
            <w:pPr>
              <w:spacing w:after="0" w:line="240" w:lineRule="auto"/>
              <w:jc w:val="right"/>
              <w:rPr>
                <w:rFonts w:ascii="Times New Roman" w:hAnsi="Times New Roman"/>
                <w:sz w:val="16"/>
                <w:szCs w:val="16"/>
              </w:rPr>
            </w:pPr>
          </w:p>
        </w:tc>
        <w:tc>
          <w:tcPr>
            <w:tcW w:w="590" w:type="pct"/>
            <w:tcBorders>
              <w:top w:val="nil"/>
              <w:left w:val="nil"/>
              <w:bottom w:val="nil"/>
              <w:right w:val="nil"/>
            </w:tcBorders>
            <w:shd w:val="clear" w:color="auto" w:fill="auto"/>
            <w:noWrap/>
            <w:vAlign w:val="bottom"/>
            <w:hideMark/>
          </w:tcPr>
          <w:p w14:paraId="3D3FEEDF"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1736DF29" w14:textId="77777777" w:rsidTr="00CB36D7">
        <w:trPr>
          <w:trHeight w:val="204"/>
        </w:trPr>
        <w:tc>
          <w:tcPr>
            <w:tcW w:w="1871" w:type="pct"/>
            <w:tcBorders>
              <w:top w:val="nil"/>
              <w:left w:val="nil"/>
              <w:bottom w:val="nil"/>
              <w:right w:val="nil"/>
            </w:tcBorders>
            <w:shd w:val="clear" w:color="auto" w:fill="auto"/>
            <w:vAlign w:val="bottom"/>
            <w:hideMark/>
          </w:tcPr>
          <w:p w14:paraId="34D6B08D" w14:textId="77777777" w:rsidR="00CB36D7" w:rsidRPr="00E965CA" w:rsidRDefault="00CB36D7" w:rsidP="00CB36D7">
            <w:pPr>
              <w:spacing w:after="0" w:line="240" w:lineRule="auto"/>
              <w:ind w:left="227"/>
              <w:rPr>
                <w:rFonts w:ascii="Arial" w:hAnsi="Arial" w:cs="Arial"/>
                <w:sz w:val="16"/>
                <w:szCs w:val="16"/>
              </w:rPr>
            </w:pPr>
            <w:r w:rsidRPr="00E965CA">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2B3FD376"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4AA01F39"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(1,701)</w:t>
            </w:r>
          </w:p>
        </w:tc>
        <w:tc>
          <w:tcPr>
            <w:tcW w:w="712" w:type="pct"/>
            <w:tcBorders>
              <w:top w:val="nil"/>
              <w:left w:val="nil"/>
              <w:bottom w:val="nil"/>
              <w:right w:val="nil"/>
            </w:tcBorders>
            <w:shd w:val="clear" w:color="auto" w:fill="auto"/>
            <w:noWrap/>
            <w:vAlign w:val="bottom"/>
            <w:hideMark/>
          </w:tcPr>
          <w:p w14:paraId="7BDAA0E0"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(163)</w:t>
            </w:r>
          </w:p>
        </w:tc>
        <w:tc>
          <w:tcPr>
            <w:tcW w:w="647" w:type="pct"/>
            <w:tcBorders>
              <w:top w:val="nil"/>
              <w:left w:val="nil"/>
              <w:bottom w:val="nil"/>
              <w:right w:val="nil"/>
            </w:tcBorders>
            <w:shd w:val="clear" w:color="auto" w:fill="auto"/>
            <w:noWrap/>
            <w:vAlign w:val="bottom"/>
            <w:hideMark/>
          </w:tcPr>
          <w:p w14:paraId="0D5AA30B"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692DA599"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(1,864)</w:t>
            </w:r>
          </w:p>
        </w:tc>
      </w:tr>
      <w:tr w:rsidR="00CB36D7" w:rsidRPr="00E965CA" w14:paraId="3CFEDB83" w14:textId="77777777" w:rsidTr="00CB36D7">
        <w:trPr>
          <w:trHeight w:val="204"/>
        </w:trPr>
        <w:tc>
          <w:tcPr>
            <w:tcW w:w="1871" w:type="pct"/>
            <w:tcBorders>
              <w:top w:val="nil"/>
              <w:left w:val="nil"/>
              <w:bottom w:val="nil"/>
              <w:right w:val="nil"/>
            </w:tcBorders>
            <w:shd w:val="clear" w:color="auto" w:fill="auto"/>
            <w:vAlign w:val="bottom"/>
            <w:hideMark/>
          </w:tcPr>
          <w:p w14:paraId="2F1BF60C" w14:textId="77777777" w:rsidR="00CB36D7" w:rsidRPr="00E965CA" w:rsidRDefault="00CB36D7" w:rsidP="00CB36D7">
            <w:pPr>
              <w:spacing w:after="0" w:line="240" w:lineRule="auto"/>
              <w:ind w:left="227"/>
              <w:rPr>
                <w:rFonts w:ascii="Arial" w:hAnsi="Arial" w:cs="Arial"/>
                <w:sz w:val="16"/>
                <w:szCs w:val="16"/>
              </w:rPr>
            </w:pPr>
            <w:r>
              <w:rPr>
                <w:rFonts w:ascii="Arial" w:hAnsi="Arial" w:cs="Arial"/>
                <w:sz w:val="16"/>
                <w:szCs w:val="16"/>
              </w:rPr>
              <w:t xml:space="preserve">Accumulated </w:t>
            </w:r>
            <w:r w:rsidRPr="00E965CA">
              <w:rPr>
                <w:rFonts w:ascii="Arial" w:hAnsi="Arial" w:cs="Arial"/>
                <w:sz w:val="16"/>
                <w:szCs w:val="16"/>
              </w:rPr>
              <w:t>depreciation/amortisation and impairment</w:t>
            </w:r>
          </w:p>
        </w:tc>
        <w:tc>
          <w:tcPr>
            <w:tcW w:w="589" w:type="pct"/>
            <w:tcBorders>
              <w:top w:val="nil"/>
              <w:left w:val="nil"/>
              <w:bottom w:val="nil"/>
              <w:right w:val="nil"/>
            </w:tcBorders>
            <w:shd w:val="clear" w:color="auto" w:fill="auto"/>
            <w:noWrap/>
            <w:vAlign w:val="bottom"/>
            <w:hideMark/>
          </w:tcPr>
          <w:p w14:paraId="5EBAEF24"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44752E8A"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1,701</w:t>
            </w:r>
          </w:p>
        </w:tc>
        <w:tc>
          <w:tcPr>
            <w:tcW w:w="712" w:type="pct"/>
            <w:tcBorders>
              <w:top w:val="nil"/>
              <w:left w:val="nil"/>
              <w:bottom w:val="nil"/>
              <w:right w:val="nil"/>
            </w:tcBorders>
            <w:shd w:val="clear" w:color="auto" w:fill="auto"/>
            <w:noWrap/>
            <w:vAlign w:val="bottom"/>
            <w:hideMark/>
          </w:tcPr>
          <w:p w14:paraId="5E8744A4"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163</w:t>
            </w:r>
          </w:p>
        </w:tc>
        <w:tc>
          <w:tcPr>
            <w:tcW w:w="647" w:type="pct"/>
            <w:tcBorders>
              <w:top w:val="nil"/>
              <w:left w:val="nil"/>
              <w:bottom w:val="nil"/>
              <w:right w:val="nil"/>
            </w:tcBorders>
            <w:shd w:val="clear" w:color="auto" w:fill="auto"/>
            <w:noWrap/>
            <w:vAlign w:val="bottom"/>
            <w:hideMark/>
          </w:tcPr>
          <w:p w14:paraId="06611F9F"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5706DAA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1,864</w:t>
            </w:r>
          </w:p>
        </w:tc>
      </w:tr>
      <w:tr w:rsidR="00CB36D7" w:rsidRPr="00E965CA" w14:paraId="6DA10282" w14:textId="77777777" w:rsidTr="00CB36D7">
        <w:trPr>
          <w:trHeight w:val="204"/>
        </w:trPr>
        <w:tc>
          <w:tcPr>
            <w:tcW w:w="1871" w:type="pct"/>
            <w:tcBorders>
              <w:top w:val="nil"/>
              <w:left w:val="nil"/>
              <w:bottom w:val="nil"/>
              <w:right w:val="nil"/>
            </w:tcBorders>
            <w:shd w:val="clear" w:color="auto" w:fill="auto"/>
            <w:vAlign w:val="bottom"/>
            <w:hideMark/>
          </w:tcPr>
          <w:p w14:paraId="1837F5D4"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Total other movements</w:t>
            </w:r>
          </w:p>
        </w:tc>
        <w:tc>
          <w:tcPr>
            <w:tcW w:w="589" w:type="pct"/>
            <w:tcBorders>
              <w:top w:val="single" w:sz="4" w:space="0" w:color="auto"/>
              <w:left w:val="nil"/>
              <w:bottom w:val="single" w:sz="4" w:space="0" w:color="auto"/>
              <w:right w:val="nil"/>
            </w:tcBorders>
            <w:shd w:val="clear" w:color="auto" w:fill="auto"/>
            <w:noWrap/>
            <w:vAlign w:val="bottom"/>
            <w:hideMark/>
          </w:tcPr>
          <w:p w14:paraId="35DE7333"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(121)</w:t>
            </w:r>
          </w:p>
        </w:tc>
        <w:tc>
          <w:tcPr>
            <w:tcW w:w="591" w:type="pct"/>
            <w:tcBorders>
              <w:top w:val="single" w:sz="4" w:space="0" w:color="auto"/>
              <w:left w:val="nil"/>
              <w:bottom w:val="single" w:sz="4" w:space="0" w:color="auto"/>
              <w:right w:val="nil"/>
            </w:tcBorders>
            <w:shd w:val="clear" w:color="auto" w:fill="auto"/>
            <w:noWrap/>
            <w:vAlign w:val="bottom"/>
            <w:hideMark/>
          </w:tcPr>
          <w:p w14:paraId="31F6334F"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(8,580)</w:t>
            </w:r>
          </w:p>
        </w:tc>
        <w:tc>
          <w:tcPr>
            <w:tcW w:w="712" w:type="pct"/>
            <w:tcBorders>
              <w:top w:val="single" w:sz="4" w:space="0" w:color="auto"/>
              <w:left w:val="nil"/>
              <w:bottom w:val="single" w:sz="4" w:space="0" w:color="auto"/>
              <w:right w:val="nil"/>
            </w:tcBorders>
            <w:shd w:val="clear" w:color="auto" w:fill="auto"/>
            <w:noWrap/>
            <w:vAlign w:val="bottom"/>
            <w:hideMark/>
          </w:tcPr>
          <w:p w14:paraId="4D1B37FD"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(23,983)</w:t>
            </w:r>
          </w:p>
        </w:tc>
        <w:tc>
          <w:tcPr>
            <w:tcW w:w="647" w:type="pct"/>
            <w:tcBorders>
              <w:top w:val="single" w:sz="4" w:space="0" w:color="auto"/>
              <w:left w:val="nil"/>
              <w:bottom w:val="single" w:sz="4" w:space="0" w:color="auto"/>
              <w:right w:val="nil"/>
            </w:tcBorders>
            <w:shd w:val="clear" w:color="auto" w:fill="auto"/>
            <w:noWrap/>
            <w:vAlign w:val="bottom"/>
            <w:hideMark/>
          </w:tcPr>
          <w:p w14:paraId="283FBA08"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(3,833)</w:t>
            </w:r>
          </w:p>
        </w:tc>
        <w:tc>
          <w:tcPr>
            <w:tcW w:w="590" w:type="pct"/>
            <w:tcBorders>
              <w:top w:val="single" w:sz="4" w:space="0" w:color="auto"/>
              <w:left w:val="nil"/>
              <w:bottom w:val="single" w:sz="4" w:space="0" w:color="auto"/>
              <w:right w:val="nil"/>
            </w:tcBorders>
            <w:shd w:val="clear" w:color="auto" w:fill="auto"/>
            <w:noWrap/>
            <w:vAlign w:val="bottom"/>
            <w:hideMark/>
          </w:tcPr>
          <w:p w14:paraId="2FD08592" w14:textId="77777777" w:rsidR="00CB36D7" w:rsidRPr="00DC083D" w:rsidRDefault="00CB36D7" w:rsidP="00CB36D7">
            <w:pPr>
              <w:spacing w:after="0" w:line="240" w:lineRule="auto"/>
              <w:jc w:val="right"/>
              <w:rPr>
                <w:rFonts w:ascii="Arial" w:hAnsi="Arial" w:cs="Arial"/>
                <w:b/>
                <w:bCs/>
                <w:sz w:val="16"/>
                <w:szCs w:val="16"/>
              </w:rPr>
            </w:pPr>
            <w:r w:rsidRPr="00DC083D">
              <w:rPr>
                <w:rFonts w:ascii="Arial" w:hAnsi="Arial" w:cs="Arial"/>
                <w:b/>
                <w:bCs/>
                <w:sz w:val="16"/>
                <w:szCs w:val="16"/>
              </w:rPr>
              <w:t>(36,517)</w:t>
            </w:r>
          </w:p>
        </w:tc>
      </w:tr>
      <w:tr w:rsidR="00CB36D7" w:rsidRPr="00E965CA" w14:paraId="260F6975" w14:textId="77777777" w:rsidTr="00CB36D7">
        <w:trPr>
          <w:trHeight w:val="204"/>
        </w:trPr>
        <w:tc>
          <w:tcPr>
            <w:tcW w:w="1871" w:type="pct"/>
            <w:tcBorders>
              <w:top w:val="nil"/>
              <w:left w:val="nil"/>
              <w:bottom w:val="nil"/>
              <w:right w:val="nil"/>
            </w:tcBorders>
            <w:shd w:val="clear" w:color="auto" w:fill="auto"/>
            <w:vAlign w:val="bottom"/>
            <w:hideMark/>
          </w:tcPr>
          <w:p w14:paraId="54EA3893"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As at 30 June 2023</w:t>
            </w:r>
          </w:p>
        </w:tc>
        <w:tc>
          <w:tcPr>
            <w:tcW w:w="589" w:type="pct"/>
            <w:tcBorders>
              <w:top w:val="nil"/>
              <w:left w:val="nil"/>
              <w:bottom w:val="nil"/>
              <w:right w:val="nil"/>
            </w:tcBorders>
            <w:shd w:val="clear" w:color="auto" w:fill="auto"/>
            <w:noWrap/>
            <w:vAlign w:val="bottom"/>
            <w:hideMark/>
          </w:tcPr>
          <w:p w14:paraId="38894947" w14:textId="77777777" w:rsidR="00CB36D7" w:rsidRPr="00DC083D" w:rsidRDefault="00CB36D7" w:rsidP="00CB36D7">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05CCF586" w14:textId="77777777" w:rsidR="00CB36D7" w:rsidRPr="002F7F2B" w:rsidRDefault="00CB36D7" w:rsidP="00CB36D7">
            <w:pPr>
              <w:spacing w:after="0" w:line="240" w:lineRule="auto"/>
              <w:jc w:val="right"/>
              <w:rPr>
                <w:rFonts w:ascii="Times New Roman" w:hAnsi="Times New Roman"/>
                <w:sz w:val="16"/>
                <w:szCs w:val="16"/>
              </w:rPr>
            </w:pPr>
          </w:p>
        </w:tc>
        <w:tc>
          <w:tcPr>
            <w:tcW w:w="712" w:type="pct"/>
            <w:tcBorders>
              <w:top w:val="nil"/>
              <w:left w:val="nil"/>
              <w:bottom w:val="nil"/>
              <w:right w:val="nil"/>
            </w:tcBorders>
            <w:shd w:val="clear" w:color="auto" w:fill="auto"/>
            <w:noWrap/>
            <w:vAlign w:val="bottom"/>
            <w:hideMark/>
          </w:tcPr>
          <w:p w14:paraId="22F3C928" w14:textId="77777777" w:rsidR="00CB36D7" w:rsidRPr="002F7F2B" w:rsidRDefault="00CB36D7" w:rsidP="00CB36D7">
            <w:pPr>
              <w:spacing w:after="0" w:line="240" w:lineRule="auto"/>
              <w:jc w:val="right"/>
              <w:rPr>
                <w:rFonts w:ascii="Times New Roman" w:hAnsi="Times New Roman"/>
                <w:sz w:val="16"/>
                <w:szCs w:val="16"/>
              </w:rPr>
            </w:pPr>
          </w:p>
        </w:tc>
        <w:tc>
          <w:tcPr>
            <w:tcW w:w="647" w:type="pct"/>
            <w:tcBorders>
              <w:top w:val="nil"/>
              <w:left w:val="nil"/>
              <w:bottom w:val="nil"/>
              <w:right w:val="nil"/>
            </w:tcBorders>
            <w:shd w:val="clear" w:color="auto" w:fill="auto"/>
            <w:noWrap/>
            <w:vAlign w:val="bottom"/>
            <w:hideMark/>
          </w:tcPr>
          <w:p w14:paraId="7D78D533" w14:textId="77777777" w:rsidR="00CB36D7" w:rsidRPr="002F7F2B" w:rsidRDefault="00CB36D7" w:rsidP="00CB36D7">
            <w:pPr>
              <w:spacing w:after="0" w:line="240" w:lineRule="auto"/>
              <w:jc w:val="right"/>
              <w:rPr>
                <w:rFonts w:ascii="Times New Roman" w:hAnsi="Times New Roman"/>
                <w:sz w:val="16"/>
                <w:szCs w:val="16"/>
              </w:rPr>
            </w:pPr>
          </w:p>
        </w:tc>
        <w:tc>
          <w:tcPr>
            <w:tcW w:w="590" w:type="pct"/>
            <w:tcBorders>
              <w:top w:val="nil"/>
              <w:left w:val="nil"/>
              <w:bottom w:val="nil"/>
              <w:right w:val="nil"/>
            </w:tcBorders>
            <w:shd w:val="clear" w:color="auto" w:fill="auto"/>
            <w:noWrap/>
            <w:vAlign w:val="bottom"/>
            <w:hideMark/>
          </w:tcPr>
          <w:p w14:paraId="1F980548" w14:textId="77777777" w:rsidR="00CB36D7" w:rsidRPr="002F7F2B" w:rsidRDefault="00CB36D7" w:rsidP="00CB36D7">
            <w:pPr>
              <w:spacing w:after="0" w:line="240" w:lineRule="auto"/>
              <w:jc w:val="right"/>
              <w:rPr>
                <w:rFonts w:ascii="Times New Roman" w:hAnsi="Times New Roman"/>
                <w:sz w:val="16"/>
                <w:szCs w:val="16"/>
              </w:rPr>
            </w:pPr>
          </w:p>
        </w:tc>
      </w:tr>
      <w:tr w:rsidR="00CB36D7" w:rsidRPr="00E965CA" w14:paraId="6D61712A" w14:textId="77777777" w:rsidTr="00CB36D7">
        <w:trPr>
          <w:trHeight w:val="204"/>
        </w:trPr>
        <w:tc>
          <w:tcPr>
            <w:tcW w:w="1871" w:type="pct"/>
            <w:tcBorders>
              <w:top w:val="nil"/>
              <w:left w:val="nil"/>
              <w:bottom w:val="nil"/>
              <w:right w:val="nil"/>
            </w:tcBorders>
            <w:shd w:val="clear" w:color="auto" w:fill="auto"/>
            <w:vAlign w:val="bottom"/>
            <w:hideMark/>
          </w:tcPr>
          <w:p w14:paraId="384D803A"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Gross book value</w:t>
            </w:r>
          </w:p>
        </w:tc>
        <w:tc>
          <w:tcPr>
            <w:tcW w:w="589" w:type="pct"/>
            <w:tcBorders>
              <w:top w:val="nil"/>
              <w:left w:val="nil"/>
              <w:bottom w:val="nil"/>
              <w:right w:val="nil"/>
            </w:tcBorders>
            <w:shd w:val="clear" w:color="auto" w:fill="auto"/>
            <w:noWrap/>
            <w:vAlign w:val="bottom"/>
            <w:hideMark/>
          </w:tcPr>
          <w:p w14:paraId="103CF8EE"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2,</w:t>
            </w:r>
            <w:r>
              <w:rPr>
                <w:rFonts w:ascii="Arial" w:hAnsi="Arial" w:cs="Arial"/>
                <w:sz w:val="16"/>
                <w:szCs w:val="16"/>
              </w:rPr>
              <w:t>595</w:t>
            </w:r>
          </w:p>
        </w:tc>
        <w:tc>
          <w:tcPr>
            <w:tcW w:w="591" w:type="pct"/>
            <w:tcBorders>
              <w:top w:val="nil"/>
              <w:left w:val="nil"/>
              <w:bottom w:val="nil"/>
              <w:right w:val="nil"/>
            </w:tcBorders>
            <w:shd w:val="clear" w:color="auto" w:fill="auto"/>
            <w:noWrap/>
            <w:vAlign w:val="bottom"/>
            <w:hideMark/>
          </w:tcPr>
          <w:p w14:paraId="0E267D5C"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11,280</w:t>
            </w:r>
          </w:p>
        </w:tc>
        <w:tc>
          <w:tcPr>
            <w:tcW w:w="712" w:type="pct"/>
            <w:tcBorders>
              <w:top w:val="nil"/>
              <w:left w:val="nil"/>
              <w:bottom w:val="nil"/>
              <w:right w:val="nil"/>
            </w:tcBorders>
            <w:shd w:val="clear" w:color="auto" w:fill="auto"/>
            <w:noWrap/>
            <w:vAlign w:val="bottom"/>
            <w:hideMark/>
          </w:tcPr>
          <w:p w14:paraId="75A3DD0E"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140,631</w:t>
            </w:r>
          </w:p>
        </w:tc>
        <w:tc>
          <w:tcPr>
            <w:tcW w:w="647" w:type="pct"/>
            <w:tcBorders>
              <w:top w:val="nil"/>
              <w:left w:val="nil"/>
              <w:bottom w:val="nil"/>
              <w:right w:val="nil"/>
            </w:tcBorders>
            <w:shd w:val="clear" w:color="auto" w:fill="auto"/>
            <w:noWrap/>
            <w:vAlign w:val="bottom"/>
            <w:hideMark/>
          </w:tcPr>
          <w:p w14:paraId="2A64497D"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21,768</w:t>
            </w:r>
          </w:p>
        </w:tc>
        <w:tc>
          <w:tcPr>
            <w:tcW w:w="590" w:type="pct"/>
            <w:tcBorders>
              <w:top w:val="nil"/>
              <w:left w:val="nil"/>
              <w:bottom w:val="nil"/>
              <w:right w:val="nil"/>
            </w:tcBorders>
            <w:shd w:val="clear" w:color="auto" w:fill="auto"/>
            <w:noWrap/>
            <w:vAlign w:val="bottom"/>
            <w:hideMark/>
          </w:tcPr>
          <w:p w14:paraId="64640D5C"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176,274</w:t>
            </w:r>
          </w:p>
        </w:tc>
      </w:tr>
      <w:tr w:rsidR="00CB36D7" w:rsidRPr="00E965CA" w14:paraId="5161245A" w14:textId="77777777" w:rsidTr="00CB36D7">
        <w:trPr>
          <w:trHeight w:val="204"/>
        </w:trPr>
        <w:tc>
          <w:tcPr>
            <w:tcW w:w="1871" w:type="pct"/>
            <w:tcBorders>
              <w:top w:val="nil"/>
              <w:left w:val="nil"/>
              <w:bottom w:val="nil"/>
              <w:right w:val="nil"/>
            </w:tcBorders>
            <w:shd w:val="clear" w:color="auto" w:fill="auto"/>
            <w:vAlign w:val="bottom"/>
            <w:hideMark/>
          </w:tcPr>
          <w:p w14:paraId="4E3F43EE"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6C1DDC0C"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2,635</w:t>
            </w:r>
          </w:p>
        </w:tc>
        <w:tc>
          <w:tcPr>
            <w:tcW w:w="591" w:type="pct"/>
            <w:tcBorders>
              <w:top w:val="nil"/>
              <w:left w:val="nil"/>
              <w:bottom w:val="nil"/>
              <w:right w:val="nil"/>
            </w:tcBorders>
            <w:shd w:val="clear" w:color="auto" w:fill="auto"/>
            <w:noWrap/>
            <w:vAlign w:val="bottom"/>
            <w:hideMark/>
          </w:tcPr>
          <w:p w14:paraId="508FA95A"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43,221</w:t>
            </w:r>
          </w:p>
        </w:tc>
        <w:tc>
          <w:tcPr>
            <w:tcW w:w="712" w:type="pct"/>
            <w:tcBorders>
              <w:top w:val="nil"/>
              <w:left w:val="nil"/>
              <w:bottom w:val="nil"/>
              <w:right w:val="nil"/>
            </w:tcBorders>
            <w:shd w:val="clear" w:color="auto" w:fill="auto"/>
            <w:noWrap/>
            <w:vAlign w:val="bottom"/>
            <w:hideMark/>
          </w:tcPr>
          <w:p w14:paraId="3260B83D"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85,163</w:t>
            </w:r>
          </w:p>
        </w:tc>
        <w:tc>
          <w:tcPr>
            <w:tcW w:w="647" w:type="pct"/>
            <w:tcBorders>
              <w:top w:val="nil"/>
              <w:left w:val="nil"/>
              <w:bottom w:val="nil"/>
              <w:right w:val="nil"/>
            </w:tcBorders>
            <w:shd w:val="clear" w:color="auto" w:fill="auto"/>
            <w:noWrap/>
            <w:vAlign w:val="bottom"/>
            <w:hideMark/>
          </w:tcPr>
          <w:p w14:paraId="4388CE22"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7258BD40" w14:textId="77777777" w:rsidR="00CB36D7" w:rsidRPr="00DC083D" w:rsidRDefault="00CB36D7" w:rsidP="00CB36D7">
            <w:pPr>
              <w:spacing w:after="0" w:line="240" w:lineRule="auto"/>
              <w:jc w:val="right"/>
              <w:rPr>
                <w:rFonts w:ascii="Arial" w:hAnsi="Arial" w:cs="Arial"/>
                <w:sz w:val="16"/>
                <w:szCs w:val="16"/>
              </w:rPr>
            </w:pPr>
            <w:r>
              <w:rPr>
                <w:rFonts w:ascii="Arial" w:hAnsi="Arial" w:cs="Arial"/>
                <w:sz w:val="16"/>
                <w:szCs w:val="16"/>
              </w:rPr>
              <w:t>131,019</w:t>
            </w:r>
          </w:p>
        </w:tc>
      </w:tr>
      <w:tr w:rsidR="00CB36D7" w:rsidRPr="00E965CA" w14:paraId="63D7F4C1" w14:textId="77777777" w:rsidTr="00CB36D7">
        <w:trPr>
          <w:trHeight w:val="204"/>
        </w:trPr>
        <w:tc>
          <w:tcPr>
            <w:tcW w:w="1871" w:type="pct"/>
            <w:tcBorders>
              <w:top w:val="nil"/>
              <w:left w:val="nil"/>
              <w:bottom w:val="nil"/>
              <w:right w:val="nil"/>
            </w:tcBorders>
            <w:shd w:val="clear" w:color="auto" w:fill="auto"/>
            <w:vAlign w:val="bottom"/>
            <w:hideMark/>
          </w:tcPr>
          <w:p w14:paraId="16BC8450"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w:t>
            </w:r>
          </w:p>
        </w:tc>
        <w:tc>
          <w:tcPr>
            <w:tcW w:w="589" w:type="pct"/>
            <w:tcBorders>
              <w:top w:val="nil"/>
              <w:left w:val="nil"/>
              <w:bottom w:val="nil"/>
              <w:right w:val="nil"/>
            </w:tcBorders>
            <w:shd w:val="clear" w:color="auto" w:fill="auto"/>
            <w:noWrap/>
            <w:vAlign w:val="bottom"/>
            <w:hideMark/>
          </w:tcPr>
          <w:p w14:paraId="592CAEF4"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2240A1D5"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(124)</w:t>
            </w:r>
          </w:p>
        </w:tc>
        <w:tc>
          <w:tcPr>
            <w:tcW w:w="712" w:type="pct"/>
            <w:tcBorders>
              <w:top w:val="nil"/>
              <w:left w:val="nil"/>
              <w:bottom w:val="nil"/>
              <w:right w:val="nil"/>
            </w:tcBorders>
            <w:shd w:val="clear" w:color="auto" w:fill="auto"/>
            <w:noWrap/>
            <w:vAlign w:val="bottom"/>
            <w:hideMark/>
          </w:tcPr>
          <w:p w14:paraId="248D1E08"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(11,421)</w:t>
            </w:r>
          </w:p>
        </w:tc>
        <w:tc>
          <w:tcPr>
            <w:tcW w:w="647" w:type="pct"/>
            <w:tcBorders>
              <w:top w:val="nil"/>
              <w:left w:val="nil"/>
              <w:bottom w:val="nil"/>
              <w:right w:val="nil"/>
            </w:tcBorders>
            <w:shd w:val="clear" w:color="auto" w:fill="auto"/>
            <w:noWrap/>
            <w:vAlign w:val="bottom"/>
            <w:hideMark/>
          </w:tcPr>
          <w:p w14:paraId="54C5CE7B"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15,713</w:t>
            </w: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438F19A7"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27,258</w:t>
            </w:r>
            <w:r w:rsidRPr="00DC083D">
              <w:rPr>
                <w:rFonts w:ascii="Arial" w:hAnsi="Arial" w:cs="Arial"/>
                <w:sz w:val="16"/>
                <w:szCs w:val="16"/>
              </w:rPr>
              <w:t>)</w:t>
            </w:r>
          </w:p>
        </w:tc>
      </w:tr>
      <w:tr w:rsidR="00CB36D7" w:rsidRPr="00E965CA" w14:paraId="5A6E8535" w14:textId="77777777" w:rsidTr="00CB36D7">
        <w:trPr>
          <w:trHeight w:val="204"/>
        </w:trPr>
        <w:tc>
          <w:tcPr>
            <w:tcW w:w="1871" w:type="pct"/>
            <w:tcBorders>
              <w:top w:val="nil"/>
              <w:left w:val="nil"/>
              <w:bottom w:val="nil"/>
              <w:right w:val="nil"/>
            </w:tcBorders>
            <w:shd w:val="clear" w:color="auto" w:fill="auto"/>
            <w:vAlign w:val="bottom"/>
            <w:hideMark/>
          </w:tcPr>
          <w:p w14:paraId="6ED58F30" w14:textId="77777777" w:rsidR="00CB36D7" w:rsidRPr="00E965CA" w:rsidRDefault="00CB36D7" w:rsidP="00CB36D7">
            <w:pPr>
              <w:spacing w:after="0" w:line="240" w:lineRule="auto"/>
              <w:ind w:left="113"/>
              <w:rPr>
                <w:rFonts w:ascii="Arial" w:hAnsi="Arial" w:cs="Arial"/>
                <w:sz w:val="16"/>
                <w:szCs w:val="16"/>
              </w:rPr>
            </w:pPr>
            <w:r w:rsidRPr="00E965CA">
              <w:rPr>
                <w:rFonts w:ascii="Arial" w:hAnsi="Arial" w:cs="Arial"/>
                <w:sz w:val="16"/>
                <w:szCs w:val="16"/>
              </w:rPr>
              <w:t>Accumulated depreciation/</w:t>
            </w:r>
            <w:r>
              <w:rPr>
                <w:rFonts w:ascii="Arial" w:hAnsi="Arial" w:cs="Arial"/>
                <w:sz w:val="16"/>
                <w:szCs w:val="16"/>
              </w:rPr>
              <w:t xml:space="preserve"> </w:t>
            </w:r>
            <w:r w:rsidRPr="00E965CA">
              <w:rPr>
                <w:rFonts w:ascii="Arial" w:hAnsi="Arial" w:cs="Arial"/>
                <w:sz w:val="16"/>
                <w:szCs w:val="16"/>
              </w:rPr>
              <w:t>amortisation and impairment - ROU assets</w:t>
            </w:r>
          </w:p>
        </w:tc>
        <w:tc>
          <w:tcPr>
            <w:tcW w:w="589" w:type="pct"/>
            <w:tcBorders>
              <w:top w:val="nil"/>
              <w:left w:val="nil"/>
              <w:bottom w:val="nil"/>
              <w:right w:val="nil"/>
            </w:tcBorders>
            <w:shd w:val="clear" w:color="auto" w:fill="auto"/>
            <w:noWrap/>
            <w:vAlign w:val="bottom"/>
            <w:hideMark/>
          </w:tcPr>
          <w:p w14:paraId="11E3270A"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362</w:t>
            </w:r>
            <w:r w:rsidRPr="00DC083D">
              <w:rPr>
                <w:rFonts w:ascii="Arial" w:hAnsi="Arial" w:cs="Arial"/>
                <w:sz w:val="16"/>
                <w:szCs w:val="16"/>
              </w:rPr>
              <w:t>)</w:t>
            </w:r>
          </w:p>
        </w:tc>
        <w:tc>
          <w:tcPr>
            <w:tcW w:w="591" w:type="pct"/>
            <w:tcBorders>
              <w:top w:val="nil"/>
              <w:left w:val="nil"/>
              <w:bottom w:val="nil"/>
              <w:right w:val="nil"/>
            </w:tcBorders>
            <w:shd w:val="clear" w:color="auto" w:fill="auto"/>
            <w:noWrap/>
            <w:vAlign w:val="bottom"/>
            <w:hideMark/>
          </w:tcPr>
          <w:p w14:paraId="525D7530"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26,763</w:t>
            </w:r>
            <w:r w:rsidRPr="00DC083D">
              <w:rPr>
                <w:rFonts w:ascii="Arial" w:hAnsi="Arial" w:cs="Arial"/>
                <w:sz w:val="16"/>
                <w:szCs w:val="16"/>
              </w:rPr>
              <w:t>)</w:t>
            </w:r>
          </w:p>
        </w:tc>
        <w:tc>
          <w:tcPr>
            <w:tcW w:w="712" w:type="pct"/>
            <w:tcBorders>
              <w:top w:val="nil"/>
              <w:left w:val="nil"/>
              <w:bottom w:val="nil"/>
              <w:right w:val="nil"/>
            </w:tcBorders>
            <w:shd w:val="clear" w:color="auto" w:fill="auto"/>
            <w:noWrap/>
            <w:vAlign w:val="bottom"/>
            <w:hideMark/>
          </w:tcPr>
          <w:p w14:paraId="66658202"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27,921</w:t>
            </w:r>
            <w:r w:rsidRPr="00DC083D">
              <w:rPr>
                <w:rFonts w:ascii="Arial" w:hAnsi="Arial" w:cs="Arial"/>
                <w:sz w:val="16"/>
                <w:szCs w:val="16"/>
              </w:rPr>
              <w:t>)</w:t>
            </w:r>
          </w:p>
        </w:tc>
        <w:tc>
          <w:tcPr>
            <w:tcW w:w="647" w:type="pct"/>
            <w:tcBorders>
              <w:top w:val="nil"/>
              <w:left w:val="nil"/>
              <w:bottom w:val="nil"/>
              <w:right w:val="nil"/>
            </w:tcBorders>
            <w:shd w:val="clear" w:color="auto" w:fill="auto"/>
            <w:noWrap/>
            <w:vAlign w:val="bottom"/>
            <w:hideMark/>
          </w:tcPr>
          <w:p w14:paraId="5F39832E"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3C6A709A" w14:textId="77777777" w:rsidR="00CB36D7" w:rsidRPr="00DC083D" w:rsidRDefault="00CB36D7" w:rsidP="00CB36D7">
            <w:pPr>
              <w:spacing w:after="0" w:line="240" w:lineRule="auto"/>
              <w:jc w:val="right"/>
              <w:rPr>
                <w:rFonts w:ascii="Arial" w:hAnsi="Arial" w:cs="Arial"/>
                <w:sz w:val="16"/>
                <w:szCs w:val="16"/>
              </w:rPr>
            </w:pPr>
            <w:r w:rsidRPr="00DC083D">
              <w:rPr>
                <w:rFonts w:ascii="Arial" w:hAnsi="Arial" w:cs="Arial"/>
                <w:sz w:val="16"/>
                <w:szCs w:val="16"/>
              </w:rPr>
              <w:t>(</w:t>
            </w:r>
            <w:r>
              <w:rPr>
                <w:rFonts w:ascii="Arial" w:hAnsi="Arial" w:cs="Arial"/>
                <w:sz w:val="16"/>
                <w:szCs w:val="16"/>
              </w:rPr>
              <w:t>55,046</w:t>
            </w:r>
            <w:r w:rsidRPr="00DC083D">
              <w:rPr>
                <w:rFonts w:ascii="Arial" w:hAnsi="Arial" w:cs="Arial"/>
                <w:sz w:val="16"/>
                <w:szCs w:val="16"/>
              </w:rPr>
              <w:t>)</w:t>
            </w:r>
          </w:p>
        </w:tc>
      </w:tr>
      <w:tr w:rsidR="00CB36D7" w:rsidRPr="00E965CA" w14:paraId="512456DB" w14:textId="77777777" w:rsidTr="00CB36D7">
        <w:trPr>
          <w:trHeight w:val="204"/>
        </w:trPr>
        <w:tc>
          <w:tcPr>
            <w:tcW w:w="1871" w:type="pct"/>
            <w:tcBorders>
              <w:top w:val="nil"/>
              <w:left w:val="nil"/>
              <w:bottom w:val="single" w:sz="4" w:space="0" w:color="auto"/>
              <w:right w:val="nil"/>
            </w:tcBorders>
            <w:shd w:val="clear" w:color="auto" w:fill="auto"/>
            <w:noWrap/>
            <w:vAlign w:val="bottom"/>
            <w:hideMark/>
          </w:tcPr>
          <w:p w14:paraId="5CF9241C" w14:textId="77777777" w:rsidR="00CB36D7" w:rsidRPr="00E965CA" w:rsidRDefault="00CB36D7" w:rsidP="00CB36D7">
            <w:pPr>
              <w:spacing w:after="0" w:line="240" w:lineRule="auto"/>
              <w:rPr>
                <w:rFonts w:ascii="Arial" w:hAnsi="Arial" w:cs="Arial"/>
                <w:b/>
                <w:bCs/>
                <w:sz w:val="16"/>
                <w:szCs w:val="16"/>
              </w:rPr>
            </w:pPr>
            <w:r w:rsidRPr="00E965CA">
              <w:rPr>
                <w:rFonts w:ascii="Arial" w:hAnsi="Arial" w:cs="Arial"/>
                <w:b/>
                <w:bCs/>
                <w:sz w:val="16"/>
                <w:szCs w:val="16"/>
              </w:rPr>
              <w:t>Closing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5CEB288D"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4,868</w:t>
            </w:r>
          </w:p>
        </w:tc>
        <w:tc>
          <w:tcPr>
            <w:tcW w:w="591" w:type="pct"/>
            <w:tcBorders>
              <w:top w:val="single" w:sz="4" w:space="0" w:color="auto"/>
              <w:left w:val="nil"/>
              <w:bottom w:val="single" w:sz="4" w:space="0" w:color="auto"/>
              <w:right w:val="nil"/>
            </w:tcBorders>
            <w:shd w:val="clear" w:color="auto" w:fill="auto"/>
            <w:noWrap/>
            <w:vAlign w:val="bottom"/>
            <w:hideMark/>
          </w:tcPr>
          <w:p w14:paraId="447F9605"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27,614</w:t>
            </w:r>
          </w:p>
        </w:tc>
        <w:tc>
          <w:tcPr>
            <w:tcW w:w="712" w:type="pct"/>
            <w:tcBorders>
              <w:top w:val="single" w:sz="4" w:space="0" w:color="auto"/>
              <w:left w:val="nil"/>
              <w:bottom w:val="single" w:sz="4" w:space="0" w:color="auto"/>
              <w:right w:val="nil"/>
            </w:tcBorders>
            <w:shd w:val="clear" w:color="auto" w:fill="auto"/>
            <w:noWrap/>
            <w:vAlign w:val="bottom"/>
            <w:hideMark/>
          </w:tcPr>
          <w:p w14:paraId="6DAB0DC3"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186,452</w:t>
            </w:r>
          </w:p>
        </w:tc>
        <w:tc>
          <w:tcPr>
            <w:tcW w:w="647" w:type="pct"/>
            <w:tcBorders>
              <w:top w:val="single" w:sz="4" w:space="0" w:color="auto"/>
              <w:left w:val="nil"/>
              <w:bottom w:val="single" w:sz="4" w:space="0" w:color="auto"/>
              <w:right w:val="nil"/>
            </w:tcBorders>
            <w:shd w:val="clear" w:color="auto" w:fill="auto"/>
            <w:noWrap/>
            <w:vAlign w:val="bottom"/>
            <w:hideMark/>
          </w:tcPr>
          <w:p w14:paraId="563BEAC6"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6,055</w:t>
            </w:r>
          </w:p>
        </w:tc>
        <w:tc>
          <w:tcPr>
            <w:tcW w:w="590" w:type="pct"/>
            <w:tcBorders>
              <w:top w:val="single" w:sz="4" w:space="0" w:color="auto"/>
              <w:left w:val="nil"/>
              <w:bottom w:val="single" w:sz="4" w:space="0" w:color="auto"/>
              <w:right w:val="nil"/>
            </w:tcBorders>
            <w:shd w:val="clear" w:color="auto" w:fill="auto"/>
            <w:noWrap/>
            <w:vAlign w:val="bottom"/>
            <w:hideMark/>
          </w:tcPr>
          <w:p w14:paraId="53AA8E5D" w14:textId="77777777" w:rsidR="00CB36D7" w:rsidRPr="00DC083D" w:rsidRDefault="00CB36D7" w:rsidP="00CB36D7">
            <w:pPr>
              <w:spacing w:after="0" w:line="240" w:lineRule="auto"/>
              <w:jc w:val="right"/>
              <w:rPr>
                <w:rFonts w:ascii="Arial" w:hAnsi="Arial" w:cs="Arial"/>
                <w:b/>
                <w:bCs/>
                <w:sz w:val="16"/>
                <w:szCs w:val="16"/>
              </w:rPr>
            </w:pPr>
            <w:r>
              <w:rPr>
                <w:rFonts w:ascii="Arial" w:hAnsi="Arial" w:cs="Arial"/>
                <w:b/>
                <w:bCs/>
                <w:sz w:val="16"/>
                <w:szCs w:val="16"/>
              </w:rPr>
              <w:t>224,989</w:t>
            </w:r>
          </w:p>
        </w:tc>
      </w:tr>
    </w:tbl>
    <w:p w14:paraId="7A24FDED" w14:textId="7777777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E965CA">
        <w:rPr>
          <w:rFonts w:cs="Arial"/>
        </w:rPr>
        <w:t>Prepared on Australian Accounting Standards basis.</w:t>
      </w:r>
    </w:p>
    <w:p w14:paraId="782E5C4A" w14:textId="77777777" w:rsidR="00CB36D7" w:rsidRDefault="00CB36D7" w:rsidP="008D0F63">
      <w:pPr>
        <w:pStyle w:val="ChartandTableFootnoteAlpha"/>
        <w:numPr>
          <w:ilvl w:val="0"/>
          <w:numId w:val="157"/>
        </w:numPr>
        <w:tabs>
          <w:tab w:val="clear" w:pos="284"/>
        </w:tabs>
        <w:ind w:left="426" w:hanging="426"/>
        <w:jc w:val="left"/>
        <w:sectPr w:rsidR="00CB36D7" w:rsidSect="00B3359B">
          <w:headerReference w:type="even" r:id="rId26"/>
          <w:headerReference w:type="default" r:id="rId27"/>
          <w:headerReference w:type="first" r:id="rId28"/>
          <w:footerReference w:type="first" r:id="rId29"/>
          <w:type w:val="oddPage"/>
          <w:pgSz w:w="11906" w:h="16838" w:code="9"/>
          <w:pgMar w:top="2438" w:right="2098" w:bottom="2438" w:left="2098" w:header="1814" w:footer="1814" w:gutter="0"/>
          <w:pgNumType w:start="199"/>
          <w:cols w:space="708"/>
          <w:titlePg/>
          <w:docGrid w:linePitch="360"/>
        </w:sectPr>
      </w:pPr>
      <w:r>
        <w:t>‘</w:t>
      </w:r>
      <w:r w:rsidRPr="00463EB2">
        <w:t>Appropriation ordinary annual services' refers to funding provided through Appropriation Bill (No. 1)</w:t>
      </w:r>
      <w:r>
        <w:t xml:space="preserve"> </w:t>
      </w:r>
      <w:r w:rsidRPr="00463EB2">
        <w:t xml:space="preserve">2022-23 for depreciation/amortisation expenses, </w:t>
      </w:r>
      <w:r>
        <w:t>Department</w:t>
      </w:r>
      <w:r w:rsidRPr="00463EB2">
        <w:t>al capital budget or other operational expenses.</w:t>
      </w:r>
    </w:p>
    <w:p w14:paraId="2AD73E73" w14:textId="46DCBC68" w:rsidR="001C0F49" w:rsidRDefault="001C0F49" w:rsidP="00D7626B">
      <w:pPr>
        <w:pStyle w:val="BodyText"/>
        <w:spacing w:before="23"/>
        <w:rPr>
          <w:rFonts w:ascii="Arial" w:hAnsi="Arial" w:cs="Arial"/>
          <w:sz w:val="16"/>
          <w:szCs w:val="16"/>
        </w:rPr>
      </w:pPr>
    </w:p>
    <w:sectPr w:rsidR="001C0F49" w:rsidSect="00BA273A">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BE5E" w14:textId="08FE5356" w:rsidR="005C752E" w:rsidRPr="003F0C8B" w:rsidRDefault="005C752E" w:rsidP="00CB36D7">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206</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Film, Television and Radio School</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4669" w14:textId="01EFD386" w:rsidR="005C752E" w:rsidRPr="00782467" w:rsidRDefault="005C752E" w:rsidP="00CB36D7">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Film, Television and Radio School</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209</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E222" w14:textId="77777777" w:rsidR="005C752E" w:rsidRPr="00EB550A" w:rsidRDefault="005C752E" w:rsidP="00CB36D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9DA5" w14:textId="3261F482" w:rsidR="005C752E" w:rsidRPr="009024EA" w:rsidRDefault="005C752E" w:rsidP="00CB36D7">
    <w:pPr>
      <w:pStyle w:val="FooterEven"/>
      <w:rPr>
        <w:rStyle w:val="PageNumber"/>
        <w:sz w:val="18"/>
        <w:szCs w:val="18"/>
      </w:rPr>
    </w:pPr>
    <w:r w:rsidRPr="009024EA">
      <w:rPr>
        <w:rStyle w:val="PageNumber"/>
        <w:b/>
        <w:bCs w:val="0"/>
        <w:sz w:val="18"/>
        <w:szCs w:val="18"/>
      </w:rPr>
      <w:t xml:space="preserve">Page </w:t>
    </w:r>
    <w:r w:rsidRPr="009024EA">
      <w:rPr>
        <w:rStyle w:val="PageNumber"/>
        <w:b/>
        <w:bCs w:val="0"/>
        <w:sz w:val="18"/>
        <w:szCs w:val="18"/>
      </w:rPr>
      <w:fldChar w:fldCharType="begin"/>
    </w:r>
    <w:r w:rsidRPr="009024EA">
      <w:rPr>
        <w:rStyle w:val="PageNumber"/>
        <w:b/>
        <w:bCs w:val="0"/>
        <w:sz w:val="18"/>
        <w:szCs w:val="18"/>
      </w:rPr>
      <w:instrText xml:space="preserve"> PAGE </w:instrText>
    </w:r>
    <w:r w:rsidRPr="009024EA">
      <w:rPr>
        <w:rStyle w:val="PageNumber"/>
        <w:b/>
        <w:bCs w:val="0"/>
        <w:sz w:val="18"/>
        <w:szCs w:val="18"/>
      </w:rPr>
      <w:fldChar w:fldCharType="separate"/>
    </w:r>
    <w:r w:rsidRPr="009024EA">
      <w:rPr>
        <w:rStyle w:val="PageNumber"/>
        <w:b/>
        <w:bCs w:val="0"/>
        <w:noProof/>
        <w:sz w:val="18"/>
        <w:szCs w:val="18"/>
      </w:rPr>
      <w:t>206</w:t>
    </w:r>
    <w:r w:rsidRPr="009024EA">
      <w:rPr>
        <w:rStyle w:val="PageNumber"/>
        <w:b/>
        <w:bCs w:val="0"/>
        <w:sz w:val="18"/>
        <w:szCs w:val="18"/>
      </w:rPr>
      <w:fldChar w:fldCharType="end"/>
    </w:r>
    <w:r w:rsidRPr="009024EA">
      <w:rPr>
        <w:rStyle w:val="PageNumber"/>
        <w:sz w:val="18"/>
        <w:szCs w:val="18"/>
      </w:rPr>
      <w:t xml:space="preserve">  |  </w:t>
    </w:r>
    <w:r w:rsidRPr="009024EA">
      <w:rPr>
        <w:rStyle w:val="PageNumber"/>
        <w:sz w:val="18"/>
        <w:szCs w:val="18"/>
      </w:rPr>
      <w:fldChar w:fldCharType="begin"/>
    </w:r>
    <w:r w:rsidRPr="009024EA">
      <w:rPr>
        <w:rStyle w:val="PageNumber"/>
        <w:sz w:val="18"/>
        <w:szCs w:val="18"/>
      </w:rPr>
      <w:instrText xml:space="preserve"> STYLEREF  "Heading 1"  \* MERGEFORMAT </w:instrText>
    </w:r>
    <w:r w:rsidRPr="009024EA">
      <w:rPr>
        <w:rStyle w:val="PageNumber"/>
        <w:sz w:val="18"/>
        <w:szCs w:val="18"/>
      </w:rPr>
      <w:fldChar w:fldCharType="separate"/>
    </w:r>
    <w:r w:rsidR="00B3359B">
      <w:rPr>
        <w:rStyle w:val="PageNumber"/>
        <w:noProof/>
        <w:sz w:val="18"/>
        <w:szCs w:val="18"/>
      </w:rPr>
      <w:t>Australian Maritime Safety Authority</w:t>
    </w:r>
    <w:r w:rsidRPr="009024EA">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7F27" w14:textId="20290426" w:rsidR="005C752E" w:rsidRPr="009024EA" w:rsidRDefault="005C752E" w:rsidP="00CB36D7">
    <w:pPr>
      <w:pStyle w:val="FooterOdd"/>
      <w:rPr>
        <w:rStyle w:val="PageNumber"/>
        <w:sz w:val="18"/>
        <w:szCs w:val="18"/>
      </w:rPr>
    </w:pPr>
    <w:r w:rsidRPr="009024EA">
      <w:rPr>
        <w:rStyle w:val="PageNumber"/>
        <w:sz w:val="18"/>
        <w:szCs w:val="18"/>
      </w:rPr>
      <w:fldChar w:fldCharType="begin"/>
    </w:r>
    <w:r w:rsidRPr="009024EA">
      <w:rPr>
        <w:rStyle w:val="PageNumber"/>
        <w:sz w:val="18"/>
        <w:szCs w:val="18"/>
      </w:rPr>
      <w:instrText xml:space="preserve"> STYLEREF  "Heading 1"  \* MERGEFORMAT </w:instrText>
    </w:r>
    <w:r w:rsidRPr="009024EA">
      <w:rPr>
        <w:rStyle w:val="PageNumber"/>
        <w:sz w:val="18"/>
        <w:szCs w:val="18"/>
      </w:rPr>
      <w:fldChar w:fldCharType="separate"/>
    </w:r>
    <w:r w:rsidR="00B3359B">
      <w:rPr>
        <w:rStyle w:val="PageNumber"/>
        <w:noProof/>
        <w:sz w:val="18"/>
        <w:szCs w:val="18"/>
      </w:rPr>
      <w:t>Australian Maritime Safety Authority</w:t>
    </w:r>
    <w:r w:rsidRPr="009024EA">
      <w:rPr>
        <w:rStyle w:val="PageNumber"/>
        <w:sz w:val="18"/>
        <w:szCs w:val="18"/>
      </w:rPr>
      <w:fldChar w:fldCharType="end"/>
    </w:r>
    <w:r w:rsidRPr="009024EA">
      <w:rPr>
        <w:rStyle w:val="PageNumber"/>
        <w:sz w:val="18"/>
        <w:szCs w:val="18"/>
      </w:rPr>
      <w:t xml:space="preserve"> </w:t>
    </w:r>
    <w:r w:rsidRPr="009024EA">
      <w:rPr>
        <w:rStyle w:val="PageNumber"/>
        <w:sz w:val="18"/>
        <w:szCs w:val="18"/>
        <w:lang w:val="en-AU"/>
      </w:rPr>
      <w:t xml:space="preserve"> </w:t>
    </w:r>
    <w:r w:rsidRPr="009024EA">
      <w:rPr>
        <w:rStyle w:val="PageNumber"/>
        <w:sz w:val="18"/>
        <w:szCs w:val="18"/>
      </w:rPr>
      <w:t>|</w:t>
    </w:r>
    <w:r w:rsidRPr="009024EA">
      <w:rPr>
        <w:rStyle w:val="PageNumber"/>
        <w:sz w:val="18"/>
        <w:szCs w:val="18"/>
        <w:lang w:val="en-AU"/>
      </w:rPr>
      <w:t xml:space="preserve"> </w:t>
    </w:r>
    <w:r w:rsidRPr="009024EA">
      <w:rPr>
        <w:rStyle w:val="PageNumber"/>
        <w:sz w:val="18"/>
        <w:szCs w:val="18"/>
      </w:rPr>
      <w:t xml:space="preserve"> </w:t>
    </w:r>
    <w:r w:rsidRPr="009024EA">
      <w:rPr>
        <w:rStyle w:val="PageNumber"/>
        <w:b/>
        <w:bCs/>
        <w:sz w:val="18"/>
        <w:szCs w:val="18"/>
      </w:rPr>
      <w:t xml:space="preserve">Page </w:t>
    </w:r>
    <w:r w:rsidRPr="009024EA">
      <w:rPr>
        <w:rStyle w:val="PageNumber"/>
        <w:b/>
        <w:bCs/>
        <w:sz w:val="18"/>
        <w:szCs w:val="18"/>
      </w:rPr>
      <w:fldChar w:fldCharType="begin"/>
    </w:r>
    <w:r w:rsidRPr="009024EA">
      <w:rPr>
        <w:rStyle w:val="PageNumber"/>
        <w:b/>
        <w:bCs/>
        <w:sz w:val="18"/>
        <w:szCs w:val="18"/>
      </w:rPr>
      <w:instrText xml:space="preserve"> PAGE  \* Arabic </w:instrText>
    </w:r>
    <w:r w:rsidRPr="009024EA">
      <w:rPr>
        <w:rStyle w:val="PageNumber"/>
        <w:b/>
        <w:bCs/>
        <w:sz w:val="18"/>
        <w:szCs w:val="18"/>
      </w:rPr>
      <w:fldChar w:fldCharType="separate"/>
    </w:r>
    <w:r w:rsidRPr="009024EA">
      <w:rPr>
        <w:rStyle w:val="PageNumber"/>
        <w:b/>
        <w:bCs/>
        <w:noProof/>
        <w:sz w:val="18"/>
        <w:szCs w:val="18"/>
      </w:rPr>
      <w:t>209</w:t>
    </w:r>
    <w:r w:rsidRPr="009024EA">
      <w:rPr>
        <w:rStyle w:val="PageNumbe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33CE"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CD81" w14:textId="1B787748" w:rsidR="005C752E" w:rsidRPr="009024EA" w:rsidRDefault="005C752E" w:rsidP="00CB36D7">
    <w:pPr>
      <w:pStyle w:val="FooterOdd"/>
      <w:rPr>
        <w:szCs w:val="18"/>
      </w:rPr>
    </w:pPr>
    <w:r w:rsidRPr="009024EA">
      <w:rPr>
        <w:rStyle w:val="PageNumber"/>
        <w:sz w:val="18"/>
        <w:szCs w:val="18"/>
      </w:rPr>
      <w:fldChar w:fldCharType="begin"/>
    </w:r>
    <w:r w:rsidRPr="009024EA">
      <w:rPr>
        <w:rStyle w:val="PageNumber"/>
        <w:sz w:val="18"/>
        <w:szCs w:val="18"/>
      </w:rPr>
      <w:instrText xml:space="preserve"> STYLEREF  "Heading 1"  \* MERGEFORMAT </w:instrText>
    </w:r>
    <w:r w:rsidRPr="009024EA">
      <w:rPr>
        <w:rStyle w:val="PageNumber"/>
        <w:sz w:val="18"/>
        <w:szCs w:val="18"/>
      </w:rPr>
      <w:fldChar w:fldCharType="separate"/>
    </w:r>
    <w:r w:rsidR="00B3359B">
      <w:rPr>
        <w:rStyle w:val="PageNumber"/>
        <w:noProof/>
        <w:sz w:val="18"/>
        <w:szCs w:val="18"/>
      </w:rPr>
      <w:t>Australian Maritime Safety Authority</w:t>
    </w:r>
    <w:r w:rsidRPr="009024EA">
      <w:rPr>
        <w:rStyle w:val="PageNumber"/>
        <w:sz w:val="18"/>
        <w:szCs w:val="18"/>
      </w:rPr>
      <w:fldChar w:fldCharType="end"/>
    </w:r>
    <w:r w:rsidRPr="009024EA">
      <w:rPr>
        <w:rStyle w:val="PageNumber"/>
        <w:sz w:val="18"/>
        <w:szCs w:val="18"/>
      </w:rPr>
      <w:t xml:space="preserve"> </w:t>
    </w:r>
    <w:r w:rsidRPr="009024EA">
      <w:rPr>
        <w:rStyle w:val="PageNumber"/>
        <w:sz w:val="18"/>
        <w:szCs w:val="18"/>
        <w:lang w:val="en-AU"/>
      </w:rPr>
      <w:t xml:space="preserve"> </w:t>
    </w:r>
    <w:r w:rsidRPr="009024EA">
      <w:rPr>
        <w:rStyle w:val="PageNumber"/>
        <w:sz w:val="18"/>
        <w:szCs w:val="18"/>
      </w:rPr>
      <w:t>|</w:t>
    </w:r>
    <w:r w:rsidRPr="009024EA">
      <w:rPr>
        <w:rStyle w:val="PageNumber"/>
        <w:sz w:val="18"/>
        <w:szCs w:val="18"/>
        <w:lang w:val="en-AU"/>
      </w:rPr>
      <w:t xml:space="preserve"> </w:t>
    </w:r>
    <w:r w:rsidRPr="009024EA">
      <w:rPr>
        <w:rStyle w:val="PageNumber"/>
        <w:sz w:val="18"/>
        <w:szCs w:val="18"/>
      </w:rPr>
      <w:t xml:space="preserve"> </w:t>
    </w:r>
    <w:r w:rsidRPr="009024EA">
      <w:rPr>
        <w:rStyle w:val="PageNumber"/>
        <w:b/>
        <w:bCs/>
        <w:sz w:val="18"/>
        <w:szCs w:val="18"/>
      </w:rPr>
      <w:t xml:space="preserve">Page </w:t>
    </w:r>
    <w:r w:rsidRPr="009024EA">
      <w:rPr>
        <w:rStyle w:val="PageNumber"/>
        <w:b/>
        <w:bCs/>
        <w:sz w:val="18"/>
        <w:szCs w:val="18"/>
      </w:rPr>
      <w:fldChar w:fldCharType="begin"/>
    </w:r>
    <w:r w:rsidRPr="009024EA">
      <w:rPr>
        <w:rStyle w:val="PageNumber"/>
        <w:b/>
        <w:bCs/>
        <w:sz w:val="18"/>
        <w:szCs w:val="18"/>
      </w:rPr>
      <w:instrText xml:space="preserve"> PAGE  \* Arabic </w:instrText>
    </w:r>
    <w:r w:rsidRPr="009024EA">
      <w:rPr>
        <w:rStyle w:val="PageNumber"/>
        <w:b/>
        <w:bCs/>
        <w:sz w:val="18"/>
        <w:szCs w:val="18"/>
      </w:rPr>
      <w:fldChar w:fldCharType="separate"/>
    </w:r>
    <w:r w:rsidRPr="009024EA">
      <w:rPr>
        <w:rStyle w:val="PageNumber"/>
        <w:b/>
        <w:bCs/>
        <w:noProof/>
        <w:sz w:val="18"/>
        <w:szCs w:val="18"/>
      </w:rPr>
      <w:t>193</w:t>
    </w:r>
    <w:r w:rsidRPr="009024EA">
      <w:rPr>
        <w:rStyle w:val="PageNumber"/>
        <w:b/>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EC16" w14:textId="77777777" w:rsidR="005C752E" w:rsidRDefault="005C752E">
    <w:pPr>
      <w:pStyle w:val="Header"/>
    </w:pPr>
    <w:r>
      <w:rPr>
        <w:noProof/>
        <w:lang w:val="en-AU"/>
      </w:rPr>
      <mc:AlternateContent>
        <mc:Choice Requires="wps">
          <w:drawing>
            <wp:anchor distT="0" distB="0" distL="114300" distR="114300" simplePos="0" relativeHeight="251743744" behindDoc="0" locked="1" layoutInCell="0" allowOverlap="1" wp14:anchorId="3A542994" wp14:editId="49CBDC58">
              <wp:simplePos x="0" y="0"/>
              <wp:positionH relativeFrom="margin">
                <wp:align>center</wp:align>
              </wp:positionH>
              <wp:positionV relativeFrom="topMargin">
                <wp:align>center</wp:align>
              </wp:positionV>
              <wp:extent cx="1891665" cy="415290"/>
              <wp:effectExtent l="0" t="0" r="0" b="3810"/>
              <wp:wrapNone/>
              <wp:docPr id="68" name="janusSEAL SC H_EvenPage"/>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7201" w14:textId="220DCE43"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542994" id="_x0000_t202" coordsize="21600,21600" o:spt="202" path="m,l,21600r21600,l21600,xe">
              <v:stroke joinstyle="miter"/>
              <v:path gradientshapeok="t" o:connecttype="rect"/>
            </v:shapetype>
            <v:shape id="janusSEAL SC H_EvenPage" o:spid="_x0000_s1042" type="#_x0000_t202" style="position:absolute;margin-left:0;margin-top:0;width:148.95pt;height:32.7pt;z-index:2517437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" o:allowincell="f" filled="f" stroked="f" strokeweight=".5pt">
              <v:textbox style="mso-fit-shape-to-text:t">
                <w:txbxContent>
                  <w:p w14:paraId="25977201" w14:textId="220DCE43"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C4B5" w14:textId="77777777" w:rsidR="005C752E" w:rsidRDefault="005C752E">
    <w:pPr>
      <w:pStyle w:val="Header"/>
    </w:pPr>
    <w:r>
      <w:rPr>
        <w:noProof/>
        <w:lang w:val="en-AU"/>
      </w:rPr>
      <mc:AlternateContent>
        <mc:Choice Requires="wps">
          <w:drawing>
            <wp:anchor distT="0" distB="0" distL="114300" distR="114300" simplePos="0" relativeHeight="251742720" behindDoc="0" locked="1" layoutInCell="0" allowOverlap="1" wp14:anchorId="2CD1040C" wp14:editId="6994FF4C">
              <wp:simplePos x="0" y="0"/>
              <wp:positionH relativeFrom="margin">
                <wp:align>center</wp:align>
              </wp:positionH>
              <wp:positionV relativeFrom="topMargin">
                <wp:align>center</wp:align>
              </wp:positionV>
              <wp:extent cx="1891665" cy="415290"/>
              <wp:effectExtent l="0" t="0" r="0" b="3810"/>
              <wp:wrapNone/>
              <wp:docPr id="76" name="janusSEAL SC Header"/>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847F3" w14:textId="2C90D659"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1040C" id="_x0000_t202" coordsize="21600,21600" o:spt="202" path="m,l,21600r21600,l21600,xe">
              <v:stroke joinstyle="miter"/>
              <v:path gradientshapeok="t" o:connecttype="rect"/>
            </v:shapetype>
            <v:shape id="janusSEAL SC Header" o:spid="_x0000_s1043" type="#_x0000_t202" style="position:absolute;margin-left:0;margin-top:0;width:148.95pt;height:32.7pt;z-index:25174272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" o:allowincell="f" filled="f" stroked="f" strokeweight=".5pt">
              <v:textbox style="mso-fit-shape-to-text:t">
                <w:txbxContent>
                  <w:p w14:paraId="3A4847F3" w14:textId="2C90D659"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6206" w14:textId="77777777" w:rsidR="005C752E" w:rsidRPr="000304FC" w:rsidRDefault="005C752E" w:rsidP="00CB36D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9F57" w14:textId="77777777" w:rsidR="005C752E" w:rsidRDefault="005C752E">
    <w:pPr>
      <w:pStyle w:val="Header"/>
    </w:pPr>
    <w:r>
      <w:rPr>
        <w:noProof/>
        <w:lang w:val="en-AU"/>
      </w:rPr>
      <mc:AlternateContent>
        <mc:Choice Requires="wps">
          <w:drawing>
            <wp:anchor distT="0" distB="0" distL="114300" distR="114300" simplePos="0" relativeHeight="251744768" behindDoc="0" locked="1" layoutInCell="0" allowOverlap="1" wp14:anchorId="1412F6A1" wp14:editId="368C472B">
              <wp:simplePos x="0" y="0"/>
              <wp:positionH relativeFrom="margin">
                <wp:align>center</wp:align>
              </wp:positionH>
              <wp:positionV relativeFrom="topMargin">
                <wp:align>center</wp:align>
              </wp:positionV>
              <wp:extent cx="1891665" cy="415290"/>
              <wp:effectExtent l="0" t="0" r="0" b="3810"/>
              <wp:wrapNone/>
              <wp:docPr id="43" name="janusSEAL SC H_EvenPage_S_2"/>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0ADBB" w14:textId="0272F924"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12F6A1" id="_x0000_t202" coordsize="21600,21600" o:spt="202" path="m,l,21600r21600,l21600,xe">
              <v:stroke joinstyle="miter"/>
              <v:path gradientshapeok="t" o:connecttype="rect"/>
            </v:shapetype>
            <v:shape id="janusSEAL SC H_EvenPage_S_2" o:spid="_x0000_s1044" type="#_x0000_t202" style="position:absolute;margin-left:0;margin-top:0;width:148.95pt;height:32.7pt;z-index:251744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" o:allowincell="f" filled="f" stroked="f" strokeweight=".5pt">
              <v:textbox style="mso-fit-shape-to-text:t">
                <w:txbxContent>
                  <w:p w14:paraId="6090ADBB" w14:textId="0272F924" w:rsidR="005C752E" w:rsidRPr="00255A20" w:rsidRDefault="005C752E"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1801" w14:textId="77777777" w:rsidR="005C752E" w:rsidRDefault="005C7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515" w14:textId="77777777" w:rsidR="005C752E" w:rsidRDefault="005C7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74A8" w14:textId="77777777" w:rsidR="005C752E" w:rsidRPr="00274808" w:rsidRDefault="005C752E" w:rsidP="005502CD">
    <w:pPr>
      <w:pStyle w:val="HeaderEven"/>
      <w:spacing w:after="240" w:line="260" w:lineRule="exact"/>
    </w:pPr>
    <w:r w:rsidRPr="00434130">
      <w:rPr>
        <w:noProof/>
        <w:position w:val="-6"/>
      </w:rPr>
      <w:drawing>
        <wp:inline distT="0" distB="0" distL="0" distR="0" wp14:anchorId="185421E2" wp14:editId="6EA48E33">
          <wp:extent cx="1352550" cy="171450"/>
          <wp:effectExtent l="0" t="0" r="0" b="0"/>
          <wp:docPr id="9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FC25" w14:textId="77777777" w:rsidR="005C752E" w:rsidRDefault="005C752E" w:rsidP="00CB36D7">
    <w:pPr>
      <w:pStyle w:val="HeaderOdd"/>
    </w:pPr>
    <w:r>
      <w:t xml:space="preserve">Portfolio Budget Statements  |  </w:t>
    </w:r>
    <w:r>
      <w:rPr>
        <w:noProof/>
        <w:position w:val="-6"/>
      </w:rPr>
      <w:drawing>
        <wp:inline distT="0" distB="0" distL="0" distR="0" wp14:anchorId="50156CD2" wp14:editId="60FCA2E2">
          <wp:extent cx="1352550" cy="17145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C01B" w14:textId="77777777" w:rsidR="005C752E" w:rsidRPr="00970E65" w:rsidRDefault="005C752E" w:rsidP="004461A4">
    <w:pPr>
      <w:pStyle w:val="HeaderOdd"/>
    </w:pPr>
    <w:r>
      <w:t xml:space="preserve">Portfolio Budget Statements  |  </w:t>
    </w:r>
    <w:r>
      <w:rPr>
        <w:noProof/>
        <w:position w:val="-6"/>
      </w:rPr>
      <w:drawing>
        <wp:inline distT="0" distB="0" distL="0" distR="0" wp14:anchorId="570195D6" wp14:editId="72DE157F">
          <wp:extent cx="1352550" cy="171450"/>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59B"/>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7E9725C2-DCD3-4D3A-B21E-33573623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5304</Words>
  <Characters>32986</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2022-10-24T00:43:00Z</dcterms:created>
  <dcterms:modified xsi:type="dcterms:W3CDTF">2022-10-24T01:51:00Z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